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62699" w:rsidRPr="00562699" w14:paraId="6A096395" w14:textId="77777777" w:rsidTr="005E7C35">
        <w:tc>
          <w:tcPr>
            <w:tcW w:w="4513" w:type="dxa"/>
            <w:tcBorders>
              <w:bottom w:val="single" w:sz="4" w:space="0" w:color="auto"/>
            </w:tcBorders>
            <w:tcMar>
              <w:bottom w:w="170" w:type="dxa"/>
            </w:tcMar>
          </w:tcPr>
          <w:p w14:paraId="09B523D6" w14:textId="5324F1F0" w:rsidR="00597802" w:rsidRPr="00562699" w:rsidRDefault="00597802" w:rsidP="005E7C35"/>
        </w:tc>
        <w:tc>
          <w:tcPr>
            <w:tcW w:w="4337" w:type="dxa"/>
            <w:tcBorders>
              <w:bottom w:val="single" w:sz="4" w:space="0" w:color="auto"/>
            </w:tcBorders>
            <w:tcMar>
              <w:left w:w="0" w:type="dxa"/>
              <w:right w:w="0" w:type="dxa"/>
            </w:tcMar>
          </w:tcPr>
          <w:p w14:paraId="052C6CA3" w14:textId="77777777" w:rsidR="00597802" w:rsidRPr="00562699" w:rsidRDefault="00597802" w:rsidP="005E7C35">
            <w:r w:rsidRPr="00562699">
              <w:rPr>
                <w:noProof/>
                <w:lang w:val="en-GB" w:eastAsia="en-GB"/>
              </w:rPr>
              <w:drawing>
                <wp:inline distT="0" distB="0" distL="0" distR="0" wp14:anchorId="4D73DB88" wp14:editId="70B9D7F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4505CEB" w14:textId="77777777" w:rsidR="00597802" w:rsidRPr="00562699" w:rsidRDefault="00597802" w:rsidP="005E7C35">
            <w:pPr>
              <w:jc w:val="right"/>
            </w:pPr>
            <w:r w:rsidRPr="00562699">
              <w:rPr>
                <w:b/>
                <w:sz w:val="40"/>
                <w:szCs w:val="40"/>
              </w:rPr>
              <w:t>F</w:t>
            </w:r>
          </w:p>
        </w:tc>
      </w:tr>
      <w:tr w:rsidR="00562699" w:rsidRPr="00562699" w14:paraId="3FF143AA" w14:textId="77777777" w:rsidTr="005E7C35">
        <w:trPr>
          <w:trHeight w:hRule="exact" w:val="357"/>
        </w:trPr>
        <w:tc>
          <w:tcPr>
            <w:tcW w:w="9356" w:type="dxa"/>
            <w:gridSpan w:val="3"/>
            <w:tcBorders>
              <w:top w:val="single" w:sz="4" w:space="0" w:color="auto"/>
            </w:tcBorders>
            <w:tcMar>
              <w:top w:w="170" w:type="dxa"/>
              <w:left w:w="0" w:type="dxa"/>
              <w:right w:w="0" w:type="dxa"/>
            </w:tcMar>
            <w:vAlign w:val="bottom"/>
          </w:tcPr>
          <w:p w14:paraId="053E3E86" w14:textId="77777777" w:rsidR="00597802" w:rsidRPr="00562699" w:rsidRDefault="00597802" w:rsidP="005E7C35">
            <w:pPr>
              <w:jc w:val="right"/>
              <w:rPr>
                <w:rFonts w:ascii="Arial Black" w:hAnsi="Arial Black"/>
                <w:caps/>
                <w:sz w:val="15"/>
              </w:rPr>
            </w:pPr>
            <w:r w:rsidRPr="00562699">
              <w:rPr>
                <w:rFonts w:ascii="Arial Black" w:hAnsi="Arial Black"/>
                <w:caps/>
                <w:sz w:val="15"/>
              </w:rPr>
              <w:t>PCT/WG/12/</w:t>
            </w:r>
            <w:bookmarkStart w:id="0" w:name="Code"/>
            <w:bookmarkEnd w:id="0"/>
            <w:r w:rsidRPr="00562699">
              <w:rPr>
                <w:rFonts w:ascii="Arial Black" w:hAnsi="Arial Black"/>
                <w:caps/>
                <w:sz w:val="15"/>
              </w:rPr>
              <w:t>2</w:t>
            </w:r>
          </w:p>
        </w:tc>
      </w:tr>
      <w:tr w:rsidR="00562699" w:rsidRPr="00562699" w14:paraId="7A548996" w14:textId="77777777" w:rsidTr="005E7C35">
        <w:trPr>
          <w:trHeight w:hRule="exact" w:val="170"/>
        </w:trPr>
        <w:tc>
          <w:tcPr>
            <w:tcW w:w="9356" w:type="dxa"/>
            <w:gridSpan w:val="3"/>
            <w:noWrap/>
            <w:tcMar>
              <w:left w:w="0" w:type="dxa"/>
              <w:right w:w="0" w:type="dxa"/>
            </w:tcMar>
            <w:vAlign w:val="bottom"/>
          </w:tcPr>
          <w:p w14:paraId="25BDB850" w14:textId="05C1C73F" w:rsidR="00597802" w:rsidRPr="00562699" w:rsidRDefault="00597802" w:rsidP="005E7C35">
            <w:pPr>
              <w:jc w:val="right"/>
              <w:rPr>
                <w:rFonts w:ascii="Arial Black" w:hAnsi="Arial Black"/>
                <w:caps/>
                <w:sz w:val="15"/>
              </w:rPr>
            </w:pPr>
            <w:r w:rsidRPr="00562699">
              <w:rPr>
                <w:rFonts w:ascii="Arial Black" w:hAnsi="Arial Black"/>
                <w:caps/>
                <w:sz w:val="15"/>
              </w:rPr>
              <w:t>ORIGINAL</w:t>
            </w:r>
            <w:r w:rsidR="003C64A0">
              <w:rPr>
                <w:rFonts w:ascii="Arial Black" w:hAnsi="Arial Black"/>
                <w:caps/>
                <w:sz w:val="15"/>
              </w:rPr>
              <w:t> :</w:t>
            </w:r>
            <w:r w:rsidRPr="00562699">
              <w:rPr>
                <w:rFonts w:ascii="Arial Black" w:hAnsi="Arial Black"/>
                <w:caps/>
                <w:sz w:val="15"/>
              </w:rPr>
              <w:t xml:space="preserve"> </w:t>
            </w:r>
            <w:bookmarkStart w:id="1" w:name="Original"/>
            <w:bookmarkEnd w:id="1"/>
            <w:r w:rsidRPr="00562699">
              <w:rPr>
                <w:rFonts w:ascii="Arial Black" w:hAnsi="Arial Black"/>
                <w:caps/>
                <w:sz w:val="15"/>
              </w:rPr>
              <w:t xml:space="preserve">anglais </w:t>
            </w:r>
          </w:p>
        </w:tc>
      </w:tr>
      <w:tr w:rsidR="00597802" w:rsidRPr="00562699" w14:paraId="63D16DB1" w14:textId="77777777" w:rsidTr="005E7C35">
        <w:trPr>
          <w:trHeight w:hRule="exact" w:val="198"/>
        </w:trPr>
        <w:tc>
          <w:tcPr>
            <w:tcW w:w="9356" w:type="dxa"/>
            <w:gridSpan w:val="3"/>
            <w:tcMar>
              <w:left w:w="0" w:type="dxa"/>
              <w:right w:w="0" w:type="dxa"/>
            </w:tcMar>
            <w:vAlign w:val="bottom"/>
          </w:tcPr>
          <w:p w14:paraId="182F25FF" w14:textId="4AB90702" w:rsidR="00597802" w:rsidRPr="00562699" w:rsidRDefault="00597802" w:rsidP="004E4E83">
            <w:pPr>
              <w:jc w:val="right"/>
              <w:rPr>
                <w:rFonts w:ascii="Arial Black" w:hAnsi="Arial Black"/>
                <w:caps/>
                <w:sz w:val="15"/>
              </w:rPr>
            </w:pPr>
            <w:r w:rsidRPr="00562699">
              <w:rPr>
                <w:rFonts w:ascii="Arial Black" w:hAnsi="Arial Black"/>
                <w:caps/>
                <w:sz w:val="15"/>
              </w:rPr>
              <w:t>DATE</w:t>
            </w:r>
            <w:r w:rsidR="003C64A0">
              <w:rPr>
                <w:rFonts w:ascii="Arial Black" w:hAnsi="Arial Black"/>
                <w:caps/>
                <w:sz w:val="15"/>
              </w:rPr>
              <w:t> :</w:t>
            </w:r>
            <w:r w:rsidRPr="00562699">
              <w:rPr>
                <w:rFonts w:ascii="Arial Black" w:hAnsi="Arial Black"/>
                <w:caps/>
                <w:sz w:val="15"/>
              </w:rPr>
              <w:t xml:space="preserve"> </w:t>
            </w:r>
            <w:bookmarkStart w:id="2" w:name="Date"/>
            <w:bookmarkEnd w:id="2"/>
            <w:r w:rsidRPr="00562699">
              <w:rPr>
                <w:rFonts w:ascii="Arial Black" w:hAnsi="Arial Black"/>
                <w:caps/>
                <w:sz w:val="15"/>
              </w:rPr>
              <w:t>25</w:t>
            </w:r>
            <w:r w:rsidR="004E4E83" w:rsidRPr="00562699">
              <w:rPr>
                <w:rFonts w:ascii="Arial Black" w:hAnsi="Arial Black"/>
                <w:caps/>
                <w:sz w:val="15"/>
              </w:rPr>
              <w:t> </w:t>
            </w:r>
            <w:r w:rsidRPr="00562699">
              <w:rPr>
                <w:rFonts w:ascii="Arial Black" w:hAnsi="Arial Black"/>
                <w:caps/>
                <w:sz w:val="15"/>
              </w:rPr>
              <w:t>mars</w:t>
            </w:r>
            <w:r w:rsidR="004E4E83" w:rsidRPr="00562699">
              <w:rPr>
                <w:rFonts w:ascii="Arial Black" w:hAnsi="Arial Black"/>
                <w:caps/>
                <w:sz w:val="15"/>
              </w:rPr>
              <w:t> </w:t>
            </w:r>
            <w:r w:rsidRPr="00562699">
              <w:rPr>
                <w:rFonts w:ascii="Arial Black" w:hAnsi="Arial Black"/>
                <w:caps/>
                <w:sz w:val="15"/>
              </w:rPr>
              <w:t xml:space="preserve">2019 </w:t>
            </w:r>
          </w:p>
        </w:tc>
      </w:tr>
    </w:tbl>
    <w:p w14:paraId="746A1922" w14:textId="77777777" w:rsidR="00597802" w:rsidRPr="00562699" w:rsidRDefault="00597802" w:rsidP="00597802"/>
    <w:p w14:paraId="25531488" w14:textId="77777777" w:rsidR="00597802" w:rsidRPr="00562699" w:rsidRDefault="00597802" w:rsidP="00597802"/>
    <w:p w14:paraId="7F475D86" w14:textId="77777777" w:rsidR="00597802" w:rsidRPr="00562699" w:rsidRDefault="00597802" w:rsidP="00597802"/>
    <w:p w14:paraId="6FDBDFC1" w14:textId="77777777" w:rsidR="00597802" w:rsidRPr="00562699" w:rsidRDefault="00597802" w:rsidP="00597802"/>
    <w:p w14:paraId="6123D58A" w14:textId="77777777" w:rsidR="00597802" w:rsidRPr="00562699" w:rsidRDefault="00597802" w:rsidP="00597802"/>
    <w:p w14:paraId="36C3F4A9" w14:textId="77777777" w:rsidR="00597802" w:rsidRPr="00562699" w:rsidRDefault="00597802" w:rsidP="00597802">
      <w:pPr>
        <w:rPr>
          <w:b/>
          <w:sz w:val="28"/>
          <w:szCs w:val="28"/>
        </w:rPr>
      </w:pPr>
      <w:r w:rsidRPr="00562699">
        <w:rPr>
          <w:b/>
          <w:sz w:val="28"/>
          <w:szCs w:val="28"/>
        </w:rPr>
        <w:t>Groupe de travail du Traité de coopération en matière de brevets (PCT)</w:t>
      </w:r>
    </w:p>
    <w:p w14:paraId="168DD5F5" w14:textId="77777777" w:rsidR="00597802" w:rsidRPr="00562699" w:rsidRDefault="00597802" w:rsidP="00597802"/>
    <w:p w14:paraId="5A55D452" w14:textId="77777777" w:rsidR="00597802" w:rsidRPr="00562699" w:rsidRDefault="00597802" w:rsidP="00597802"/>
    <w:p w14:paraId="29BF3019" w14:textId="0F824594" w:rsidR="00597802" w:rsidRPr="00562699" w:rsidRDefault="00597802" w:rsidP="00597802">
      <w:pPr>
        <w:rPr>
          <w:b/>
          <w:sz w:val="24"/>
          <w:szCs w:val="24"/>
        </w:rPr>
      </w:pPr>
      <w:r w:rsidRPr="00562699">
        <w:rPr>
          <w:b/>
          <w:sz w:val="24"/>
          <w:szCs w:val="24"/>
        </w:rPr>
        <w:t>Douz</w:t>
      </w:r>
      <w:r w:rsidR="003C64A0">
        <w:rPr>
          <w:b/>
          <w:sz w:val="24"/>
          <w:szCs w:val="24"/>
        </w:rPr>
        <w:t>ième session</w:t>
      </w:r>
    </w:p>
    <w:p w14:paraId="26A4EE8C" w14:textId="77777777" w:rsidR="00597802" w:rsidRPr="00562699" w:rsidRDefault="00597802" w:rsidP="00597802">
      <w:pPr>
        <w:rPr>
          <w:b/>
          <w:sz w:val="24"/>
          <w:szCs w:val="24"/>
        </w:rPr>
      </w:pPr>
      <w:r w:rsidRPr="00562699">
        <w:rPr>
          <w:b/>
          <w:sz w:val="24"/>
          <w:szCs w:val="24"/>
        </w:rPr>
        <w:t>Genève, 11 – 14</w:t>
      </w:r>
      <w:r w:rsidR="004E4E83" w:rsidRPr="00562699">
        <w:rPr>
          <w:b/>
          <w:sz w:val="24"/>
          <w:szCs w:val="24"/>
        </w:rPr>
        <w:t> </w:t>
      </w:r>
      <w:r w:rsidRPr="00562699">
        <w:rPr>
          <w:b/>
          <w:sz w:val="24"/>
          <w:szCs w:val="24"/>
        </w:rPr>
        <w:t>juin</w:t>
      </w:r>
      <w:r w:rsidR="004E4E83" w:rsidRPr="00562699">
        <w:rPr>
          <w:b/>
          <w:sz w:val="24"/>
          <w:szCs w:val="24"/>
        </w:rPr>
        <w:t> </w:t>
      </w:r>
      <w:r w:rsidRPr="00562699">
        <w:rPr>
          <w:b/>
          <w:sz w:val="24"/>
          <w:szCs w:val="24"/>
        </w:rPr>
        <w:t>2019</w:t>
      </w:r>
    </w:p>
    <w:p w14:paraId="206044EE" w14:textId="77777777" w:rsidR="00597802" w:rsidRPr="00562699" w:rsidRDefault="00597802" w:rsidP="00597802"/>
    <w:p w14:paraId="284130A9" w14:textId="77777777" w:rsidR="00597802" w:rsidRPr="00562699" w:rsidRDefault="00597802" w:rsidP="00597802"/>
    <w:p w14:paraId="67F480D5" w14:textId="77777777" w:rsidR="00597802" w:rsidRPr="00562699" w:rsidRDefault="00597802" w:rsidP="00597802"/>
    <w:p w14:paraId="29FF697C" w14:textId="4EE389E8" w:rsidR="009246D2" w:rsidRPr="00562699" w:rsidRDefault="0024674C" w:rsidP="0024674C">
      <w:pPr>
        <w:rPr>
          <w:caps/>
          <w:sz w:val="24"/>
          <w:lang w:val="fr-FR"/>
        </w:rPr>
      </w:pPr>
      <w:r w:rsidRPr="00562699">
        <w:rPr>
          <w:caps/>
          <w:sz w:val="24"/>
          <w:lang w:val="fr-FR"/>
        </w:rPr>
        <w:t>Rapport sur la vingt</w:t>
      </w:r>
      <w:r w:rsidR="001B4A2C">
        <w:rPr>
          <w:caps/>
          <w:sz w:val="24"/>
          <w:lang w:val="fr-FR"/>
        </w:rPr>
        <w:noBreakHyphen/>
      </w:r>
      <w:r w:rsidRPr="00562699">
        <w:rPr>
          <w:caps/>
          <w:sz w:val="24"/>
          <w:lang w:val="fr-FR"/>
        </w:rPr>
        <w:t>sixième Réunion des administrations internationales instituées en vertu</w:t>
      </w:r>
      <w:r w:rsidR="003C64A0" w:rsidRPr="00562699">
        <w:rPr>
          <w:caps/>
          <w:sz w:val="24"/>
          <w:lang w:val="fr-FR"/>
        </w:rPr>
        <w:t xml:space="preserve"> du</w:t>
      </w:r>
      <w:r w:rsidR="003C64A0">
        <w:rPr>
          <w:caps/>
          <w:sz w:val="24"/>
          <w:lang w:val="fr-FR"/>
        </w:rPr>
        <w:t> </w:t>
      </w:r>
      <w:r w:rsidR="003C64A0" w:rsidRPr="00562699">
        <w:rPr>
          <w:caps/>
          <w:sz w:val="24"/>
          <w:lang w:val="fr-FR"/>
        </w:rPr>
        <w:t>PCT</w:t>
      </w:r>
    </w:p>
    <w:p w14:paraId="467E886C" w14:textId="77777777" w:rsidR="009246D2" w:rsidRPr="00562699" w:rsidRDefault="009246D2" w:rsidP="008B2CC1">
      <w:pPr>
        <w:rPr>
          <w:lang w:val="fr-FR"/>
        </w:rPr>
      </w:pPr>
    </w:p>
    <w:p w14:paraId="7F4470EC" w14:textId="77777777" w:rsidR="009246D2" w:rsidRPr="00562699" w:rsidRDefault="0024674C" w:rsidP="0024674C">
      <w:pPr>
        <w:rPr>
          <w:i/>
          <w:lang w:val="fr-FR"/>
        </w:rPr>
      </w:pPr>
      <w:bookmarkStart w:id="3" w:name="Prepared"/>
      <w:bookmarkEnd w:id="3"/>
      <w:r w:rsidRPr="00562699">
        <w:rPr>
          <w:i/>
          <w:lang w:val="fr-FR"/>
        </w:rPr>
        <w:t>Document établi par le Bureau international</w:t>
      </w:r>
    </w:p>
    <w:p w14:paraId="7FACF7D4" w14:textId="77777777" w:rsidR="009246D2" w:rsidRPr="00562699" w:rsidRDefault="009246D2">
      <w:pPr>
        <w:rPr>
          <w:lang w:val="fr-FR"/>
        </w:rPr>
      </w:pPr>
    </w:p>
    <w:p w14:paraId="29AC8803" w14:textId="77777777" w:rsidR="009246D2" w:rsidRPr="00562699" w:rsidRDefault="009246D2">
      <w:pPr>
        <w:rPr>
          <w:lang w:val="fr-FR"/>
        </w:rPr>
      </w:pPr>
    </w:p>
    <w:p w14:paraId="5AEAA8A4" w14:textId="77777777" w:rsidR="009246D2" w:rsidRPr="00562699" w:rsidRDefault="009246D2">
      <w:pPr>
        <w:rPr>
          <w:lang w:val="fr-FR"/>
        </w:rPr>
      </w:pPr>
    </w:p>
    <w:p w14:paraId="77547557" w14:textId="77777777" w:rsidR="009246D2" w:rsidRPr="00562699" w:rsidRDefault="009246D2" w:rsidP="0053057A">
      <w:pPr>
        <w:rPr>
          <w:lang w:val="fr-FR"/>
        </w:rPr>
      </w:pPr>
    </w:p>
    <w:p w14:paraId="7E267BAB" w14:textId="64E2E1A8" w:rsidR="009246D2" w:rsidRPr="00562699" w:rsidRDefault="0024674C" w:rsidP="00273B5F">
      <w:pPr>
        <w:pStyle w:val="ONUMFS"/>
        <w:rPr>
          <w:lang w:val="fr-FR"/>
        </w:rPr>
      </w:pPr>
      <w:r w:rsidRPr="00562699">
        <w:rPr>
          <w:lang w:val="fr-FR"/>
        </w:rPr>
        <w:t>L</w:t>
      </w:r>
      <w:r w:rsidR="003C64A0">
        <w:rPr>
          <w:lang w:val="fr-FR"/>
        </w:rPr>
        <w:t>’</w:t>
      </w:r>
      <w:r w:rsidRPr="00562699">
        <w:rPr>
          <w:lang w:val="fr-FR"/>
        </w:rPr>
        <w:t xml:space="preserve">annexe du présent document contient le résumé </w:t>
      </w:r>
      <w:r w:rsidR="004D6BF9" w:rsidRPr="00562699">
        <w:rPr>
          <w:lang w:val="fr-FR"/>
        </w:rPr>
        <w:t>établi</w:t>
      </w:r>
      <w:r w:rsidRPr="00562699">
        <w:rPr>
          <w:lang w:val="fr-FR"/>
        </w:rPr>
        <w:t xml:space="preserve"> par l</w:t>
      </w:r>
      <w:r w:rsidR="00336D7C" w:rsidRPr="00562699">
        <w:rPr>
          <w:lang w:val="fr-FR"/>
        </w:rPr>
        <w:t>a</w:t>
      </w:r>
      <w:r w:rsidRPr="00562699">
        <w:rPr>
          <w:lang w:val="fr-FR"/>
        </w:rPr>
        <w:t xml:space="preserve"> président</w:t>
      </w:r>
      <w:r w:rsidR="00336D7C" w:rsidRPr="00562699">
        <w:rPr>
          <w:lang w:val="fr-FR"/>
        </w:rPr>
        <w:t>e</w:t>
      </w:r>
      <w:r w:rsidRPr="00562699">
        <w:rPr>
          <w:lang w:val="fr-FR"/>
        </w:rPr>
        <w:t xml:space="preserve"> de la vingt</w:t>
      </w:r>
      <w:r w:rsidR="001B4A2C">
        <w:rPr>
          <w:lang w:val="fr-FR"/>
        </w:rPr>
        <w:noBreakHyphen/>
      </w:r>
      <w:r w:rsidRPr="00562699">
        <w:rPr>
          <w:lang w:val="fr-FR"/>
        </w:rPr>
        <w:t xml:space="preserve">sixième Réunion des administrations internationales </w:t>
      </w:r>
      <w:r w:rsidR="004D6BF9" w:rsidRPr="00562699">
        <w:rPr>
          <w:lang w:val="fr-FR"/>
        </w:rPr>
        <w:t xml:space="preserve">instituées en vertu </w:t>
      </w:r>
      <w:r w:rsidRPr="00562699">
        <w:rPr>
          <w:lang w:val="fr-FR"/>
        </w:rPr>
        <w:t>du Traité de coopération en matière de brevets (PCT/MIA) tenue au Caire (Égypte) les 13 et 14</w:t>
      </w:r>
      <w:r w:rsidR="004E4E83" w:rsidRPr="00562699">
        <w:rPr>
          <w:lang w:val="fr-FR"/>
        </w:rPr>
        <w:t> </w:t>
      </w:r>
      <w:r w:rsidRPr="00562699">
        <w:rPr>
          <w:lang w:val="fr-FR"/>
        </w:rPr>
        <w:t>février</w:t>
      </w:r>
      <w:r w:rsidR="004E4E83" w:rsidRPr="00562699">
        <w:rPr>
          <w:lang w:val="fr-FR"/>
        </w:rPr>
        <w:t> </w:t>
      </w:r>
      <w:r w:rsidRPr="00562699">
        <w:rPr>
          <w:lang w:val="fr-FR"/>
        </w:rPr>
        <w:t>2019.</w:t>
      </w:r>
      <w:r w:rsidR="00D92891" w:rsidRPr="00562699">
        <w:rPr>
          <w:lang w:val="fr-FR"/>
        </w:rPr>
        <w:t xml:space="preserve">  </w:t>
      </w:r>
      <w:r w:rsidRPr="00562699">
        <w:rPr>
          <w:lang w:val="fr-FR"/>
        </w:rPr>
        <w:t>L</w:t>
      </w:r>
      <w:r w:rsidR="003C64A0">
        <w:rPr>
          <w:lang w:val="fr-FR"/>
        </w:rPr>
        <w:t>’</w:t>
      </w:r>
      <w:r w:rsidR="003C64A0" w:rsidRPr="00562699">
        <w:rPr>
          <w:lang w:val="fr-FR"/>
        </w:rPr>
        <w:t>annexe</w:t>
      </w:r>
      <w:r w:rsidR="003C64A0">
        <w:rPr>
          <w:lang w:val="fr-FR"/>
        </w:rPr>
        <w:t> </w:t>
      </w:r>
      <w:r w:rsidR="003C64A0" w:rsidRPr="00562699">
        <w:rPr>
          <w:lang w:val="fr-FR"/>
        </w:rPr>
        <w:t>I</w:t>
      </w:r>
      <w:r w:rsidRPr="00562699">
        <w:rPr>
          <w:lang w:val="fr-FR"/>
        </w:rPr>
        <w:t>I contient le résumé présenté par l</w:t>
      </w:r>
      <w:r w:rsidR="0084617F" w:rsidRPr="00562699">
        <w:rPr>
          <w:lang w:val="fr-FR"/>
        </w:rPr>
        <w:t>a</w:t>
      </w:r>
      <w:r w:rsidRPr="00562699">
        <w:rPr>
          <w:lang w:val="fr-FR"/>
        </w:rPr>
        <w:t xml:space="preserve"> président</w:t>
      </w:r>
      <w:r w:rsidR="0084617F" w:rsidRPr="00562699">
        <w:rPr>
          <w:lang w:val="fr-FR"/>
        </w:rPr>
        <w:t>e</w:t>
      </w:r>
      <w:r w:rsidRPr="00562699">
        <w:rPr>
          <w:lang w:val="fr-FR"/>
        </w:rPr>
        <w:t xml:space="preserve"> de la neuvième réunion informelle du Sous</w:t>
      </w:r>
      <w:r w:rsidR="001B4A2C">
        <w:rPr>
          <w:lang w:val="fr-FR"/>
        </w:rPr>
        <w:noBreakHyphen/>
      </w:r>
      <w:r w:rsidRPr="00562699">
        <w:rPr>
          <w:lang w:val="fr-FR"/>
        </w:rPr>
        <w:t>groupe de la Réunion des administrations internationales chargé de la qualité qui a eu lieu au Caire les 11 et 12</w:t>
      </w:r>
      <w:r w:rsidR="004E4E83" w:rsidRPr="00562699">
        <w:rPr>
          <w:lang w:val="fr-FR"/>
        </w:rPr>
        <w:t> </w:t>
      </w:r>
      <w:r w:rsidRPr="00562699">
        <w:rPr>
          <w:lang w:val="fr-FR"/>
        </w:rPr>
        <w:t>février</w:t>
      </w:r>
      <w:r w:rsidR="004E4E83" w:rsidRPr="00562699">
        <w:rPr>
          <w:lang w:val="fr-FR"/>
        </w:rPr>
        <w:t> </w:t>
      </w:r>
      <w:r w:rsidRPr="00562699">
        <w:rPr>
          <w:lang w:val="fr-FR"/>
        </w:rPr>
        <w:t>2019, juste avant la Réunion des administrations internationales.</w:t>
      </w:r>
    </w:p>
    <w:p w14:paraId="25635312" w14:textId="3432FBE3" w:rsidR="009246D2" w:rsidRPr="00562699" w:rsidRDefault="0024674C" w:rsidP="00273B5F">
      <w:pPr>
        <w:pStyle w:val="ONUMFS"/>
        <w:ind w:left="5533"/>
        <w:rPr>
          <w:i/>
          <w:lang w:val="fr-FR"/>
        </w:rPr>
      </w:pPr>
      <w:r w:rsidRPr="00562699">
        <w:rPr>
          <w:i/>
          <w:lang w:val="fr-FR"/>
        </w:rPr>
        <w:t>Le groupe de travail est invité à prendre note du résumé établi par l</w:t>
      </w:r>
      <w:r w:rsidR="00336D7C" w:rsidRPr="00562699">
        <w:rPr>
          <w:i/>
          <w:lang w:val="fr-FR"/>
        </w:rPr>
        <w:t>a</w:t>
      </w:r>
      <w:r w:rsidRPr="00562699">
        <w:rPr>
          <w:i/>
          <w:lang w:val="fr-FR"/>
        </w:rPr>
        <w:t xml:space="preserve"> président</w:t>
      </w:r>
      <w:r w:rsidR="00336D7C" w:rsidRPr="00562699">
        <w:rPr>
          <w:i/>
          <w:lang w:val="fr-FR"/>
        </w:rPr>
        <w:t>e</w:t>
      </w:r>
      <w:r w:rsidRPr="00562699">
        <w:rPr>
          <w:i/>
          <w:lang w:val="fr-FR"/>
        </w:rPr>
        <w:t xml:space="preserve"> de la vingt</w:t>
      </w:r>
      <w:r w:rsidR="001B4A2C">
        <w:rPr>
          <w:i/>
          <w:lang w:val="fr-FR"/>
        </w:rPr>
        <w:noBreakHyphen/>
      </w:r>
      <w:r w:rsidRPr="00562699">
        <w:rPr>
          <w:i/>
          <w:lang w:val="fr-FR"/>
        </w:rPr>
        <w:t>sixième Réunion des administrations internationales</w:t>
      </w:r>
      <w:r w:rsidR="003C64A0" w:rsidRPr="00562699">
        <w:rPr>
          <w:i/>
          <w:lang w:val="fr-FR"/>
        </w:rPr>
        <w:t xml:space="preserve"> du</w:t>
      </w:r>
      <w:r w:rsidR="003C64A0">
        <w:rPr>
          <w:i/>
          <w:lang w:val="fr-FR"/>
        </w:rPr>
        <w:t> </w:t>
      </w:r>
      <w:r w:rsidR="003C64A0" w:rsidRPr="00562699">
        <w:rPr>
          <w:i/>
          <w:lang w:val="fr-FR"/>
        </w:rPr>
        <w:t>PCT</w:t>
      </w:r>
      <w:r w:rsidRPr="00562699">
        <w:rPr>
          <w:i/>
          <w:lang w:val="fr-FR"/>
        </w:rPr>
        <w:t xml:space="preserve"> (document PCT/MIA/26/13), reproduit dans l</w:t>
      </w:r>
      <w:r w:rsidR="003C64A0">
        <w:rPr>
          <w:i/>
          <w:lang w:val="fr-FR"/>
        </w:rPr>
        <w:t>’</w:t>
      </w:r>
      <w:r w:rsidRPr="00562699">
        <w:rPr>
          <w:i/>
          <w:lang w:val="fr-FR"/>
        </w:rPr>
        <w:t>annexe du présent document.</w:t>
      </w:r>
    </w:p>
    <w:p w14:paraId="6E76AE6E" w14:textId="5B93F012" w:rsidR="009246D2" w:rsidRPr="00562699" w:rsidRDefault="009246D2" w:rsidP="00273B5F">
      <w:pPr>
        <w:rPr>
          <w:lang w:val="fr-FR"/>
        </w:rPr>
      </w:pPr>
    </w:p>
    <w:p w14:paraId="556DCBF6" w14:textId="77777777" w:rsidR="00273B5F" w:rsidRPr="00562699" w:rsidRDefault="00273B5F" w:rsidP="00273B5F">
      <w:pPr>
        <w:rPr>
          <w:lang w:val="fr-FR"/>
        </w:rPr>
      </w:pPr>
    </w:p>
    <w:p w14:paraId="5A0EAA72" w14:textId="3D8A2CA4" w:rsidR="008D1E3B" w:rsidRPr="00562699" w:rsidRDefault="0024674C" w:rsidP="00273B5F">
      <w:pPr>
        <w:pStyle w:val="Endofdocument-Annex"/>
        <w:rPr>
          <w:lang w:val="fr-FR"/>
        </w:rPr>
        <w:sectPr w:rsidR="008D1E3B" w:rsidRPr="00562699" w:rsidSect="00273B5F">
          <w:headerReference w:type="default" r:id="rId9"/>
          <w:endnotePr>
            <w:numFmt w:val="decimal"/>
          </w:endnotePr>
          <w:pgSz w:w="11907" w:h="16840" w:code="9"/>
          <w:pgMar w:top="567" w:right="1134" w:bottom="1417" w:left="1417" w:header="510" w:footer="1020" w:gutter="0"/>
          <w:cols w:space="720"/>
          <w:titlePg/>
          <w:docGrid w:linePitch="299"/>
        </w:sectPr>
      </w:pPr>
      <w:r w:rsidRPr="00562699">
        <w:rPr>
          <w:lang w:val="fr-FR"/>
        </w:rPr>
        <w:t>[L</w:t>
      </w:r>
      <w:r w:rsidR="003C64A0">
        <w:rPr>
          <w:lang w:val="fr-FR"/>
        </w:rPr>
        <w:t>’</w:t>
      </w:r>
      <w:r w:rsidRPr="00562699">
        <w:rPr>
          <w:lang w:val="fr-FR"/>
        </w:rPr>
        <w:t>annexe suit]</w:t>
      </w:r>
    </w:p>
    <w:p w14:paraId="7FADB43F" w14:textId="4AF7FF9C" w:rsidR="009246D2" w:rsidRPr="00562699" w:rsidRDefault="00273B5F" w:rsidP="0024674C">
      <w:pPr>
        <w:rPr>
          <w:caps/>
          <w:lang w:val="fr-FR"/>
        </w:rPr>
      </w:pPr>
      <w:r w:rsidRPr="00562699">
        <w:rPr>
          <w:caps/>
          <w:lang w:val="fr-FR"/>
        </w:rPr>
        <w:lastRenderedPageBreak/>
        <w:t>Réunion des administrations internationales instituées en vertu du Traité de coopération en matière de brevets (PCT)</w:t>
      </w:r>
    </w:p>
    <w:p w14:paraId="45E8D71D" w14:textId="77777777" w:rsidR="009246D2" w:rsidRPr="00562699" w:rsidRDefault="009246D2" w:rsidP="008D1E3B">
      <w:pPr>
        <w:rPr>
          <w:lang w:val="fr-FR"/>
        </w:rPr>
      </w:pPr>
    </w:p>
    <w:p w14:paraId="109141B0" w14:textId="55B6AC01" w:rsidR="009246D2" w:rsidRPr="00562699" w:rsidRDefault="00273B5F" w:rsidP="0024674C">
      <w:pPr>
        <w:rPr>
          <w:caps/>
          <w:lang w:val="fr-FR"/>
        </w:rPr>
      </w:pPr>
      <w:r w:rsidRPr="00562699">
        <w:rPr>
          <w:caps/>
          <w:lang w:val="fr-FR"/>
        </w:rPr>
        <w:t>Vingt</w:t>
      </w:r>
      <w:r w:rsidR="001B4A2C">
        <w:rPr>
          <w:caps/>
          <w:lang w:val="fr-FR"/>
        </w:rPr>
        <w:noBreakHyphen/>
      </w:r>
      <w:r w:rsidRPr="00562699">
        <w:rPr>
          <w:caps/>
          <w:lang w:val="fr-FR"/>
        </w:rPr>
        <w:t>sixième réunion, Le Caire, 13 et 14 février 2019</w:t>
      </w:r>
    </w:p>
    <w:p w14:paraId="2F91C1B9" w14:textId="77777777" w:rsidR="009246D2" w:rsidRPr="00562699" w:rsidRDefault="009246D2" w:rsidP="008D1E3B">
      <w:pPr>
        <w:rPr>
          <w:lang w:val="fr-FR"/>
        </w:rPr>
      </w:pPr>
    </w:p>
    <w:p w14:paraId="05C1A64F" w14:textId="77777777" w:rsidR="009246D2" w:rsidRPr="00562699" w:rsidRDefault="009246D2" w:rsidP="008D1E3B">
      <w:pPr>
        <w:rPr>
          <w:lang w:val="fr-FR"/>
        </w:rPr>
      </w:pPr>
    </w:p>
    <w:p w14:paraId="7115DED7" w14:textId="0F4D0973" w:rsidR="009246D2" w:rsidRPr="00562699" w:rsidRDefault="00273B5F" w:rsidP="0024674C">
      <w:pPr>
        <w:rPr>
          <w:caps/>
          <w:lang w:val="fr-FR"/>
        </w:rPr>
      </w:pPr>
      <w:r w:rsidRPr="00562699">
        <w:rPr>
          <w:caps/>
          <w:lang w:val="fr-FR"/>
        </w:rPr>
        <w:t>Résumé présenté par la présidente</w:t>
      </w:r>
    </w:p>
    <w:p w14:paraId="6F12DC82" w14:textId="4F40CEA9" w:rsidR="009246D2" w:rsidRPr="00562699" w:rsidRDefault="0024674C" w:rsidP="0024674C">
      <w:pPr>
        <w:rPr>
          <w:i/>
          <w:lang w:val="fr-FR"/>
        </w:rPr>
      </w:pPr>
      <w:r w:rsidRPr="00562699">
        <w:rPr>
          <w:i/>
          <w:lang w:val="fr-FR"/>
        </w:rPr>
        <w:t>(</w:t>
      </w:r>
      <w:proofErr w:type="gramStart"/>
      <w:r w:rsidRPr="00562699">
        <w:rPr>
          <w:i/>
          <w:lang w:val="fr-FR"/>
        </w:rPr>
        <w:t>la</w:t>
      </w:r>
      <w:proofErr w:type="gramEnd"/>
      <w:r w:rsidRPr="00562699">
        <w:rPr>
          <w:i/>
          <w:lang w:val="fr-FR"/>
        </w:rPr>
        <w:t xml:space="preserve"> </w:t>
      </w:r>
      <w:r w:rsidR="00273B5F" w:rsidRPr="00562699">
        <w:rPr>
          <w:i/>
          <w:lang w:val="fr-FR"/>
        </w:rPr>
        <w:t xml:space="preserve">réunion </w:t>
      </w:r>
      <w:r w:rsidRPr="00562699">
        <w:rPr>
          <w:i/>
          <w:lang w:val="fr-FR"/>
        </w:rPr>
        <w:t>a pris note du résumé</w:t>
      </w:r>
      <w:r w:rsidR="004D6BF9" w:rsidRPr="00562699">
        <w:rPr>
          <w:i/>
          <w:lang w:val="fr-FR"/>
        </w:rPr>
        <w:t>;</w:t>
      </w:r>
      <w:r w:rsidRPr="00562699">
        <w:rPr>
          <w:i/>
          <w:lang w:val="fr-FR"/>
        </w:rPr>
        <w:t xml:space="preserve"> </w:t>
      </w:r>
      <w:r w:rsidR="00953186">
        <w:rPr>
          <w:i/>
          <w:lang w:val="fr-FR"/>
        </w:rPr>
        <w:t xml:space="preserve"> </w:t>
      </w:r>
      <w:r w:rsidRPr="00562699">
        <w:rPr>
          <w:i/>
          <w:lang w:val="fr-FR"/>
        </w:rPr>
        <w:t>tiré du document PCT/MIA/26/13)</w:t>
      </w:r>
    </w:p>
    <w:p w14:paraId="41A2518D" w14:textId="77777777" w:rsidR="009246D2" w:rsidRPr="00562699" w:rsidRDefault="009246D2" w:rsidP="008D1E3B">
      <w:pPr>
        <w:rPr>
          <w:i/>
          <w:lang w:val="fr-FR"/>
        </w:rPr>
      </w:pPr>
    </w:p>
    <w:p w14:paraId="0B1F5E79" w14:textId="25746DBF" w:rsidR="009246D2" w:rsidRPr="00562699" w:rsidRDefault="00273B5F" w:rsidP="00273B5F">
      <w:pPr>
        <w:pStyle w:val="Heading1"/>
        <w:rPr>
          <w:lang w:val="fr-FR"/>
        </w:rPr>
      </w:pPr>
      <w:r w:rsidRPr="00562699">
        <w:rPr>
          <w:lang w:val="fr-FR"/>
        </w:rPr>
        <w:t>Introduction</w:t>
      </w:r>
    </w:p>
    <w:p w14:paraId="7EA2FC58" w14:textId="77777777" w:rsidR="00273B5F" w:rsidRPr="00562699" w:rsidRDefault="00273B5F" w:rsidP="00273B5F">
      <w:pPr>
        <w:rPr>
          <w:lang w:val="fr-FR"/>
        </w:rPr>
      </w:pPr>
    </w:p>
    <w:p w14:paraId="4D78100A" w14:textId="1445DF5E" w:rsidR="009246D2" w:rsidRPr="00562699" w:rsidRDefault="0024674C" w:rsidP="00273B5F">
      <w:pPr>
        <w:pStyle w:val="ONUMFS"/>
        <w:numPr>
          <w:ilvl w:val="0"/>
          <w:numId w:val="16"/>
        </w:numPr>
        <w:rPr>
          <w:lang w:val="fr-FR"/>
        </w:rPr>
      </w:pPr>
      <w:r w:rsidRPr="00562699">
        <w:rPr>
          <w:lang w:val="fr-FR"/>
        </w:rPr>
        <w:t>La vingt</w:t>
      </w:r>
      <w:r w:rsidR="001B4A2C">
        <w:rPr>
          <w:lang w:val="fr-FR"/>
        </w:rPr>
        <w:noBreakHyphen/>
      </w:r>
      <w:r w:rsidRPr="00562699">
        <w:rPr>
          <w:lang w:val="fr-FR"/>
        </w:rPr>
        <w:t>sixième Réunion des administrations internationales instituées en vertu</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(ci</w:t>
      </w:r>
      <w:r w:rsidR="001B4A2C">
        <w:rPr>
          <w:lang w:val="fr-FR"/>
        </w:rPr>
        <w:noBreakHyphen/>
      </w:r>
      <w:r w:rsidRPr="00562699">
        <w:rPr>
          <w:lang w:val="fr-FR"/>
        </w:rPr>
        <w:t xml:space="preserve">après dénommée </w:t>
      </w:r>
      <w:r w:rsidR="004D6D6F" w:rsidRPr="00562699">
        <w:rPr>
          <w:lang w:val="fr-FR"/>
        </w:rPr>
        <w:t xml:space="preserve">la </w:t>
      </w:r>
      <w:r w:rsidR="003C64A0">
        <w:rPr>
          <w:lang w:val="fr-FR"/>
        </w:rPr>
        <w:t>“</w:t>
      </w:r>
      <w:r w:rsidR="003C64A0" w:rsidRPr="00562699">
        <w:rPr>
          <w:lang w:val="fr-FR"/>
        </w:rPr>
        <w:t>R</w:t>
      </w:r>
      <w:r w:rsidRPr="00562699">
        <w:rPr>
          <w:lang w:val="fr-FR"/>
        </w:rPr>
        <w:t>éunio</w:t>
      </w:r>
      <w:r w:rsidR="003C64A0" w:rsidRPr="00562699">
        <w:rPr>
          <w:lang w:val="fr-FR"/>
        </w:rPr>
        <w:t>n</w:t>
      </w:r>
      <w:r w:rsidR="003C64A0">
        <w:rPr>
          <w:lang w:val="fr-FR"/>
        </w:rPr>
        <w:t>”</w:t>
      </w:r>
      <w:r w:rsidRPr="00562699">
        <w:rPr>
          <w:lang w:val="fr-FR"/>
        </w:rPr>
        <w:t xml:space="preserve">) </w:t>
      </w:r>
      <w:r w:rsidR="004D6BF9" w:rsidRPr="00562699">
        <w:rPr>
          <w:lang w:val="fr-FR"/>
        </w:rPr>
        <w:t>s</w:t>
      </w:r>
      <w:r w:rsidR="003C64A0">
        <w:rPr>
          <w:lang w:val="fr-FR"/>
        </w:rPr>
        <w:t>’</w:t>
      </w:r>
      <w:r w:rsidR="004D6BF9" w:rsidRPr="00562699">
        <w:rPr>
          <w:lang w:val="fr-FR"/>
        </w:rPr>
        <w:t xml:space="preserve">est tenue au Caire </w:t>
      </w:r>
      <w:r w:rsidRPr="00562699">
        <w:rPr>
          <w:lang w:val="fr-FR"/>
        </w:rPr>
        <w:t>les 13 et 14</w:t>
      </w:r>
      <w:r w:rsidR="004E4E83" w:rsidRPr="00562699">
        <w:rPr>
          <w:lang w:val="fr-FR"/>
        </w:rPr>
        <w:t> </w:t>
      </w:r>
      <w:r w:rsidRPr="00562699">
        <w:rPr>
          <w:lang w:val="fr-FR"/>
        </w:rPr>
        <w:t>février</w:t>
      </w:r>
      <w:r w:rsidR="004E4E83" w:rsidRPr="00562699">
        <w:rPr>
          <w:lang w:val="fr-FR"/>
        </w:rPr>
        <w:t> </w:t>
      </w:r>
      <w:r w:rsidRPr="00562699">
        <w:rPr>
          <w:lang w:val="fr-FR"/>
        </w:rPr>
        <w:t>2019.</w:t>
      </w:r>
    </w:p>
    <w:p w14:paraId="120C1F6F" w14:textId="029BCAEA" w:rsidR="009246D2" w:rsidRPr="00562699" w:rsidRDefault="0024674C" w:rsidP="00273B5F">
      <w:pPr>
        <w:pStyle w:val="ONUMFS"/>
        <w:rPr>
          <w:lang w:val="fr-FR"/>
        </w:rPr>
      </w:pPr>
      <w:r w:rsidRPr="00562699">
        <w:rPr>
          <w:lang w:val="fr-FR"/>
        </w:rPr>
        <w:t>Les administrations chargées de la recherche internationale et de l</w:t>
      </w:r>
      <w:r w:rsidR="003C64A0">
        <w:rPr>
          <w:lang w:val="fr-FR"/>
        </w:rPr>
        <w:t>’</w:t>
      </w:r>
      <w:r w:rsidRPr="00562699">
        <w:rPr>
          <w:lang w:val="fr-FR"/>
        </w:rPr>
        <w:t xml:space="preserve">examen préliminaire </w:t>
      </w:r>
      <w:r w:rsidR="004D6BF9" w:rsidRPr="00562699">
        <w:rPr>
          <w:lang w:val="fr-FR"/>
        </w:rPr>
        <w:t>i</w:t>
      </w:r>
      <w:r w:rsidRPr="00562699">
        <w:rPr>
          <w:lang w:val="fr-FR"/>
        </w:rPr>
        <w:t>nternational ci</w:t>
      </w:r>
      <w:r w:rsidR="001B4A2C">
        <w:rPr>
          <w:lang w:val="fr-FR"/>
        </w:rPr>
        <w:noBreakHyphen/>
      </w:r>
      <w:r w:rsidRPr="00562699">
        <w:rPr>
          <w:lang w:val="fr-FR"/>
        </w:rPr>
        <w:t xml:space="preserve">après étaient représentées à cette </w:t>
      </w:r>
      <w:r w:rsidR="004D6BF9" w:rsidRPr="00562699">
        <w:rPr>
          <w:lang w:val="fr-FR"/>
        </w:rPr>
        <w:t>occasion</w:t>
      </w:r>
      <w:r w:rsidR="003C64A0">
        <w:rPr>
          <w:lang w:val="fr-FR"/>
        </w:rPr>
        <w:t> :</w:t>
      </w:r>
      <w:r w:rsidRPr="00562699">
        <w:rPr>
          <w:lang w:val="fr-FR"/>
        </w:rPr>
        <w:t xml:space="preserve"> Office autrichien des brevets, Institut National de la propriété industrielle du Brésil, Office de la propriété intellectuelle du Canada,</w:t>
      </w:r>
      <w:r w:rsidR="000A30EC" w:rsidRPr="00562699">
        <w:rPr>
          <w:lang w:val="fr-FR"/>
        </w:rPr>
        <w:t xml:space="preserve"> </w:t>
      </w:r>
      <w:r w:rsidRPr="00562699">
        <w:rPr>
          <w:lang w:val="fr-FR"/>
        </w:rPr>
        <w:t xml:space="preserve">Office </w:t>
      </w:r>
      <w:r w:rsidR="000A30EC" w:rsidRPr="00562699">
        <w:rPr>
          <w:lang w:val="fr-FR"/>
        </w:rPr>
        <w:t>n</w:t>
      </w:r>
      <w:r w:rsidRPr="00562699">
        <w:rPr>
          <w:lang w:val="fr-FR"/>
        </w:rPr>
        <w:t>ational chinois de la propriété intellectuelle, Office égyptien des brevets, Office européen des brevets, Office fédéral de la propriété intellectuelle de la Fédération de Russie, Office finlandais des brevets et de l</w:t>
      </w:r>
      <w:r w:rsidR="003C64A0">
        <w:rPr>
          <w:lang w:val="fr-FR"/>
        </w:rPr>
        <w:t>’</w:t>
      </w:r>
      <w:r w:rsidRPr="00562699">
        <w:rPr>
          <w:lang w:val="fr-FR"/>
        </w:rPr>
        <w:t>enregistrement, Office indien des brevets, Office de la propriété intellectuelle des Philippines, Office de la propriété intellectuelle de Singapour, IP</w:t>
      </w:r>
      <w:r w:rsidR="00953186">
        <w:rPr>
          <w:lang w:val="fr-FR"/>
        </w:rPr>
        <w:t> </w:t>
      </w:r>
      <w:proofErr w:type="spellStart"/>
      <w:r w:rsidRPr="00562699">
        <w:rPr>
          <w:lang w:val="fr-FR"/>
        </w:rPr>
        <w:t>Australia</w:t>
      </w:r>
      <w:proofErr w:type="spellEnd"/>
      <w:r w:rsidRPr="00562699">
        <w:rPr>
          <w:lang w:val="fr-FR"/>
        </w:rPr>
        <w:t xml:space="preserve">, Office des brevets du Japon, Office coréen de la propriété intellectuelle, Institut </w:t>
      </w:r>
      <w:r w:rsidR="000A30EC" w:rsidRPr="00562699">
        <w:rPr>
          <w:lang w:val="fr-FR"/>
        </w:rPr>
        <w:t>n</w:t>
      </w:r>
      <w:r w:rsidRPr="00562699">
        <w:rPr>
          <w:lang w:val="fr-FR"/>
        </w:rPr>
        <w:t>ational de la propriété industrielle du Chili, Institut nordique des brevets</w:t>
      </w:r>
      <w:r w:rsidR="00CB23D2" w:rsidRPr="00562699">
        <w:rPr>
          <w:lang w:val="fr-FR"/>
        </w:rPr>
        <w:t>, Office espagnol des brevets et des marques, Office suédois des brevets et de l</w:t>
      </w:r>
      <w:r w:rsidR="003C64A0">
        <w:rPr>
          <w:lang w:val="fr-FR"/>
        </w:rPr>
        <w:t>’</w:t>
      </w:r>
      <w:r w:rsidR="00CB23D2" w:rsidRPr="00562699">
        <w:rPr>
          <w:lang w:val="fr-FR"/>
        </w:rPr>
        <w:t>enregistrement, Office turc des brevets et des marques, Institut ukrainien de la propriété intellectuelle, Office des brevets et des marques des États</w:t>
      </w:r>
      <w:r w:rsidR="001B4A2C">
        <w:rPr>
          <w:lang w:val="fr-FR"/>
        </w:rPr>
        <w:noBreakHyphen/>
      </w:r>
      <w:r w:rsidR="00CB23D2" w:rsidRPr="00562699">
        <w:rPr>
          <w:lang w:val="fr-FR"/>
        </w:rPr>
        <w:t>Unis d</w:t>
      </w:r>
      <w:r w:rsidR="003C64A0">
        <w:rPr>
          <w:lang w:val="fr-FR"/>
        </w:rPr>
        <w:t>’</w:t>
      </w:r>
      <w:r w:rsidR="00CB23D2" w:rsidRPr="00562699">
        <w:rPr>
          <w:lang w:val="fr-FR"/>
        </w:rPr>
        <w:t xml:space="preserve">Amérique et Institut des brevets de </w:t>
      </w:r>
      <w:proofErr w:type="spellStart"/>
      <w:r w:rsidR="00CB23D2" w:rsidRPr="00562699">
        <w:rPr>
          <w:lang w:val="fr-FR"/>
        </w:rPr>
        <w:t>Visegrad</w:t>
      </w:r>
      <w:proofErr w:type="spellEnd"/>
      <w:r w:rsidR="00CB23D2" w:rsidRPr="00562699">
        <w:rPr>
          <w:lang w:val="fr-FR"/>
        </w:rPr>
        <w:t>.</w:t>
      </w:r>
    </w:p>
    <w:p w14:paraId="761EA9F5" w14:textId="130A9E0B" w:rsidR="009246D2" w:rsidRPr="00562699" w:rsidRDefault="0024674C" w:rsidP="00273B5F">
      <w:pPr>
        <w:pStyle w:val="ONUMFS"/>
        <w:rPr>
          <w:lang w:val="fr-FR"/>
        </w:rPr>
      </w:pPr>
      <w:r w:rsidRPr="00562699">
        <w:rPr>
          <w:lang w:val="fr-FR"/>
        </w:rPr>
        <w:t>La liste des participants figure dans l</w:t>
      </w:r>
      <w:r w:rsidR="003C64A0">
        <w:rPr>
          <w:lang w:val="fr-FR"/>
        </w:rPr>
        <w:t>’</w:t>
      </w:r>
      <w:r w:rsidR="003C64A0" w:rsidRPr="00562699">
        <w:rPr>
          <w:lang w:val="fr-FR"/>
        </w:rPr>
        <w:t>annexe</w:t>
      </w:r>
      <w:r w:rsidR="003C64A0">
        <w:rPr>
          <w:lang w:val="fr-FR"/>
        </w:rPr>
        <w:t> </w:t>
      </w:r>
      <w:r w:rsidR="003C64A0" w:rsidRPr="00562699">
        <w:rPr>
          <w:lang w:val="fr-FR"/>
        </w:rPr>
        <w:t>I</w:t>
      </w:r>
      <w:r w:rsidRPr="00562699">
        <w:rPr>
          <w:lang w:val="fr-FR"/>
        </w:rPr>
        <w:t xml:space="preserve"> du présent document.</w:t>
      </w:r>
    </w:p>
    <w:p w14:paraId="116B0488" w14:textId="3FDD1038" w:rsidR="009246D2" w:rsidRPr="00562699" w:rsidRDefault="0024674C" w:rsidP="00273B5F">
      <w:pPr>
        <w:pStyle w:val="Heading1"/>
        <w:rPr>
          <w:lang w:val="fr-FR"/>
        </w:rPr>
      </w:pPr>
      <w:r w:rsidRPr="00562699">
        <w:rPr>
          <w:lang w:val="fr-FR"/>
        </w:rPr>
        <w:t>Point</w:t>
      </w:r>
      <w:r w:rsidR="004E4E83" w:rsidRPr="00562699">
        <w:rPr>
          <w:lang w:val="fr-FR"/>
        </w:rPr>
        <w:t> </w:t>
      </w:r>
      <w:r w:rsidRPr="00562699">
        <w:rPr>
          <w:lang w:val="fr-FR"/>
        </w:rPr>
        <w:t>1</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w:t>
      </w:r>
      <w:r w:rsidR="00273B5F" w:rsidRPr="00562699">
        <w:rPr>
          <w:lang w:val="fr-FR"/>
        </w:rPr>
        <w:t xml:space="preserve">ouverture </w:t>
      </w:r>
      <w:r w:rsidRPr="00562699">
        <w:rPr>
          <w:lang w:val="fr-FR"/>
        </w:rPr>
        <w:t>de la session</w:t>
      </w:r>
    </w:p>
    <w:p w14:paraId="28F79FA3" w14:textId="77777777" w:rsidR="00273B5F" w:rsidRPr="00562699" w:rsidRDefault="00273B5F" w:rsidP="00273B5F">
      <w:pPr>
        <w:rPr>
          <w:lang w:val="fr-FR"/>
        </w:rPr>
      </w:pPr>
    </w:p>
    <w:p w14:paraId="519997DE" w14:textId="185DE443" w:rsidR="009246D2" w:rsidRPr="00562699" w:rsidRDefault="00597802" w:rsidP="00273B5F">
      <w:pPr>
        <w:pStyle w:val="ONUMFS"/>
        <w:rPr>
          <w:lang w:val="fr-FR"/>
        </w:rPr>
      </w:pPr>
      <w:r w:rsidRPr="00562699">
        <w:rPr>
          <w:lang w:val="fr-FR"/>
        </w:rPr>
        <w:t>M.</w:t>
      </w:r>
      <w:r w:rsidR="004E4E83" w:rsidRPr="00562699">
        <w:rPr>
          <w:lang w:val="fr-FR"/>
        </w:rPr>
        <w:t> </w:t>
      </w:r>
      <w:r w:rsidR="0024674C" w:rsidRPr="00562699">
        <w:rPr>
          <w:lang w:val="fr-FR"/>
        </w:rPr>
        <w:t>Michael Richardson, directeur de la Division du développement fonctionnel</w:t>
      </w:r>
      <w:r w:rsidR="003C64A0" w:rsidRPr="00562699">
        <w:rPr>
          <w:lang w:val="fr-FR"/>
        </w:rPr>
        <w:t xml:space="preserve"> du</w:t>
      </w:r>
      <w:r w:rsidR="003C64A0">
        <w:rPr>
          <w:lang w:val="fr-FR"/>
        </w:rPr>
        <w:t> </w:t>
      </w:r>
      <w:r w:rsidR="003C64A0" w:rsidRPr="00562699">
        <w:rPr>
          <w:lang w:val="fr-FR"/>
        </w:rPr>
        <w:t>PCT</w:t>
      </w:r>
      <w:r w:rsidR="0024674C" w:rsidRPr="00562699">
        <w:rPr>
          <w:lang w:val="fr-FR"/>
        </w:rPr>
        <w:t xml:space="preserve">, a souhaité la bienvenue aux participants au nom du </w:t>
      </w:r>
      <w:r w:rsidR="00953186">
        <w:rPr>
          <w:lang w:val="fr-FR"/>
        </w:rPr>
        <w:t>Directeur</w:t>
      </w:r>
      <w:r w:rsidR="0024674C" w:rsidRPr="00562699">
        <w:rPr>
          <w:lang w:val="fr-FR"/>
        </w:rPr>
        <w:t xml:space="preserve"> général de l</w:t>
      </w:r>
      <w:r w:rsidR="003C64A0">
        <w:rPr>
          <w:lang w:val="fr-FR"/>
        </w:rPr>
        <w:t>’</w:t>
      </w:r>
      <w:r w:rsidR="0024674C" w:rsidRPr="00562699">
        <w:rPr>
          <w:lang w:val="fr-FR"/>
        </w:rPr>
        <w:t>OMPI et a remercié l</w:t>
      </w:r>
      <w:r w:rsidR="003C64A0">
        <w:rPr>
          <w:lang w:val="fr-FR"/>
        </w:rPr>
        <w:t>’</w:t>
      </w:r>
      <w:r w:rsidR="0024674C" w:rsidRPr="00562699">
        <w:rPr>
          <w:lang w:val="fr-FR"/>
        </w:rPr>
        <w:t>Office égyptien des brevets d</w:t>
      </w:r>
      <w:r w:rsidR="003C64A0">
        <w:rPr>
          <w:lang w:val="fr-FR"/>
        </w:rPr>
        <w:t>’</w:t>
      </w:r>
      <w:r w:rsidR="0024674C" w:rsidRPr="00562699">
        <w:rPr>
          <w:lang w:val="fr-FR"/>
        </w:rPr>
        <w:t>avoir accueilli la réuni</w:t>
      </w:r>
      <w:r w:rsidR="00B85EF1" w:rsidRPr="00562699">
        <w:rPr>
          <w:lang w:val="fr-FR"/>
        </w:rPr>
        <w:t>on</w:t>
      </w:r>
      <w:r w:rsidR="00B85EF1">
        <w:rPr>
          <w:lang w:val="fr-FR"/>
        </w:rPr>
        <w:t xml:space="preserve">.  </w:t>
      </w:r>
      <w:r w:rsidR="00B85EF1" w:rsidRPr="00562699">
        <w:rPr>
          <w:lang w:val="fr-FR"/>
        </w:rPr>
        <w:t>Da</w:t>
      </w:r>
      <w:r w:rsidR="0024674C" w:rsidRPr="00562699">
        <w:rPr>
          <w:lang w:val="fr-FR"/>
        </w:rPr>
        <w:t>ns ses observations liminaires, il a reconnu le rôle essentiel joué par l</w:t>
      </w:r>
      <w:r w:rsidR="003C64A0">
        <w:rPr>
          <w:lang w:val="fr-FR"/>
        </w:rPr>
        <w:t>’</w:t>
      </w:r>
      <w:r w:rsidR="0024674C" w:rsidRPr="00562699">
        <w:rPr>
          <w:lang w:val="fr-FR"/>
        </w:rPr>
        <w:t>Égypte depuis son adhésion</w:t>
      </w:r>
      <w:r w:rsidR="003C64A0" w:rsidRPr="00562699">
        <w:rPr>
          <w:lang w:val="fr-FR"/>
        </w:rPr>
        <w:t xml:space="preserve"> au</w:t>
      </w:r>
      <w:r w:rsidR="003C64A0">
        <w:rPr>
          <w:lang w:val="fr-FR"/>
        </w:rPr>
        <w:t> </w:t>
      </w:r>
      <w:r w:rsidR="003C64A0" w:rsidRPr="00562699">
        <w:rPr>
          <w:lang w:val="fr-FR"/>
        </w:rPr>
        <w:t>PCT</w:t>
      </w:r>
      <w:r w:rsidR="0024674C" w:rsidRPr="00562699">
        <w:rPr>
          <w:lang w:val="fr-FR"/>
        </w:rPr>
        <w:t xml:space="preserve"> </w:t>
      </w:r>
      <w:r w:rsidR="003C64A0" w:rsidRPr="00562699">
        <w:rPr>
          <w:lang w:val="fr-FR"/>
        </w:rPr>
        <w:t>en</w:t>
      </w:r>
      <w:r w:rsidR="003C64A0">
        <w:rPr>
          <w:lang w:val="fr-FR"/>
        </w:rPr>
        <w:t> </w:t>
      </w:r>
      <w:r w:rsidR="003C64A0" w:rsidRPr="00562699">
        <w:rPr>
          <w:lang w:val="fr-FR"/>
        </w:rPr>
        <w:t>2003</w:t>
      </w:r>
      <w:r w:rsidR="0024674C" w:rsidRPr="00562699">
        <w:rPr>
          <w:lang w:val="fr-FR"/>
        </w:rPr>
        <w:t>.</w:t>
      </w:r>
      <w:r w:rsidR="008D1E3B" w:rsidRPr="00562699">
        <w:rPr>
          <w:lang w:val="fr-FR"/>
        </w:rPr>
        <w:t xml:space="preserve">  </w:t>
      </w:r>
      <w:r w:rsidR="000A30EC" w:rsidRPr="00562699">
        <w:rPr>
          <w:lang w:val="fr-FR"/>
        </w:rPr>
        <w:t>À la</w:t>
      </w:r>
      <w:r w:rsidR="0024674C" w:rsidRPr="00562699">
        <w:rPr>
          <w:lang w:val="fr-FR"/>
        </w:rPr>
        <w:t xml:space="preserve"> demande de l</w:t>
      </w:r>
      <w:r w:rsidR="003C64A0">
        <w:rPr>
          <w:lang w:val="fr-FR"/>
        </w:rPr>
        <w:t>’</w:t>
      </w:r>
      <w:r w:rsidR="0024674C" w:rsidRPr="00562699">
        <w:rPr>
          <w:lang w:val="fr-FR"/>
        </w:rPr>
        <w:t>Égypte, l</w:t>
      </w:r>
      <w:r w:rsidR="003C64A0">
        <w:rPr>
          <w:lang w:val="fr-FR"/>
        </w:rPr>
        <w:t>’</w:t>
      </w:r>
      <w:r w:rsidR="0024674C" w:rsidRPr="00562699">
        <w:rPr>
          <w:lang w:val="fr-FR"/>
        </w:rPr>
        <w:t>arabe est devenu une langue de publication dans</w:t>
      </w:r>
      <w:r w:rsidR="003C64A0" w:rsidRPr="00562699">
        <w:rPr>
          <w:lang w:val="fr-FR"/>
        </w:rPr>
        <w:t xml:space="preserve"> le</w:t>
      </w:r>
      <w:r w:rsidR="003C64A0">
        <w:rPr>
          <w:lang w:val="fr-FR"/>
        </w:rPr>
        <w:t> </w:t>
      </w:r>
      <w:r w:rsidR="003C64A0" w:rsidRPr="00562699">
        <w:rPr>
          <w:lang w:val="fr-FR"/>
        </w:rPr>
        <w:t>PCT</w:t>
      </w:r>
      <w:r w:rsidR="0024674C" w:rsidRPr="00562699">
        <w:rPr>
          <w:lang w:val="fr-FR"/>
        </w:rPr>
        <w:t xml:space="preserve"> </w:t>
      </w:r>
      <w:r w:rsidR="000A30EC" w:rsidRPr="00562699">
        <w:rPr>
          <w:lang w:val="fr-FR"/>
        </w:rPr>
        <w:t>depuis le</w:t>
      </w:r>
      <w:r w:rsidR="003C64A0">
        <w:rPr>
          <w:lang w:val="fr-FR"/>
        </w:rPr>
        <w:t xml:space="preserve"> 1</w:t>
      </w:r>
      <w:r w:rsidR="003C64A0" w:rsidRPr="003C64A0">
        <w:rPr>
          <w:vertAlign w:val="superscript"/>
          <w:lang w:val="fr-FR"/>
        </w:rPr>
        <w:t>er</w:t>
      </w:r>
      <w:r w:rsidR="003C64A0">
        <w:rPr>
          <w:lang w:val="fr-FR"/>
        </w:rPr>
        <w:t> </w:t>
      </w:r>
      <w:r w:rsidR="003C64A0" w:rsidRPr="00562699">
        <w:rPr>
          <w:lang w:val="fr-FR"/>
        </w:rPr>
        <w:t>avril</w:t>
      </w:r>
      <w:r w:rsidR="003C64A0">
        <w:rPr>
          <w:lang w:val="fr-FR"/>
        </w:rPr>
        <w:t> </w:t>
      </w:r>
      <w:proofErr w:type="gramStart"/>
      <w:r w:rsidR="003C64A0" w:rsidRPr="00562699">
        <w:rPr>
          <w:lang w:val="fr-FR"/>
        </w:rPr>
        <w:t>20</w:t>
      </w:r>
      <w:r w:rsidR="0024674C" w:rsidRPr="00562699">
        <w:rPr>
          <w:lang w:val="fr-FR"/>
        </w:rPr>
        <w:t xml:space="preserve">06; </w:t>
      </w:r>
      <w:r w:rsidR="00953186">
        <w:rPr>
          <w:lang w:val="fr-FR"/>
        </w:rPr>
        <w:t xml:space="preserve"> </w:t>
      </w:r>
      <w:r w:rsidR="0024674C" w:rsidRPr="00562699">
        <w:rPr>
          <w:lang w:val="fr-FR"/>
        </w:rPr>
        <w:t>depuis</w:t>
      </w:r>
      <w:proofErr w:type="gramEnd"/>
      <w:r w:rsidR="000A30EC" w:rsidRPr="00562699">
        <w:rPr>
          <w:lang w:val="fr-FR"/>
        </w:rPr>
        <w:t xml:space="preserve"> cette date</w:t>
      </w:r>
      <w:r w:rsidR="0024674C" w:rsidRPr="00562699">
        <w:rPr>
          <w:lang w:val="fr-FR"/>
        </w:rPr>
        <w:t>, les langues de publication</w:t>
      </w:r>
      <w:r w:rsidR="003C64A0" w:rsidRPr="00562699">
        <w:rPr>
          <w:lang w:val="fr-FR"/>
        </w:rPr>
        <w:t xml:space="preserve"> du</w:t>
      </w:r>
      <w:r w:rsidR="003C64A0">
        <w:rPr>
          <w:lang w:val="fr-FR"/>
        </w:rPr>
        <w:t> </w:t>
      </w:r>
      <w:r w:rsidR="003C64A0" w:rsidRPr="00562699">
        <w:rPr>
          <w:lang w:val="fr-FR"/>
        </w:rPr>
        <w:t>PCT</w:t>
      </w:r>
      <w:r w:rsidR="0024674C" w:rsidRPr="00562699">
        <w:rPr>
          <w:lang w:val="fr-FR"/>
        </w:rPr>
        <w:t xml:space="preserve"> </w:t>
      </w:r>
      <w:r w:rsidR="004D6D6F" w:rsidRPr="00562699">
        <w:rPr>
          <w:lang w:val="fr-FR"/>
        </w:rPr>
        <w:t>ont couvert</w:t>
      </w:r>
      <w:r w:rsidR="000A30EC" w:rsidRPr="00562699">
        <w:rPr>
          <w:lang w:val="fr-FR"/>
        </w:rPr>
        <w:t xml:space="preserve"> </w:t>
      </w:r>
      <w:r w:rsidR="0024674C" w:rsidRPr="00562699">
        <w:rPr>
          <w:lang w:val="fr-FR"/>
        </w:rPr>
        <w:t>les six</w:t>
      </w:r>
      <w:r w:rsidR="00953186">
        <w:rPr>
          <w:lang w:val="fr-FR"/>
        </w:rPr>
        <w:t> </w:t>
      </w:r>
      <w:r w:rsidR="0024674C" w:rsidRPr="00562699">
        <w:rPr>
          <w:lang w:val="fr-FR"/>
        </w:rPr>
        <w:t xml:space="preserve">langues officielles des </w:t>
      </w:r>
      <w:r w:rsidR="003C64A0">
        <w:rPr>
          <w:lang w:val="fr-FR"/>
        </w:rPr>
        <w:t>Nations Uni</w:t>
      </w:r>
      <w:r w:rsidR="00B85EF1">
        <w:rPr>
          <w:lang w:val="fr-FR"/>
        </w:rPr>
        <w:t xml:space="preserve">es.  </w:t>
      </w:r>
      <w:r w:rsidR="00B85EF1" w:rsidRPr="00562699">
        <w:rPr>
          <w:lang w:val="fr-FR"/>
        </w:rPr>
        <w:t>Ce</w:t>
      </w:r>
      <w:r w:rsidR="004D6D6F" w:rsidRPr="00562699">
        <w:rPr>
          <w:lang w:val="fr-FR"/>
        </w:rPr>
        <w:t>pendant,</w:t>
      </w:r>
      <w:r w:rsidR="0024674C" w:rsidRPr="00562699">
        <w:rPr>
          <w:lang w:val="fr-FR"/>
        </w:rPr>
        <w:t xml:space="preserve"> </w:t>
      </w:r>
      <w:r w:rsidR="004D6D6F" w:rsidRPr="00562699">
        <w:rPr>
          <w:lang w:val="fr-FR"/>
        </w:rPr>
        <w:t>en l</w:t>
      </w:r>
      <w:r w:rsidR="003C64A0">
        <w:rPr>
          <w:lang w:val="fr-FR"/>
        </w:rPr>
        <w:t>’</w:t>
      </w:r>
      <w:r w:rsidR="004D6D6F" w:rsidRPr="00562699">
        <w:rPr>
          <w:lang w:val="fr-FR"/>
        </w:rPr>
        <w:t>absence d</w:t>
      </w:r>
      <w:r w:rsidR="003C64A0">
        <w:rPr>
          <w:lang w:val="fr-FR"/>
        </w:rPr>
        <w:t>’</w:t>
      </w:r>
      <w:r w:rsidR="0024674C" w:rsidRPr="00562699">
        <w:rPr>
          <w:lang w:val="fr-FR"/>
        </w:rPr>
        <w:t>une administration chargée de la recherche internationale en mesure d</w:t>
      </w:r>
      <w:r w:rsidR="003C64A0">
        <w:rPr>
          <w:lang w:val="fr-FR"/>
        </w:rPr>
        <w:t>’</w:t>
      </w:r>
      <w:r w:rsidR="0024674C" w:rsidRPr="00562699">
        <w:rPr>
          <w:lang w:val="fr-FR"/>
        </w:rPr>
        <w:t>accepter l</w:t>
      </w:r>
      <w:r w:rsidR="003C64A0">
        <w:rPr>
          <w:lang w:val="fr-FR"/>
        </w:rPr>
        <w:t>’</w:t>
      </w:r>
      <w:r w:rsidR="0024674C" w:rsidRPr="00562699">
        <w:rPr>
          <w:lang w:val="fr-FR"/>
        </w:rPr>
        <w:t xml:space="preserve">arabe, les déposants qui </w:t>
      </w:r>
      <w:r w:rsidR="00432AD2" w:rsidRPr="00562699">
        <w:rPr>
          <w:lang w:val="fr-FR"/>
        </w:rPr>
        <w:t>introduis</w:t>
      </w:r>
      <w:r w:rsidR="004D6D6F" w:rsidRPr="00562699">
        <w:rPr>
          <w:lang w:val="fr-FR"/>
        </w:rPr>
        <w:t>ai</w:t>
      </w:r>
      <w:r w:rsidR="00432AD2" w:rsidRPr="00562699">
        <w:rPr>
          <w:lang w:val="fr-FR"/>
        </w:rPr>
        <w:t>ent</w:t>
      </w:r>
      <w:r w:rsidR="0024674C" w:rsidRPr="00562699">
        <w:rPr>
          <w:lang w:val="fr-FR"/>
        </w:rPr>
        <w:t xml:space="preserve"> une demande dans cette langue </w:t>
      </w:r>
      <w:r w:rsidR="004D6D6F" w:rsidRPr="00562699">
        <w:rPr>
          <w:lang w:val="fr-FR"/>
        </w:rPr>
        <w:t>devaient supporter les</w:t>
      </w:r>
      <w:r w:rsidR="0024674C" w:rsidRPr="00562699">
        <w:rPr>
          <w:lang w:val="fr-FR"/>
        </w:rPr>
        <w:t xml:space="preserve"> coûts liés à la traduction de la demande internationale aux fins de la recherche internationale, </w:t>
      </w:r>
      <w:r w:rsidR="00432AD2" w:rsidRPr="00562699">
        <w:rPr>
          <w:lang w:val="fr-FR"/>
        </w:rPr>
        <w:t xml:space="preserve">ce qui les plaçait dans une situation défavorable par rapport </w:t>
      </w:r>
      <w:r w:rsidR="0024674C" w:rsidRPr="00562699">
        <w:rPr>
          <w:lang w:val="fr-FR"/>
        </w:rPr>
        <w:t>aux déposants utilisant d</w:t>
      </w:r>
      <w:r w:rsidR="003C64A0">
        <w:rPr>
          <w:lang w:val="fr-FR"/>
        </w:rPr>
        <w:t>’</w:t>
      </w:r>
      <w:r w:rsidR="0024674C" w:rsidRPr="00562699">
        <w:rPr>
          <w:lang w:val="fr-FR"/>
        </w:rPr>
        <w:t>autres langues de publication</w:t>
      </w:r>
      <w:r w:rsidR="003C64A0" w:rsidRPr="00562699">
        <w:rPr>
          <w:lang w:val="fr-FR"/>
        </w:rPr>
        <w:t xml:space="preserve"> du</w:t>
      </w:r>
      <w:r w:rsidR="003C64A0">
        <w:rPr>
          <w:lang w:val="fr-FR"/>
        </w:rPr>
        <w:t> </w:t>
      </w:r>
      <w:r w:rsidR="003C64A0" w:rsidRPr="00562699">
        <w:rPr>
          <w:lang w:val="fr-FR"/>
        </w:rPr>
        <w:t>PCT</w:t>
      </w:r>
      <w:r w:rsidR="0024674C" w:rsidRPr="00562699">
        <w:rPr>
          <w:lang w:val="fr-FR"/>
        </w:rPr>
        <w:t xml:space="preserve"> pour leur dép</w:t>
      </w:r>
      <w:r w:rsidR="00B85EF1" w:rsidRPr="00562699">
        <w:rPr>
          <w:lang w:val="fr-FR"/>
        </w:rPr>
        <w:t>ôt</w:t>
      </w:r>
      <w:r w:rsidR="00B85EF1">
        <w:rPr>
          <w:lang w:val="fr-FR"/>
        </w:rPr>
        <w:t xml:space="preserve">.  </w:t>
      </w:r>
      <w:r w:rsidR="00B85EF1" w:rsidRPr="00562699">
        <w:rPr>
          <w:lang w:val="fr-FR"/>
        </w:rPr>
        <w:t>La</w:t>
      </w:r>
      <w:r w:rsidR="0024674C" w:rsidRPr="00562699">
        <w:rPr>
          <w:lang w:val="fr-FR"/>
        </w:rPr>
        <w:t xml:space="preserve"> nomination de l</w:t>
      </w:r>
      <w:r w:rsidR="003C64A0">
        <w:rPr>
          <w:lang w:val="fr-FR"/>
        </w:rPr>
        <w:t>’</w:t>
      </w:r>
      <w:r w:rsidR="0024674C" w:rsidRPr="00562699">
        <w:rPr>
          <w:lang w:val="fr-FR"/>
        </w:rPr>
        <w:t>Office égyptien des brevets en qualité d</w:t>
      </w:r>
      <w:r w:rsidR="003C64A0">
        <w:rPr>
          <w:lang w:val="fr-FR"/>
        </w:rPr>
        <w:t>’</w:t>
      </w:r>
      <w:r w:rsidR="0024674C" w:rsidRPr="00562699">
        <w:rPr>
          <w:lang w:val="fr-FR"/>
        </w:rPr>
        <w:t>administration chargée de la recherche internationale et de l</w:t>
      </w:r>
      <w:r w:rsidR="003C64A0">
        <w:rPr>
          <w:lang w:val="fr-FR"/>
        </w:rPr>
        <w:t>’</w:t>
      </w:r>
      <w:r w:rsidR="0024674C" w:rsidRPr="00562699">
        <w:rPr>
          <w:lang w:val="fr-FR"/>
        </w:rPr>
        <w:t xml:space="preserve">examen préliminaire international </w:t>
      </w:r>
      <w:r w:rsidR="003C64A0" w:rsidRPr="00562699">
        <w:rPr>
          <w:lang w:val="fr-FR"/>
        </w:rPr>
        <w:t>en</w:t>
      </w:r>
      <w:r w:rsidR="003C64A0">
        <w:rPr>
          <w:lang w:val="fr-FR"/>
        </w:rPr>
        <w:t> </w:t>
      </w:r>
      <w:r w:rsidR="003C64A0" w:rsidRPr="00562699">
        <w:rPr>
          <w:lang w:val="fr-FR"/>
        </w:rPr>
        <w:t>2009</w:t>
      </w:r>
      <w:r w:rsidR="0024674C" w:rsidRPr="00562699">
        <w:rPr>
          <w:lang w:val="fr-FR"/>
        </w:rPr>
        <w:t xml:space="preserve"> </w:t>
      </w:r>
      <w:r w:rsidR="00432AD2" w:rsidRPr="00562699">
        <w:rPr>
          <w:lang w:val="fr-FR"/>
        </w:rPr>
        <w:t>a</w:t>
      </w:r>
      <w:r w:rsidR="007633CB" w:rsidRPr="00562699">
        <w:rPr>
          <w:lang w:val="fr-FR"/>
        </w:rPr>
        <w:t>vait</w:t>
      </w:r>
      <w:r w:rsidR="0024674C" w:rsidRPr="00562699">
        <w:rPr>
          <w:lang w:val="fr-FR"/>
        </w:rPr>
        <w:t xml:space="preserve"> donc </w:t>
      </w:r>
      <w:r w:rsidR="00EB6189" w:rsidRPr="00562699">
        <w:rPr>
          <w:lang w:val="fr-FR"/>
        </w:rPr>
        <w:t xml:space="preserve">été </w:t>
      </w:r>
      <w:r w:rsidR="0024674C" w:rsidRPr="00562699">
        <w:rPr>
          <w:lang w:val="fr-FR"/>
        </w:rPr>
        <w:t>une étape majeure dans l</w:t>
      </w:r>
      <w:r w:rsidR="003C64A0">
        <w:rPr>
          <w:lang w:val="fr-FR"/>
        </w:rPr>
        <w:t>’</w:t>
      </w:r>
      <w:r w:rsidR="0024674C" w:rsidRPr="00562699">
        <w:rPr>
          <w:lang w:val="fr-FR"/>
        </w:rPr>
        <w:t>histoire récente</w:t>
      </w:r>
      <w:r w:rsidR="003C64A0" w:rsidRPr="00562699">
        <w:rPr>
          <w:lang w:val="fr-FR"/>
        </w:rPr>
        <w:t xml:space="preserve"> du</w:t>
      </w:r>
      <w:r w:rsidR="003C64A0">
        <w:rPr>
          <w:lang w:val="fr-FR"/>
        </w:rPr>
        <w:t> </w:t>
      </w:r>
      <w:r w:rsidR="003C64A0" w:rsidRPr="00562699">
        <w:rPr>
          <w:lang w:val="fr-FR"/>
        </w:rPr>
        <w:t>PCT</w:t>
      </w:r>
      <w:r w:rsidR="0024674C" w:rsidRPr="00562699">
        <w:rPr>
          <w:lang w:val="fr-FR"/>
        </w:rPr>
        <w:t xml:space="preserve">. </w:t>
      </w:r>
      <w:r w:rsidR="00EB6189" w:rsidRPr="00562699">
        <w:rPr>
          <w:lang w:val="fr-FR"/>
        </w:rPr>
        <w:t xml:space="preserve"> </w:t>
      </w:r>
      <w:r w:rsidR="0024674C" w:rsidRPr="00562699">
        <w:rPr>
          <w:lang w:val="fr-FR"/>
        </w:rPr>
        <w:t>L</w:t>
      </w:r>
      <w:r w:rsidR="003C64A0">
        <w:rPr>
          <w:lang w:val="fr-FR"/>
        </w:rPr>
        <w:t>’</w:t>
      </w:r>
      <w:r w:rsidR="0024674C" w:rsidRPr="00562699">
        <w:rPr>
          <w:lang w:val="fr-FR"/>
        </w:rPr>
        <w:t xml:space="preserve">Office égyptien des brevets est devenu la première administration internationale en Afrique, la première administration internationale dans la région arabe et la première administration internationale à offrir </w:t>
      </w:r>
      <w:r w:rsidR="00EB6189" w:rsidRPr="00562699">
        <w:rPr>
          <w:lang w:val="fr-FR"/>
        </w:rPr>
        <w:t xml:space="preserve">une </w:t>
      </w:r>
      <w:r w:rsidR="0024674C" w:rsidRPr="00562699">
        <w:rPr>
          <w:lang w:val="fr-FR"/>
        </w:rPr>
        <w:t xml:space="preserve">recherche internationale et </w:t>
      </w:r>
      <w:r w:rsidR="00EB6189" w:rsidRPr="00562699">
        <w:rPr>
          <w:lang w:val="fr-FR"/>
        </w:rPr>
        <w:t xml:space="preserve">un </w:t>
      </w:r>
      <w:r w:rsidR="0024674C" w:rsidRPr="00562699">
        <w:rPr>
          <w:lang w:val="fr-FR"/>
        </w:rPr>
        <w:t>examen préliminaire international en ara</w:t>
      </w:r>
      <w:r w:rsidR="00B85EF1" w:rsidRPr="00562699">
        <w:rPr>
          <w:lang w:val="fr-FR"/>
        </w:rPr>
        <w:t>be</w:t>
      </w:r>
      <w:r w:rsidR="00B85EF1">
        <w:rPr>
          <w:lang w:val="fr-FR"/>
        </w:rPr>
        <w:t xml:space="preserve">.  </w:t>
      </w:r>
      <w:r w:rsidR="00B85EF1" w:rsidRPr="00562699">
        <w:rPr>
          <w:lang w:val="fr-FR"/>
        </w:rPr>
        <w:t>Il</w:t>
      </w:r>
      <w:r w:rsidR="0024674C" w:rsidRPr="00562699">
        <w:rPr>
          <w:lang w:val="fr-FR"/>
        </w:rPr>
        <w:t xml:space="preserve"> </w:t>
      </w:r>
      <w:r w:rsidR="00EB6189" w:rsidRPr="00562699">
        <w:rPr>
          <w:lang w:val="fr-FR"/>
        </w:rPr>
        <w:t>était</w:t>
      </w:r>
      <w:r w:rsidR="0024674C" w:rsidRPr="00562699">
        <w:rPr>
          <w:lang w:val="fr-FR"/>
        </w:rPr>
        <w:t xml:space="preserve"> donc opportun que, à l</w:t>
      </w:r>
      <w:r w:rsidR="003C64A0">
        <w:rPr>
          <w:lang w:val="fr-FR"/>
        </w:rPr>
        <w:t>’</w:t>
      </w:r>
      <w:r w:rsidR="0024674C" w:rsidRPr="00562699">
        <w:rPr>
          <w:lang w:val="fr-FR"/>
        </w:rPr>
        <w:t>occasion du dixième anniversaire de sa nomination, l</w:t>
      </w:r>
      <w:r w:rsidR="003C64A0">
        <w:rPr>
          <w:lang w:val="fr-FR"/>
        </w:rPr>
        <w:t>’</w:t>
      </w:r>
      <w:r w:rsidR="0024674C" w:rsidRPr="00562699">
        <w:rPr>
          <w:lang w:val="fr-FR"/>
        </w:rPr>
        <w:t xml:space="preserve">Office égyptien des brevets </w:t>
      </w:r>
      <w:r w:rsidR="004D6D6F" w:rsidRPr="00562699">
        <w:rPr>
          <w:lang w:val="fr-FR"/>
        </w:rPr>
        <w:t xml:space="preserve">ait </w:t>
      </w:r>
      <w:r w:rsidR="0024674C" w:rsidRPr="00562699">
        <w:rPr>
          <w:lang w:val="fr-FR"/>
        </w:rPr>
        <w:t>accueill</w:t>
      </w:r>
      <w:r w:rsidR="004D6D6F" w:rsidRPr="00562699">
        <w:rPr>
          <w:lang w:val="fr-FR"/>
        </w:rPr>
        <w:t>i</w:t>
      </w:r>
      <w:r w:rsidR="0024674C" w:rsidRPr="00562699">
        <w:rPr>
          <w:lang w:val="fr-FR"/>
        </w:rPr>
        <w:t xml:space="preserve"> cette année la Réunion des administrations internationales.</w:t>
      </w:r>
    </w:p>
    <w:p w14:paraId="0C63FDE9" w14:textId="4430C536" w:rsidR="009246D2" w:rsidRPr="00562699" w:rsidRDefault="0024674C" w:rsidP="00273B5F">
      <w:pPr>
        <w:pStyle w:val="ONUMFS"/>
        <w:rPr>
          <w:lang w:val="fr-FR"/>
        </w:rPr>
      </w:pPr>
      <w:r w:rsidRPr="00562699">
        <w:rPr>
          <w:lang w:val="fr-FR"/>
        </w:rPr>
        <w:t xml:space="preserve">Dès le début des </w:t>
      </w:r>
      <w:r w:rsidR="00EB6189" w:rsidRPr="00562699">
        <w:rPr>
          <w:lang w:val="fr-FR"/>
        </w:rPr>
        <w:t>activités</w:t>
      </w:r>
      <w:r w:rsidRPr="00562699">
        <w:rPr>
          <w:lang w:val="fr-FR"/>
        </w:rPr>
        <w:t xml:space="preserve"> de l</w:t>
      </w:r>
      <w:r w:rsidR="003C64A0">
        <w:rPr>
          <w:lang w:val="fr-FR"/>
        </w:rPr>
        <w:t>’</w:t>
      </w:r>
      <w:r w:rsidRPr="00562699">
        <w:rPr>
          <w:lang w:val="fr-FR"/>
        </w:rPr>
        <w:t xml:space="preserve">Office égyptien des brevets en </w:t>
      </w:r>
      <w:r w:rsidR="00EB6189" w:rsidRPr="00562699">
        <w:rPr>
          <w:lang w:val="fr-FR"/>
        </w:rPr>
        <w:t>tant qu</w:t>
      </w:r>
      <w:r w:rsidR="003C64A0">
        <w:rPr>
          <w:lang w:val="fr-FR"/>
        </w:rPr>
        <w:t>’</w:t>
      </w:r>
      <w:r w:rsidR="00EB6189" w:rsidRPr="00562699">
        <w:rPr>
          <w:lang w:val="fr-FR"/>
        </w:rPr>
        <w:t>administration</w:t>
      </w:r>
      <w:r w:rsidRPr="00562699">
        <w:rPr>
          <w:lang w:val="fr-FR"/>
        </w:rPr>
        <w:t xml:space="preserve"> chargée de la recherche internationale et de l</w:t>
      </w:r>
      <w:r w:rsidR="003C64A0">
        <w:rPr>
          <w:lang w:val="fr-FR"/>
        </w:rPr>
        <w:t>’</w:t>
      </w:r>
      <w:r w:rsidRPr="00562699">
        <w:rPr>
          <w:lang w:val="fr-FR"/>
        </w:rPr>
        <w:t>examen préliminaire international le</w:t>
      </w:r>
      <w:r w:rsidR="003C64A0">
        <w:rPr>
          <w:lang w:val="fr-FR"/>
        </w:rPr>
        <w:t xml:space="preserve"> 1</w:t>
      </w:r>
      <w:r w:rsidR="003C64A0" w:rsidRPr="003C64A0">
        <w:rPr>
          <w:vertAlign w:val="superscript"/>
          <w:lang w:val="fr-FR"/>
        </w:rPr>
        <w:t>er</w:t>
      </w:r>
      <w:r w:rsidR="003C64A0">
        <w:rPr>
          <w:lang w:val="fr-FR"/>
        </w:rPr>
        <w:t> </w:t>
      </w:r>
      <w:r w:rsidRPr="00562699">
        <w:rPr>
          <w:lang w:val="fr-FR"/>
        </w:rPr>
        <w:t>avril</w:t>
      </w:r>
      <w:r w:rsidR="004558EC" w:rsidRPr="00562699">
        <w:rPr>
          <w:lang w:val="fr-FR"/>
        </w:rPr>
        <w:t> </w:t>
      </w:r>
      <w:r w:rsidRPr="00562699">
        <w:rPr>
          <w:lang w:val="fr-FR"/>
        </w:rPr>
        <w:t xml:space="preserve">2013, </w:t>
      </w:r>
      <w:proofErr w:type="gramStart"/>
      <w:r w:rsidRPr="00562699">
        <w:rPr>
          <w:lang w:val="fr-FR"/>
        </w:rPr>
        <w:lastRenderedPageBreak/>
        <w:t>les</w:t>
      </w:r>
      <w:proofErr w:type="gramEnd"/>
      <w:r w:rsidRPr="00562699">
        <w:rPr>
          <w:lang w:val="fr-FR"/>
        </w:rPr>
        <w:t xml:space="preserve"> déposants </w:t>
      </w:r>
      <w:r w:rsidR="007633CB" w:rsidRPr="00562699">
        <w:rPr>
          <w:lang w:val="fr-FR"/>
        </w:rPr>
        <w:t xml:space="preserve">avaient </w:t>
      </w:r>
      <w:r w:rsidRPr="00562699">
        <w:rPr>
          <w:lang w:val="fr-FR"/>
        </w:rPr>
        <w:t>eu la possibilité d</w:t>
      </w:r>
      <w:r w:rsidR="003C64A0">
        <w:rPr>
          <w:lang w:val="fr-FR"/>
        </w:rPr>
        <w:t>’</w:t>
      </w:r>
      <w:r w:rsidRPr="00562699">
        <w:rPr>
          <w:lang w:val="fr-FR"/>
        </w:rPr>
        <w:t>utiliser l</w:t>
      </w:r>
      <w:r w:rsidR="003C64A0">
        <w:rPr>
          <w:lang w:val="fr-FR"/>
        </w:rPr>
        <w:t>’</w:t>
      </w:r>
      <w:r w:rsidRPr="00562699">
        <w:rPr>
          <w:lang w:val="fr-FR"/>
        </w:rPr>
        <w:t xml:space="preserve">arabe </w:t>
      </w:r>
      <w:r w:rsidR="00EB6189" w:rsidRPr="00562699">
        <w:rPr>
          <w:lang w:val="fr-FR"/>
        </w:rPr>
        <w:t>tout au long de</w:t>
      </w:r>
      <w:r w:rsidRPr="00562699">
        <w:rPr>
          <w:lang w:val="fr-FR"/>
        </w:rPr>
        <w:t xml:space="preserve"> la phase internationa</w:t>
      </w:r>
      <w:r w:rsidR="00B85EF1" w:rsidRPr="00562699">
        <w:rPr>
          <w:lang w:val="fr-FR"/>
        </w:rPr>
        <w:t>le</w:t>
      </w:r>
      <w:r w:rsidR="00B85EF1">
        <w:rPr>
          <w:lang w:val="fr-FR"/>
        </w:rPr>
        <w:t xml:space="preserve">.  </w:t>
      </w:r>
      <w:r w:rsidR="00B85EF1" w:rsidRPr="00562699">
        <w:rPr>
          <w:lang w:val="fr-FR"/>
        </w:rPr>
        <w:t>Ce</w:t>
      </w:r>
      <w:r w:rsidRPr="00562699">
        <w:rPr>
          <w:lang w:val="fr-FR"/>
        </w:rPr>
        <w:t xml:space="preserve">la avait entraîné un changement </w:t>
      </w:r>
      <w:r w:rsidR="004D6D6F" w:rsidRPr="00562699">
        <w:rPr>
          <w:lang w:val="fr-FR"/>
        </w:rPr>
        <w:t>considérable en termes d</w:t>
      </w:r>
      <w:r w:rsidR="003C64A0">
        <w:rPr>
          <w:lang w:val="fr-FR"/>
        </w:rPr>
        <w:t>’</w:t>
      </w:r>
      <w:r w:rsidRPr="00562699">
        <w:rPr>
          <w:lang w:val="fr-FR"/>
        </w:rPr>
        <w:t>utilisation de l</w:t>
      </w:r>
      <w:r w:rsidR="003C64A0">
        <w:rPr>
          <w:lang w:val="fr-FR"/>
        </w:rPr>
        <w:t>’</w:t>
      </w:r>
      <w:r w:rsidRPr="00562699">
        <w:rPr>
          <w:lang w:val="fr-FR"/>
        </w:rPr>
        <w:t>arabe dans le cadre</w:t>
      </w:r>
      <w:r w:rsidR="003C64A0" w:rsidRPr="00562699">
        <w:rPr>
          <w:lang w:val="fr-FR"/>
        </w:rPr>
        <w:t xml:space="preserve"> du</w:t>
      </w:r>
      <w:r w:rsidR="003C64A0">
        <w:rPr>
          <w:lang w:val="fr-FR"/>
        </w:rPr>
        <w:t> </w:t>
      </w:r>
      <w:r w:rsidR="00B85EF1" w:rsidRPr="00562699">
        <w:rPr>
          <w:lang w:val="fr-FR"/>
        </w:rPr>
        <w:t>PCT</w:t>
      </w:r>
      <w:r w:rsidR="00B85EF1">
        <w:rPr>
          <w:lang w:val="fr-FR"/>
        </w:rPr>
        <w:t xml:space="preserve">.  </w:t>
      </w:r>
      <w:r w:rsidR="00B85EF1" w:rsidRPr="00562699">
        <w:rPr>
          <w:lang w:val="fr-FR"/>
        </w:rPr>
        <w:t>En</w:t>
      </w:r>
      <w:r w:rsidR="00EB6189" w:rsidRPr="00562699">
        <w:rPr>
          <w:lang w:val="fr-FR"/>
        </w:rPr>
        <w:t xml:space="preserve"> effet, a</w:t>
      </w:r>
      <w:r w:rsidRPr="00562699">
        <w:rPr>
          <w:lang w:val="fr-FR"/>
        </w:rPr>
        <w:t>vant cette date, le Bureau international n</w:t>
      </w:r>
      <w:r w:rsidR="003C64A0">
        <w:rPr>
          <w:lang w:val="fr-FR"/>
        </w:rPr>
        <w:t>’</w:t>
      </w:r>
      <w:r w:rsidRPr="00562699">
        <w:rPr>
          <w:lang w:val="fr-FR"/>
        </w:rPr>
        <w:t>avait publié qu</w:t>
      </w:r>
      <w:r w:rsidR="003C64A0">
        <w:rPr>
          <w:lang w:val="fr-FR"/>
        </w:rPr>
        <w:t>’</w:t>
      </w:r>
      <w:r w:rsidRPr="00562699">
        <w:rPr>
          <w:lang w:val="fr-FR"/>
        </w:rPr>
        <w:t xml:space="preserve">une seule demande internationale en </w:t>
      </w:r>
      <w:proofErr w:type="gramStart"/>
      <w:r w:rsidRPr="00562699">
        <w:rPr>
          <w:lang w:val="fr-FR"/>
        </w:rPr>
        <w:t xml:space="preserve">arabe; </w:t>
      </w:r>
      <w:r w:rsidR="00953186">
        <w:rPr>
          <w:lang w:val="fr-FR"/>
        </w:rPr>
        <w:t xml:space="preserve"> </w:t>
      </w:r>
      <w:r w:rsidRPr="00562699">
        <w:rPr>
          <w:lang w:val="fr-FR"/>
        </w:rPr>
        <w:t>ce</w:t>
      </w:r>
      <w:proofErr w:type="gramEnd"/>
      <w:r w:rsidRPr="00562699">
        <w:rPr>
          <w:lang w:val="fr-FR"/>
        </w:rPr>
        <w:t xml:space="preserve"> total </w:t>
      </w:r>
      <w:r w:rsidR="00EB6189" w:rsidRPr="00562699">
        <w:rPr>
          <w:lang w:val="fr-FR"/>
        </w:rPr>
        <w:t>s</w:t>
      </w:r>
      <w:r w:rsidR="003C64A0">
        <w:rPr>
          <w:lang w:val="fr-FR"/>
        </w:rPr>
        <w:t>’</w:t>
      </w:r>
      <w:r w:rsidR="00EB6189" w:rsidRPr="00562699">
        <w:rPr>
          <w:lang w:val="fr-FR"/>
        </w:rPr>
        <w:t>él</w:t>
      </w:r>
      <w:r w:rsidR="004D6D6F" w:rsidRPr="00562699">
        <w:rPr>
          <w:lang w:val="fr-FR"/>
        </w:rPr>
        <w:t xml:space="preserve">evait </w:t>
      </w:r>
      <w:r w:rsidRPr="00562699">
        <w:rPr>
          <w:lang w:val="fr-FR"/>
        </w:rPr>
        <w:t xml:space="preserve">désormais </w:t>
      </w:r>
      <w:r w:rsidR="00EB6189" w:rsidRPr="00562699">
        <w:rPr>
          <w:lang w:val="fr-FR"/>
        </w:rPr>
        <w:t xml:space="preserve">à </w:t>
      </w:r>
      <w:r w:rsidRPr="00562699">
        <w:rPr>
          <w:lang w:val="fr-FR"/>
        </w:rPr>
        <w:t>environ</w:t>
      </w:r>
      <w:r w:rsidR="004558EC" w:rsidRPr="00562699">
        <w:rPr>
          <w:lang w:val="fr-FR"/>
        </w:rPr>
        <w:t> </w:t>
      </w:r>
      <w:r w:rsidRPr="00562699">
        <w:rPr>
          <w:lang w:val="fr-FR"/>
        </w:rPr>
        <w:t>125.</w:t>
      </w:r>
      <w:r w:rsidR="008D1E3B" w:rsidRPr="00562699">
        <w:rPr>
          <w:lang w:val="fr-FR"/>
        </w:rPr>
        <w:t xml:space="preserve">  </w:t>
      </w:r>
      <w:r w:rsidR="00EB6189" w:rsidRPr="00562699">
        <w:rPr>
          <w:lang w:val="fr-FR"/>
        </w:rPr>
        <w:t xml:space="preserve">Si les </w:t>
      </w:r>
      <w:r w:rsidRPr="00562699">
        <w:rPr>
          <w:lang w:val="fr-FR"/>
        </w:rPr>
        <w:t xml:space="preserve">dépôts en arabe </w:t>
      </w:r>
      <w:r w:rsidR="00EB6189" w:rsidRPr="00562699">
        <w:rPr>
          <w:lang w:val="fr-FR"/>
        </w:rPr>
        <w:t xml:space="preserve">étaient toujours peu nombreux </w:t>
      </w:r>
      <w:r w:rsidRPr="00562699">
        <w:rPr>
          <w:lang w:val="fr-FR"/>
        </w:rPr>
        <w:t>par rapport aux dépôts effectués dans d</w:t>
      </w:r>
      <w:r w:rsidR="003C64A0">
        <w:rPr>
          <w:lang w:val="fr-FR"/>
        </w:rPr>
        <w:t>’</w:t>
      </w:r>
      <w:r w:rsidRPr="00562699">
        <w:rPr>
          <w:lang w:val="fr-FR"/>
        </w:rPr>
        <w:t>autres langues de publication</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EB6189" w:rsidRPr="00562699">
        <w:rPr>
          <w:lang w:val="fr-FR"/>
        </w:rPr>
        <w:t xml:space="preserve">parmi </w:t>
      </w:r>
      <w:r w:rsidRPr="00562699">
        <w:rPr>
          <w:lang w:val="fr-FR"/>
        </w:rPr>
        <w:t xml:space="preserve">les </w:t>
      </w:r>
      <w:r w:rsidR="00953186">
        <w:rPr>
          <w:lang w:val="fr-FR"/>
        </w:rPr>
        <w:t>10 </w:t>
      </w:r>
      <w:r w:rsidRPr="00562699">
        <w:rPr>
          <w:lang w:val="fr-FR"/>
        </w:rPr>
        <w:t>États ayant adhéré</w:t>
      </w:r>
      <w:r w:rsidR="003C64A0" w:rsidRPr="00562699">
        <w:rPr>
          <w:lang w:val="fr-FR"/>
        </w:rPr>
        <w:t xml:space="preserve"> au</w:t>
      </w:r>
      <w:r w:rsidR="003C64A0">
        <w:rPr>
          <w:lang w:val="fr-FR"/>
        </w:rPr>
        <w:t> </w:t>
      </w:r>
      <w:r w:rsidR="003C64A0" w:rsidRPr="00562699">
        <w:rPr>
          <w:lang w:val="fr-FR"/>
        </w:rPr>
        <w:t>PCT</w:t>
      </w:r>
      <w:r w:rsidRPr="00562699">
        <w:rPr>
          <w:lang w:val="fr-FR"/>
        </w:rPr>
        <w:t xml:space="preserve"> </w:t>
      </w:r>
      <w:r w:rsidR="003C64A0" w:rsidRPr="00562699">
        <w:rPr>
          <w:lang w:val="fr-FR"/>
        </w:rPr>
        <w:t>depuis</w:t>
      </w:r>
      <w:r w:rsidR="003C64A0">
        <w:rPr>
          <w:lang w:val="fr-FR"/>
        </w:rPr>
        <w:t> </w:t>
      </w:r>
      <w:r w:rsidR="003C64A0" w:rsidRPr="00562699">
        <w:rPr>
          <w:lang w:val="fr-FR"/>
        </w:rPr>
        <w:t>2010</w:t>
      </w:r>
      <w:r w:rsidRPr="00562699">
        <w:rPr>
          <w:lang w:val="fr-FR"/>
        </w:rPr>
        <w:t xml:space="preserve">, </w:t>
      </w:r>
      <w:r w:rsidR="00EB6189" w:rsidRPr="00562699">
        <w:rPr>
          <w:lang w:val="fr-FR"/>
        </w:rPr>
        <w:t>c</w:t>
      </w:r>
      <w:r w:rsidRPr="00562699">
        <w:rPr>
          <w:lang w:val="fr-FR"/>
        </w:rPr>
        <w:t>inq</w:t>
      </w:r>
      <w:r w:rsidR="00953186">
        <w:rPr>
          <w:lang w:val="fr-FR"/>
        </w:rPr>
        <w:t> </w:t>
      </w:r>
      <w:r w:rsidRPr="00562699">
        <w:rPr>
          <w:lang w:val="fr-FR"/>
        </w:rPr>
        <w:t xml:space="preserve">étaient des États membres de la Ligue </w:t>
      </w:r>
      <w:r w:rsidR="00EB6189" w:rsidRPr="00562699">
        <w:rPr>
          <w:lang w:val="fr-FR"/>
        </w:rPr>
        <w:t>arabe</w:t>
      </w:r>
      <w:r w:rsidRPr="00562699">
        <w:rPr>
          <w:lang w:val="fr-FR"/>
        </w:rPr>
        <w:t xml:space="preserve">, </w:t>
      </w:r>
      <w:r w:rsidR="003C64A0">
        <w:rPr>
          <w:lang w:val="fr-FR"/>
        </w:rPr>
        <w:t>à savoir</w:t>
      </w:r>
      <w:r w:rsidRPr="00562699">
        <w:rPr>
          <w:lang w:val="fr-FR"/>
        </w:rPr>
        <w:t xml:space="preserve"> </w:t>
      </w:r>
      <w:r w:rsidR="00EB6189" w:rsidRPr="00562699">
        <w:rPr>
          <w:lang w:val="fr-FR"/>
        </w:rPr>
        <w:t>l</w:t>
      </w:r>
      <w:r w:rsidR="003C64A0">
        <w:rPr>
          <w:lang w:val="fr-FR"/>
        </w:rPr>
        <w:t>’Arabie saoudite</w:t>
      </w:r>
      <w:r w:rsidR="00EB6189" w:rsidRPr="00562699">
        <w:rPr>
          <w:lang w:val="fr-FR"/>
        </w:rPr>
        <w:t xml:space="preserve">, </w:t>
      </w:r>
      <w:r w:rsidRPr="00562699">
        <w:rPr>
          <w:lang w:val="fr-FR"/>
        </w:rPr>
        <w:t>Djibouti, l</w:t>
      </w:r>
      <w:r w:rsidR="00EB6189" w:rsidRPr="00562699">
        <w:rPr>
          <w:lang w:val="fr-FR"/>
        </w:rPr>
        <w:t>a Jordanie, le Koweït et le Qat</w:t>
      </w:r>
      <w:r w:rsidR="00B85EF1" w:rsidRPr="00562699">
        <w:rPr>
          <w:lang w:val="fr-FR"/>
        </w:rPr>
        <w:t>ar</w:t>
      </w:r>
      <w:r w:rsidR="00B85EF1">
        <w:rPr>
          <w:lang w:val="fr-FR"/>
        </w:rPr>
        <w:t xml:space="preserve">.  </w:t>
      </w:r>
      <w:r w:rsidR="00B85EF1" w:rsidRPr="00562699">
        <w:rPr>
          <w:lang w:val="fr-FR"/>
        </w:rPr>
        <w:t>En</w:t>
      </w:r>
      <w:r w:rsidR="00EB6189" w:rsidRPr="00562699">
        <w:rPr>
          <w:lang w:val="fr-FR"/>
        </w:rPr>
        <w:t xml:space="preserve"> outre, p</w:t>
      </w:r>
      <w:r w:rsidRPr="00562699">
        <w:rPr>
          <w:lang w:val="fr-FR"/>
        </w:rPr>
        <w:t>armi les huit</w:t>
      </w:r>
      <w:r w:rsidR="00953186">
        <w:rPr>
          <w:lang w:val="fr-FR"/>
        </w:rPr>
        <w:t> </w:t>
      </w:r>
      <w:r w:rsidRPr="00562699">
        <w:rPr>
          <w:lang w:val="fr-FR"/>
        </w:rPr>
        <w:t xml:space="preserve">pays arabes dont les </w:t>
      </w:r>
      <w:r w:rsidR="004D6D6F" w:rsidRPr="00562699">
        <w:rPr>
          <w:lang w:val="fr-FR"/>
        </w:rPr>
        <w:t>o</w:t>
      </w:r>
      <w:r w:rsidRPr="00562699">
        <w:rPr>
          <w:lang w:val="fr-FR"/>
        </w:rPr>
        <w:t>ffices récepteurs avaient désigné l</w:t>
      </w:r>
      <w:r w:rsidR="003C64A0">
        <w:rPr>
          <w:lang w:val="fr-FR"/>
        </w:rPr>
        <w:t>’</w:t>
      </w:r>
      <w:r w:rsidRPr="00562699">
        <w:rPr>
          <w:lang w:val="fr-FR"/>
        </w:rPr>
        <w:t>Office égyptien des brevets en qualité d</w:t>
      </w:r>
      <w:r w:rsidR="003C64A0">
        <w:rPr>
          <w:lang w:val="fr-FR"/>
        </w:rPr>
        <w:t>’</w:t>
      </w:r>
      <w:r w:rsidRPr="00562699">
        <w:rPr>
          <w:lang w:val="fr-FR"/>
        </w:rPr>
        <w:t>administration compétente chargée de la recherche internationale et de l</w:t>
      </w:r>
      <w:r w:rsidR="003C64A0">
        <w:rPr>
          <w:lang w:val="fr-FR"/>
        </w:rPr>
        <w:t>’</w:t>
      </w:r>
      <w:r w:rsidRPr="00562699">
        <w:rPr>
          <w:lang w:val="fr-FR"/>
        </w:rPr>
        <w:t xml:space="preserve">examen préliminaire </w:t>
      </w:r>
      <w:r w:rsidR="00EB6189" w:rsidRPr="00562699">
        <w:rPr>
          <w:lang w:val="fr-FR"/>
        </w:rPr>
        <w:t>i</w:t>
      </w:r>
      <w:r w:rsidRPr="00562699">
        <w:rPr>
          <w:lang w:val="fr-FR"/>
        </w:rPr>
        <w:t>nternational, quatre</w:t>
      </w:r>
      <w:r w:rsidR="00953186">
        <w:rPr>
          <w:lang w:val="fr-FR"/>
        </w:rPr>
        <w:t> </w:t>
      </w:r>
      <w:r w:rsidRPr="00562699">
        <w:rPr>
          <w:lang w:val="fr-FR"/>
        </w:rPr>
        <w:t xml:space="preserve">étaient des États </w:t>
      </w:r>
      <w:r w:rsidR="00EB6189" w:rsidRPr="00562699">
        <w:rPr>
          <w:lang w:val="fr-FR"/>
        </w:rPr>
        <w:t xml:space="preserve">ayant </w:t>
      </w:r>
      <w:r w:rsidRPr="00562699">
        <w:rPr>
          <w:lang w:val="fr-FR"/>
        </w:rPr>
        <w:t>adhéré</w:t>
      </w:r>
      <w:r w:rsidR="003C64A0" w:rsidRPr="00562699">
        <w:rPr>
          <w:lang w:val="fr-FR"/>
        </w:rPr>
        <w:t xml:space="preserve"> au</w:t>
      </w:r>
      <w:r w:rsidR="003C64A0">
        <w:rPr>
          <w:lang w:val="fr-FR"/>
        </w:rPr>
        <w:t> </w:t>
      </w:r>
      <w:r w:rsidR="003C64A0" w:rsidRPr="00562699">
        <w:rPr>
          <w:lang w:val="fr-FR"/>
        </w:rPr>
        <w:t>PCT</w:t>
      </w:r>
      <w:r w:rsidRPr="00562699">
        <w:rPr>
          <w:lang w:val="fr-FR"/>
        </w:rPr>
        <w:t xml:space="preserve"> </w:t>
      </w:r>
      <w:r w:rsidR="00EB6189" w:rsidRPr="00562699">
        <w:rPr>
          <w:lang w:val="fr-FR"/>
        </w:rPr>
        <w:t xml:space="preserve">depuis </w:t>
      </w:r>
      <w:r w:rsidRPr="00562699">
        <w:rPr>
          <w:lang w:val="fr-FR"/>
        </w:rPr>
        <w:t xml:space="preserve">moins de </w:t>
      </w:r>
      <w:r w:rsidR="00953186">
        <w:rPr>
          <w:lang w:val="fr-FR"/>
        </w:rPr>
        <w:t>10 </w:t>
      </w:r>
      <w:r w:rsidRPr="00562699">
        <w:rPr>
          <w:lang w:val="fr-FR"/>
        </w:rPr>
        <w:t>ans.</w:t>
      </w:r>
    </w:p>
    <w:p w14:paraId="73109A73" w14:textId="435E6210" w:rsidR="009246D2" w:rsidRPr="00562699" w:rsidRDefault="00CB23D2" w:rsidP="00273B5F">
      <w:pPr>
        <w:pStyle w:val="ONUMFS"/>
        <w:rPr>
          <w:lang w:val="fr-FR"/>
        </w:rPr>
      </w:pPr>
      <w:r w:rsidRPr="00562699">
        <w:rPr>
          <w:lang w:val="fr-FR"/>
        </w:rPr>
        <w:t xml:space="preserve">Le Bureau </w:t>
      </w:r>
      <w:r w:rsidR="007633CB" w:rsidRPr="00562699">
        <w:rPr>
          <w:lang w:val="fr-FR"/>
        </w:rPr>
        <w:t>i</w:t>
      </w:r>
      <w:r w:rsidRPr="00562699">
        <w:rPr>
          <w:lang w:val="fr-FR"/>
        </w:rPr>
        <w:t xml:space="preserve">nternational </w:t>
      </w:r>
      <w:r w:rsidR="007633CB" w:rsidRPr="00562699">
        <w:rPr>
          <w:lang w:val="fr-FR"/>
        </w:rPr>
        <w:t xml:space="preserve">remerciait </w:t>
      </w:r>
      <w:r w:rsidRPr="00562699">
        <w:rPr>
          <w:lang w:val="fr-FR"/>
        </w:rPr>
        <w:t>également l</w:t>
      </w:r>
      <w:r w:rsidR="003C64A0">
        <w:rPr>
          <w:lang w:val="fr-FR"/>
        </w:rPr>
        <w:t>’</w:t>
      </w:r>
      <w:r w:rsidRPr="00562699">
        <w:rPr>
          <w:lang w:val="fr-FR"/>
        </w:rPr>
        <w:t xml:space="preserve">Académie </w:t>
      </w:r>
      <w:r w:rsidR="005E7C35" w:rsidRPr="00562699">
        <w:rPr>
          <w:lang w:val="fr-FR"/>
        </w:rPr>
        <w:t>égyptienne pour la</w:t>
      </w:r>
      <w:r w:rsidRPr="00562699">
        <w:rPr>
          <w:lang w:val="fr-FR"/>
        </w:rPr>
        <w:t xml:space="preserve"> recherche scientifique et la technologie (ASRT) pour sa collaboration avec l</w:t>
      </w:r>
      <w:r w:rsidR="003C64A0">
        <w:rPr>
          <w:lang w:val="fr-FR"/>
        </w:rPr>
        <w:t>’</w:t>
      </w:r>
      <w:r w:rsidRPr="00562699">
        <w:rPr>
          <w:lang w:val="fr-FR"/>
        </w:rPr>
        <w:t xml:space="preserve">OMPI </w:t>
      </w:r>
      <w:r w:rsidR="005E7C35" w:rsidRPr="00562699">
        <w:rPr>
          <w:lang w:val="fr-FR"/>
        </w:rPr>
        <w:t xml:space="preserve">en vue de promouvoir </w:t>
      </w:r>
      <w:r w:rsidRPr="00562699">
        <w:rPr>
          <w:lang w:val="fr-FR"/>
        </w:rPr>
        <w:t>l</w:t>
      </w:r>
      <w:r w:rsidR="003C64A0">
        <w:rPr>
          <w:lang w:val="fr-FR"/>
        </w:rPr>
        <w:t>’</w:t>
      </w:r>
      <w:r w:rsidRPr="00562699">
        <w:rPr>
          <w:lang w:val="fr-FR"/>
        </w:rPr>
        <w:t>innovation et la créativité non seulement en Égypte mais dans l</w:t>
      </w:r>
      <w:r w:rsidR="003C64A0">
        <w:rPr>
          <w:lang w:val="fr-FR"/>
        </w:rPr>
        <w:t>’</w:t>
      </w:r>
      <w:r w:rsidRPr="00562699">
        <w:rPr>
          <w:lang w:val="fr-FR"/>
        </w:rPr>
        <w:t>ensemble de la région ara</w:t>
      </w:r>
      <w:r w:rsidR="00B85EF1" w:rsidRPr="00562699">
        <w:rPr>
          <w:lang w:val="fr-FR"/>
        </w:rPr>
        <w:t>be</w:t>
      </w:r>
      <w:r w:rsidR="00B85EF1">
        <w:rPr>
          <w:lang w:val="fr-FR"/>
        </w:rPr>
        <w:t xml:space="preserve">.  </w:t>
      </w:r>
      <w:r w:rsidR="00B85EF1" w:rsidRPr="00562699">
        <w:rPr>
          <w:lang w:val="fr-FR"/>
        </w:rPr>
        <w:t>Pl</w:t>
      </w:r>
      <w:r w:rsidRPr="00562699">
        <w:rPr>
          <w:lang w:val="fr-FR"/>
        </w:rPr>
        <w:t>us de 40</w:t>
      </w:r>
      <w:r w:rsidR="009D49D9">
        <w:rPr>
          <w:lang w:val="fr-FR"/>
        </w:rPr>
        <w:t> c</w:t>
      </w:r>
      <w:r w:rsidRPr="00562699">
        <w:rPr>
          <w:lang w:val="fr-FR"/>
        </w:rPr>
        <w:t>entres d</w:t>
      </w:r>
      <w:r w:rsidR="003C64A0">
        <w:rPr>
          <w:lang w:val="fr-FR"/>
        </w:rPr>
        <w:t>’</w:t>
      </w:r>
      <w:r w:rsidRPr="00562699">
        <w:rPr>
          <w:lang w:val="fr-FR"/>
        </w:rPr>
        <w:t>appui à la technologie et à l</w:t>
      </w:r>
      <w:r w:rsidR="003C64A0">
        <w:rPr>
          <w:lang w:val="fr-FR"/>
        </w:rPr>
        <w:t>’</w:t>
      </w:r>
      <w:r w:rsidR="005E7C35" w:rsidRPr="00562699">
        <w:rPr>
          <w:lang w:val="fr-FR"/>
        </w:rPr>
        <w:t>i</w:t>
      </w:r>
      <w:r w:rsidRPr="00562699">
        <w:rPr>
          <w:lang w:val="fr-FR"/>
        </w:rPr>
        <w:t>nnovation (CATI) de l</w:t>
      </w:r>
      <w:r w:rsidR="003C64A0">
        <w:rPr>
          <w:lang w:val="fr-FR"/>
        </w:rPr>
        <w:t>’</w:t>
      </w:r>
      <w:r w:rsidRPr="00562699">
        <w:rPr>
          <w:lang w:val="fr-FR"/>
        </w:rPr>
        <w:t xml:space="preserve">OMPI </w:t>
      </w:r>
      <w:r w:rsidR="004D6D6F" w:rsidRPr="00562699">
        <w:rPr>
          <w:lang w:val="fr-FR"/>
        </w:rPr>
        <w:t>étaient</w:t>
      </w:r>
      <w:r w:rsidRPr="00562699">
        <w:rPr>
          <w:lang w:val="fr-FR"/>
        </w:rPr>
        <w:t xml:space="preserve"> désormais </w:t>
      </w:r>
      <w:r w:rsidR="005E7C35" w:rsidRPr="00562699">
        <w:rPr>
          <w:lang w:val="fr-FR"/>
        </w:rPr>
        <w:t xml:space="preserve">actifs </w:t>
      </w:r>
      <w:r w:rsidRPr="00562699">
        <w:rPr>
          <w:lang w:val="fr-FR"/>
        </w:rPr>
        <w:t>d</w:t>
      </w:r>
      <w:r w:rsidR="005E7C35" w:rsidRPr="00562699">
        <w:rPr>
          <w:lang w:val="fr-FR"/>
        </w:rPr>
        <w:t>ans les universités égyptiennes et</w:t>
      </w:r>
      <w:r w:rsidRPr="00562699">
        <w:rPr>
          <w:lang w:val="fr-FR"/>
        </w:rPr>
        <w:t xml:space="preserve"> offr</w:t>
      </w:r>
      <w:r w:rsidR="004D6D6F" w:rsidRPr="00562699">
        <w:rPr>
          <w:lang w:val="fr-FR"/>
        </w:rPr>
        <w:t>ai</w:t>
      </w:r>
      <w:r w:rsidR="005E7C35" w:rsidRPr="00562699">
        <w:rPr>
          <w:lang w:val="fr-FR"/>
        </w:rPr>
        <w:t>e</w:t>
      </w:r>
      <w:r w:rsidRPr="00562699">
        <w:rPr>
          <w:lang w:val="fr-FR"/>
        </w:rPr>
        <w:t>nt aux innovateurs un accès à l</w:t>
      </w:r>
      <w:r w:rsidR="003C64A0">
        <w:rPr>
          <w:lang w:val="fr-FR"/>
        </w:rPr>
        <w:t>’</w:t>
      </w:r>
      <w:r w:rsidRPr="00562699">
        <w:rPr>
          <w:lang w:val="fr-FR"/>
        </w:rPr>
        <w:t xml:space="preserve">information et aux services </w:t>
      </w:r>
      <w:r w:rsidR="005E7C35" w:rsidRPr="00562699">
        <w:rPr>
          <w:lang w:val="fr-FR"/>
        </w:rPr>
        <w:t xml:space="preserve">afin de </w:t>
      </w:r>
      <w:r w:rsidRPr="00562699">
        <w:rPr>
          <w:lang w:val="fr-FR"/>
        </w:rPr>
        <w:t>les aider à exploiter leur potentiel d</w:t>
      </w:r>
      <w:r w:rsidR="003C64A0">
        <w:rPr>
          <w:lang w:val="fr-FR"/>
        </w:rPr>
        <w:t>’</w:t>
      </w:r>
      <w:r w:rsidR="005E7C35" w:rsidRPr="00562699">
        <w:rPr>
          <w:lang w:val="fr-FR"/>
        </w:rPr>
        <w:t>i</w:t>
      </w:r>
      <w:r w:rsidRPr="00562699">
        <w:rPr>
          <w:lang w:val="fr-FR"/>
        </w:rPr>
        <w:t>nnovation et à protéger leurs idées par le biais des droits de propriété intellectuelle.</w:t>
      </w:r>
      <w:r w:rsidR="008D1E3B" w:rsidRPr="00562699">
        <w:rPr>
          <w:lang w:val="fr-FR"/>
        </w:rPr>
        <w:t xml:space="preserve">  </w:t>
      </w:r>
      <w:r w:rsidRPr="00562699">
        <w:rPr>
          <w:lang w:val="fr-FR"/>
        </w:rPr>
        <w:t>L</w:t>
      </w:r>
      <w:r w:rsidR="003C64A0">
        <w:rPr>
          <w:lang w:val="fr-FR"/>
        </w:rPr>
        <w:t>’</w:t>
      </w:r>
      <w:r w:rsidRPr="00562699">
        <w:rPr>
          <w:lang w:val="fr-FR"/>
        </w:rPr>
        <w:t>Indice mondial de l</w:t>
      </w:r>
      <w:r w:rsidR="003C64A0">
        <w:rPr>
          <w:lang w:val="fr-FR"/>
        </w:rPr>
        <w:t>’</w:t>
      </w:r>
      <w:r w:rsidR="005E7C35" w:rsidRPr="00562699">
        <w:rPr>
          <w:lang w:val="fr-FR"/>
        </w:rPr>
        <w:t>i</w:t>
      </w:r>
      <w:r w:rsidRPr="00562699">
        <w:rPr>
          <w:lang w:val="fr-FR"/>
        </w:rPr>
        <w:t>nnovation a</w:t>
      </w:r>
      <w:r w:rsidR="005E7C35" w:rsidRPr="00562699">
        <w:rPr>
          <w:lang w:val="fr-FR"/>
        </w:rPr>
        <w:t>vait</w:t>
      </w:r>
      <w:r w:rsidRPr="00562699">
        <w:rPr>
          <w:lang w:val="fr-FR"/>
        </w:rPr>
        <w:t xml:space="preserve"> également fait apparaître une augmentation du nombre d</w:t>
      </w:r>
      <w:r w:rsidR="003C64A0">
        <w:rPr>
          <w:lang w:val="fr-FR"/>
        </w:rPr>
        <w:t>’</w:t>
      </w:r>
      <w:r w:rsidRPr="00562699">
        <w:rPr>
          <w:lang w:val="fr-FR"/>
        </w:rPr>
        <w:t xml:space="preserve">activités innovantes en Égypte, </w:t>
      </w:r>
      <w:r w:rsidR="005E7C35" w:rsidRPr="00562699">
        <w:rPr>
          <w:lang w:val="fr-FR"/>
        </w:rPr>
        <w:t>la note de ce pays s</w:t>
      </w:r>
      <w:r w:rsidR="003C64A0">
        <w:rPr>
          <w:lang w:val="fr-FR"/>
        </w:rPr>
        <w:t>’</w:t>
      </w:r>
      <w:r w:rsidR="005E7C35" w:rsidRPr="00562699">
        <w:rPr>
          <w:lang w:val="fr-FR"/>
        </w:rPr>
        <w:t xml:space="preserve">étant améliorée </w:t>
      </w:r>
      <w:r w:rsidR="003C64A0" w:rsidRPr="00562699">
        <w:rPr>
          <w:lang w:val="fr-FR"/>
        </w:rPr>
        <w:t>en</w:t>
      </w:r>
      <w:r w:rsidR="003C64A0">
        <w:rPr>
          <w:lang w:val="fr-FR"/>
        </w:rPr>
        <w:t> </w:t>
      </w:r>
      <w:r w:rsidR="003C64A0" w:rsidRPr="00562699">
        <w:rPr>
          <w:lang w:val="fr-FR"/>
        </w:rPr>
        <w:t>2018</w:t>
      </w:r>
      <w:r w:rsidR="005E7C35" w:rsidRPr="00562699">
        <w:rPr>
          <w:lang w:val="fr-FR"/>
        </w:rPr>
        <w:t xml:space="preserve"> et </w:t>
      </w:r>
      <w:r w:rsidR="004D6D6F" w:rsidRPr="00562699">
        <w:rPr>
          <w:lang w:val="fr-FR"/>
        </w:rPr>
        <w:t>ayant fait</w:t>
      </w:r>
      <w:r w:rsidR="005E7C35" w:rsidRPr="00562699">
        <w:rPr>
          <w:lang w:val="fr-FR"/>
        </w:rPr>
        <w:t xml:space="preserve"> remonter son classement de 10 places </w:t>
      </w:r>
      <w:r w:rsidRPr="00562699">
        <w:rPr>
          <w:lang w:val="fr-FR"/>
        </w:rPr>
        <w:t>par rapport à l</w:t>
      </w:r>
      <w:r w:rsidR="003C64A0">
        <w:rPr>
          <w:lang w:val="fr-FR"/>
        </w:rPr>
        <w:t>’</w:t>
      </w:r>
      <w:r w:rsidRPr="00562699">
        <w:rPr>
          <w:lang w:val="fr-FR"/>
        </w:rPr>
        <w:t>année précéden</w:t>
      </w:r>
      <w:r w:rsidR="00B85EF1" w:rsidRPr="00562699">
        <w:rPr>
          <w:lang w:val="fr-FR"/>
        </w:rPr>
        <w:t>te</w:t>
      </w:r>
      <w:r w:rsidR="00B85EF1">
        <w:rPr>
          <w:lang w:val="fr-FR"/>
        </w:rPr>
        <w:t xml:space="preserve">.  </w:t>
      </w:r>
      <w:r w:rsidR="00B85EF1" w:rsidRPr="00562699">
        <w:rPr>
          <w:lang w:val="fr-FR"/>
        </w:rPr>
        <w:t>Le</w:t>
      </w:r>
      <w:r w:rsidRPr="00562699">
        <w:rPr>
          <w:lang w:val="fr-FR"/>
        </w:rPr>
        <w:t xml:space="preserve"> Bureau </w:t>
      </w:r>
      <w:r w:rsidR="005E7C35" w:rsidRPr="00562699">
        <w:rPr>
          <w:lang w:val="fr-FR"/>
        </w:rPr>
        <w:t>i</w:t>
      </w:r>
      <w:r w:rsidRPr="00562699">
        <w:rPr>
          <w:lang w:val="fr-FR"/>
        </w:rPr>
        <w:t xml:space="preserve">nternational </w:t>
      </w:r>
      <w:r w:rsidR="007633CB" w:rsidRPr="00562699">
        <w:rPr>
          <w:lang w:val="fr-FR"/>
        </w:rPr>
        <w:t>se réjouissait</w:t>
      </w:r>
      <w:r w:rsidR="005E7C35" w:rsidRPr="00562699">
        <w:rPr>
          <w:lang w:val="fr-FR"/>
        </w:rPr>
        <w:t xml:space="preserve"> à </w:t>
      </w:r>
      <w:r w:rsidRPr="00562699">
        <w:rPr>
          <w:lang w:val="fr-FR"/>
        </w:rPr>
        <w:t xml:space="preserve">la perspective </w:t>
      </w:r>
      <w:r w:rsidR="005E7C35" w:rsidRPr="00562699">
        <w:rPr>
          <w:lang w:val="fr-FR"/>
        </w:rPr>
        <w:t xml:space="preserve">de renforcer </w:t>
      </w:r>
      <w:r w:rsidRPr="00562699">
        <w:rPr>
          <w:lang w:val="fr-FR"/>
        </w:rPr>
        <w:t>sa coopération avec l</w:t>
      </w:r>
      <w:r w:rsidR="003C64A0">
        <w:rPr>
          <w:lang w:val="fr-FR"/>
        </w:rPr>
        <w:t>’</w:t>
      </w:r>
      <w:r w:rsidRPr="00562699">
        <w:rPr>
          <w:lang w:val="fr-FR"/>
        </w:rPr>
        <w:t>ARST dans un avenir proche.</w:t>
      </w:r>
    </w:p>
    <w:p w14:paraId="5F022091" w14:textId="4F556EDE" w:rsidR="009246D2" w:rsidRPr="00562699" w:rsidRDefault="00CB23D2" w:rsidP="00273B5F">
      <w:pPr>
        <w:pStyle w:val="ONUMFS"/>
        <w:rPr>
          <w:lang w:val="fr-FR"/>
        </w:rPr>
      </w:pPr>
      <w:r w:rsidRPr="00562699">
        <w:rPr>
          <w:lang w:val="fr-FR"/>
        </w:rPr>
        <w:t xml:space="preserve">En conclusion, </w:t>
      </w:r>
      <w:r w:rsidR="00597802" w:rsidRPr="00562699">
        <w:rPr>
          <w:lang w:val="fr-FR"/>
        </w:rPr>
        <w:t>M. </w:t>
      </w:r>
      <w:r w:rsidRPr="00562699">
        <w:rPr>
          <w:lang w:val="fr-FR"/>
        </w:rPr>
        <w:t>Richardson a souligné l</w:t>
      </w:r>
      <w:r w:rsidR="003C64A0">
        <w:rPr>
          <w:lang w:val="fr-FR"/>
        </w:rPr>
        <w:t>’</w:t>
      </w:r>
      <w:r w:rsidRPr="00562699">
        <w:rPr>
          <w:lang w:val="fr-FR"/>
        </w:rPr>
        <w:t xml:space="preserve">importance de la coopération et de la responsabilité collective des </w:t>
      </w:r>
      <w:r w:rsidR="004D6D6F" w:rsidRPr="00562699">
        <w:rPr>
          <w:lang w:val="fr-FR"/>
        </w:rPr>
        <w:t>o</w:t>
      </w:r>
      <w:r w:rsidRPr="00562699">
        <w:rPr>
          <w:lang w:val="fr-FR"/>
        </w:rPr>
        <w:t>ffices et autres parties prenantes dans le développement futur</w:t>
      </w:r>
      <w:r w:rsidR="003C64A0" w:rsidRPr="00562699">
        <w:rPr>
          <w:lang w:val="fr-FR"/>
        </w:rPr>
        <w:t xml:space="preserve"> du</w:t>
      </w:r>
      <w:r w:rsidR="003C64A0">
        <w:rPr>
          <w:lang w:val="fr-FR"/>
        </w:rPr>
        <w:t> </w:t>
      </w:r>
      <w:r w:rsidR="003C64A0" w:rsidRPr="00562699">
        <w:rPr>
          <w:lang w:val="fr-FR"/>
        </w:rPr>
        <w:t>PCT</w:t>
      </w:r>
      <w:r w:rsidR="00DA4B9D" w:rsidRPr="00562699">
        <w:rPr>
          <w:lang w:val="fr-FR"/>
        </w:rPr>
        <w:t>, qui constituait un nouveau point à l</w:t>
      </w:r>
      <w:r w:rsidR="003C64A0">
        <w:rPr>
          <w:lang w:val="fr-FR"/>
        </w:rPr>
        <w:t>’</w:t>
      </w:r>
      <w:r w:rsidR="00DA4B9D" w:rsidRPr="00562699">
        <w:rPr>
          <w:lang w:val="fr-FR"/>
        </w:rPr>
        <w:t>ordre du jour de la réuni</w:t>
      </w:r>
      <w:r w:rsidR="00B85EF1" w:rsidRPr="00562699">
        <w:rPr>
          <w:lang w:val="fr-FR"/>
        </w:rPr>
        <w:t>on</w:t>
      </w:r>
      <w:r w:rsidR="00B85EF1">
        <w:rPr>
          <w:lang w:val="fr-FR"/>
        </w:rPr>
        <w:t xml:space="preserve">.  </w:t>
      </w:r>
      <w:r w:rsidR="00B85EF1" w:rsidRPr="00562699">
        <w:rPr>
          <w:lang w:val="fr-FR"/>
        </w:rPr>
        <w:t xml:space="preserve">À </w:t>
      </w:r>
      <w:r w:rsidRPr="00562699">
        <w:rPr>
          <w:lang w:val="fr-FR"/>
        </w:rPr>
        <w:t xml:space="preserve">cet égard, il espérait </w:t>
      </w:r>
      <w:r w:rsidR="00DA4B9D" w:rsidRPr="00562699">
        <w:rPr>
          <w:lang w:val="fr-FR"/>
        </w:rPr>
        <w:t xml:space="preserve">que les </w:t>
      </w:r>
      <w:r w:rsidRPr="00562699">
        <w:rPr>
          <w:lang w:val="fr-FR"/>
        </w:rPr>
        <w:t xml:space="preserve">administrations internationales, individuellement et collectivement, </w:t>
      </w:r>
      <w:r w:rsidR="00DA4B9D" w:rsidRPr="00562699">
        <w:rPr>
          <w:lang w:val="fr-FR"/>
        </w:rPr>
        <w:t>ferai</w:t>
      </w:r>
      <w:r w:rsidR="004E4E83" w:rsidRPr="00562699">
        <w:rPr>
          <w:lang w:val="fr-FR"/>
        </w:rPr>
        <w:t>en</w:t>
      </w:r>
      <w:r w:rsidR="00DA4B9D" w:rsidRPr="00562699">
        <w:rPr>
          <w:lang w:val="fr-FR"/>
        </w:rPr>
        <w:t xml:space="preserve">t des propositions visant à </w:t>
      </w:r>
      <w:r w:rsidRPr="00562699">
        <w:rPr>
          <w:lang w:val="fr-FR"/>
        </w:rPr>
        <w:t xml:space="preserve">améliorer les </w:t>
      </w:r>
      <w:r w:rsidR="007633CB" w:rsidRPr="00562699">
        <w:rPr>
          <w:lang w:val="fr-FR"/>
        </w:rPr>
        <w:t xml:space="preserve">procédures </w:t>
      </w:r>
      <w:r w:rsidRPr="00562699">
        <w:rPr>
          <w:lang w:val="fr-FR"/>
        </w:rPr>
        <w:t xml:space="preserve">et les </w:t>
      </w:r>
      <w:r w:rsidR="007633CB" w:rsidRPr="00562699">
        <w:rPr>
          <w:lang w:val="fr-FR"/>
        </w:rPr>
        <w:t>produits</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pour les déposants, les </w:t>
      </w:r>
      <w:r w:rsidR="004D6D6F" w:rsidRPr="00562699">
        <w:rPr>
          <w:lang w:val="fr-FR"/>
        </w:rPr>
        <w:t>o</w:t>
      </w:r>
      <w:r w:rsidRPr="00562699">
        <w:rPr>
          <w:lang w:val="fr-FR"/>
        </w:rPr>
        <w:t>ffices désignés et le grand public.</w:t>
      </w:r>
    </w:p>
    <w:p w14:paraId="5892BE58" w14:textId="57D4826E" w:rsidR="003C64A0" w:rsidRDefault="007633CB" w:rsidP="00273B5F">
      <w:pPr>
        <w:pStyle w:val="ONUMFS"/>
        <w:rPr>
          <w:lang w:val="fr-FR"/>
        </w:rPr>
      </w:pPr>
      <w:r w:rsidRPr="00562699">
        <w:rPr>
          <w:lang w:val="fr-FR"/>
        </w:rPr>
        <w:t>M.</w:t>
      </w:r>
      <w:r w:rsidR="00953186">
        <w:rPr>
          <w:lang w:val="fr-FR"/>
        </w:rPr>
        <w:t> </w:t>
      </w:r>
      <w:r w:rsidR="00DA4B9D" w:rsidRPr="00562699">
        <w:rPr>
          <w:lang w:val="fr-FR"/>
        </w:rPr>
        <w:t xml:space="preserve">Mahmoud </w:t>
      </w:r>
      <w:proofErr w:type="spellStart"/>
      <w:r w:rsidR="00CB23D2" w:rsidRPr="00562699">
        <w:rPr>
          <w:lang w:val="fr-FR"/>
        </w:rPr>
        <w:t>Sakr</w:t>
      </w:r>
      <w:proofErr w:type="spellEnd"/>
      <w:r w:rsidR="00CB23D2" w:rsidRPr="00562699">
        <w:rPr>
          <w:lang w:val="fr-FR"/>
        </w:rPr>
        <w:t>, président de l</w:t>
      </w:r>
      <w:r w:rsidR="003C64A0">
        <w:rPr>
          <w:lang w:val="fr-FR"/>
        </w:rPr>
        <w:t>’</w:t>
      </w:r>
      <w:r w:rsidR="00CB23D2" w:rsidRPr="00562699">
        <w:rPr>
          <w:lang w:val="fr-FR"/>
        </w:rPr>
        <w:t xml:space="preserve">Académie </w:t>
      </w:r>
      <w:r w:rsidR="00DA4B9D" w:rsidRPr="00562699">
        <w:rPr>
          <w:lang w:val="fr-FR"/>
        </w:rPr>
        <w:t xml:space="preserve">pour </w:t>
      </w:r>
      <w:r w:rsidR="00CB23D2" w:rsidRPr="00562699">
        <w:rPr>
          <w:lang w:val="fr-FR"/>
        </w:rPr>
        <w:t>la recherche scientifique et la technologie (ASRT), a souhaité la bienvenue aux participants et s</w:t>
      </w:r>
      <w:r w:rsidR="003C64A0">
        <w:rPr>
          <w:lang w:val="fr-FR"/>
        </w:rPr>
        <w:t>’</w:t>
      </w:r>
      <w:r w:rsidR="00CB23D2" w:rsidRPr="00562699">
        <w:rPr>
          <w:lang w:val="fr-FR"/>
        </w:rPr>
        <w:t>est félicité que l</w:t>
      </w:r>
      <w:r w:rsidR="003C64A0">
        <w:rPr>
          <w:lang w:val="fr-FR"/>
        </w:rPr>
        <w:t>’</w:t>
      </w:r>
      <w:r w:rsidR="00CB23D2" w:rsidRPr="00562699">
        <w:rPr>
          <w:lang w:val="fr-FR"/>
        </w:rPr>
        <w:t>Égypte accueill</w:t>
      </w:r>
      <w:r w:rsidR="00DA4B9D" w:rsidRPr="00562699">
        <w:rPr>
          <w:lang w:val="fr-FR"/>
        </w:rPr>
        <w:t>e</w:t>
      </w:r>
      <w:r w:rsidR="00CB23D2" w:rsidRPr="00562699">
        <w:rPr>
          <w:lang w:val="fr-FR"/>
        </w:rPr>
        <w:t xml:space="preserve"> la réunion pour la première fois.</w:t>
      </w:r>
      <w:r w:rsidR="008D1E3B" w:rsidRPr="00562699">
        <w:rPr>
          <w:lang w:val="fr-FR"/>
        </w:rPr>
        <w:t xml:space="preserve">  </w:t>
      </w:r>
      <w:r w:rsidR="00597802" w:rsidRPr="00562699">
        <w:rPr>
          <w:lang w:val="fr-FR"/>
        </w:rPr>
        <w:t>M.</w:t>
      </w:r>
      <w:r w:rsidR="004E4E83" w:rsidRPr="00562699">
        <w:rPr>
          <w:lang w:val="fr-FR"/>
        </w:rPr>
        <w:t> </w:t>
      </w:r>
      <w:proofErr w:type="spellStart"/>
      <w:r w:rsidR="00CB23D2" w:rsidRPr="00562699">
        <w:rPr>
          <w:lang w:val="fr-FR"/>
        </w:rPr>
        <w:t>Sakr</w:t>
      </w:r>
      <w:proofErr w:type="spellEnd"/>
      <w:r w:rsidR="00CB23D2" w:rsidRPr="00562699">
        <w:rPr>
          <w:lang w:val="fr-FR"/>
        </w:rPr>
        <w:t xml:space="preserve"> a exprimé sa gratitude pour le travail accompli dans le domaine de la propriété intellectuelle grâce aux divers efforts de l</w:t>
      </w:r>
      <w:r w:rsidR="003C64A0">
        <w:rPr>
          <w:lang w:val="fr-FR"/>
        </w:rPr>
        <w:t>’</w:t>
      </w:r>
      <w:r w:rsidR="00CB23D2" w:rsidRPr="00562699">
        <w:rPr>
          <w:lang w:val="fr-FR"/>
        </w:rPr>
        <w:t xml:space="preserve">OMPI et à son </w:t>
      </w:r>
      <w:r w:rsidR="00DA4B9D" w:rsidRPr="00562699">
        <w:rPr>
          <w:lang w:val="fr-FR"/>
        </w:rPr>
        <w:t xml:space="preserve">soutien permanent </w:t>
      </w:r>
      <w:r w:rsidR="00CB23D2" w:rsidRPr="00562699">
        <w:rPr>
          <w:lang w:val="fr-FR"/>
        </w:rPr>
        <w:t xml:space="preserve">aux </w:t>
      </w:r>
      <w:r w:rsidR="004D6D6F" w:rsidRPr="00562699">
        <w:rPr>
          <w:lang w:val="fr-FR"/>
        </w:rPr>
        <w:t>o</w:t>
      </w:r>
      <w:r w:rsidR="00CB23D2" w:rsidRPr="00562699">
        <w:rPr>
          <w:lang w:val="fr-FR"/>
        </w:rPr>
        <w:t xml:space="preserve">ffices de propriété intellectuelle, en particulier </w:t>
      </w:r>
      <w:r w:rsidR="00DA4B9D" w:rsidRPr="00562699">
        <w:rPr>
          <w:lang w:val="fr-FR"/>
        </w:rPr>
        <w:t>dans les</w:t>
      </w:r>
      <w:r w:rsidR="00CB23D2" w:rsidRPr="00562699">
        <w:rPr>
          <w:lang w:val="fr-FR"/>
        </w:rPr>
        <w:t xml:space="preserve"> pays en développeme</w:t>
      </w:r>
      <w:r w:rsidR="00B85EF1" w:rsidRPr="00562699">
        <w:rPr>
          <w:lang w:val="fr-FR"/>
        </w:rPr>
        <w:t>nt</w:t>
      </w:r>
      <w:r w:rsidR="00B85EF1">
        <w:rPr>
          <w:lang w:val="fr-FR"/>
        </w:rPr>
        <w:t xml:space="preserve">.  </w:t>
      </w:r>
      <w:r w:rsidR="00B85EF1" w:rsidRPr="00562699">
        <w:rPr>
          <w:lang w:val="fr-FR"/>
        </w:rPr>
        <w:t>La</w:t>
      </w:r>
      <w:r w:rsidR="00CB23D2" w:rsidRPr="00562699">
        <w:rPr>
          <w:lang w:val="fr-FR"/>
        </w:rPr>
        <w:t xml:space="preserve"> protection de la propriété intellectuelle </w:t>
      </w:r>
      <w:r w:rsidR="00DA4B9D" w:rsidRPr="00562699">
        <w:rPr>
          <w:lang w:val="fr-FR"/>
        </w:rPr>
        <w:t>favoris</w:t>
      </w:r>
      <w:r w:rsidRPr="00562699">
        <w:rPr>
          <w:lang w:val="fr-FR"/>
        </w:rPr>
        <w:t>ait</w:t>
      </w:r>
      <w:r w:rsidR="00DA4B9D" w:rsidRPr="00562699">
        <w:rPr>
          <w:lang w:val="fr-FR"/>
        </w:rPr>
        <w:t xml:space="preserve"> </w:t>
      </w:r>
      <w:r w:rsidR="00CB23D2" w:rsidRPr="00562699">
        <w:rPr>
          <w:lang w:val="fr-FR"/>
        </w:rPr>
        <w:t>l</w:t>
      </w:r>
      <w:r w:rsidR="003C64A0">
        <w:rPr>
          <w:lang w:val="fr-FR"/>
        </w:rPr>
        <w:t>’</w:t>
      </w:r>
      <w:r w:rsidR="00CB23D2" w:rsidRPr="00562699">
        <w:rPr>
          <w:lang w:val="fr-FR"/>
        </w:rPr>
        <w:t>innovation et le développement technologique et était considérée comme un moteur de la croissance économiq</w:t>
      </w:r>
      <w:r w:rsidR="00B85EF1" w:rsidRPr="00562699">
        <w:rPr>
          <w:lang w:val="fr-FR"/>
        </w:rPr>
        <w:t>ue</w:t>
      </w:r>
      <w:r w:rsidR="00B85EF1">
        <w:rPr>
          <w:lang w:val="fr-FR"/>
        </w:rPr>
        <w:t xml:space="preserve">.  </w:t>
      </w:r>
      <w:r w:rsidR="00B85EF1" w:rsidRPr="00562699">
        <w:rPr>
          <w:lang w:val="fr-FR"/>
        </w:rPr>
        <w:t>Gr</w:t>
      </w:r>
      <w:r w:rsidR="00CB23D2" w:rsidRPr="00562699">
        <w:rPr>
          <w:lang w:val="fr-FR"/>
        </w:rPr>
        <w:t>âce aux efforts de l</w:t>
      </w:r>
      <w:r w:rsidR="003C64A0">
        <w:rPr>
          <w:lang w:val="fr-FR"/>
        </w:rPr>
        <w:t>’</w:t>
      </w:r>
      <w:r w:rsidR="00CB23D2" w:rsidRPr="00562699">
        <w:rPr>
          <w:lang w:val="fr-FR"/>
        </w:rPr>
        <w:t>OMPI, l</w:t>
      </w:r>
      <w:r w:rsidR="003C64A0">
        <w:rPr>
          <w:lang w:val="fr-FR"/>
        </w:rPr>
        <w:t>’</w:t>
      </w:r>
      <w:r w:rsidR="00CB23D2" w:rsidRPr="00562699">
        <w:rPr>
          <w:lang w:val="fr-FR"/>
        </w:rPr>
        <w:t>Égypte dispos</w:t>
      </w:r>
      <w:r w:rsidR="004D6D6F" w:rsidRPr="00562699">
        <w:rPr>
          <w:lang w:val="fr-FR"/>
        </w:rPr>
        <w:t>ait</w:t>
      </w:r>
      <w:r w:rsidR="00CB23D2" w:rsidRPr="00562699">
        <w:rPr>
          <w:lang w:val="fr-FR"/>
        </w:rPr>
        <w:t xml:space="preserve"> désormais d</w:t>
      </w:r>
      <w:r w:rsidR="003C64A0">
        <w:rPr>
          <w:lang w:val="fr-FR"/>
        </w:rPr>
        <w:t>’</w:t>
      </w:r>
      <w:r w:rsidR="00CB23D2" w:rsidRPr="00562699">
        <w:rPr>
          <w:lang w:val="fr-FR"/>
        </w:rPr>
        <w:t xml:space="preserve">un système de propriété intellectuelle efficace </w:t>
      </w:r>
      <w:r w:rsidRPr="00562699">
        <w:rPr>
          <w:lang w:val="fr-FR"/>
        </w:rPr>
        <w:t xml:space="preserve">ménageant </w:t>
      </w:r>
      <w:r w:rsidR="00CB23D2" w:rsidRPr="00562699">
        <w:rPr>
          <w:lang w:val="fr-FR"/>
        </w:rPr>
        <w:t>un équilibre optimal entre le</w:t>
      </w:r>
      <w:r w:rsidRPr="00562699">
        <w:rPr>
          <w:lang w:val="fr-FR"/>
        </w:rPr>
        <w:t>s</w:t>
      </w:r>
      <w:r w:rsidR="00CB23D2" w:rsidRPr="00562699">
        <w:rPr>
          <w:lang w:val="fr-FR"/>
        </w:rPr>
        <w:t xml:space="preserve"> titulaire</w:t>
      </w:r>
      <w:r w:rsidRPr="00562699">
        <w:rPr>
          <w:lang w:val="fr-FR"/>
        </w:rPr>
        <w:t>s</w:t>
      </w:r>
      <w:r w:rsidR="00CB23D2" w:rsidRPr="00562699">
        <w:rPr>
          <w:lang w:val="fr-FR"/>
        </w:rPr>
        <w:t xml:space="preserve"> de droits et le grand public, favoris</w:t>
      </w:r>
      <w:r w:rsidR="004D6D6F" w:rsidRPr="00562699">
        <w:rPr>
          <w:lang w:val="fr-FR"/>
        </w:rPr>
        <w:t>ant</w:t>
      </w:r>
      <w:r w:rsidR="00CB23D2" w:rsidRPr="00562699">
        <w:rPr>
          <w:lang w:val="fr-FR"/>
        </w:rPr>
        <w:t xml:space="preserve"> la compétitivité et stimul</w:t>
      </w:r>
      <w:r w:rsidR="004D6D6F" w:rsidRPr="00562699">
        <w:rPr>
          <w:lang w:val="fr-FR"/>
        </w:rPr>
        <w:t>ant</w:t>
      </w:r>
      <w:r w:rsidR="00CB23D2" w:rsidRPr="00562699">
        <w:rPr>
          <w:lang w:val="fr-FR"/>
        </w:rPr>
        <w:t xml:space="preserve"> la croissance économiq</w:t>
      </w:r>
      <w:r w:rsidR="00B85EF1" w:rsidRPr="00562699">
        <w:rPr>
          <w:lang w:val="fr-FR"/>
        </w:rPr>
        <w:t>ue</w:t>
      </w:r>
      <w:r w:rsidR="00B85EF1">
        <w:rPr>
          <w:lang w:val="fr-FR"/>
        </w:rPr>
        <w:t xml:space="preserve">.  </w:t>
      </w:r>
      <w:r w:rsidR="00B85EF1" w:rsidRPr="00562699">
        <w:rPr>
          <w:lang w:val="fr-FR"/>
        </w:rPr>
        <w:t>Le</w:t>
      </w:r>
      <w:r w:rsidR="003C64A0">
        <w:rPr>
          <w:lang w:val="fr-FR"/>
        </w:rPr>
        <w:t> </w:t>
      </w:r>
      <w:r w:rsidR="003C64A0" w:rsidRPr="00562699">
        <w:rPr>
          <w:lang w:val="fr-FR"/>
        </w:rPr>
        <w:t>PCT</w:t>
      </w:r>
      <w:r w:rsidR="00CB23D2" w:rsidRPr="00562699">
        <w:rPr>
          <w:lang w:val="fr-FR"/>
        </w:rPr>
        <w:t xml:space="preserve"> présentait de</w:t>
      </w:r>
      <w:r w:rsidR="00DA4B9D" w:rsidRPr="00562699">
        <w:rPr>
          <w:lang w:val="fr-FR"/>
        </w:rPr>
        <w:t>s</w:t>
      </w:r>
      <w:r w:rsidR="00CB23D2" w:rsidRPr="00562699">
        <w:rPr>
          <w:lang w:val="fr-FR"/>
        </w:rPr>
        <w:t xml:space="preserve"> avantages </w:t>
      </w:r>
      <w:r w:rsidR="00DA4B9D" w:rsidRPr="00562699">
        <w:rPr>
          <w:lang w:val="fr-FR"/>
        </w:rPr>
        <w:t xml:space="preserve">importants </w:t>
      </w:r>
      <w:r w:rsidR="00CB23D2" w:rsidRPr="00562699">
        <w:rPr>
          <w:lang w:val="fr-FR"/>
        </w:rPr>
        <w:t xml:space="preserve">pour le grand public et pour les déposants de demandes de brevet, </w:t>
      </w:r>
      <w:r w:rsidR="00DA4B9D" w:rsidRPr="00562699">
        <w:rPr>
          <w:lang w:val="fr-FR"/>
        </w:rPr>
        <w:t>notamment</w:t>
      </w:r>
      <w:r w:rsidR="00CB23D2" w:rsidRPr="00562699">
        <w:rPr>
          <w:lang w:val="fr-FR"/>
        </w:rPr>
        <w:t xml:space="preserve"> en donnant aux déposants un délai de 18</w:t>
      </w:r>
      <w:r w:rsidR="009D49D9">
        <w:rPr>
          <w:lang w:val="fr-FR"/>
        </w:rPr>
        <w:t> </w:t>
      </w:r>
      <w:r w:rsidR="00CB23D2" w:rsidRPr="00562699">
        <w:rPr>
          <w:lang w:val="fr-FR"/>
        </w:rPr>
        <w:t xml:space="preserve">mois </w:t>
      </w:r>
      <w:r w:rsidR="00DA4B9D" w:rsidRPr="00562699">
        <w:rPr>
          <w:lang w:val="fr-FR"/>
        </w:rPr>
        <w:t xml:space="preserve">supplémentaires </w:t>
      </w:r>
      <w:r w:rsidR="00CB23D2" w:rsidRPr="00562699">
        <w:rPr>
          <w:lang w:val="fr-FR"/>
        </w:rPr>
        <w:t>pour décider s</w:t>
      </w:r>
      <w:r w:rsidR="003C64A0">
        <w:rPr>
          <w:lang w:val="fr-FR"/>
        </w:rPr>
        <w:t>’</w:t>
      </w:r>
      <w:r w:rsidR="00CB23D2" w:rsidRPr="00562699">
        <w:rPr>
          <w:lang w:val="fr-FR"/>
        </w:rPr>
        <w:t>il convenait de demander une protection par brevet à l</w:t>
      </w:r>
      <w:r w:rsidR="003C64A0">
        <w:rPr>
          <w:lang w:val="fr-FR"/>
        </w:rPr>
        <w:t>’</w:t>
      </w:r>
      <w:r w:rsidR="00CB23D2" w:rsidRPr="00562699">
        <w:rPr>
          <w:lang w:val="fr-FR"/>
        </w:rPr>
        <w:t xml:space="preserve">étranger par rapport à la </w:t>
      </w:r>
      <w:r w:rsidR="00DA4B9D" w:rsidRPr="00562699">
        <w:rPr>
          <w:lang w:val="fr-FR"/>
        </w:rPr>
        <w:t>procédure</w:t>
      </w:r>
      <w:r w:rsidR="00CB23D2" w:rsidRPr="00562699">
        <w:rPr>
          <w:lang w:val="fr-FR"/>
        </w:rPr>
        <w:t xml:space="preserve"> prévue par la Convention de Par</w:t>
      </w:r>
      <w:r w:rsidR="00B85EF1" w:rsidRPr="00562699">
        <w:rPr>
          <w:lang w:val="fr-FR"/>
        </w:rPr>
        <w:t>is</w:t>
      </w:r>
      <w:r w:rsidR="00B85EF1">
        <w:rPr>
          <w:lang w:val="fr-FR"/>
        </w:rPr>
        <w:t xml:space="preserve">.  </w:t>
      </w:r>
      <w:r w:rsidR="00B85EF1" w:rsidRPr="00562699">
        <w:rPr>
          <w:lang w:val="fr-FR"/>
        </w:rPr>
        <w:t>Le</w:t>
      </w:r>
      <w:r w:rsidR="00CB23D2" w:rsidRPr="00562699">
        <w:rPr>
          <w:lang w:val="fr-FR"/>
        </w:rPr>
        <w:t>s travaux des administrations internationales étaient essentiels pour le système</w:t>
      </w:r>
      <w:r w:rsidR="003C64A0" w:rsidRPr="00562699">
        <w:rPr>
          <w:lang w:val="fr-FR"/>
        </w:rPr>
        <w:t xml:space="preserve"> du</w:t>
      </w:r>
      <w:r w:rsidR="003C64A0">
        <w:rPr>
          <w:lang w:val="fr-FR"/>
        </w:rPr>
        <w:t> </w:t>
      </w:r>
      <w:r w:rsidR="00B85EF1" w:rsidRPr="00562699">
        <w:rPr>
          <w:lang w:val="fr-FR"/>
        </w:rPr>
        <w:t>PCT</w:t>
      </w:r>
      <w:r w:rsidR="00B85EF1">
        <w:rPr>
          <w:lang w:val="fr-FR"/>
        </w:rPr>
        <w:t xml:space="preserve">.  </w:t>
      </w:r>
      <w:r w:rsidR="00B85EF1" w:rsidRPr="00562699">
        <w:rPr>
          <w:lang w:val="fr-FR"/>
        </w:rPr>
        <w:t>La</w:t>
      </w:r>
      <w:r w:rsidR="00CB23D2" w:rsidRPr="00562699">
        <w:rPr>
          <w:lang w:val="fr-FR"/>
        </w:rPr>
        <w:t xml:space="preserve"> recherche internationale et l</w:t>
      </w:r>
      <w:r w:rsidR="003C64A0">
        <w:rPr>
          <w:lang w:val="fr-FR"/>
        </w:rPr>
        <w:t>’</w:t>
      </w:r>
      <w:r w:rsidR="00CB23D2" w:rsidRPr="00562699">
        <w:rPr>
          <w:lang w:val="fr-FR"/>
        </w:rPr>
        <w:t>examen préliminaire international</w:t>
      </w:r>
      <w:r w:rsidR="00DA4B9D" w:rsidRPr="00562699">
        <w:rPr>
          <w:lang w:val="fr-FR"/>
        </w:rPr>
        <w:t xml:space="preserve"> </w:t>
      </w:r>
      <w:r w:rsidR="002E3A50" w:rsidRPr="00562699">
        <w:rPr>
          <w:lang w:val="fr-FR"/>
        </w:rPr>
        <w:t>permettaient</w:t>
      </w:r>
      <w:r w:rsidR="00DA4B9D" w:rsidRPr="00562699">
        <w:rPr>
          <w:lang w:val="fr-FR"/>
        </w:rPr>
        <w:t xml:space="preserve"> de réduire </w:t>
      </w:r>
      <w:r w:rsidR="00CB23D2" w:rsidRPr="00562699">
        <w:rPr>
          <w:lang w:val="fr-FR"/>
        </w:rPr>
        <w:t>la nécessité d</w:t>
      </w:r>
      <w:r w:rsidR="003C64A0">
        <w:rPr>
          <w:lang w:val="fr-FR"/>
        </w:rPr>
        <w:t>’</w:t>
      </w:r>
      <w:r w:rsidR="00CB23D2" w:rsidRPr="00562699">
        <w:rPr>
          <w:lang w:val="fr-FR"/>
        </w:rPr>
        <w:t>effectuer des recherches au niveau national auprès d</w:t>
      </w:r>
      <w:r w:rsidR="003C64A0">
        <w:rPr>
          <w:lang w:val="fr-FR"/>
        </w:rPr>
        <w:t>’</w:t>
      </w:r>
      <w:r w:rsidR="00CB23D2" w:rsidRPr="00562699">
        <w:rPr>
          <w:lang w:val="fr-FR"/>
        </w:rPr>
        <w:t xml:space="preserve">un </w:t>
      </w:r>
      <w:r w:rsidR="004D6D6F" w:rsidRPr="00562699">
        <w:rPr>
          <w:lang w:val="fr-FR"/>
        </w:rPr>
        <w:t>o</w:t>
      </w:r>
      <w:r w:rsidR="00CB23D2" w:rsidRPr="00562699">
        <w:rPr>
          <w:lang w:val="fr-FR"/>
        </w:rPr>
        <w:t>ffice de propriété intellectuel</w:t>
      </w:r>
      <w:r w:rsidR="00B85EF1" w:rsidRPr="00562699">
        <w:rPr>
          <w:lang w:val="fr-FR"/>
        </w:rPr>
        <w:t>le</w:t>
      </w:r>
      <w:r w:rsidR="00B85EF1">
        <w:rPr>
          <w:lang w:val="fr-FR"/>
        </w:rPr>
        <w:t xml:space="preserve">.  </w:t>
      </w:r>
      <w:r w:rsidR="00B85EF1" w:rsidRPr="00562699">
        <w:rPr>
          <w:lang w:val="fr-FR"/>
        </w:rPr>
        <w:t>Co</w:t>
      </w:r>
      <w:r w:rsidR="00CB23D2" w:rsidRPr="00562699">
        <w:rPr>
          <w:lang w:val="fr-FR"/>
        </w:rPr>
        <w:t>mpte tenu de la valeur croissante des actifs incorporels dans l</w:t>
      </w:r>
      <w:r w:rsidR="003C64A0">
        <w:rPr>
          <w:lang w:val="fr-FR"/>
        </w:rPr>
        <w:t>’</w:t>
      </w:r>
      <w:r w:rsidR="00CB23D2" w:rsidRPr="00562699">
        <w:rPr>
          <w:lang w:val="fr-FR"/>
        </w:rPr>
        <w:t>économie, il était important de s</w:t>
      </w:r>
      <w:r w:rsidR="003C64A0">
        <w:rPr>
          <w:lang w:val="fr-FR"/>
        </w:rPr>
        <w:t>’</w:t>
      </w:r>
      <w:r w:rsidR="00CB23D2" w:rsidRPr="00562699">
        <w:rPr>
          <w:lang w:val="fr-FR"/>
        </w:rPr>
        <w:t xml:space="preserve">attacher à améliorer les avantages offerts aux déposants de demandes de brevet </w:t>
      </w:r>
      <w:r w:rsidR="00DA4B9D" w:rsidRPr="00562699">
        <w:rPr>
          <w:lang w:val="fr-FR"/>
        </w:rPr>
        <w:t>utilisant le</w:t>
      </w:r>
      <w:r w:rsidR="00CB23D2" w:rsidRPr="00562699">
        <w:rPr>
          <w:lang w:val="fr-FR"/>
        </w:rPr>
        <w:t xml:space="preserve"> système</w:t>
      </w:r>
      <w:r w:rsidR="003C64A0" w:rsidRPr="00562699">
        <w:rPr>
          <w:lang w:val="fr-FR"/>
        </w:rPr>
        <w:t xml:space="preserve"> du</w:t>
      </w:r>
      <w:r w:rsidR="003C64A0">
        <w:rPr>
          <w:lang w:val="fr-FR"/>
        </w:rPr>
        <w:t> </w:t>
      </w:r>
      <w:r w:rsidR="003C64A0" w:rsidRPr="00562699">
        <w:rPr>
          <w:lang w:val="fr-FR"/>
        </w:rPr>
        <w:t>PCT</w:t>
      </w:r>
      <w:r w:rsidR="00CB23D2" w:rsidRPr="00562699">
        <w:rPr>
          <w:lang w:val="fr-FR"/>
        </w:rPr>
        <w:t xml:space="preserve">. </w:t>
      </w:r>
      <w:r w:rsidR="00DA4B9D" w:rsidRPr="00562699">
        <w:rPr>
          <w:lang w:val="fr-FR"/>
        </w:rPr>
        <w:t xml:space="preserve"> </w:t>
      </w:r>
      <w:r w:rsidR="004D6D6F" w:rsidRPr="00562699">
        <w:rPr>
          <w:lang w:val="fr-FR"/>
        </w:rPr>
        <w:t>D</w:t>
      </w:r>
      <w:r w:rsidR="003C64A0">
        <w:rPr>
          <w:lang w:val="fr-FR"/>
        </w:rPr>
        <w:t>’</w:t>
      </w:r>
      <w:r w:rsidR="00DA4B9D" w:rsidRPr="00562699">
        <w:rPr>
          <w:lang w:val="fr-FR"/>
        </w:rPr>
        <w:t>autres exemples</w:t>
      </w:r>
      <w:r w:rsidR="004D6D6F" w:rsidRPr="00562699">
        <w:rPr>
          <w:lang w:val="fr-FR"/>
        </w:rPr>
        <w:t xml:space="preserve"> étaient</w:t>
      </w:r>
      <w:r w:rsidR="00CB23D2" w:rsidRPr="00562699">
        <w:rPr>
          <w:lang w:val="fr-FR"/>
        </w:rPr>
        <w:t xml:space="preserve"> l</w:t>
      </w:r>
      <w:r w:rsidR="003C64A0">
        <w:rPr>
          <w:lang w:val="fr-FR"/>
        </w:rPr>
        <w:t>’</w:t>
      </w:r>
      <w:r w:rsidR="00CB23D2" w:rsidRPr="00562699">
        <w:rPr>
          <w:lang w:val="fr-FR"/>
        </w:rPr>
        <w:t xml:space="preserve">amélioration continue du cadre de qualité </w:t>
      </w:r>
      <w:r w:rsidR="00DA4B9D" w:rsidRPr="00562699">
        <w:rPr>
          <w:lang w:val="fr-FR"/>
        </w:rPr>
        <w:t xml:space="preserve">grâce aux </w:t>
      </w:r>
      <w:r w:rsidR="00CB23D2" w:rsidRPr="00562699">
        <w:rPr>
          <w:lang w:val="fr-FR"/>
        </w:rPr>
        <w:t xml:space="preserve">travaux du </w:t>
      </w:r>
      <w:r w:rsidR="004D6D6F" w:rsidRPr="00562699">
        <w:rPr>
          <w:lang w:val="fr-FR"/>
        </w:rPr>
        <w:t>S</w:t>
      </w:r>
      <w:r w:rsidR="00CB23D2" w:rsidRPr="00562699">
        <w:rPr>
          <w:lang w:val="fr-FR"/>
        </w:rPr>
        <w:t>ous</w:t>
      </w:r>
      <w:r w:rsidR="001B4A2C">
        <w:rPr>
          <w:lang w:val="fr-FR"/>
        </w:rPr>
        <w:noBreakHyphen/>
      </w:r>
      <w:r w:rsidR="00CB23D2" w:rsidRPr="00562699">
        <w:rPr>
          <w:lang w:val="fr-FR"/>
        </w:rPr>
        <w:t>groupe chargé de la qualité, l</w:t>
      </w:r>
      <w:r w:rsidR="003C64A0">
        <w:rPr>
          <w:lang w:val="fr-FR"/>
        </w:rPr>
        <w:t>’</w:t>
      </w:r>
      <w:r w:rsidR="00CB23D2" w:rsidRPr="00562699">
        <w:rPr>
          <w:lang w:val="fr-FR"/>
        </w:rPr>
        <w:t>utilisation accrue des services électroniques et les activités de collaboration et d</w:t>
      </w:r>
      <w:r w:rsidR="003C64A0">
        <w:rPr>
          <w:lang w:val="fr-FR"/>
        </w:rPr>
        <w:t>’</w:t>
      </w:r>
      <w:r w:rsidR="00CB23D2" w:rsidRPr="00562699">
        <w:rPr>
          <w:lang w:val="fr-FR"/>
        </w:rPr>
        <w:t>harmonisation, telles que les travaux menés avec l</w:t>
      </w:r>
      <w:r w:rsidR="003C64A0">
        <w:rPr>
          <w:lang w:val="fr-FR"/>
        </w:rPr>
        <w:t>’</w:t>
      </w:r>
      <w:r w:rsidR="00CB23D2" w:rsidRPr="00562699">
        <w:rPr>
          <w:lang w:val="fr-FR"/>
        </w:rPr>
        <w:t>Office européen des brevets sur l</w:t>
      </w:r>
      <w:r w:rsidR="003C64A0">
        <w:rPr>
          <w:lang w:val="fr-FR"/>
        </w:rPr>
        <w:t>’</w:t>
      </w:r>
      <w:r w:rsidR="00CB23D2" w:rsidRPr="00562699">
        <w:rPr>
          <w:lang w:val="fr-FR"/>
        </w:rPr>
        <w:t>harmonisation des rapports de recherche.</w:t>
      </w:r>
    </w:p>
    <w:p w14:paraId="2485EB85" w14:textId="27201ED4" w:rsidR="009246D2" w:rsidRPr="00562699" w:rsidRDefault="00E40E01" w:rsidP="00273B5F">
      <w:pPr>
        <w:pStyle w:val="ONUMFS"/>
        <w:rPr>
          <w:lang w:val="fr-FR"/>
        </w:rPr>
      </w:pPr>
      <w:r w:rsidRPr="00562699">
        <w:rPr>
          <w:lang w:val="fr-FR"/>
        </w:rPr>
        <w:lastRenderedPageBreak/>
        <w:t>M. </w:t>
      </w:r>
      <w:proofErr w:type="spellStart"/>
      <w:r w:rsidR="00CB23D2" w:rsidRPr="00562699">
        <w:rPr>
          <w:lang w:val="fr-FR"/>
        </w:rPr>
        <w:t>Sakr</w:t>
      </w:r>
      <w:proofErr w:type="spellEnd"/>
      <w:r w:rsidR="00CB23D2" w:rsidRPr="00562699">
        <w:rPr>
          <w:lang w:val="fr-FR"/>
        </w:rPr>
        <w:t xml:space="preserve"> a poursuivi en exprimant sa gratitude et sa fierté pour les réalisations de l</w:t>
      </w:r>
      <w:r w:rsidR="003C64A0">
        <w:rPr>
          <w:lang w:val="fr-FR"/>
        </w:rPr>
        <w:t>’</w:t>
      </w:r>
      <w:r w:rsidR="00CB23D2" w:rsidRPr="00562699">
        <w:rPr>
          <w:lang w:val="fr-FR"/>
        </w:rPr>
        <w:t xml:space="preserve">Office égyptien des brevets en tant que premier </w:t>
      </w:r>
      <w:r w:rsidR="004D6D6F" w:rsidRPr="00562699">
        <w:rPr>
          <w:lang w:val="fr-FR"/>
        </w:rPr>
        <w:t>o</w:t>
      </w:r>
      <w:r w:rsidR="00CB23D2" w:rsidRPr="00562699">
        <w:rPr>
          <w:lang w:val="fr-FR"/>
        </w:rPr>
        <w:t xml:space="preserve">ffice de propriété intellectuelle utilisant la langue arabe </w:t>
      </w:r>
      <w:r w:rsidRPr="00562699">
        <w:rPr>
          <w:lang w:val="fr-FR"/>
        </w:rPr>
        <w:t xml:space="preserve">à </w:t>
      </w:r>
      <w:r w:rsidR="00CB23D2" w:rsidRPr="00562699">
        <w:rPr>
          <w:lang w:val="fr-FR"/>
        </w:rPr>
        <w:t xml:space="preserve">être </w:t>
      </w:r>
      <w:r w:rsidR="002E3A50" w:rsidRPr="00562699">
        <w:rPr>
          <w:lang w:val="fr-FR"/>
        </w:rPr>
        <w:t>nommé en qualité d</w:t>
      </w:r>
      <w:r w:rsidR="003C64A0">
        <w:rPr>
          <w:lang w:val="fr-FR"/>
        </w:rPr>
        <w:t>’</w:t>
      </w:r>
      <w:r w:rsidR="00CB23D2" w:rsidRPr="00562699">
        <w:rPr>
          <w:lang w:val="fr-FR"/>
        </w:rPr>
        <w:t>administration chargée de la recherche internationale et de l</w:t>
      </w:r>
      <w:r w:rsidR="003C64A0">
        <w:rPr>
          <w:lang w:val="fr-FR"/>
        </w:rPr>
        <w:t>’</w:t>
      </w:r>
      <w:r w:rsidR="00CB23D2" w:rsidRPr="00562699">
        <w:rPr>
          <w:lang w:val="fr-FR"/>
        </w:rPr>
        <w:t xml:space="preserve">examen préliminaire </w:t>
      </w:r>
      <w:r w:rsidR="002E3A50" w:rsidRPr="00562699">
        <w:rPr>
          <w:lang w:val="fr-FR"/>
        </w:rPr>
        <w:t>i</w:t>
      </w:r>
      <w:r w:rsidR="00CB23D2" w:rsidRPr="00562699">
        <w:rPr>
          <w:lang w:val="fr-FR"/>
        </w:rPr>
        <w:t>nternational, l</w:t>
      </w:r>
      <w:r w:rsidR="003C64A0">
        <w:rPr>
          <w:lang w:val="fr-FR"/>
        </w:rPr>
        <w:t>’</w:t>
      </w:r>
      <w:r w:rsidR="00CB23D2" w:rsidRPr="00562699">
        <w:rPr>
          <w:lang w:val="fr-FR"/>
        </w:rPr>
        <w:t>Assemblée de l</w:t>
      </w:r>
      <w:r w:rsidR="003C64A0">
        <w:rPr>
          <w:lang w:val="fr-FR"/>
        </w:rPr>
        <w:t>’</w:t>
      </w:r>
      <w:r w:rsidR="00CB23D2" w:rsidRPr="00562699">
        <w:rPr>
          <w:lang w:val="fr-FR"/>
        </w:rPr>
        <w:t>Union</w:t>
      </w:r>
      <w:r w:rsidR="003C64A0" w:rsidRPr="00562699">
        <w:rPr>
          <w:lang w:val="fr-FR"/>
        </w:rPr>
        <w:t xml:space="preserve"> du</w:t>
      </w:r>
      <w:r w:rsidR="003C64A0">
        <w:rPr>
          <w:lang w:val="fr-FR"/>
        </w:rPr>
        <w:t> </w:t>
      </w:r>
      <w:r w:rsidR="003C64A0" w:rsidRPr="00562699">
        <w:rPr>
          <w:lang w:val="fr-FR"/>
        </w:rPr>
        <w:t>PCT</w:t>
      </w:r>
      <w:r w:rsidR="00CB23D2" w:rsidRPr="00562699">
        <w:rPr>
          <w:lang w:val="fr-FR"/>
        </w:rPr>
        <w:t xml:space="preserve"> </w:t>
      </w:r>
      <w:r w:rsidRPr="00562699">
        <w:rPr>
          <w:lang w:val="fr-FR"/>
        </w:rPr>
        <w:t xml:space="preserve">reconnaissant ainsi clairement </w:t>
      </w:r>
      <w:r w:rsidR="00CB23D2" w:rsidRPr="00562699">
        <w:rPr>
          <w:lang w:val="fr-FR"/>
        </w:rPr>
        <w:t>la compétence de l</w:t>
      </w:r>
      <w:r w:rsidR="003C64A0">
        <w:rPr>
          <w:lang w:val="fr-FR"/>
        </w:rPr>
        <w:t>’</w:t>
      </w:r>
      <w:r w:rsidR="00CB23D2" w:rsidRPr="00562699">
        <w:rPr>
          <w:lang w:val="fr-FR"/>
        </w:rPr>
        <w:t>Office égyptien des brevets pour mener à bien cette tâche.</w:t>
      </w:r>
      <w:r w:rsidR="008D1E3B" w:rsidRPr="00562699">
        <w:rPr>
          <w:lang w:val="fr-FR"/>
        </w:rPr>
        <w:t xml:space="preserve">  </w:t>
      </w:r>
      <w:r w:rsidR="00CB23D2" w:rsidRPr="00562699">
        <w:rPr>
          <w:lang w:val="fr-FR"/>
        </w:rPr>
        <w:t>L</w:t>
      </w:r>
      <w:r w:rsidR="003C64A0">
        <w:rPr>
          <w:lang w:val="fr-FR"/>
        </w:rPr>
        <w:t>’</w:t>
      </w:r>
      <w:r w:rsidR="00CB23D2" w:rsidRPr="00562699">
        <w:rPr>
          <w:lang w:val="fr-FR"/>
        </w:rPr>
        <w:t xml:space="preserve">Office égyptien des brevets </w:t>
      </w:r>
      <w:r w:rsidR="004D6D6F" w:rsidRPr="00562699">
        <w:rPr>
          <w:lang w:val="fr-FR"/>
        </w:rPr>
        <w:t>tenait à</w:t>
      </w:r>
      <w:r w:rsidRPr="00562699">
        <w:rPr>
          <w:lang w:val="fr-FR"/>
        </w:rPr>
        <w:t xml:space="preserve"> mettre en </w:t>
      </w:r>
      <w:r w:rsidR="00CB23D2" w:rsidRPr="00562699">
        <w:rPr>
          <w:lang w:val="fr-FR"/>
        </w:rPr>
        <w:t xml:space="preserve">place un système de propriété intellectuelle </w:t>
      </w:r>
      <w:r w:rsidRPr="00562699">
        <w:rPr>
          <w:lang w:val="fr-FR"/>
        </w:rPr>
        <w:t xml:space="preserve">qui permettrait aux </w:t>
      </w:r>
      <w:r w:rsidR="00CB23D2" w:rsidRPr="00562699">
        <w:rPr>
          <w:lang w:val="fr-FR"/>
        </w:rPr>
        <w:t xml:space="preserve">gens </w:t>
      </w:r>
      <w:r w:rsidRPr="00562699">
        <w:rPr>
          <w:lang w:val="fr-FR"/>
        </w:rPr>
        <w:t xml:space="preserve">de </w:t>
      </w:r>
      <w:r w:rsidR="00CB23D2" w:rsidRPr="00562699">
        <w:rPr>
          <w:lang w:val="fr-FR"/>
        </w:rPr>
        <w:t>démontrer leur créativité dans un</w:t>
      </w:r>
      <w:r w:rsidRPr="00562699">
        <w:rPr>
          <w:lang w:val="fr-FR"/>
        </w:rPr>
        <w:t>e</w:t>
      </w:r>
      <w:r w:rsidR="00CB23D2" w:rsidRPr="00562699">
        <w:rPr>
          <w:lang w:val="fr-FR"/>
        </w:rPr>
        <w:t xml:space="preserve"> grand</w:t>
      </w:r>
      <w:r w:rsidRPr="00562699">
        <w:rPr>
          <w:lang w:val="fr-FR"/>
        </w:rPr>
        <w:t>e variété</w:t>
      </w:r>
      <w:r w:rsidR="00CB23D2" w:rsidRPr="00562699">
        <w:rPr>
          <w:lang w:val="fr-FR"/>
        </w:rPr>
        <w:t xml:space="preserve"> de domaines, notamme</w:t>
      </w:r>
      <w:r w:rsidRPr="00562699">
        <w:rPr>
          <w:lang w:val="fr-FR"/>
        </w:rPr>
        <w:t>nt la science et la technologie</w:t>
      </w:r>
      <w:r w:rsidR="004D6D6F" w:rsidRPr="00562699">
        <w:rPr>
          <w:lang w:val="fr-FR"/>
        </w:rPr>
        <w:t>,</w:t>
      </w:r>
      <w:r w:rsidRPr="00562699">
        <w:rPr>
          <w:lang w:val="fr-FR"/>
        </w:rPr>
        <w:t xml:space="preserve"> et dont les </w:t>
      </w:r>
      <w:r w:rsidR="00CB23D2" w:rsidRPr="00562699">
        <w:rPr>
          <w:lang w:val="fr-FR"/>
        </w:rPr>
        <w:t>résultats permettraient de maintenir et de promouvoir la compétitivité industrielle et d</w:t>
      </w:r>
      <w:r w:rsidR="003C64A0">
        <w:rPr>
          <w:lang w:val="fr-FR"/>
        </w:rPr>
        <w:t>’</w:t>
      </w:r>
      <w:r w:rsidR="00CB23D2" w:rsidRPr="00562699">
        <w:rPr>
          <w:lang w:val="fr-FR"/>
        </w:rPr>
        <w:t>améliorer la vie des gens et aideraient l</w:t>
      </w:r>
      <w:r w:rsidR="003C64A0">
        <w:rPr>
          <w:lang w:val="fr-FR"/>
        </w:rPr>
        <w:t>’</w:t>
      </w:r>
      <w:r w:rsidR="00CB23D2" w:rsidRPr="00562699">
        <w:rPr>
          <w:lang w:val="fr-FR"/>
        </w:rPr>
        <w:t xml:space="preserve">Office égyptien des brevets à jouer un </w:t>
      </w:r>
      <w:r w:rsidRPr="00562699">
        <w:rPr>
          <w:lang w:val="fr-FR"/>
        </w:rPr>
        <w:t xml:space="preserve">véritable </w:t>
      </w:r>
      <w:r w:rsidR="00CB23D2" w:rsidRPr="00562699">
        <w:rPr>
          <w:lang w:val="fr-FR"/>
        </w:rPr>
        <w:t>rôle au sein de la communauté internationa</w:t>
      </w:r>
      <w:r w:rsidR="00B85EF1" w:rsidRPr="00562699">
        <w:rPr>
          <w:lang w:val="fr-FR"/>
        </w:rPr>
        <w:t>le</w:t>
      </w:r>
      <w:r w:rsidR="00B85EF1">
        <w:rPr>
          <w:lang w:val="fr-FR"/>
        </w:rPr>
        <w:t xml:space="preserve">.  </w:t>
      </w:r>
      <w:r w:rsidR="00B85EF1" w:rsidRPr="00562699">
        <w:rPr>
          <w:lang w:val="fr-FR"/>
        </w:rPr>
        <w:t>Ap</w:t>
      </w:r>
      <w:r w:rsidR="00CB23D2" w:rsidRPr="00562699">
        <w:rPr>
          <w:lang w:val="fr-FR"/>
        </w:rPr>
        <w:t xml:space="preserve">rès </w:t>
      </w:r>
      <w:r w:rsidRPr="00562699">
        <w:rPr>
          <w:lang w:val="fr-FR"/>
        </w:rPr>
        <w:t>son adhésion</w:t>
      </w:r>
      <w:r w:rsidR="003C64A0" w:rsidRPr="00562699">
        <w:rPr>
          <w:lang w:val="fr-FR"/>
        </w:rPr>
        <w:t xml:space="preserve"> au</w:t>
      </w:r>
      <w:r w:rsidR="003C64A0">
        <w:rPr>
          <w:lang w:val="fr-FR"/>
        </w:rPr>
        <w:t> </w:t>
      </w:r>
      <w:r w:rsidR="003C64A0" w:rsidRPr="00562699">
        <w:rPr>
          <w:lang w:val="fr-FR"/>
        </w:rPr>
        <w:t>PCT</w:t>
      </w:r>
      <w:r w:rsidR="00CB23D2" w:rsidRPr="00562699">
        <w:rPr>
          <w:lang w:val="fr-FR"/>
        </w:rPr>
        <w:t xml:space="preserve"> </w:t>
      </w:r>
      <w:r w:rsidR="003C64A0" w:rsidRPr="00562699">
        <w:rPr>
          <w:lang w:val="fr-FR"/>
        </w:rPr>
        <w:t>en</w:t>
      </w:r>
      <w:r w:rsidR="003C64A0">
        <w:rPr>
          <w:lang w:val="fr-FR"/>
        </w:rPr>
        <w:t> </w:t>
      </w:r>
      <w:r w:rsidR="003C64A0" w:rsidRPr="00562699">
        <w:rPr>
          <w:lang w:val="fr-FR"/>
        </w:rPr>
        <w:t>2003</w:t>
      </w:r>
      <w:r w:rsidR="00CB23D2" w:rsidRPr="00562699">
        <w:rPr>
          <w:lang w:val="fr-FR"/>
        </w:rPr>
        <w:t>, l</w:t>
      </w:r>
      <w:r w:rsidR="003C64A0">
        <w:rPr>
          <w:lang w:val="fr-FR"/>
        </w:rPr>
        <w:t>’</w:t>
      </w:r>
      <w:r w:rsidR="00CB23D2" w:rsidRPr="00562699">
        <w:rPr>
          <w:lang w:val="fr-FR"/>
        </w:rPr>
        <w:t>Office égyptien des brevets a</w:t>
      </w:r>
      <w:r w:rsidRPr="00562699">
        <w:rPr>
          <w:lang w:val="fr-FR"/>
        </w:rPr>
        <w:t>vait été une référence pour d</w:t>
      </w:r>
      <w:r w:rsidR="003C64A0">
        <w:rPr>
          <w:lang w:val="fr-FR"/>
        </w:rPr>
        <w:t>’</w:t>
      </w:r>
      <w:r w:rsidRPr="00562699">
        <w:rPr>
          <w:lang w:val="fr-FR"/>
        </w:rPr>
        <w:t xml:space="preserve">autres </w:t>
      </w:r>
      <w:r w:rsidR="004D6D6F" w:rsidRPr="00562699">
        <w:rPr>
          <w:lang w:val="fr-FR"/>
        </w:rPr>
        <w:t>o</w:t>
      </w:r>
      <w:r w:rsidR="00CB23D2" w:rsidRPr="00562699">
        <w:rPr>
          <w:lang w:val="fr-FR"/>
        </w:rPr>
        <w:t xml:space="preserve">ffices de propriété intellectuelle, en particulier </w:t>
      </w:r>
      <w:r w:rsidRPr="00562699">
        <w:rPr>
          <w:lang w:val="fr-FR"/>
        </w:rPr>
        <w:t>les offices</w:t>
      </w:r>
      <w:r w:rsidR="00CB23D2" w:rsidRPr="00562699">
        <w:rPr>
          <w:lang w:val="fr-FR"/>
        </w:rPr>
        <w:t xml:space="preserve"> </w:t>
      </w:r>
      <w:r w:rsidRPr="00562699">
        <w:rPr>
          <w:lang w:val="fr-FR"/>
        </w:rPr>
        <w:t xml:space="preserve">de </w:t>
      </w:r>
      <w:r w:rsidR="00CB23D2" w:rsidRPr="00562699">
        <w:rPr>
          <w:lang w:val="fr-FR"/>
        </w:rPr>
        <w:t>langue ara</w:t>
      </w:r>
      <w:r w:rsidR="00B85EF1" w:rsidRPr="00562699">
        <w:rPr>
          <w:lang w:val="fr-FR"/>
        </w:rPr>
        <w:t>be</w:t>
      </w:r>
      <w:r w:rsidR="00B85EF1">
        <w:rPr>
          <w:lang w:val="fr-FR"/>
        </w:rPr>
        <w:t xml:space="preserve">.  </w:t>
      </w:r>
      <w:r w:rsidR="00B85EF1" w:rsidRPr="00562699">
        <w:rPr>
          <w:lang w:val="fr-FR"/>
        </w:rPr>
        <w:t xml:space="preserve">À </w:t>
      </w:r>
      <w:r w:rsidR="00CB23D2" w:rsidRPr="00562699">
        <w:rPr>
          <w:lang w:val="fr-FR"/>
        </w:rPr>
        <w:t>cet égard, la coopération entre l</w:t>
      </w:r>
      <w:r w:rsidR="003C64A0">
        <w:rPr>
          <w:lang w:val="fr-FR"/>
        </w:rPr>
        <w:t>’</w:t>
      </w:r>
      <w:r w:rsidR="00CB23D2" w:rsidRPr="00562699">
        <w:rPr>
          <w:lang w:val="fr-FR"/>
        </w:rPr>
        <w:t>Office égyptien des brevets et d</w:t>
      </w:r>
      <w:r w:rsidR="003C64A0">
        <w:rPr>
          <w:lang w:val="fr-FR"/>
        </w:rPr>
        <w:t>’</w:t>
      </w:r>
      <w:r w:rsidR="00CB23D2" w:rsidRPr="00562699">
        <w:rPr>
          <w:lang w:val="fr-FR"/>
        </w:rPr>
        <w:t xml:space="preserve">autres </w:t>
      </w:r>
      <w:r w:rsidR="004D6D6F" w:rsidRPr="00562699">
        <w:rPr>
          <w:lang w:val="fr-FR"/>
        </w:rPr>
        <w:t>o</w:t>
      </w:r>
      <w:r w:rsidR="00CB23D2" w:rsidRPr="00562699">
        <w:rPr>
          <w:lang w:val="fr-FR"/>
        </w:rPr>
        <w:t>ffices de propriété intellectuelle avait été essentielle à l</w:t>
      </w:r>
      <w:r w:rsidR="003C64A0">
        <w:rPr>
          <w:lang w:val="fr-FR"/>
        </w:rPr>
        <w:t>’</w:t>
      </w:r>
      <w:r w:rsidR="00CB23D2" w:rsidRPr="00562699">
        <w:rPr>
          <w:lang w:val="fr-FR"/>
        </w:rPr>
        <w:t>échange d</w:t>
      </w:r>
      <w:r w:rsidR="003C64A0">
        <w:rPr>
          <w:lang w:val="fr-FR"/>
        </w:rPr>
        <w:t>’</w:t>
      </w:r>
      <w:r w:rsidR="00CB23D2" w:rsidRPr="00562699">
        <w:rPr>
          <w:lang w:val="fr-FR"/>
        </w:rPr>
        <w:t>informations et à l</w:t>
      </w:r>
      <w:r w:rsidR="003C64A0">
        <w:rPr>
          <w:lang w:val="fr-FR"/>
        </w:rPr>
        <w:t>’</w:t>
      </w:r>
      <w:r w:rsidR="00CB23D2" w:rsidRPr="00562699">
        <w:rPr>
          <w:lang w:val="fr-FR"/>
        </w:rPr>
        <w:t xml:space="preserve">harmonisation des </w:t>
      </w:r>
      <w:r w:rsidRPr="00562699">
        <w:rPr>
          <w:lang w:val="fr-FR"/>
        </w:rPr>
        <w:t xml:space="preserve">meilleures </w:t>
      </w:r>
      <w:r w:rsidR="00CB23D2" w:rsidRPr="00562699">
        <w:rPr>
          <w:lang w:val="fr-FR"/>
        </w:rPr>
        <w:t>pratiques, un exemple étant l</w:t>
      </w:r>
      <w:r w:rsidR="003C64A0">
        <w:rPr>
          <w:lang w:val="fr-FR"/>
        </w:rPr>
        <w:t>’</w:t>
      </w:r>
      <w:r w:rsidR="00CB23D2" w:rsidRPr="00562699">
        <w:rPr>
          <w:lang w:val="fr-FR"/>
        </w:rPr>
        <w:t>atelier annuel sur la recherche et l</w:t>
      </w:r>
      <w:r w:rsidR="003C64A0">
        <w:rPr>
          <w:lang w:val="fr-FR"/>
        </w:rPr>
        <w:t>’</w:t>
      </w:r>
      <w:r w:rsidR="00CB23D2" w:rsidRPr="00562699">
        <w:rPr>
          <w:lang w:val="fr-FR"/>
        </w:rPr>
        <w:t xml:space="preserve">examen en matière de brevets </w:t>
      </w:r>
      <w:r w:rsidRPr="00562699">
        <w:rPr>
          <w:lang w:val="fr-FR"/>
        </w:rPr>
        <w:t xml:space="preserve">destiné aux </w:t>
      </w:r>
      <w:r w:rsidR="00CB23D2" w:rsidRPr="00562699">
        <w:rPr>
          <w:lang w:val="fr-FR"/>
        </w:rPr>
        <w:t>pays africains et arabes</w:t>
      </w:r>
      <w:r w:rsidRPr="00562699">
        <w:rPr>
          <w:lang w:val="fr-FR"/>
        </w:rPr>
        <w:t xml:space="preserve"> et</w:t>
      </w:r>
      <w:r w:rsidR="00CB23D2" w:rsidRPr="00562699">
        <w:rPr>
          <w:lang w:val="fr-FR"/>
        </w:rPr>
        <w:t xml:space="preserve"> financé par l</w:t>
      </w:r>
      <w:r w:rsidR="003C64A0">
        <w:rPr>
          <w:lang w:val="fr-FR"/>
        </w:rPr>
        <w:t>’</w:t>
      </w:r>
      <w:r w:rsidR="00CB23D2" w:rsidRPr="00562699">
        <w:rPr>
          <w:lang w:val="fr-FR"/>
        </w:rPr>
        <w:t xml:space="preserve">OMPI. </w:t>
      </w:r>
      <w:r w:rsidRPr="00562699">
        <w:rPr>
          <w:lang w:val="fr-FR"/>
        </w:rPr>
        <w:t xml:space="preserve"> L</w:t>
      </w:r>
      <w:r w:rsidR="003C64A0">
        <w:rPr>
          <w:lang w:val="fr-FR"/>
        </w:rPr>
        <w:t>’</w:t>
      </w:r>
      <w:r w:rsidRPr="00562699">
        <w:rPr>
          <w:lang w:val="fr-FR"/>
        </w:rPr>
        <w:t>ASRT accord</w:t>
      </w:r>
      <w:r w:rsidR="002E3A50" w:rsidRPr="00562699">
        <w:rPr>
          <w:lang w:val="fr-FR"/>
        </w:rPr>
        <w:t>ait</w:t>
      </w:r>
      <w:r w:rsidRPr="00562699">
        <w:rPr>
          <w:lang w:val="fr-FR"/>
        </w:rPr>
        <w:t xml:space="preserve"> une </w:t>
      </w:r>
      <w:r w:rsidR="00CB23D2" w:rsidRPr="00562699">
        <w:rPr>
          <w:lang w:val="fr-FR"/>
        </w:rPr>
        <w:t xml:space="preserve">grande importance </w:t>
      </w:r>
      <w:r w:rsidRPr="00562699">
        <w:rPr>
          <w:lang w:val="fr-FR"/>
        </w:rPr>
        <w:t xml:space="preserve">au développement de </w:t>
      </w:r>
      <w:r w:rsidR="00CB23D2" w:rsidRPr="00562699">
        <w:rPr>
          <w:lang w:val="fr-FR"/>
        </w:rPr>
        <w:t>la coopération avec l</w:t>
      </w:r>
      <w:r w:rsidR="003C64A0">
        <w:rPr>
          <w:lang w:val="fr-FR"/>
        </w:rPr>
        <w:t>’</w:t>
      </w:r>
      <w:r w:rsidR="00CB23D2" w:rsidRPr="00562699">
        <w:rPr>
          <w:lang w:val="fr-FR"/>
        </w:rPr>
        <w:t xml:space="preserve">Afrique et </w:t>
      </w:r>
      <w:r w:rsidR="00FB39CA" w:rsidRPr="00562699">
        <w:rPr>
          <w:lang w:val="fr-FR"/>
        </w:rPr>
        <w:t xml:space="preserve">au soutien des </w:t>
      </w:r>
      <w:r w:rsidR="00CB23D2" w:rsidRPr="00562699">
        <w:rPr>
          <w:lang w:val="fr-FR"/>
        </w:rPr>
        <w:t>efforts déployés par les pays du continent pour renforcer leurs capacités dans le domaine de la propriété intellectuelle, en particulier des breve</w:t>
      </w:r>
      <w:r w:rsidR="00B85EF1" w:rsidRPr="00562699">
        <w:rPr>
          <w:lang w:val="fr-FR"/>
        </w:rPr>
        <w:t>ts</w:t>
      </w:r>
      <w:r w:rsidR="00B85EF1">
        <w:rPr>
          <w:lang w:val="fr-FR"/>
        </w:rPr>
        <w:t xml:space="preserve">.  </w:t>
      </w:r>
      <w:r w:rsidR="00B85EF1" w:rsidRPr="00562699">
        <w:rPr>
          <w:lang w:val="fr-FR"/>
        </w:rPr>
        <w:t>En</w:t>
      </w:r>
      <w:r w:rsidR="00CB23D2" w:rsidRPr="00562699">
        <w:rPr>
          <w:lang w:val="fr-FR"/>
        </w:rPr>
        <w:t xml:space="preserve"> conclusion, </w:t>
      </w:r>
      <w:r w:rsidR="00597802" w:rsidRPr="00562699">
        <w:rPr>
          <w:lang w:val="fr-FR"/>
        </w:rPr>
        <w:t>M.</w:t>
      </w:r>
      <w:r w:rsidR="004E4E83" w:rsidRPr="00562699">
        <w:rPr>
          <w:lang w:val="fr-FR"/>
        </w:rPr>
        <w:t> </w:t>
      </w:r>
      <w:proofErr w:type="spellStart"/>
      <w:r w:rsidR="00CB23D2" w:rsidRPr="00562699">
        <w:rPr>
          <w:lang w:val="fr-FR"/>
        </w:rPr>
        <w:t>Sakr</w:t>
      </w:r>
      <w:proofErr w:type="spellEnd"/>
      <w:r w:rsidR="00CB23D2" w:rsidRPr="00562699">
        <w:rPr>
          <w:lang w:val="fr-FR"/>
        </w:rPr>
        <w:t xml:space="preserve"> a félicité </w:t>
      </w:r>
      <w:r w:rsidR="00597802" w:rsidRPr="00562699">
        <w:rPr>
          <w:lang w:val="fr-FR"/>
        </w:rPr>
        <w:t>Mme </w:t>
      </w:r>
      <w:r w:rsidR="00CB23D2" w:rsidRPr="00562699">
        <w:rPr>
          <w:lang w:val="fr-FR"/>
        </w:rPr>
        <w:t>Mona Yahia, président</w:t>
      </w:r>
      <w:r w:rsidR="00597802" w:rsidRPr="00562699">
        <w:rPr>
          <w:lang w:val="fr-FR"/>
        </w:rPr>
        <w:t>e</w:t>
      </w:r>
      <w:r w:rsidR="00CB23D2" w:rsidRPr="00562699">
        <w:rPr>
          <w:lang w:val="fr-FR"/>
        </w:rPr>
        <w:t xml:space="preserve"> par intérim de l</w:t>
      </w:r>
      <w:r w:rsidR="003C64A0">
        <w:rPr>
          <w:lang w:val="fr-FR"/>
        </w:rPr>
        <w:t>’</w:t>
      </w:r>
      <w:r w:rsidR="00CB23D2" w:rsidRPr="00562699">
        <w:rPr>
          <w:lang w:val="fr-FR"/>
        </w:rPr>
        <w:t xml:space="preserve">Office égyptien des brevets pour son travail et a rendu hommage à la direction de </w:t>
      </w:r>
      <w:r w:rsidR="00597802" w:rsidRPr="00562699">
        <w:rPr>
          <w:lang w:val="fr-FR"/>
        </w:rPr>
        <w:t>M.</w:t>
      </w:r>
      <w:r w:rsidR="00953186">
        <w:rPr>
          <w:lang w:val="fr-FR"/>
        </w:rPr>
        <w:t> </w:t>
      </w:r>
      <w:r w:rsidR="00CB23D2" w:rsidRPr="00562699">
        <w:rPr>
          <w:lang w:val="fr-FR"/>
        </w:rPr>
        <w:t>Adel El</w:t>
      </w:r>
      <w:r w:rsidR="001B4A2C">
        <w:rPr>
          <w:lang w:val="fr-FR"/>
        </w:rPr>
        <w:noBreakHyphen/>
      </w:r>
      <w:proofErr w:type="spellStart"/>
      <w:r w:rsidR="00CB23D2" w:rsidRPr="00562699">
        <w:rPr>
          <w:lang w:val="fr-FR"/>
        </w:rPr>
        <w:t>saaed</w:t>
      </w:r>
      <w:proofErr w:type="spellEnd"/>
      <w:r w:rsidR="00CB23D2" w:rsidRPr="00562699">
        <w:rPr>
          <w:lang w:val="fr-FR"/>
        </w:rPr>
        <w:t xml:space="preserve"> </w:t>
      </w:r>
      <w:proofErr w:type="spellStart"/>
      <w:r w:rsidR="00CB23D2" w:rsidRPr="00562699">
        <w:rPr>
          <w:lang w:val="fr-FR"/>
        </w:rPr>
        <w:t>Oweida</w:t>
      </w:r>
      <w:proofErr w:type="spellEnd"/>
      <w:r w:rsidR="00FB39CA" w:rsidRPr="00562699">
        <w:rPr>
          <w:lang w:val="fr-FR"/>
        </w:rPr>
        <w:t xml:space="preserve"> en tant que </w:t>
      </w:r>
      <w:r w:rsidR="00CB23D2" w:rsidRPr="00562699">
        <w:rPr>
          <w:lang w:val="fr-FR"/>
        </w:rPr>
        <w:t>président de l</w:t>
      </w:r>
      <w:r w:rsidR="003C64A0">
        <w:rPr>
          <w:lang w:val="fr-FR"/>
        </w:rPr>
        <w:t>’</w:t>
      </w:r>
      <w:r w:rsidR="00CB23D2" w:rsidRPr="00562699">
        <w:rPr>
          <w:lang w:val="fr-FR"/>
        </w:rPr>
        <w:t>Office égyptien des brevets.</w:t>
      </w:r>
      <w:r w:rsidR="008D1E3B" w:rsidRPr="00562699">
        <w:rPr>
          <w:lang w:val="fr-FR"/>
        </w:rPr>
        <w:t xml:space="preserve">  </w:t>
      </w:r>
      <w:r w:rsidR="00597802" w:rsidRPr="00562699">
        <w:rPr>
          <w:lang w:val="fr-FR"/>
        </w:rPr>
        <w:t>M.</w:t>
      </w:r>
      <w:r w:rsidR="004E4E83" w:rsidRPr="00562699">
        <w:rPr>
          <w:lang w:val="fr-FR"/>
        </w:rPr>
        <w:t> </w:t>
      </w:r>
      <w:proofErr w:type="spellStart"/>
      <w:r w:rsidR="00CB23D2" w:rsidRPr="00562699">
        <w:rPr>
          <w:lang w:val="fr-FR"/>
        </w:rPr>
        <w:t>Sakr</w:t>
      </w:r>
      <w:proofErr w:type="spellEnd"/>
      <w:r w:rsidR="00CB23D2" w:rsidRPr="00562699">
        <w:rPr>
          <w:lang w:val="fr-FR"/>
        </w:rPr>
        <w:t xml:space="preserve"> a souhaité que la réunion soit couronnée de succès </w:t>
      </w:r>
      <w:r w:rsidR="00FB39CA" w:rsidRPr="00562699">
        <w:rPr>
          <w:lang w:val="fr-FR"/>
        </w:rPr>
        <w:t>et tire parti du</w:t>
      </w:r>
      <w:r w:rsidR="00CB23D2" w:rsidRPr="00562699">
        <w:rPr>
          <w:lang w:val="fr-FR"/>
        </w:rPr>
        <w:t xml:space="preserve"> potentiel et des </w:t>
      </w:r>
      <w:r w:rsidR="00FB39CA" w:rsidRPr="00562699">
        <w:rPr>
          <w:lang w:val="fr-FR"/>
        </w:rPr>
        <w:t>possibilités qu</w:t>
      </w:r>
      <w:r w:rsidR="003C64A0">
        <w:rPr>
          <w:lang w:val="fr-FR"/>
        </w:rPr>
        <w:t>’</w:t>
      </w:r>
      <w:r w:rsidR="00FB39CA" w:rsidRPr="00562699">
        <w:rPr>
          <w:lang w:val="fr-FR"/>
        </w:rPr>
        <w:t>elle offr</w:t>
      </w:r>
      <w:r w:rsidR="002E3A50" w:rsidRPr="00562699">
        <w:rPr>
          <w:lang w:val="fr-FR"/>
        </w:rPr>
        <w:t>ait</w:t>
      </w:r>
      <w:r w:rsidR="00FB39CA" w:rsidRPr="00562699">
        <w:rPr>
          <w:lang w:val="fr-FR"/>
        </w:rPr>
        <w:t xml:space="preserve"> de mettre en place </w:t>
      </w:r>
      <w:r w:rsidR="00CB23D2" w:rsidRPr="00562699">
        <w:rPr>
          <w:lang w:val="fr-FR"/>
        </w:rPr>
        <w:t>un système international des brevets optimal et efficace.</w:t>
      </w:r>
    </w:p>
    <w:p w14:paraId="40A9255C" w14:textId="77777777" w:rsidR="009246D2" w:rsidRPr="00562699" w:rsidRDefault="00597802" w:rsidP="00273B5F">
      <w:pPr>
        <w:pStyle w:val="ONUMFS"/>
        <w:rPr>
          <w:lang w:val="fr-FR"/>
        </w:rPr>
      </w:pPr>
      <w:r w:rsidRPr="00562699">
        <w:rPr>
          <w:lang w:val="fr-FR"/>
        </w:rPr>
        <w:t>M.</w:t>
      </w:r>
      <w:r w:rsidR="004E4E83" w:rsidRPr="00562699">
        <w:rPr>
          <w:lang w:val="fr-FR"/>
        </w:rPr>
        <w:t> </w:t>
      </w:r>
      <w:r w:rsidR="00CB23D2" w:rsidRPr="00562699">
        <w:rPr>
          <w:lang w:val="fr-FR"/>
        </w:rPr>
        <w:t xml:space="preserve">Thomas Marlow (OMPI) a assuré le secrétariat de la </w:t>
      </w:r>
      <w:r w:rsidR="00FB39CA" w:rsidRPr="00562699">
        <w:rPr>
          <w:lang w:val="fr-FR"/>
        </w:rPr>
        <w:t>r</w:t>
      </w:r>
      <w:r w:rsidR="00CB23D2" w:rsidRPr="00562699">
        <w:rPr>
          <w:lang w:val="fr-FR"/>
        </w:rPr>
        <w:t>éunion.</w:t>
      </w:r>
    </w:p>
    <w:p w14:paraId="340AFE4F" w14:textId="436E81C0" w:rsidR="009246D2" w:rsidRPr="00562699" w:rsidRDefault="00CB23D2" w:rsidP="00273B5F">
      <w:pPr>
        <w:pStyle w:val="Heading1"/>
        <w:rPr>
          <w:lang w:val="fr-FR"/>
        </w:rPr>
      </w:pPr>
      <w:r w:rsidRPr="00562699">
        <w:rPr>
          <w:lang w:val="fr-FR"/>
        </w:rPr>
        <w:t>Point</w:t>
      </w:r>
      <w:r w:rsidR="004E4E83" w:rsidRPr="00562699">
        <w:rPr>
          <w:lang w:val="fr-FR"/>
        </w:rPr>
        <w:t> </w:t>
      </w:r>
      <w:r w:rsidRPr="00562699">
        <w:rPr>
          <w:lang w:val="fr-FR"/>
        </w:rPr>
        <w:t>2</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élection d</w:t>
      </w:r>
      <w:r w:rsidR="003C64A0">
        <w:rPr>
          <w:lang w:val="fr-FR"/>
        </w:rPr>
        <w:t>’</w:t>
      </w:r>
      <w:r w:rsidRPr="00562699">
        <w:rPr>
          <w:lang w:val="fr-FR"/>
        </w:rPr>
        <w:t>un président</w:t>
      </w:r>
    </w:p>
    <w:p w14:paraId="4A8823B1" w14:textId="77777777" w:rsidR="00273B5F" w:rsidRPr="00562699" w:rsidRDefault="00273B5F" w:rsidP="00273B5F">
      <w:pPr>
        <w:rPr>
          <w:lang w:val="fr-FR"/>
        </w:rPr>
      </w:pPr>
    </w:p>
    <w:p w14:paraId="24CAE5E8" w14:textId="6F1E4488" w:rsidR="009246D2" w:rsidRPr="00562699" w:rsidRDefault="00CB23D2" w:rsidP="00273B5F">
      <w:pPr>
        <w:pStyle w:val="ONUMFS"/>
        <w:rPr>
          <w:lang w:val="fr-FR"/>
        </w:rPr>
      </w:pPr>
      <w:r w:rsidRPr="00562699">
        <w:rPr>
          <w:lang w:val="fr-FR"/>
        </w:rPr>
        <w:t>La session a été présidée par M</w:t>
      </w:r>
      <w:r w:rsidR="00597802" w:rsidRPr="00562699">
        <w:rPr>
          <w:lang w:val="fr-FR"/>
        </w:rPr>
        <w:t>me</w:t>
      </w:r>
      <w:r w:rsidR="004E4E83" w:rsidRPr="00562699">
        <w:rPr>
          <w:lang w:val="fr-FR"/>
        </w:rPr>
        <w:t> </w:t>
      </w:r>
      <w:r w:rsidRPr="00562699">
        <w:rPr>
          <w:lang w:val="fr-FR"/>
        </w:rPr>
        <w:t>Mona Yahia, président</w:t>
      </w:r>
      <w:r w:rsidR="00597802" w:rsidRPr="00562699">
        <w:rPr>
          <w:lang w:val="fr-FR"/>
        </w:rPr>
        <w:t>e</w:t>
      </w:r>
      <w:r w:rsidRPr="00562699">
        <w:rPr>
          <w:lang w:val="fr-FR"/>
        </w:rPr>
        <w:t xml:space="preserve"> par intérim de l</w:t>
      </w:r>
      <w:r w:rsidR="003C64A0">
        <w:rPr>
          <w:lang w:val="fr-FR"/>
        </w:rPr>
        <w:t>’</w:t>
      </w:r>
      <w:r w:rsidRPr="00562699">
        <w:rPr>
          <w:lang w:val="fr-FR"/>
        </w:rPr>
        <w:t>Office égyptien des brevets.</w:t>
      </w:r>
    </w:p>
    <w:p w14:paraId="16E2BA85" w14:textId="75FD4C06" w:rsidR="009246D2" w:rsidRPr="00562699" w:rsidRDefault="00CB23D2" w:rsidP="00273B5F">
      <w:pPr>
        <w:pStyle w:val="Heading1"/>
        <w:rPr>
          <w:lang w:val="fr-FR"/>
        </w:rPr>
      </w:pPr>
      <w:r w:rsidRPr="00562699">
        <w:rPr>
          <w:lang w:val="fr-FR"/>
        </w:rPr>
        <w:t>Point</w:t>
      </w:r>
      <w:r w:rsidR="004E4E83" w:rsidRPr="00562699">
        <w:rPr>
          <w:lang w:val="fr-FR"/>
        </w:rPr>
        <w:t> </w:t>
      </w:r>
      <w:r w:rsidRPr="00562699">
        <w:rPr>
          <w:lang w:val="fr-FR"/>
        </w:rPr>
        <w:t>3</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adoption de l</w:t>
      </w:r>
      <w:r w:rsidR="003C64A0">
        <w:rPr>
          <w:lang w:val="fr-FR"/>
        </w:rPr>
        <w:t>’</w:t>
      </w:r>
      <w:r w:rsidRPr="00562699">
        <w:rPr>
          <w:lang w:val="fr-FR"/>
        </w:rPr>
        <w:t>ordre du jour</w:t>
      </w:r>
    </w:p>
    <w:p w14:paraId="058EE68C" w14:textId="77777777" w:rsidR="00273B5F" w:rsidRPr="00562699" w:rsidRDefault="00273B5F" w:rsidP="00273B5F">
      <w:pPr>
        <w:rPr>
          <w:lang w:val="fr-FR"/>
        </w:rPr>
      </w:pPr>
    </w:p>
    <w:p w14:paraId="131A2D80" w14:textId="7641CD9D" w:rsidR="009246D2" w:rsidRPr="00562699" w:rsidRDefault="00CB23D2" w:rsidP="00273B5F">
      <w:pPr>
        <w:pStyle w:val="ONUMFS"/>
        <w:ind w:left="567"/>
        <w:rPr>
          <w:lang w:val="fr-FR"/>
        </w:rPr>
      </w:pPr>
      <w:r w:rsidRPr="00562699">
        <w:rPr>
          <w:lang w:val="fr-FR"/>
        </w:rPr>
        <w:t>La réunion a adopté l</w:t>
      </w:r>
      <w:r w:rsidR="003C64A0">
        <w:rPr>
          <w:lang w:val="fr-FR"/>
        </w:rPr>
        <w:t>’</w:t>
      </w:r>
      <w:r w:rsidRPr="00562699">
        <w:rPr>
          <w:lang w:val="fr-FR"/>
        </w:rPr>
        <w:t xml:space="preserve">ordre du jour </w:t>
      </w:r>
      <w:r w:rsidR="00FB39CA" w:rsidRPr="00562699">
        <w:rPr>
          <w:lang w:val="fr-FR"/>
        </w:rPr>
        <w:t>figurant</w:t>
      </w:r>
      <w:r w:rsidRPr="00562699">
        <w:rPr>
          <w:lang w:val="fr-FR"/>
        </w:rPr>
        <w:t xml:space="preserve"> dans le document PCT/MIA/26/1</w:t>
      </w:r>
      <w:r w:rsidR="00597802" w:rsidRPr="00562699">
        <w:rPr>
          <w:lang w:val="fr-FR"/>
        </w:rPr>
        <w:t> </w:t>
      </w:r>
      <w:r w:rsidRPr="00562699">
        <w:rPr>
          <w:lang w:val="fr-FR"/>
        </w:rPr>
        <w:t>Prov.3.</w:t>
      </w:r>
    </w:p>
    <w:p w14:paraId="6E504F47" w14:textId="680A42F3" w:rsidR="009246D2" w:rsidRPr="00562699" w:rsidRDefault="00CB23D2" w:rsidP="00273B5F">
      <w:pPr>
        <w:pStyle w:val="Heading1"/>
        <w:rPr>
          <w:lang w:val="fr-FR"/>
        </w:rPr>
      </w:pPr>
      <w:r w:rsidRPr="00562699">
        <w:rPr>
          <w:lang w:val="fr-FR"/>
        </w:rPr>
        <w:t>Point</w:t>
      </w:r>
      <w:r w:rsidR="004E4E83" w:rsidRPr="00562699">
        <w:rPr>
          <w:lang w:val="fr-FR"/>
        </w:rPr>
        <w:t> </w:t>
      </w:r>
      <w:r w:rsidRPr="00562699">
        <w:rPr>
          <w:lang w:val="fr-FR"/>
        </w:rPr>
        <w:t>4</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statistiques concernant </w:t>
      </w:r>
      <w:r w:rsidR="00273B5F" w:rsidRPr="00562699">
        <w:rPr>
          <w:lang w:val="fr-FR"/>
        </w:rPr>
        <w:t>le PCT</w:t>
      </w:r>
    </w:p>
    <w:p w14:paraId="44E01F0C" w14:textId="77777777" w:rsidR="00273B5F" w:rsidRPr="00562699" w:rsidRDefault="00273B5F" w:rsidP="00273B5F">
      <w:pPr>
        <w:rPr>
          <w:lang w:val="fr-FR"/>
        </w:rPr>
      </w:pPr>
    </w:p>
    <w:p w14:paraId="19FE5773" w14:textId="468AC3EE" w:rsidR="009246D2" w:rsidRPr="00562699" w:rsidRDefault="00CB23D2" w:rsidP="00273B5F">
      <w:pPr>
        <w:pStyle w:val="ONUMFS"/>
        <w:ind w:left="567"/>
        <w:rPr>
          <w:lang w:val="fr-FR"/>
        </w:rPr>
      </w:pPr>
      <w:r w:rsidRPr="00562699">
        <w:rPr>
          <w:lang w:val="fr-FR"/>
        </w:rPr>
        <w:t>La Réunion a pris note de l</w:t>
      </w:r>
      <w:r w:rsidR="003C64A0">
        <w:rPr>
          <w:lang w:val="fr-FR"/>
        </w:rPr>
        <w:t>’</w:t>
      </w:r>
      <w:r w:rsidRPr="00562699">
        <w:rPr>
          <w:lang w:val="fr-FR"/>
        </w:rPr>
        <w:t>exposé du Bureau international sur les plus récentes statistiques concernant</w:t>
      </w:r>
      <w:r w:rsidR="003C64A0" w:rsidRPr="00562699">
        <w:rPr>
          <w:lang w:val="fr-FR"/>
        </w:rPr>
        <w:t xml:space="preserve"> le</w:t>
      </w:r>
      <w:r w:rsidR="003C64A0">
        <w:rPr>
          <w:lang w:val="fr-FR"/>
        </w:rPr>
        <w:t> </w:t>
      </w:r>
      <w:r w:rsidR="003C64A0" w:rsidRPr="00562699">
        <w:rPr>
          <w:lang w:val="fr-FR"/>
        </w:rPr>
        <w:t>PCT</w:t>
      </w:r>
      <w:r w:rsidRPr="00562699">
        <w:rPr>
          <w:rStyle w:val="FootnoteReference"/>
          <w:lang w:val="fr-FR"/>
        </w:rPr>
        <w:footnoteReference w:id="2"/>
      </w:r>
      <w:r w:rsidR="004D6D6F" w:rsidRPr="00562699">
        <w:rPr>
          <w:lang w:val="fr-FR"/>
        </w:rPr>
        <w:t>.</w:t>
      </w:r>
    </w:p>
    <w:p w14:paraId="4D6D859B" w14:textId="3CEE4010" w:rsidR="009246D2" w:rsidRPr="00562699" w:rsidRDefault="00CB23D2" w:rsidP="00273B5F">
      <w:pPr>
        <w:pStyle w:val="ONUMFS"/>
        <w:rPr>
          <w:lang w:val="fr-FR"/>
        </w:rPr>
      </w:pPr>
      <w:bookmarkStart w:id="5" w:name="_Ref1724991"/>
      <w:r w:rsidRPr="00562699">
        <w:rPr>
          <w:lang w:val="fr-FR"/>
        </w:rPr>
        <w:t>Une administration a souligné que des facteurs tels que les retards dans la transmission de</w:t>
      </w:r>
      <w:r w:rsidR="00FB39CA" w:rsidRPr="00562699">
        <w:rPr>
          <w:lang w:val="fr-FR"/>
        </w:rPr>
        <w:t>s</w:t>
      </w:r>
      <w:r w:rsidRPr="00562699">
        <w:rPr>
          <w:lang w:val="fr-FR"/>
        </w:rPr>
        <w:t xml:space="preserve"> information</w:t>
      </w:r>
      <w:r w:rsidR="00FB39CA" w:rsidRPr="00562699">
        <w:rPr>
          <w:lang w:val="fr-FR"/>
        </w:rPr>
        <w:t>s</w:t>
      </w:r>
      <w:r w:rsidRPr="00562699">
        <w:rPr>
          <w:lang w:val="fr-FR"/>
        </w:rPr>
        <w:t xml:space="preserve"> et les erreurs d</w:t>
      </w:r>
      <w:r w:rsidR="003C64A0">
        <w:rPr>
          <w:lang w:val="fr-FR"/>
        </w:rPr>
        <w:t>’</w:t>
      </w:r>
      <w:r w:rsidRPr="00562699">
        <w:rPr>
          <w:lang w:val="fr-FR"/>
        </w:rPr>
        <w:t xml:space="preserve">enregistrement pouvaient </w:t>
      </w:r>
      <w:r w:rsidR="00FB39CA" w:rsidRPr="00562699">
        <w:rPr>
          <w:lang w:val="fr-FR"/>
        </w:rPr>
        <w:t>entraîner</w:t>
      </w:r>
      <w:r w:rsidRPr="00562699">
        <w:rPr>
          <w:lang w:val="fr-FR"/>
        </w:rPr>
        <w:t xml:space="preserve"> des divergences entre les statistiques tenues par le Bureau </w:t>
      </w:r>
      <w:r w:rsidR="00FB39CA" w:rsidRPr="00562699">
        <w:rPr>
          <w:lang w:val="fr-FR"/>
        </w:rPr>
        <w:t>i</w:t>
      </w:r>
      <w:r w:rsidRPr="00562699">
        <w:rPr>
          <w:lang w:val="fr-FR"/>
        </w:rPr>
        <w:t>nternational et les dossiers d</w:t>
      </w:r>
      <w:r w:rsidR="003C64A0">
        <w:rPr>
          <w:lang w:val="fr-FR"/>
        </w:rPr>
        <w:t>’</w:t>
      </w:r>
      <w:r w:rsidRPr="00562699">
        <w:rPr>
          <w:lang w:val="fr-FR"/>
        </w:rPr>
        <w:t>une administration internationale donn</w:t>
      </w:r>
      <w:bookmarkEnd w:id="5"/>
      <w:r w:rsidR="00B85EF1" w:rsidRPr="00562699">
        <w:rPr>
          <w:lang w:val="fr-FR"/>
        </w:rPr>
        <w:t>ée</w:t>
      </w:r>
      <w:r w:rsidR="00B85EF1">
        <w:rPr>
          <w:lang w:val="fr-FR"/>
        </w:rPr>
        <w:t xml:space="preserve">.  </w:t>
      </w:r>
      <w:r w:rsidR="00B85EF1" w:rsidRPr="00562699">
        <w:rPr>
          <w:lang w:val="fr-FR"/>
        </w:rPr>
        <w:t>Il</w:t>
      </w:r>
      <w:r w:rsidR="00FB39CA" w:rsidRPr="00562699">
        <w:rPr>
          <w:lang w:val="fr-FR"/>
        </w:rPr>
        <w:t xml:space="preserve"> conviendrait dès lors de </w:t>
      </w:r>
      <w:r w:rsidRPr="00562699">
        <w:rPr>
          <w:lang w:val="fr-FR"/>
        </w:rPr>
        <w:t>s</w:t>
      </w:r>
      <w:r w:rsidR="003C64A0">
        <w:rPr>
          <w:lang w:val="fr-FR"/>
        </w:rPr>
        <w:t>’</w:t>
      </w:r>
      <w:r w:rsidRPr="00562699">
        <w:rPr>
          <w:lang w:val="fr-FR"/>
        </w:rPr>
        <w:t xml:space="preserve">efforcer </w:t>
      </w:r>
      <w:r w:rsidR="00FB39CA" w:rsidRPr="00562699">
        <w:rPr>
          <w:lang w:val="fr-FR"/>
        </w:rPr>
        <w:t xml:space="preserve">de les </w:t>
      </w:r>
      <w:r w:rsidRPr="00562699">
        <w:rPr>
          <w:lang w:val="fr-FR"/>
        </w:rPr>
        <w:t xml:space="preserve">vérifier et </w:t>
      </w:r>
      <w:r w:rsidR="00FB39CA" w:rsidRPr="00562699">
        <w:rPr>
          <w:lang w:val="fr-FR"/>
        </w:rPr>
        <w:t xml:space="preserve">de les </w:t>
      </w:r>
      <w:r w:rsidRPr="00562699">
        <w:rPr>
          <w:lang w:val="fr-FR"/>
        </w:rPr>
        <w:t xml:space="preserve">adapter </w:t>
      </w:r>
      <w:r w:rsidR="00FB39CA" w:rsidRPr="00562699">
        <w:rPr>
          <w:lang w:val="fr-FR"/>
        </w:rPr>
        <w:t xml:space="preserve">dans un souci de </w:t>
      </w:r>
      <w:r w:rsidRPr="00562699">
        <w:rPr>
          <w:lang w:val="fr-FR"/>
        </w:rPr>
        <w:t>plus grande cohérence.</w:t>
      </w:r>
    </w:p>
    <w:p w14:paraId="7DAB794D" w14:textId="66AB1FF7" w:rsidR="009246D2" w:rsidRPr="00562699" w:rsidRDefault="00CB23D2" w:rsidP="00273B5F">
      <w:pPr>
        <w:pStyle w:val="Heading1"/>
        <w:rPr>
          <w:lang w:val="fr-FR"/>
        </w:rPr>
      </w:pPr>
      <w:r w:rsidRPr="00562699">
        <w:rPr>
          <w:lang w:val="fr-FR"/>
        </w:rPr>
        <w:lastRenderedPageBreak/>
        <w:t>Point</w:t>
      </w:r>
      <w:r w:rsidR="004E4E83" w:rsidRPr="00562699">
        <w:rPr>
          <w:lang w:val="fr-FR"/>
        </w:rPr>
        <w:t> </w:t>
      </w:r>
      <w:r w:rsidRPr="00562699">
        <w:rPr>
          <w:lang w:val="fr-FR"/>
        </w:rPr>
        <w:t>5</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questions découlant du sous</w:t>
      </w:r>
      <w:r w:rsidR="001B4A2C">
        <w:rPr>
          <w:lang w:val="fr-FR"/>
        </w:rPr>
        <w:noBreakHyphen/>
      </w:r>
      <w:r w:rsidRPr="00562699">
        <w:rPr>
          <w:lang w:val="fr-FR"/>
        </w:rPr>
        <w:t>groupe chargé de la qualité</w:t>
      </w:r>
    </w:p>
    <w:p w14:paraId="598EE68A" w14:textId="77777777" w:rsidR="00273B5F" w:rsidRPr="00562699" w:rsidRDefault="00273B5F" w:rsidP="00273B5F">
      <w:pPr>
        <w:rPr>
          <w:lang w:val="fr-FR"/>
        </w:rPr>
      </w:pPr>
    </w:p>
    <w:p w14:paraId="365971B0" w14:textId="48DC7439" w:rsidR="009246D2" w:rsidRPr="00562699" w:rsidRDefault="00CB23D2" w:rsidP="00273B5F">
      <w:pPr>
        <w:pStyle w:val="ONUMFS"/>
        <w:ind w:left="567"/>
        <w:rPr>
          <w:lang w:val="fr-FR"/>
        </w:rPr>
      </w:pPr>
      <w:r w:rsidRPr="00562699">
        <w:rPr>
          <w:lang w:val="fr-FR"/>
        </w:rPr>
        <w:t>La Réunion a pris note en l</w:t>
      </w:r>
      <w:r w:rsidR="003C64A0">
        <w:rPr>
          <w:lang w:val="fr-FR"/>
        </w:rPr>
        <w:t>’</w:t>
      </w:r>
      <w:r w:rsidRPr="00562699">
        <w:rPr>
          <w:lang w:val="fr-FR"/>
        </w:rPr>
        <w:t>approuvant du résumé établi par l</w:t>
      </w:r>
      <w:r w:rsidR="0084617F" w:rsidRPr="00562699">
        <w:rPr>
          <w:lang w:val="fr-FR"/>
        </w:rPr>
        <w:t>a</w:t>
      </w:r>
      <w:r w:rsidRPr="00562699">
        <w:rPr>
          <w:lang w:val="fr-FR"/>
        </w:rPr>
        <w:t xml:space="preserve"> président</w:t>
      </w:r>
      <w:r w:rsidR="0084617F" w:rsidRPr="00562699">
        <w:rPr>
          <w:lang w:val="fr-FR"/>
        </w:rPr>
        <w:t>e</w:t>
      </w:r>
      <w:r w:rsidRPr="00562699">
        <w:rPr>
          <w:lang w:val="fr-FR"/>
        </w:rPr>
        <w:t xml:space="preserve"> du Sous</w:t>
      </w:r>
      <w:r w:rsidR="001B4A2C">
        <w:rPr>
          <w:lang w:val="fr-FR"/>
        </w:rPr>
        <w:noBreakHyphen/>
      </w:r>
      <w:r w:rsidRPr="00562699">
        <w:rPr>
          <w:lang w:val="fr-FR"/>
        </w:rPr>
        <w:t>groupe chargé de la qualité reproduit à l</w:t>
      </w:r>
      <w:r w:rsidR="003C64A0">
        <w:rPr>
          <w:lang w:val="fr-FR"/>
        </w:rPr>
        <w:t>’</w:t>
      </w:r>
      <w:r w:rsidR="003C64A0" w:rsidRPr="00562699">
        <w:rPr>
          <w:lang w:val="fr-FR"/>
        </w:rPr>
        <w:t>annexe</w:t>
      </w:r>
      <w:r w:rsidR="003C64A0">
        <w:rPr>
          <w:lang w:val="fr-FR"/>
        </w:rPr>
        <w:t> </w:t>
      </w:r>
      <w:r w:rsidR="003C64A0" w:rsidRPr="00562699">
        <w:rPr>
          <w:lang w:val="fr-FR"/>
        </w:rPr>
        <w:t>I</w:t>
      </w:r>
      <w:r w:rsidRPr="00562699">
        <w:rPr>
          <w:lang w:val="fr-FR"/>
        </w:rPr>
        <w:t>I du présent document, a fait siennes les recommandations contenues dans ledit résumé et a approuvé le renouvellement du mandat du sous</w:t>
      </w:r>
      <w:r w:rsidR="001B4A2C">
        <w:rPr>
          <w:lang w:val="fr-FR"/>
        </w:rPr>
        <w:noBreakHyphen/>
      </w:r>
      <w:r w:rsidRPr="00562699">
        <w:rPr>
          <w:lang w:val="fr-FR"/>
        </w:rPr>
        <w:t xml:space="preserve">groupe, dont sa convocation en réunion physique </w:t>
      </w:r>
      <w:r w:rsidR="003C64A0" w:rsidRPr="00562699">
        <w:rPr>
          <w:lang w:val="fr-FR"/>
        </w:rPr>
        <w:t>en</w:t>
      </w:r>
      <w:r w:rsidR="003C64A0">
        <w:rPr>
          <w:lang w:val="fr-FR"/>
        </w:rPr>
        <w:t> </w:t>
      </w:r>
      <w:r w:rsidR="003C64A0" w:rsidRPr="00562699">
        <w:rPr>
          <w:lang w:val="fr-FR"/>
        </w:rPr>
        <w:t>2020</w:t>
      </w:r>
      <w:r w:rsidRPr="00562699">
        <w:rPr>
          <w:lang w:val="fr-FR"/>
        </w:rPr>
        <w:t>.</w:t>
      </w:r>
    </w:p>
    <w:p w14:paraId="206B4A60" w14:textId="00D1A5CA" w:rsidR="009246D2" w:rsidRPr="00562699" w:rsidRDefault="00CB23D2" w:rsidP="00273B5F">
      <w:pPr>
        <w:pStyle w:val="Heading1"/>
        <w:rPr>
          <w:lang w:val="fr-FR"/>
        </w:rPr>
      </w:pPr>
      <w:r w:rsidRPr="00562699">
        <w:rPr>
          <w:lang w:val="fr-FR"/>
        </w:rPr>
        <w:t>Point</w:t>
      </w:r>
      <w:r w:rsidR="004E4E83" w:rsidRPr="00562699">
        <w:rPr>
          <w:lang w:val="fr-FR"/>
        </w:rPr>
        <w:t> </w:t>
      </w:r>
      <w:r w:rsidRPr="00562699">
        <w:rPr>
          <w:lang w:val="fr-FR"/>
        </w:rPr>
        <w:t>6</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services en ligne</w:t>
      </w:r>
      <w:r w:rsidR="003C64A0" w:rsidRPr="00562699">
        <w:rPr>
          <w:lang w:val="fr-FR"/>
        </w:rPr>
        <w:t xml:space="preserve"> du</w:t>
      </w:r>
      <w:r w:rsidR="003C64A0">
        <w:rPr>
          <w:lang w:val="fr-FR"/>
        </w:rPr>
        <w:t> </w:t>
      </w:r>
      <w:r w:rsidR="003C64A0" w:rsidRPr="00562699">
        <w:rPr>
          <w:lang w:val="fr-FR"/>
        </w:rPr>
        <w:t>PCT</w:t>
      </w:r>
    </w:p>
    <w:p w14:paraId="65200B6B" w14:textId="77777777" w:rsidR="00273B5F" w:rsidRPr="00562699" w:rsidRDefault="00273B5F" w:rsidP="00273B5F">
      <w:pPr>
        <w:rPr>
          <w:lang w:val="fr-FR"/>
        </w:rPr>
      </w:pPr>
    </w:p>
    <w:p w14:paraId="4F110BC2" w14:textId="77777777" w:rsidR="009246D2" w:rsidRPr="00562699" w:rsidRDefault="00CB23D2" w:rsidP="00273B5F">
      <w:pPr>
        <w:pStyle w:val="ONUMFS"/>
        <w:rPr>
          <w:lang w:val="fr-FR"/>
        </w:rPr>
      </w:pPr>
      <w:r w:rsidRPr="00562699">
        <w:rPr>
          <w:lang w:val="fr-FR"/>
        </w:rPr>
        <w:t>Les délibérations ont eu lieu sur la base du document PCT/MIA/26/9.</w:t>
      </w:r>
    </w:p>
    <w:p w14:paraId="5BFCE4DF" w14:textId="6514A1DA" w:rsidR="009246D2" w:rsidRPr="00562699" w:rsidRDefault="00CB23D2" w:rsidP="00273B5F">
      <w:pPr>
        <w:pStyle w:val="ONUMFS"/>
        <w:rPr>
          <w:lang w:val="fr-FR"/>
        </w:rPr>
      </w:pPr>
      <w:r w:rsidRPr="00562699">
        <w:rPr>
          <w:lang w:val="fr-FR"/>
        </w:rPr>
        <w:t xml:space="preserve">En présentant le document, le Bureau </w:t>
      </w:r>
      <w:r w:rsidR="00FB39CA" w:rsidRPr="00562699">
        <w:rPr>
          <w:lang w:val="fr-FR"/>
        </w:rPr>
        <w:t>i</w:t>
      </w:r>
      <w:r w:rsidRPr="00562699">
        <w:rPr>
          <w:lang w:val="fr-FR"/>
        </w:rPr>
        <w:t xml:space="preserve">nternational a souligné </w:t>
      </w:r>
      <w:r w:rsidR="00FB39CA" w:rsidRPr="00562699">
        <w:rPr>
          <w:lang w:val="fr-FR"/>
        </w:rPr>
        <w:t xml:space="preserve">combien il </w:t>
      </w:r>
      <w:r w:rsidR="004D6D6F" w:rsidRPr="00562699">
        <w:rPr>
          <w:lang w:val="fr-FR"/>
        </w:rPr>
        <w:t>était</w:t>
      </w:r>
      <w:r w:rsidR="00FB39CA" w:rsidRPr="00562699">
        <w:rPr>
          <w:lang w:val="fr-FR"/>
        </w:rPr>
        <w:t xml:space="preserve"> important que les </w:t>
      </w:r>
      <w:r w:rsidR="004D6D6F" w:rsidRPr="00562699">
        <w:rPr>
          <w:lang w:val="fr-FR"/>
        </w:rPr>
        <w:t>o</w:t>
      </w:r>
      <w:r w:rsidRPr="00562699">
        <w:rPr>
          <w:lang w:val="fr-FR"/>
        </w:rPr>
        <w:t xml:space="preserve">ffices </w:t>
      </w:r>
      <w:r w:rsidR="00FB39CA" w:rsidRPr="00562699">
        <w:rPr>
          <w:lang w:val="fr-FR"/>
        </w:rPr>
        <w:t xml:space="preserve">travaillent à </w:t>
      </w:r>
      <w:r w:rsidRPr="00562699">
        <w:rPr>
          <w:lang w:val="fr-FR"/>
        </w:rPr>
        <w:t>l</w:t>
      </w:r>
      <w:r w:rsidR="003C64A0">
        <w:rPr>
          <w:lang w:val="fr-FR"/>
        </w:rPr>
        <w:t>’</w:t>
      </w:r>
      <w:r w:rsidRPr="00562699">
        <w:rPr>
          <w:lang w:val="fr-FR"/>
        </w:rPr>
        <w:t>élaboration d</w:t>
      </w:r>
      <w:r w:rsidR="003C64A0">
        <w:rPr>
          <w:lang w:val="fr-FR"/>
        </w:rPr>
        <w:t>’</w:t>
      </w:r>
      <w:r w:rsidRPr="00562699">
        <w:rPr>
          <w:lang w:val="fr-FR"/>
        </w:rPr>
        <w:t>une stratégie informatique commu</w:t>
      </w:r>
      <w:r w:rsidR="00B85EF1" w:rsidRPr="00562699">
        <w:rPr>
          <w:lang w:val="fr-FR"/>
        </w:rPr>
        <w:t>ne</w:t>
      </w:r>
      <w:r w:rsidR="00B85EF1">
        <w:rPr>
          <w:lang w:val="fr-FR"/>
        </w:rPr>
        <w:t xml:space="preserve">.  </w:t>
      </w:r>
      <w:r w:rsidR="00B85EF1" w:rsidRPr="00562699">
        <w:rPr>
          <w:lang w:val="fr-FR"/>
        </w:rPr>
        <w:t>Le</w:t>
      </w:r>
      <w:r w:rsidRPr="00562699">
        <w:rPr>
          <w:lang w:val="fr-FR"/>
        </w:rPr>
        <w:t xml:space="preserve"> Bureau </w:t>
      </w:r>
      <w:r w:rsidR="00D11B18" w:rsidRPr="00562699">
        <w:rPr>
          <w:lang w:val="fr-FR"/>
        </w:rPr>
        <w:t>i</w:t>
      </w:r>
      <w:r w:rsidRPr="00562699">
        <w:rPr>
          <w:lang w:val="fr-FR"/>
        </w:rPr>
        <w:t xml:space="preserve">nternational </w:t>
      </w:r>
      <w:r w:rsidR="002E3A50" w:rsidRPr="00562699">
        <w:rPr>
          <w:lang w:val="fr-FR"/>
        </w:rPr>
        <w:t>souhaitait remplacer</w:t>
      </w:r>
      <w:r w:rsidR="00D11B18" w:rsidRPr="00562699">
        <w:rPr>
          <w:lang w:val="fr-FR"/>
        </w:rPr>
        <w:t xml:space="preserve"> </w:t>
      </w:r>
      <w:r w:rsidRPr="00562699">
        <w:rPr>
          <w:lang w:val="fr-FR"/>
        </w:rPr>
        <w:t>le système PCT</w:t>
      </w:r>
      <w:r w:rsidR="001B4A2C">
        <w:rPr>
          <w:lang w:val="fr-FR"/>
        </w:rPr>
        <w:noBreakHyphen/>
      </w:r>
      <w:r w:rsidRPr="00562699">
        <w:rPr>
          <w:lang w:val="fr-FR"/>
        </w:rPr>
        <w:t xml:space="preserve">SAFE </w:t>
      </w:r>
      <w:r w:rsidR="00D11B18" w:rsidRPr="00562699">
        <w:rPr>
          <w:lang w:val="fr-FR"/>
        </w:rPr>
        <w:t xml:space="preserve">par le </w:t>
      </w:r>
      <w:r w:rsidRPr="00562699">
        <w:rPr>
          <w:lang w:val="fr-FR"/>
        </w:rPr>
        <w:t xml:space="preserve">système </w:t>
      </w:r>
      <w:proofErr w:type="spellStart"/>
      <w:r w:rsidRPr="00562699">
        <w:rPr>
          <w:lang w:val="fr-FR"/>
        </w:rPr>
        <w:t>ePCT</w:t>
      </w:r>
      <w:proofErr w:type="spellEnd"/>
      <w:r w:rsidRPr="00562699">
        <w:rPr>
          <w:lang w:val="fr-FR"/>
        </w:rPr>
        <w:t xml:space="preserve">, qui offrait de meilleures </w:t>
      </w:r>
      <w:r w:rsidR="002E3A50" w:rsidRPr="00562699">
        <w:rPr>
          <w:lang w:val="fr-FR"/>
        </w:rPr>
        <w:t xml:space="preserve">options de </w:t>
      </w:r>
      <w:r w:rsidRPr="00562699">
        <w:rPr>
          <w:lang w:val="fr-FR"/>
        </w:rPr>
        <w:t>validation et était toujours à jo</w:t>
      </w:r>
      <w:r w:rsidR="00B85EF1" w:rsidRPr="00562699">
        <w:rPr>
          <w:lang w:val="fr-FR"/>
        </w:rPr>
        <w:t>ur</w:t>
      </w:r>
      <w:r w:rsidR="00B85EF1">
        <w:rPr>
          <w:lang w:val="fr-FR"/>
        </w:rPr>
        <w:t xml:space="preserve">.  </w:t>
      </w:r>
      <w:r w:rsidR="00B85EF1" w:rsidRPr="00562699">
        <w:rPr>
          <w:lang w:val="fr-FR"/>
        </w:rPr>
        <w:t>Il</w:t>
      </w:r>
      <w:r w:rsidR="00D11B18" w:rsidRPr="00562699">
        <w:rPr>
          <w:lang w:val="fr-FR"/>
        </w:rPr>
        <w:t xml:space="preserve"> convenait toutefois de reconnaître l</w:t>
      </w:r>
      <w:r w:rsidR="003C64A0">
        <w:rPr>
          <w:lang w:val="fr-FR"/>
        </w:rPr>
        <w:t>’</w:t>
      </w:r>
      <w:r w:rsidR="00D11B18" w:rsidRPr="00562699">
        <w:rPr>
          <w:lang w:val="fr-FR"/>
        </w:rPr>
        <w:t xml:space="preserve">importance du rôle joué par </w:t>
      </w:r>
      <w:r w:rsidR="002E3A50" w:rsidRPr="00562699">
        <w:rPr>
          <w:lang w:val="fr-FR"/>
        </w:rPr>
        <w:t xml:space="preserve">le système </w:t>
      </w:r>
      <w:r w:rsidR="00D11B18" w:rsidRPr="00562699">
        <w:rPr>
          <w:lang w:val="fr-FR"/>
        </w:rPr>
        <w:t>PCT</w:t>
      </w:r>
      <w:r w:rsidR="001B4A2C">
        <w:rPr>
          <w:lang w:val="fr-FR"/>
        </w:rPr>
        <w:noBreakHyphen/>
      </w:r>
      <w:r w:rsidR="00D11B18" w:rsidRPr="00562699">
        <w:rPr>
          <w:lang w:val="fr-FR"/>
        </w:rPr>
        <w:t>SAFE en tant qu</w:t>
      </w:r>
      <w:r w:rsidR="003C64A0">
        <w:rPr>
          <w:lang w:val="fr-FR"/>
        </w:rPr>
        <w:t>’“</w:t>
      </w:r>
      <w:r w:rsidR="003C64A0" w:rsidRPr="00562699">
        <w:rPr>
          <w:lang w:val="fr-FR"/>
        </w:rPr>
        <w:t>a</w:t>
      </w:r>
      <w:r w:rsidRPr="00562699">
        <w:rPr>
          <w:lang w:val="fr-FR"/>
        </w:rPr>
        <w:t>pplication de référenc</w:t>
      </w:r>
      <w:r w:rsidR="003C64A0" w:rsidRPr="00562699">
        <w:rPr>
          <w:lang w:val="fr-FR"/>
        </w:rPr>
        <w:t>e</w:t>
      </w:r>
      <w:r w:rsidR="003C64A0">
        <w:rPr>
          <w:lang w:val="fr-FR"/>
        </w:rPr>
        <w:t>”</w:t>
      </w:r>
      <w:r w:rsidRPr="00562699">
        <w:rPr>
          <w:lang w:val="fr-FR"/>
        </w:rPr>
        <w:t>.</w:t>
      </w:r>
      <w:r w:rsidR="008D1E3B" w:rsidRPr="00562699">
        <w:rPr>
          <w:lang w:val="fr-FR"/>
        </w:rPr>
        <w:t xml:space="preserve">  </w:t>
      </w:r>
      <w:r w:rsidR="00D11B18" w:rsidRPr="00562699">
        <w:rPr>
          <w:lang w:val="fr-FR"/>
        </w:rPr>
        <w:t xml:space="preserve">Tandis que </w:t>
      </w:r>
      <w:r w:rsidRPr="00562699">
        <w:rPr>
          <w:lang w:val="fr-FR"/>
        </w:rPr>
        <w:t xml:space="preserve">les </w:t>
      </w:r>
      <w:r w:rsidR="004D6D6F" w:rsidRPr="00562699">
        <w:rPr>
          <w:lang w:val="fr-FR"/>
        </w:rPr>
        <w:t>o</w:t>
      </w:r>
      <w:r w:rsidRPr="00562699">
        <w:rPr>
          <w:lang w:val="fr-FR"/>
        </w:rPr>
        <w:t>ffices nationaux continuer</w:t>
      </w:r>
      <w:r w:rsidR="00707621" w:rsidRPr="00562699">
        <w:rPr>
          <w:lang w:val="fr-FR"/>
        </w:rPr>
        <w:t>aient</w:t>
      </w:r>
      <w:r w:rsidRPr="00562699">
        <w:rPr>
          <w:lang w:val="fr-FR"/>
        </w:rPr>
        <w:t xml:space="preserve"> à développer leurs propres services, il </w:t>
      </w:r>
      <w:r w:rsidR="00707621" w:rsidRPr="00562699">
        <w:rPr>
          <w:lang w:val="fr-FR"/>
        </w:rPr>
        <w:t xml:space="preserve">était </w:t>
      </w:r>
      <w:r w:rsidRPr="00562699">
        <w:rPr>
          <w:lang w:val="fr-FR"/>
        </w:rPr>
        <w:t>essentiel de veiller à ce que les données produites par ces systèmes qui pourraient être échangées avec d</w:t>
      </w:r>
      <w:r w:rsidR="003C64A0">
        <w:rPr>
          <w:lang w:val="fr-FR"/>
        </w:rPr>
        <w:t>’</w:t>
      </w:r>
      <w:r w:rsidRPr="00562699">
        <w:rPr>
          <w:lang w:val="fr-FR"/>
        </w:rPr>
        <w:t xml:space="preserve">autres </w:t>
      </w:r>
      <w:r w:rsidR="004D6D6F" w:rsidRPr="00562699">
        <w:rPr>
          <w:lang w:val="fr-FR"/>
        </w:rPr>
        <w:t>o</w:t>
      </w:r>
      <w:r w:rsidRPr="00562699">
        <w:rPr>
          <w:lang w:val="fr-FR"/>
        </w:rPr>
        <w:t xml:space="preserve">ffices soient </w:t>
      </w:r>
      <w:r w:rsidR="00707621" w:rsidRPr="00562699">
        <w:rPr>
          <w:lang w:val="fr-FR"/>
        </w:rPr>
        <w:t xml:space="preserve">établies selon des </w:t>
      </w:r>
      <w:r w:rsidRPr="00562699">
        <w:rPr>
          <w:lang w:val="fr-FR"/>
        </w:rPr>
        <w:t xml:space="preserve">normes </w:t>
      </w:r>
      <w:r w:rsidR="00707621" w:rsidRPr="00562699">
        <w:rPr>
          <w:lang w:val="fr-FR"/>
        </w:rPr>
        <w:t>harmonisé</w:t>
      </w:r>
      <w:r w:rsidR="00B85EF1" w:rsidRPr="00562699">
        <w:rPr>
          <w:lang w:val="fr-FR"/>
        </w:rPr>
        <w:t>es</w:t>
      </w:r>
      <w:r w:rsidR="00B85EF1">
        <w:rPr>
          <w:lang w:val="fr-FR"/>
        </w:rPr>
        <w:t xml:space="preserve">.  </w:t>
      </w:r>
      <w:r w:rsidR="00B85EF1" w:rsidRPr="00562699">
        <w:rPr>
          <w:lang w:val="fr-FR"/>
        </w:rPr>
        <w:t>Le</w:t>
      </w:r>
      <w:r w:rsidRPr="00562699">
        <w:rPr>
          <w:lang w:val="fr-FR"/>
        </w:rPr>
        <w:t xml:space="preserve">s administrations ont souligné </w:t>
      </w:r>
      <w:r w:rsidR="002E3A50" w:rsidRPr="00562699">
        <w:rPr>
          <w:lang w:val="fr-FR"/>
        </w:rPr>
        <w:t xml:space="preserve">combien il importait </w:t>
      </w:r>
      <w:r w:rsidR="00707621" w:rsidRPr="00562699">
        <w:rPr>
          <w:lang w:val="fr-FR"/>
        </w:rPr>
        <w:t>de</w:t>
      </w:r>
      <w:r w:rsidRPr="00562699">
        <w:rPr>
          <w:lang w:val="fr-FR"/>
        </w:rPr>
        <w:t xml:space="preserve"> partager, </w:t>
      </w:r>
      <w:r w:rsidR="002E3A50" w:rsidRPr="00562699">
        <w:rPr>
          <w:lang w:val="fr-FR"/>
        </w:rPr>
        <w:t>de manière aussi préco</w:t>
      </w:r>
      <w:r w:rsidR="004722D4">
        <w:rPr>
          <w:lang w:val="fr-FR"/>
        </w:rPr>
        <w:t>c</w:t>
      </w:r>
      <w:r w:rsidR="002E3A50" w:rsidRPr="00562699">
        <w:rPr>
          <w:lang w:val="fr-FR"/>
        </w:rPr>
        <w:t xml:space="preserve">e </w:t>
      </w:r>
      <w:r w:rsidRPr="00562699">
        <w:rPr>
          <w:lang w:val="fr-FR"/>
        </w:rPr>
        <w:t xml:space="preserve">que possible, des plans détaillés afin de faciliter </w:t>
      </w:r>
      <w:r w:rsidR="002E3A50" w:rsidRPr="00562699">
        <w:rPr>
          <w:lang w:val="fr-FR"/>
        </w:rPr>
        <w:t>l</w:t>
      </w:r>
      <w:r w:rsidR="003C64A0">
        <w:rPr>
          <w:lang w:val="fr-FR"/>
        </w:rPr>
        <w:t>’</w:t>
      </w:r>
      <w:r w:rsidR="002E3A50" w:rsidRPr="00562699">
        <w:rPr>
          <w:lang w:val="fr-FR"/>
        </w:rPr>
        <w:t xml:space="preserve">ajustement </w:t>
      </w:r>
      <w:r w:rsidRPr="00562699">
        <w:rPr>
          <w:lang w:val="fr-FR"/>
        </w:rPr>
        <w:t xml:space="preserve">des services dans les </w:t>
      </w:r>
      <w:r w:rsidR="004D6D6F" w:rsidRPr="00562699">
        <w:rPr>
          <w:lang w:val="fr-FR"/>
        </w:rPr>
        <w:t>o</w:t>
      </w:r>
      <w:r w:rsidRPr="00562699">
        <w:rPr>
          <w:lang w:val="fr-FR"/>
        </w:rPr>
        <w:t xml:space="preserve">ffices nationaux, </w:t>
      </w:r>
      <w:r w:rsidR="002E3A50" w:rsidRPr="00562699">
        <w:rPr>
          <w:lang w:val="fr-FR"/>
        </w:rPr>
        <w:t xml:space="preserve">concernant </w:t>
      </w:r>
      <w:r w:rsidRPr="00562699">
        <w:rPr>
          <w:lang w:val="fr-FR"/>
        </w:rPr>
        <w:t xml:space="preserve">en particulier les données bibliographiques figurant dans le formulaire de </w:t>
      </w:r>
      <w:r w:rsidR="00707621" w:rsidRPr="00562699">
        <w:rPr>
          <w:lang w:val="fr-FR"/>
        </w:rPr>
        <w:t>demande ou</w:t>
      </w:r>
      <w:r w:rsidRPr="00562699">
        <w:rPr>
          <w:lang w:val="fr-FR"/>
        </w:rPr>
        <w:t xml:space="preserve"> la conversion des </w:t>
      </w:r>
      <w:r w:rsidR="00707621" w:rsidRPr="00562699">
        <w:rPr>
          <w:lang w:val="fr-FR"/>
        </w:rPr>
        <w:t>corps des demandes</w:t>
      </w:r>
      <w:r w:rsidRPr="00562699">
        <w:rPr>
          <w:lang w:val="fr-FR"/>
        </w:rPr>
        <w:t xml:space="preserve"> </w:t>
      </w:r>
      <w:r w:rsidR="00707621" w:rsidRPr="00562699">
        <w:rPr>
          <w:lang w:val="fr-FR"/>
        </w:rPr>
        <w:t>en</w:t>
      </w:r>
      <w:r w:rsidRPr="00562699">
        <w:rPr>
          <w:lang w:val="fr-FR"/>
        </w:rPr>
        <w:t xml:space="preserve"> formats tels que DOCX et XML pour les rapports de recherche et d</w:t>
      </w:r>
      <w:r w:rsidR="003C64A0">
        <w:rPr>
          <w:lang w:val="fr-FR"/>
        </w:rPr>
        <w:t>’</w:t>
      </w:r>
      <w:r w:rsidRPr="00562699">
        <w:rPr>
          <w:lang w:val="fr-FR"/>
        </w:rPr>
        <w:t>examen.</w:t>
      </w:r>
    </w:p>
    <w:p w14:paraId="0FE51F39" w14:textId="6464160C" w:rsidR="009246D2" w:rsidRPr="00562699" w:rsidRDefault="00CB23D2" w:rsidP="00273B5F">
      <w:pPr>
        <w:pStyle w:val="ONUMFS"/>
        <w:rPr>
          <w:lang w:val="fr-FR"/>
        </w:rPr>
      </w:pPr>
      <w:r w:rsidRPr="00562699">
        <w:rPr>
          <w:lang w:val="fr-FR"/>
        </w:rPr>
        <w:t xml:space="preserve">Plusieurs administrations ont indiqué </w:t>
      </w:r>
      <w:r w:rsidR="00D47B0D" w:rsidRPr="00562699">
        <w:rPr>
          <w:lang w:val="fr-FR"/>
        </w:rPr>
        <w:t xml:space="preserve">avoir </w:t>
      </w:r>
      <w:r w:rsidRPr="00562699">
        <w:rPr>
          <w:lang w:val="fr-FR"/>
        </w:rPr>
        <w:t xml:space="preserve">trouvé des avantages </w:t>
      </w:r>
      <w:r w:rsidR="00D47B0D" w:rsidRPr="00562699">
        <w:rPr>
          <w:lang w:val="fr-FR"/>
        </w:rPr>
        <w:t>à</w:t>
      </w:r>
      <w:r w:rsidRPr="00562699">
        <w:rPr>
          <w:lang w:val="fr-FR"/>
        </w:rPr>
        <w:t xml:space="preserve"> l</w:t>
      </w:r>
      <w:r w:rsidR="003C64A0">
        <w:rPr>
          <w:lang w:val="fr-FR"/>
        </w:rPr>
        <w:t>’</w:t>
      </w:r>
      <w:r w:rsidRPr="00562699">
        <w:rPr>
          <w:lang w:val="fr-FR"/>
        </w:rPr>
        <w:t>utilisation de systèmes de collaboration, notamment le</w:t>
      </w:r>
      <w:r w:rsidR="00D47B0D" w:rsidRPr="00562699">
        <w:rPr>
          <w:lang w:val="fr-FR"/>
        </w:rPr>
        <w:t>s services</w:t>
      </w:r>
      <w:r w:rsidRPr="00562699">
        <w:rPr>
          <w:lang w:val="fr-FR"/>
        </w:rPr>
        <w:t xml:space="preserve"> </w:t>
      </w:r>
      <w:r w:rsidR="00D47B0D" w:rsidRPr="00562699">
        <w:rPr>
          <w:lang w:val="fr-FR"/>
        </w:rPr>
        <w:t>WIPO DAS</w:t>
      </w:r>
      <w:r w:rsidRPr="00562699">
        <w:rPr>
          <w:lang w:val="fr-FR"/>
        </w:rPr>
        <w:t xml:space="preserve"> et </w:t>
      </w:r>
      <w:r w:rsidR="003C64A0">
        <w:rPr>
          <w:lang w:val="fr-FR"/>
        </w:rPr>
        <w:t>WIPO CASE</w:t>
      </w:r>
      <w:r w:rsidRPr="00562699">
        <w:rPr>
          <w:lang w:val="fr-FR"/>
        </w:rPr>
        <w:t xml:space="preserve">, ainsi que le système </w:t>
      </w:r>
      <w:proofErr w:type="spellStart"/>
      <w:r w:rsidRPr="00562699">
        <w:rPr>
          <w:lang w:val="fr-FR"/>
        </w:rPr>
        <w:t>ePCT</w:t>
      </w:r>
      <w:proofErr w:type="spellEnd"/>
      <w:r w:rsidRPr="00562699">
        <w:rPr>
          <w:lang w:val="fr-FR"/>
        </w:rPr>
        <w:t xml:space="preserve"> et le service </w:t>
      </w:r>
      <w:proofErr w:type="spellStart"/>
      <w:r w:rsidRPr="00562699">
        <w:rPr>
          <w:lang w:val="fr-FR"/>
        </w:rPr>
        <w:t>eSearchCopy</w:t>
      </w:r>
      <w:proofErr w:type="spellEnd"/>
      <w:r w:rsidR="002E3A50" w:rsidRPr="00562699">
        <w:rPr>
          <w:lang w:val="fr-FR"/>
        </w:rPr>
        <w:t>,</w:t>
      </w:r>
      <w:r w:rsidRPr="00562699">
        <w:rPr>
          <w:lang w:val="fr-FR"/>
        </w:rPr>
        <w:t xml:space="preserve"> et ont encouragé les autres administrations à </w:t>
      </w:r>
      <w:r w:rsidR="0004572F" w:rsidRPr="00562699">
        <w:rPr>
          <w:lang w:val="fr-FR"/>
        </w:rPr>
        <w:t xml:space="preserve">les </w:t>
      </w:r>
      <w:r w:rsidRPr="00562699">
        <w:rPr>
          <w:lang w:val="fr-FR"/>
        </w:rPr>
        <w:t>utilis</w:t>
      </w:r>
      <w:r w:rsidR="00B85EF1" w:rsidRPr="00562699">
        <w:rPr>
          <w:lang w:val="fr-FR"/>
        </w:rPr>
        <w:t>er</w:t>
      </w:r>
      <w:r w:rsidR="00B85EF1">
        <w:rPr>
          <w:lang w:val="fr-FR"/>
        </w:rPr>
        <w:t xml:space="preserve">.  </w:t>
      </w:r>
      <w:r w:rsidR="00B85EF1" w:rsidRPr="00562699">
        <w:rPr>
          <w:lang w:val="fr-FR"/>
        </w:rPr>
        <w:t>De</w:t>
      </w:r>
      <w:r w:rsidRPr="00562699">
        <w:rPr>
          <w:lang w:val="fr-FR"/>
        </w:rPr>
        <w:t xml:space="preserve">s outils et des services communs tels que le système IPAS pourraient également être utiles et </w:t>
      </w:r>
      <w:r w:rsidR="004D6D6F" w:rsidRPr="00562699">
        <w:rPr>
          <w:lang w:val="fr-FR"/>
        </w:rPr>
        <w:t xml:space="preserve">leur développement devrait </w:t>
      </w:r>
      <w:r w:rsidRPr="00562699">
        <w:rPr>
          <w:lang w:val="fr-FR"/>
        </w:rPr>
        <w:t xml:space="preserve">être </w:t>
      </w:r>
      <w:r w:rsidR="004D6D6F" w:rsidRPr="00562699">
        <w:rPr>
          <w:lang w:val="fr-FR"/>
        </w:rPr>
        <w:t xml:space="preserve">poursuivi </w:t>
      </w:r>
      <w:r w:rsidR="0004572F" w:rsidRPr="00562699">
        <w:rPr>
          <w:lang w:val="fr-FR"/>
        </w:rPr>
        <w:t>afin d</w:t>
      </w:r>
      <w:r w:rsidR="003C64A0">
        <w:rPr>
          <w:lang w:val="fr-FR"/>
        </w:rPr>
        <w:t>’</w:t>
      </w:r>
      <w:r w:rsidRPr="00562699">
        <w:rPr>
          <w:lang w:val="fr-FR"/>
        </w:rPr>
        <w:t>aider à répondre aux besoins en matière d</w:t>
      </w:r>
      <w:r w:rsidR="003C64A0">
        <w:rPr>
          <w:lang w:val="fr-FR"/>
        </w:rPr>
        <w:t>’</w:t>
      </w:r>
      <w:r w:rsidRPr="00562699">
        <w:rPr>
          <w:lang w:val="fr-FR"/>
        </w:rPr>
        <w:t>échange de données, notamment en ce qui concerne l</w:t>
      </w:r>
      <w:r w:rsidR="0004572F" w:rsidRPr="00562699">
        <w:rPr>
          <w:lang w:val="fr-FR"/>
        </w:rPr>
        <w:t xml:space="preserve">es </w:t>
      </w:r>
      <w:r w:rsidRPr="00562699">
        <w:rPr>
          <w:lang w:val="fr-FR"/>
        </w:rPr>
        <w:t>information</w:t>
      </w:r>
      <w:r w:rsidR="0004572F" w:rsidRPr="00562699">
        <w:rPr>
          <w:lang w:val="fr-FR"/>
        </w:rPr>
        <w:t>s</w:t>
      </w:r>
      <w:r w:rsidRPr="00562699">
        <w:rPr>
          <w:lang w:val="fr-FR"/>
        </w:rPr>
        <w:t xml:space="preserve"> sur la phase nationale.</w:t>
      </w:r>
    </w:p>
    <w:p w14:paraId="63EB89DF" w14:textId="2D13B0DA" w:rsidR="009246D2" w:rsidRPr="00562699" w:rsidRDefault="00CB23D2" w:rsidP="00273B5F">
      <w:pPr>
        <w:pStyle w:val="ONUMFS"/>
        <w:rPr>
          <w:lang w:val="fr-FR"/>
        </w:rPr>
      </w:pPr>
      <w:r w:rsidRPr="00562699">
        <w:rPr>
          <w:lang w:val="fr-FR"/>
        </w:rPr>
        <w:t>L</w:t>
      </w:r>
      <w:r w:rsidR="003C64A0">
        <w:rPr>
          <w:lang w:val="fr-FR"/>
        </w:rPr>
        <w:t>’</w:t>
      </w:r>
      <w:r w:rsidRPr="00562699">
        <w:rPr>
          <w:lang w:val="fr-FR"/>
        </w:rPr>
        <w:t>Office européen des brevets a rappelé qu</w:t>
      </w:r>
      <w:r w:rsidR="003C64A0">
        <w:rPr>
          <w:lang w:val="fr-FR"/>
        </w:rPr>
        <w:t>’</w:t>
      </w:r>
      <w:r w:rsidRPr="00562699">
        <w:rPr>
          <w:lang w:val="fr-FR"/>
        </w:rPr>
        <w:t xml:space="preserve">il avait pour objectif que tous les </w:t>
      </w:r>
      <w:r w:rsidR="004D6D6F" w:rsidRPr="00562699">
        <w:rPr>
          <w:lang w:val="fr-FR"/>
        </w:rPr>
        <w:t>o</w:t>
      </w:r>
      <w:r w:rsidRPr="00562699">
        <w:rPr>
          <w:lang w:val="fr-FR"/>
        </w:rPr>
        <w:t xml:space="preserve">ffices récepteurs pour lesquels il </w:t>
      </w:r>
      <w:r w:rsidR="002E3A50" w:rsidRPr="00562699">
        <w:rPr>
          <w:lang w:val="fr-FR"/>
        </w:rPr>
        <w:t>agissait</w:t>
      </w:r>
      <w:r w:rsidRPr="00562699">
        <w:rPr>
          <w:lang w:val="fr-FR"/>
        </w:rPr>
        <w:t xml:space="preserve"> en qualité d</w:t>
      </w:r>
      <w:r w:rsidR="003C64A0">
        <w:rPr>
          <w:lang w:val="fr-FR"/>
        </w:rPr>
        <w:t>’</w:t>
      </w:r>
      <w:r w:rsidRPr="00562699">
        <w:rPr>
          <w:lang w:val="fr-FR"/>
        </w:rPr>
        <w:t xml:space="preserve">administration chargée de la recherche internationale envoient </w:t>
      </w:r>
      <w:r w:rsidR="0004572F" w:rsidRPr="00562699">
        <w:rPr>
          <w:lang w:val="fr-FR"/>
        </w:rPr>
        <w:t xml:space="preserve">leurs </w:t>
      </w:r>
      <w:r w:rsidR="002E3A50" w:rsidRPr="00562699">
        <w:rPr>
          <w:lang w:val="fr-FR"/>
        </w:rPr>
        <w:t xml:space="preserve">copies de </w:t>
      </w:r>
      <w:r w:rsidRPr="00562699">
        <w:rPr>
          <w:lang w:val="fr-FR"/>
        </w:rPr>
        <w:t xml:space="preserve">recherche par </w:t>
      </w:r>
      <w:r w:rsidR="002E3A50" w:rsidRPr="00562699">
        <w:rPr>
          <w:lang w:val="fr-FR"/>
        </w:rPr>
        <w:t>l</w:t>
      </w:r>
      <w:r w:rsidR="003C64A0">
        <w:rPr>
          <w:lang w:val="fr-FR"/>
        </w:rPr>
        <w:t>’</w:t>
      </w:r>
      <w:r w:rsidR="002E3A50" w:rsidRPr="00562699">
        <w:rPr>
          <w:lang w:val="fr-FR"/>
        </w:rPr>
        <w:t xml:space="preserve">intermédiaire du système </w:t>
      </w:r>
      <w:proofErr w:type="spellStart"/>
      <w:r w:rsidR="0004572F" w:rsidRPr="00562699">
        <w:rPr>
          <w:lang w:val="fr-FR"/>
        </w:rPr>
        <w:t>eSearchCopy</w:t>
      </w:r>
      <w:proofErr w:type="spellEnd"/>
      <w:r w:rsidRPr="00562699">
        <w:rPr>
          <w:lang w:val="fr-FR"/>
        </w:rPr>
        <w:t xml:space="preserve"> </w:t>
      </w:r>
      <w:r w:rsidR="0004572F" w:rsidRPr="00562699">
        <w:rPr>
          <w:lang w:val="fr-FR"/>
        </w:rPr>
        <w:t xml:space="preserve">avant </w:t>
      </w:r>
      <w:r w:rsidRPr="00562699">
        <w:rPr>
          <w:lang w:val="fr-FR"/>
        </w:rPr>
        <w:t>la fin de l</w:t>
      </w:r>
      <w:r w:rsidR="003C64A0">
        <w:rPr>
          <w:lang w:val="fr-FR"/>
        </w:rPr>
        <w:t>’</w:t>
      </w:r>
      <w:r w:rsidRPr="00562699">
        <w:rPr>
          <w:lang w:val="fr-FR"/>
        </w:rPr>
        <w:t>année</w:t>
      </w:r>
      <w:r w:rsidR="0004572F" w:rsidRPr="00562699">
        <w:rPr>
          <w:lang w:val="fr-FR"/>
        </w:rPr>
        <w:t> </w:t>
      </w:r>
      <w:r w:rsidRPr="00562699">
        <w:rPr>
          <w:lang w:val="fr-FR"/>
        </w:rPr>
        <w:t>2020.</w:t>
      </w:r>
      <w:r w:rsidR="008D1E3B" w:rsidRPr="00562699">
        <w:rPr>
          <w:lang w:val="fr-FR"/>
        </w:rPr>
        <w:t xml:space="preserve">  </w:t>
      </w:r>
      <w:r w:rsidRPr="00562699">
        <w:rPr>
          <w:lang w:val="fr-FR"/>
        </w:rPr>
        <w:t>Les administ</w:t>
      </w:r>
      <w:r w:rsidR="0004572F" w:rsidRPr="00562699">
        <w:rPr>
          <w:lang w:val="fr-FR"/>
        </w:rPr>
        <w:t>rations ont remercié le Bureau i</w:t>
      </w:r>
      <w:r w:rsidRPr="00562699">
        <w:rPr>
          <w:lang w:val="fr-FR"/>
        </w:rPr>
        <w:t xml:space="preserve">nternational pour la convivialité accrue de ses produits, mais ont souligné la nécessité de poursuivre les améliorations techniques, notamment en </w:t>
      </w:r>
      <w:r w:rsidR="0004572F" w:rsidRPr="00562699">
        <w:rPr>
          <w:lang w:val="fr-FR"/>
        </w:rPr>
        <w:t xml:space="preserve">assurant la disponibilité de </w:t>
      </w:r>
      <w:r w:rsidRPr="00562699">
        <w:rPr>
          <w:lang w:val="fr-FR"/>
        </w:rPr>
        <w:t xml:space="preserve">données bibliographiques </w:t>
      </w:r>
      <w:r w:rsidR="0004572F" w:rsidRPr="00562699">
        <w:rPr>
          <w:lang w:val="fr-FR"/>
        </w:rPr>
        <w:t xml:space="preserve">de la plus haute qualité, </w:t>
      </w:r>
      <w:r w:rsidRPr="00562699">
        <w:rPr>
          <w:lang w:val="fr-FR"/>
        </w:rPr>
        <w:t xml:space="preserve">par exemple dans le cadre du service </w:t>
      </w:r>
      <w:proofErr w:type="spellStart"/>
      <w:r w:rsidRPr="00562699">
        <w:rPr>
          <w:lang w:val="fr-FR"/>
        </w:rPr>
        <w:t>eSearchCopy</w:t>
      </w:r>
      <w:proofErr w:type="spellEnd"/>
      <w:r w:rsidRPr="00562699">
        <w:rPr>
          <w:lang w:val="fr-FR"/>
        </w:rPr>
        <w:t>.</w:t>
      </w:r>
    </w:p>
    <w:p w14:paraId="5E152ABE" w14:textId="10FA08F0" w:rsidR="009246D2" w:rsidRPr="00562699" w:rsidRDefault="00CB23D2" w:rsidP="00273B5F">
      <w:pPr>
        <w:pStyle w:val="ONUMFS"/>
        <w:rPr>
          <w:lang w:val="fr-FR"/>
        </w:rPr>
      </w:pPr>
      <w:r w:rsidRPr="00562699">
        <w:rPr>
          <w:lang w:val="fr-FR"/>
        </w:rPr>
        <w:t>Les administrations ont convenu de la nécessité d</w:t>
      </w:r>
      <w:r w:rsidR="003C64A0">
        <w:rPr>
          <w:lang w:val="fr-FR"/>
        </w:rPr>
        <w:t>’</w:t>
      </w:r>
      <w:r w:rsidRPr="00562699">
        <w:rPr>
          <w:lang w:val="fr-FR"/>
        </w:rPr>
        <w:t xml:space="preserve">améliorer les systèmes et les normes de production des rapports de recherche et des opinions écrites </w:t>
      </w:r>
      <w:r w:rsidR="0004572F" w:rsidRPr="00562699">
        <w:rPr>
          <w:lang w:val="fr-FR"/>
        </w:rPr>
        <w:t>au format</w:t>
      </w:r>
      <w:r w:rsidRPr="00562699">
        <w:rPr>
          <w:lang w:val="fr-FR"/>
        </w:rPr>
        <w:t xml:space="preserve"> XML et de faire en sorte qu</w:t>
      </w:r>
      <w:r w:rsidR="003C64A0">
        <w:rPr>
          <w:lang w:val="fr-FR"/>
        </w:rPr>
        <w:t>’</w:t>
      </w:r>
      <w:r w:rsidRPr="00562699">
        <w:rPr>
          <w:lang w:val="fr-FR"/>
        </w:rPr>
        <w:t>il soit possible de réutiliser le langage XML entre les différentes étapes de la recherche et de l</w:t>
      </w:r>
      <w:r w:rsidR="003C64A0">
        <w:rPr>
          <w:lang w:val="fr-FR"/>
        </w:rPr>
        <w:t>’</w:t>
      </w:r>
      <w:r w:rsidRPr="00562699">
        <w:rPr>
          <w:lang w:val="fr-FR"/>
        </w:rPr>
        <w:t>examen mentionnées au paragraphe</w:t>
      </w:r>
      <w:r w:rsidR="004E4E83" w:rsidRPr="00562699">
        <w:rPr>
          <w:lang w:val="fr-FR"/>
        </w:rPr>
        <w:t> </w:t>
      </w:r>
      <w:r w:rsidRPr="00562699">
        <w:rPr>
          <w:lang w:val="fr-FR"/>
        </w:rPr>
        <w:t xml:space="preserve">21 du document, mais </w:t>
      </w:r>
      <w:r w:rsidR="0004572F" w:rsidRPr="00562699">
        <w:rPr>
          <w:lang w:val="fr-FR"/>
        </w:rPr>
        <w:t>elle</w:t>
      </w:r>
      <w:r w:rsidR="004E4E83" w:rsidRPr="00562699">
        <w:rPr>
          <w:lang w:val="fr-FR"/>
        </w:rPr>
        <w:t>s</w:t>
      </w:r>
      <w:r w:rsidR="0004572F" w:rsidRPr="00562699">
        <w:rPr>
          <w:lang w:val="fr-FR"/>
        </w:rPr>
        <w:t xml:space="preserve"> ont </w:t>
      </w:r>
      <w:r w:rsidRPr="00562699">
        <w:rPr>
          <w:lang w:val="fr-FR"/>
        </w:rPr>
        <w:t>souligné que cela s</w:t>
      </w:r>
      <w:r w:rsidR="003C64A0">
        <w:rPr>
          <w:lang w:val="fr-FR"/>
        </w:rPr>
        <w:t>’</w:t>
      </w:r>
      <w:r w:rsidRPr="00562699">
        <w:rPr>
          <w:lang w:val="fr-FR"/>
        </w:rPr>
        <w:t xml:space="preserve">appliquait à tous les systèmes utilisés à tous les stades par tous les </w:t>
      </w:r>
      <w:r w:rsidR="004D6D6F" w:rsidRPr="00562699">
        <w:rPr>
          <w:lang w:val="fr-FR"/>
        </w:rPr>
        <w:t>o</w:t>
      </w:r>
      <w:r w:rsidRPr="00562699">
        <w:rPr>
          <w:lang w:val="fr-FR"/>
        </w:rPr>
        <w:t xml:space="preserve">ffices et ne devrait pas se limiter aux rapports établis dans le cadre du système </w:t>
      </w:r>
      <w:proofErr w:type="spellStart"/>
      <w:r w:rsidRPr="00562699">
        <w:rPr>
          <w:lang w:val="fr-FR"/>
        </w:rPr>
        <w:t>e</w:t>
      </w:r>
      <w:r w:rsidR="00B85EF1" w:rsidRPr="00562699">
        <w:rPr>
          <w:lang w:val="fr-FR"/>
        </w:rPr>
        <w:t>PCT</w:t>
      </w:r>
      <w:proofErr w:type="spellEnd"/>
      <w:r w:rsidR="00B85EF1">
        <w:rPr>
          <w:lang w:val="fr-FR"/>
        </w:rPr>
        <w:t xml:space="preserve">.  </w:t>
      </w:r>
      <w:r w:rsidR="00B85EF1" w:rsidRPr="00562699">
        <w:rPr>
          <w:lang w:val="fr-FR"/>
        </w:rPr>
        <w:t>Pl</w:t>
      </w:r>
      <w:r w:rsidRPr="00562699">
        <w:rPr>
          <w:lang w:val="fr-FR"/>
        </w:rPr>
        <w:t>usieurs administrations ont indiqué qu</w:t>
      </w:r>
      <w:r w:rsidR="003C64A0">
        <w:rPr>
          <w:lang w:val="fr-FR"/>
        </w:rPr>
        <w:t>’</w:t>
      </w:r>
      <w:r w:rsidRPr="00562699">
        <w:rPr>
          <w:lang w:val="fr-FR"/>
        </w:rPr>
        <w:t xml:space="preserve">elles </w:t>
      </w:r>
      <w:r w:rsidR="004D6D6F" w:rsidRPr="00562699">
        <w:rPr>
          <w:lang w:val="fr-FR"/>
        </w:rPr>
        <w:t>produisaient</w:t>
      </w:r>
      <w:r w:rsidRPr="00562699">
        <w:rPr>
          <w:lang w:val="fr-FR"/>
        </w:rPr>
        <w:t xml:space="preserve"> ou s</w:t>
      </w:r>
      <w:r w:rsidR="003C64A0">
        <w:rPr>
          <w:lang w:val="fr-FR"/>
        </w:rPr>
        <w:t>’</w:t>
      </w:r>
      <w:r w:rsidRPr="00562699">
        <w:rPr>
          <w:lang w:val="fr-FR"/>
        </w:rPr>
        <w:t>apprêtaient à produire des rapports de recherche au moyen d</w:t>
      </w:r>
      <w:r w:rsidR="003C64A0">
        <w:rPr>
          <w:lang w:val="fr-FR"/>
        </w:rPr>
        <w:t>’</w:t>
      </w:r>
      <w:r w:rsidRPr="00562699">
        <w:rPr>
          <w:lang w:val="fr-FR"/>
        </w:rPr>
        <w:t>outils XML.</w:t>
      </w:r>
    </w:p>
    <w:p w14:paraId="6D15A917" w14:textId="1CED51AF" w:rsidR="009246D2" w:rsidRPr="00562699" w:rsidRDefault="00CB23D2" w:rsidP="00273B5F">
      <w:pPr>
        <w:pStyle w:val="ONUMFS"/>
        <w:rPr>
          <w:lang w:val="fr-FR"/>
        </w:rPr>
      </w:pPr>
      <w:r w:rsidRPr="00562699">
        <w:rPr>
          <w:lang w:val="fr-FR"/>
        </w:rPr>
        <w:t>Les administrations ont souligné la nécessité de mettre au point des procédures pour le dépôt des demandes en utilisant le format DOCX et le traitement des dessins en coule</w:t>
      </w:r>
      <w:r w:rsidR="00B85EF1" w:rsidRPr="00562699">
        <w:rPr>
          <w:lang w:val="fr-FR"/>
        </w:rPr>
        <w:t>ur</w:t>
      </w:r>
      <w:r w:rsidR="00B85EF1">
        <w:rPr>
          <w:lang w:val="fr-FR"/>
        </w:rPr>
        <w:t xml:space="preserve">.  </w:t>
      </w:r>
      <w:r w:rsidR="00B85EF1" w:rsidRPr="00562699">
        <w:rPr>
          <w:lang w:val="fr-FR"/>
        </w:rPr>
        <w:t>Le</w:t>
      </w:r>
      <w:r w:rsidRPr="00562699">
        <w:rPr>
          <w:lang w:val="fr-FR"/>
        </w:rPr>
        <w:t xml:space="preserve">s </w:t>
      </w:r>
      <w:r w:rsidRPr="00562699">
        <w:rPr>
          <w:lang w:val="fr-FR"/>
        </w:rPr>
        <w:lastRenderedPageBreak/>
        <w:t xml:space="preserve">administrations souhaitaient également </w:t>
      </w:r>
      <w:r w:rsidR="002E3A50" w:rsidRPr="00562699">
        <w:rPr>
          <w:lang w:val="fr-FR"/>
        </w:rPr>
        <w:t>qu</w:t>
      </w:r>
      <w:r w:rsidR="003C64A0">
        <w:rPr>
          <w:lang w:val="fr-FR"/>
        </w:rPr>
        <w:t>’</w:t>
      </w:r>
      <w:r w:rsidR="002E3A50" w:rsidRPr="00562699">
        <w:rPr>
          <w:lang w:val="fr-FR"/>
        </w:rPr>
        <w:t>il soit possible</w:t>
      </w:r>
      <w:r w:rsidRPr="00562699">
        <w:rPr>
          <w:lang w:val="fr-FR"/>
        </w:rPr>
        <w:t xml:space="preserve"> de transmettre la version officielle des documents au déposant </w:t>
      </w:r>
      <w:r w:rsidR="002E3A50" w:rsidRPr="00562699">
        <w:rPr>
          <w:lang w:val="fr-FR"/>
        </w:rPr>
        <w:t>par l</w:t>
      </w:r>
      <w:r w:rsidR="003C64A0">
        <w:rPr>
          <w:lang w:val="fr-FR"/>
        </w:rPr>
        <w:t>’</w:t>
      </w:r>
      <w:r w:rsidR="002E3A50" w:rsidRPr="00562699">
        <w:rPr>
          <w:lang w:val="fr-FR"/>
        </w:rPr>
        <w:t xml:space="preserve">intermédiaire du système </w:t>
      </w:r>
      <w:proofErr w:type="spellStart"/>
      <w:r w:rsidR="002E3A50" w:rsidRPr="00562699">
        <w:rPr>
          <w:lang w:val="fr-FR"/>
        </w:rPr>
        <w:t>ePCT</w:t>
      </w:r>
      <w:proofErr w:type="spellEnd"/>
      <w:r w:rsidR="002E3A50" w:rsidRPr="00562699">
        <w:rPr>
          <w:lang w:val="fr-FR"/>
        </w:rPr>
        <w:t xml:space="preserve"> </w:t>
      </w:r>
      <w:r w:rsidRPr="00562699">
        <w:rPr>
          <w:lang w:val="fr-FR"/>
        </w:rPr>
        <w:t xml:space="preserve">si cela était demandé, </w:t>
      </w:r>
      <w:r w:rsidR="00C454E8" w:rsidRPr="00562699">
        <w:rPr>
          <w:lang w:val="fr-FR"/>
        </w:rPr>
        <w:t xml:space="preserve">ce qui les dispenserait </w:t>
      </w:r>
      <w:r w:rsidRPr="00562699">
        <w:rPr>
          <w:lang w:val="fr-FR"/>
        </w:rPr>
        <w:t>d</w:t>
      </w:r>
      <w:r w:rsidR="003C64A0">
        <w:rPr>
          <w:lang w:val="fr-FR"/>
        </w:rPr>
        <w:t>’</w:t>
      </w:r>
      <w:r w:rsidRPr="00562699">
        <w:rPr>
          <w:lang w:val="fr-FR"/>
        </w:rPr>
        <w:t>envoyer des copies papier.</w:t>
      </w:r>
    </w:p>
    <w:p w14:paraId="7304D109" w14:textId="0E434E60" w:rsidR="009246D2" w:rsidRPr="00562699" w:rsidRDefault="00CB23D2" w:rsidP="00273B5F">
      <w:pPr>
        <w:pStyle w:val="ONUMFS"/>
        <w:rPr>
          <w:lang w:val="fr-FR"/>
        </w:rPr>
      </w:pPr>
      <w:r w:rsidRPr="00562699">
        <w:rPr>
          <w:lang w:val="fr-FR"/>
        </w:rPr>
        <w:t xml:space="preserve">Une administration a </w:t>
      </w:r>
      <w:r w:rsidR="00C454E8" w:rsidRPr="00562699">
        <w:rPr>
          <w:lang w:val="fr-FR"/>
        </w:rPr>
        <w:t>indiqué</w:t>
      </w:r>
      <w:r w:rsidRPr="00562699">
        <w:rPr>
          <w:lang w:val="fr-FR"/>
        </w:rPr>
        <w:t xml:space="preserve"> </w:t>
      </w:r>
      <w:r w:rsidR="004B3221" w:rsidRPr="00562699">
        <w:rPr>
          <w:lang w:val="fr-FR"/>
        </w:rPr>
        <w:t xml:space="preserve">que les </w:t>
      </w:r>
      <w:r w:rsidRPr="00562699">
        <w:rPr>
          <w:lang w:val="fr-FR"/>
        </w:rPr>
        <w:t xml:space="preserve">services Web du système </w:t>
      </w:r>
      <w:proofErr w:type="spellStart"/>
      <w:r w:rsidRPr="00562699">
        <w:rPr>
          <w:lang w:val="fr-FR"/>
        </w:rPr>
        <w:t>ePCT</w:t>
      </w:r>
      <w:proofErr w:type="spellEnd"/>
      <w:r w:rsidRPr="00562699">
        <w:rPr>
          <w:lang w:val="fr-FR"/>
        </w:rPr>
        <w:t xml:space="preserve"> </w:t>
      </w:r>
      <w:r w:rsidR="004B3221" w:rsidRPr="00562699">
        <w:rPr>
          <w:lang w:val="fr-FR"/>
        </w:rPr>
        <w:t>avaient été effectivement incorporés dans ses activités en tant qu</w:t>
      </w:r>
      <w:r w:rsidR="003C64A0">
        <w:rPr>
          <w:lang w:val="fr-FR"/>
        </w:rPr>
        <w:t>’</w:t>
      </w:r>
      <w:r w:rsidR="004D6D6F" w:rsidRPr="00562699">
        <w:rPr>
          <w:lang w:val="fr-FR"/>
        </w:rPr>
        <w:t>office</w:t>
      </w:r>
      <w:r w:rsidRPr="00562699">
        <w:rPr>
          <w:lang w:val="fr-FR"/>
        </w:rPr>
        <w:t xml:space="preserve"> désigné.</w:t>
      </w:r>
    </w:p>
    <w:p w14:paraId="1AD445E0" w14:textId="7897C90F" w:rsidR="009246D2" w:rsidRPr="00562699" w:rsidRDefault="00CB23D2" w:rsidP="00273B5F">
      <w:pPr>
        <w:pStyle w:val="ONUMFS"/>
        <w:ind w:left="567"/>
        <w:rPr>
          <w:lang w:val="fr-FR"/>
        </w:rPr>
      </w:pPr>
      <w:r w:rsidRPr="00562699">
        <w:rPr>
          <w:lang w:val="fr-FR"/>
        </w:rPr>
        <w:t xml:space="preserve">La </w:t>
      </w:r>
      <w:r w:rsidR="004D6D6F" w:rsidRPr="00562699">
        <w:rPr>
          <w:lang w:val="fr-FR"/>
        </w:rPr>
        <w:t>R</w:t>
      </w:r>
      <w:r w:rsidRPr="00562699">
        <w:rPr>
          <w:lang w:val="fr-FR"/>
        </w:rPr>
        <w:t>éunion a pris note de l</w:t>
      </w:r>
      <w:r w:rsidR="003C64A0">
        <w:rPr>
          <w:lang w:val="fr-FR"/>
        </w:rPr>
        <w:t>’</w:t>
      </w:r>
      <w:r w:rsidRPr="00562699">
        <w:rPr>
          <w:lang w:val="fr-FR"/>
        </w:rPr>
        <w:t>évolution des services en ligne</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et a approuvé les priorités </w:t>
      </w:r>
      <w:r w:rsidR="00C454E8" w:rsidRPr="00562699">
        <w:rPr>
          <w:lang w:val="fr-FR"/>
        </w:rPr>
        <w:t>énoncées</w:t>
      </w:r>
      <w:r w:rsidRPr="00562699">
        <w:rPr>
          <w:lang w:val="fr-FR"/>
        </w:rPr>
        <w:t xml:space="preserve"> dans le document, compte tenu des observations ci</w:t>
      </w:r>
      <w:r w:rsidR="001B4A2C">
        <w:rPr>
          <w:lang w:val="fr-FR"/>
        </w:rPr>
        <w:noBreakHyphen/>
      </w:r>
      <w:r w:rsidRPr="00562699">
        <w:rPr>
          <w:lang w:val="fr-FR"/>
        </w:rPr>
        <w:t>dessus.</w:t>
      </w:r>
    </w:p>
    <w:p w14:paraId="5C8962BD" w14:textId="1759137E" w:rsidR="009246D2" w:rsidRPr="00562699" w:rsidRDefault="00CB23D2" w:rsidP="00273B5F">
      <w:pPr>
        <w:pStyle w:val="Heading1"/>
        <w:rPr>
          <w:lang w:val="fr-FR"/>
        </w:rPr>
      </w:pPr>
      <w:r w:rsidRPr="00562699">
        <w:rPr>
          <w:lang w:val="fr-FR"/>
        </w:rPr>
        <w:t>Point</w:t>
      </w:r>
      <w:r w:rsidR="004E4E83" w:rsidRPr="00562699">
        <w:rPr>
          <w:lang w:val="fr-FR"/>
        </w:rPr>
        <w:t> </w:t>
      </w:r>
      <w:r w:rsidRPr="00562699">
        <w:rPr>
          <w:lang w:val="fr-FR"/>
        </w:rPr>
        <w:t>7</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w:t>
      </w:r>
      <w:r w:rsidR="00273B5F" w:rsidRPr="00562699">
        <w:rPr>
          <w:lang w:val="fr-FR"/>
        </w:rPr>
        <w:t>mesures de sauvegarde en cas d</w:t>
      </w:r>
      <w:r w:rsidR="003C64A0">
        <w:rPr>
          <w:lang w:val="fr-FR"/>
        </w:rPr>
        <w:t>’</w:t>
      </w:r>
      <w:r w:rsidR="00273B5F" w:rsidRPr="00562699">
        <w:rPr>
          <w:lang w:val="fr-FR"/>
        </w:rPr>
        <w:t>interruption de service affectant des offices</w:t>
      </w:r>
    </w:p>
    <w:p w14:paraId="0C9D32E1" w14:textId="77777777" w:rsidR="00273B5F" w:rsidRPr="00562699" w:rsidRDefault="00273B5F" w:rsidP="00273B5F">
      <w:pPr>
        <w:rPr>
          <w:lang w:val="fr-FR"/>
        </w:rPr>
      </w:pPr>
    </w:p>
    <w:p w14:paraId="1D9DC7A0" w14:textId="77777777" w:rsidR="009246D2" w:rsidRPr="00562699" w:rsidRDefault="00CB23D2" w:rsidP="00273B5F">
      <w:pPr>
        <w:pStyle w:val="ONUMFS"/>
        <w:rPr>
          <w:lang w:val="fr-FR"/>
        </w:rPr>
      </w:pPr>
      <w:r w:rsidRPr="00562699">
        <w:rPr>
          <w:lang w:val="fr-FR"/>
        </w:rPr>
        <w:t>Les délibérations ont eu lieu sur la base du document PCT/MIA/26/5.</w:t>
      </w:r>
    </w:p>
    <w:p w14:paraId="49000C3B" w14:textId="75F6A0DF" w:rsidR="009246D2" w:rsidRPr="00562699" w:rsidRDefault="00CB23D2" w:rsidP="00273B5F">
      <w:pPr>
        <w:pStyle w:val="ONUMFS"/>
        <w:rPr>
          <w:szCs w:val="22"/>
          <w:lang w:val="fr-FR"/>
        </w:rPr>
      </w:pPr>
      <w:r w:rsidRPr="00562699">
        <w:rPr>
          <w:szCs w:val="22"/>
          <w:lang w:val="fr-FR"/>
        </w:rPr>
        <w:t>L</w:t>
      </w:r>
      <w:r w:rsidR="003C64A0">
        <w:rPr>
          <w:szCs w:val="22"/>
          <w:lang w:val="fr-FR"/>
        </w:rPr>
        <w:t>’</w:t>
      </w:r>
      <w:r w:rsidRPr="00562699">
        <w:rPr>
          <w:szCs w:val="22"/>
          <w:lang w:val="fr-FR"/>
        </w:rPr>
        <w:t xml:space="preserve">Office européen des brevets a souligné le contexte de la proposition, </w:t>
      </w:r>
      <w:r w:rsidR="003C64A0">
        <w:rPr>
          <w:szCs w:val="22"/>
          <w:lang w:val="fr-FR"/>
        </w:rPr>
        <w:t>à savoir</w:t>
      </w:r>
      <w:r w:rsidR="0016563A" w:rsidRPr="00562699">
        <w:rPr>
          <w:szCs w:val="22"/>
          <w:lang w:val="fr-FR"/>
        </w:rPr>
        <w:t xml:space="preserve"> que </w:t>
      </w:r>
      <w:r w:rsidRPr="00562699">
        <w:rPr>
          <w:szCs w:val="22"/>
          <w:lang w:val="fr-FR"/>
        </w:rPr>
        <w:t xml:space="preserve">le dépôt en ligne était utilisé pour la </w:t>
      </w:r>
      <w:r w:rsidR="0016563A" w:rsidRPr="00562699">
        <w:rPr>
          <w:szCs w:val="22"/>
          <w:lang w:val="fr-FR"/>
        </w:rPr>
        <w:t>plupart</w:t>
      </w:r>
      <w:r w:rsidRPr="00562699">
        <w:rPr>
          <w:szCs w:val="22"/>
          <w:lang w:val="fr-FR"/>
        </w:rPr>
        <w:t xml:space="preserve"> des demandes et que les déposants et les </w:t>
      </w:r>
      <w:r w:rsidR="006D0365" w:rsidRPr="00562699">
        <w:rPr>
          <w:szCs w:val="22"/>
          <w:lang w:val="fr-FR"/>
        </w:rPr>
        <w:t>o</w:t>
      </w:r>
      <w:r w:rsidRPr="00562699">
        <w:rPr>
          <w:szCs w:val="22"/>
          <w:lang w:val="fr-FR"/>
        </w:rPr>
        <w:t>ffices étaient de plus en plus dépendants des systèmes en lig</w:t>
      </w:r>
      <w:r w:rsidR="00B85EF1" w:rsidRPr="00562699">
        <w:rPr>
          <w:szCs w:val="22"/>
          <w:lang w:val="fr-FR"/>
        </w:rPr>
        <w:t>ne</w:t>
      </w:r>
      <w:r w:rsidR="00B85EF1">
        <w:rPr>
          <w:szCs w:val="22"/>
          <w:lang w:val="fr-FR"/>
        </w:rPr>
        <w:t xml:space="preserve">.  </w:t>
      </w:r>
      <w:r w:rsidR="00B85EF1" w:rsidRPr="00562699">
        <w:rPr>
          <w:szCs w:val="22"/>
          <w:lang w:val="fr-FR"/>
        </w:rPr>
        <w:t>En</w:t>
      </w:r>
      <w:r w:rsidRPr="00562699">
        <w:rPr>
          <w:szCs w:val="22"/>
          <w:lang w:val="fr-FR"/>
        </w:rPr>
        <w:t xml:space="preserve"> règle générale, les </w:t>
      </w:r>
      <w:r w:rsidR="00431D79" w:rsidRPr="00562699">
        <w:rPr>
          <w:szCs w:val="22"/>
          <w:lang w:val="fr-FR"/>
        </w:rPr>
        <w:t xml:space="preserve">autres solutions </w:t>
      </w:r>
      <w:r w:rsidRPr="00562699">
        <w:rPr>
          <w:szCs w:val="22"/>
          <w:lang w:val="fr-FR"/>
        </w:rPr>
        <w:t>n</w:t>
      </w:r>
      <w:r w:rsidR="003C64A0">
        <w:rPr>
          <w:szCs w:val="22"/>
          <w:lang w:val="fr-FR"/>
        </w:rPr>
        <w:t>’</w:t>
      </w:r>
      <w:r w:rsidR="0016563A" w:rsidRPr="00562699">
        <w:rPr>
          <w:szCs w:val="22"/>
          <w:lang w:val="fr-FR"/>
        </w:rPr>
        <w:t xml:space="preserve">étaient </w:t>
      </w:r>
      <w:r w:rsidRPr="00562699">
        <w:rPr>
          <w:szCs w:val="22"/>
          <w:lang w:val="fr-FR"/>
        </w:rPr>
        <w:t>pas équivalent</w:t>
      </w:r>
      <w:r w:rsidR="0016563A" w:rsidRPr="00562699">
        <w:rPr>
          <w:szCs w:val="22"/>
          <w:lang w:val="fr-FR"/>
        </w:rPr>
        <w:t>es</w:t>
      </w:r>
      <w:r w:rsidRPr="00562699">
        <w:rPr>
          <w:szCs w:val="22"/>
          <w:lang w:val="fr-FR"/>
        </w:rPr>
        <w:t>, comme dans le cas de l</w:t>
      </w:r>
      <w:r w:rsidR="003C64A0">
        <w:rPr>
          <w:szCs w:val="22"/>
          <w:lang w:val="fr-FR"/>
        </w:rPr>
        <w:t>’</w:t>
      </w:r>
      <w:r w:rsidRPr="00562699">
        <w:rPr>
          <w:szCs w:val="22"/>
          <w:lang w:val="fr-FR"/>
        </w:rPr>
        <w:t>envoi d</w:t>
      </w:r>
      <w:r w:rsidR="003C64A0">
        <w:rPr>
          <w:szCs w:val="22"/>
          <w:lang w:val="fr-FR"/>
        </w:rPr>
        <w:t>’</w:t>
      </w:r>
      <w:r w:rsidRPr="00562699">
        <w:rPr>
          <w:szCs w:val="22"/>
          <w:lang w:val="fr-FR"/>
        </w:rPr>
        <w:t xml:space="preserve">une demande, ou </w:t>
      </w:r>
      <w:r w:rsidR="0016563A" w:rsidRPr="00562699">
        <w:rPr>
          <w:szCs w:val="22"/>
          <w:lang w:val="fr-FR"/>
        </w:rPr>
        <w:t xml:space="preserve">devenaient </w:t>
      </w:r>
      <w:r w:rsidRPr="00562699">
        <w:rPr>
          <w:szCs w:val="22"/>
          <w:lang w:val="fr-FR"/>
        </w:rPr>
        <w:t>de plu</w:t>
      </w:r>
      <w:r w:rsidR="0016563A" w:rsidRPr="00562699">
        <w:rPr>
          <w:szCs w:val="22"/>
          <w:lang w:val="fr-FR"/>
        </w:rPr>
        <w:t>s en plus difficiles à utiliser, voire étaient supprimées</w:t>
      </w:r>
      <w:r w:rsidRPr="00562699">
        <w:rPr>
          <w:szCs w:val="22"/>
          <w:lang w:val="fr-FR"/>
        </w:rPr>
        <w:t>, comme les services de télécop</w:t>
      </w:r>
      <w:r w:rsidR="00B85EF1" w:rsidRPr="00562699">
        <w:rPr>
          <w:szCs w:val="22"/>
          <w:lang w:val="fr-FR"/>
        </w:rPr>
        <w:t>ie</w:t>
      </w:r>
      <w:r w:rsidR="00B85EF1">
        <w:rPr>
          <w:szCs w:val="22"/>
          <w:lang w:val="fr-FR"/>
        </w:rPr>
        <w:t xml:space="preserve">.  </w:t>
      </w:r>
      <w:r w:rsidR="00B85EF1" w:rsidRPr="00562699">
        <w:rPr>
          <w:szCs w:val="22"/>
          <w:lang w:val="fr-FR"/>
        </w:rPr>
        <w:t>Ce</w:t>
      </w:r>
      <w:r w:rsidRPr="00562699">
        <w:rPr>
          <w:szCs w:val="22"/>
          <w:lang w:val="fr-FR"/>
        </w:rPr>
        <w:t xml:space="preserve">rtains </w:t>
      </w:r>
      <w:r w:rsidR="0016563A" w:rsidRPr="00562699">
        <w:rPr>
          <w:szCs w:val="22"/>
          <w:lang w:val="fr-FR"/>
        </w:rPr>
        <w:t>o</w:t>
      </w:r>
      <w:r w:rsidRPr="00562699">
        <w:rPr>
          <w:szCs w:val="22"/>
          <w:lang w:val="fr-FR"/>
        </w:rPr>
        <w:t xml:space="preserve">ffices récepteurs </w:t>
      </w:r>
      <w:r w:rsidR="006D0365" w:rsidRPr="00562699">
        <w:rPr>
          <w:szCs w:val="22"/>
          <w:lang w:val="fr-FR"/>
        </w:rPr>
        <w:t>appliqu</w:t>
      </w:r>
      <w:r w:rsidR="00431D79" w:rsidRPr="00562699">
        <w:rPr>
          <w:szCs w:val="22"/>
          <w:lang w:val="fr-FR"/>
        </w:rPr>
        <w:t>aient</w:t>
      </w:r>
      <w:r w:rsidRPr="00562699">
        <w:rPr>
          <w:szCs w:val="22"/>
          <w:lang w:val="fr-FR"/>
        </w:rPr>
        <w:t xml:space="preserve"> des </w:t>
      </w:r>
      <w:r w:rsidR="0016563A" w:rsidRPr="00562699">
        <w:rPr>
          <w:szCs w:val="22"/>
          <w:lang w:val="fr-FR"/>
        </w:rPr>
        <w:t>mesures de sauvegarde et des pratiques légales au niveau national</w:t>
      </w:r>
      <w:r w:rsidRPr="00562699">
        <w:rPr>
          <w:szCs w:val="22"/>
          <w:lang w:val="fr-FR"/>
        </w:rPr>
        <w:t>, mais il était nécessaire d</w:t>
      </w:r>
      <w:r w:rsidR="003C64A0">
        <w:rPr>
          <w:szCs w:val="22"/>
          <w:lang w:val="fr-FR"/>
        </w:rPr>
        <w:t>’</w:t>
      </w:r>
      <w:r w:rsidR="0016563A" w:rsidRPr="00562699">
        <w:rPr>
          <w:szCs w:val="22"/>
          <w:lang w:val="fr-FR"/>
        </w:rPr>
        <w:t xml:space="preserve">en </w:t>
      </w:r>
      <w:r w:rsidRPr="00562699">
        <w:rPr>
          <w:szCs w:val="22"/>
          <w:lang w:val="fr-FR"/>
        </w:rPr>
        <w:t>assurer l</w:t>
      </w:r>
      <w:r w:rsidR="003C64A0">
        <w:rPr>
          <w:szCs w:val="22"/>
          <w:lang w:val="fr-FR"/>
        </w:rPr>
        <w:t>’</w:t>
      </w:r>
      <w:r w:rsidR="00431D79" w:rsidRPr="00562699">
        <w:rPr>
          <w:szCs w:val="22"/>
          <w:lang w:val="fr-FR"/>
        </w:rPr>
        <w:t xml:space="preserve">uniformité </w:t>
      </w:r>
      <w:r w:rsidRPr="00562699">
        <w:rPr>
          <w:szCs w:val="22"/>
          <w:lang w:val="fr-FR"/>
        </w:rPr>
        <w:t>et la transparen</w:t>
      </w:r>
      <w:r w:rsidR="00B85EF1" w:rsidRPr="00562699">
        <w:rPr>
          <w:szCs w:val="22"/>
          <w:lang w:val="fr-FR"/>
        </w:rPr>
        <w:t>ce</w:t>
      </w:r>
      <w:r w:rsidR="00B85EF1">
        <w:rPr>
          <w:szCs w:val="22"/>
          <w:lang w:val="fr-FR"/>
        </w:rPr>
        <w:t xml:space="preserve">.  </w:t>
      </w:r>
      <w:r w:rsidR="00B85EF1" w:rsidRPr="00562699">
        <w:rPr>
          <w:szCs w:val="22"/>
          <w:lang w:val="fr-FR"/>
        </w:rPr>
        <w:t>Du</w:t>
      </w:r>
      <w:r w:rsidR="0016563A" w:rsidRPr="00562699">
        <w:rPr>
          <w:szCs w:val="22"/>
          <w:lang w:val="fr-FR"/>
        </w:rPr>
        <w:t xml:space="preserve"> fait de son caractère </w:t>
      </w:r>
      <w:r w:rsidRPr="00562699">
        <w:rPr>
          <w:szCs w:val="22"/>
          <w:lang w:val="fr-FR"/>
        </w:rPr>
        <w:t>facultatif (</w:t>
      </w:r>
      <w:r w:rsidR="003C64A0">
        <w:rPr>
          <w:szCs w:val="22"/>
          <w:lang w:val="fr-FR"/>
        </w:rPr>
        <w:t>“</w:t>
      </w:r>
      <w:proofErr w:type="spellStart"/>
      <w:r w:rsidR="00431D79" w:rsidRPr="00562699">
        <w:rPr>
          <w:szCs w:val="22"/>
          <w:lang w:val="fr-FR"/>
        </w:rPr>
        <w:t>may</w:t>
      </w:r>
      <w:proofErr w:type="spellEnd"/>
      <w:r w:rsidR="003C64A0">
        <w:rPr>
          <w:szCs w:val="22"/>
          <w:lang w:val="fr-FR"/>
        </w:rPr>
        <w:t>”</w:t>
      </w:r>
      <w:r w:rsidRPr="00562699">
        <w:rPr>
          <w:szCs w:val="22"/>
          <w:lang w:val="fr-FR"/>
        </w:rPr>
        <w:t xml:space="preserve">), la proposition </w:t>
      </w:r>
      <w:r w:rsidR="00431D79" w:rsidRPr="00562699">
        <w:rPr>
          <w:szCs w:val="22"/>
          <w:lang w:val="fr-FR"/>
        </w:rPr>
        <w:t xml:space="preserve">ne permettait </w:t>
      </w:r>
      <w:r w:rsidRPr="00562699">
        <w:rPr>
          <w:szCs w:val="22"/>
          <w:lang w:val="fr-FR"/>
        </w:rPr>
        <w:t xml:space="preserve">pas </w:t>
      </w:r>
      <w:r w:rsidR="00431D79" w:rsidRPr="00562699">
        <w:rPr>
          <w:szCs w:val="22"/>
          <w:lang w:val="fr-FR"/>
        </w:rPr>
        <w:t xml:space="preserve">une </w:t>
      </w:r>
      <w:r w:rsidRPr="00562699">
        <w:rPr>
          <w:szCs w:val="22"/>
          <w:lang w:val="fr-FR"/>
        </w:rPr>
        <w:t xml:space="preserve">harmonisation complète, mais </w:t>
      </w:r>
      <w:r w:rsidR="00431D79" w:rsidRPr="00562699">
        <w:rPr>
          <w:szCs w:val="22"/>
          <w:lang w:val="fr-FR"/>
        </w:rPr>
        <w:t xml:space="preserve">elle constituait </w:t>
      </w:r>
      <w:r w:rsidR="0016563A" w:rsidRPr="00562699">
        <w:rPr>
          <w:szCs w:val="22"/>
          <w:lang w:val="fr-FR"/>
        </w:rPr>
        <w:t xml:space="preserve">un pas </w:t>
      </w:r>
      <w:r w:rsidRPr="00562699">
        <w:rPr>
          <w:szCs w:val="22"/>
          <w:lang w:val="fr-FR"/>
        </w:rPr>
        <w:t>dans cette directi</w:t>
      </w:r>
      <w:r w:rsidR="00B85EF1" w:rsidRPr="00562699">
        <w:rPr>
          <w:szCs w:val="22"/>
          <w:lang w:val="fr-FR"/>
        </w:rPr>
        <w:t>on</w:t>
      </w:r>
      <w:r w:rsidR="00B85EF1">
        <w:rPr>
          <w:szCs w:val="22"/>
          <w:lang w:val="fr-FR"/>
        </w:rPr>
        <w:t xml:space="preserve">.  </w:t>
      </w:r>
      <w:r w:rsidR="00B85EF1" w:rsidRPr="00562699">
        <w:rPr>
          <w:szCs w:val="22"/>
          <w:lang w:val="fr-FR"/>
        </w:rPr>
        <w:t>Il</w:t>
      </w:r>
      <w:r w:rsidRPr="00562699">
        <w:rPr>
          <w:szCs w:val="22"/>
          <w:lang w:val="fr-FR"/>
        </w:rPr>
        <w:t xml:space="preserve"> </w:t>
      </w:r>
      <w:r w:rsidR="0016563A" w:rsidRPr="00562699">
        <w:rPr>
          <w:szCs w:val="22"/>
          <w:lang w:val="fr-FR"/>
        </w:rPr>
        <w:t>était</w:t>
      </w:r>
      <w:r w:rsidRPr="00562699">
        <w:rPr>
          <w:szCs w:val="22"/>
          <w:lang w:val="fr-FR"/>
        </w:rPr>
        <w:t xml:space="preserve"> notamment important de trouver un </w:t>
      </w:r>
      <w:r w:rsidR="0016563A" w:rsidRPr="00562699">
        <w:rPr>
          <w:szCs w:val="22"/>
          <w:lang w:val="fr-FR"/>
        </w:rPr>
        <w:t>mécanisme</w:t>
      </w:r>
      <w:r w:rsidRPr="00562699">
        <w:rPr>
          <w:szCs w:val="22"/>
          <w:lang w:val="fr-FR"/>
        </w:rPr>
        <w:t xml:space="preserve"> qui évite au déposant d</w:t>
      </w:r>
      <w:r w:rsidR="003C64A0">
        <w:rPr>
          <w:szCs w:val="22"/>
          <w:lang w:val="fr-FR"/>
        </w:rPr>
        <w:t>’</w:t>
      </w:r>
      <w:r w:rsidRPr="00562699">
        <w:rPr>
          <w:szCs w:val="22"/>
          <w:lang w:val="fr-FR"/>
        </w:rPr>
        <w:t xml:space="preserve">avoir à fournir des preuves au cas par cas lorsque la cause du problème </w:t>
      </w:r>
      <w:r w:rsidR="00431D79" w:rsidRPr="00562699">
        <w:rPr>
          <w:szCs w:val="22"/>
          <w:lang w:val="fr-FR"/>
        </w:rPr>
        <w:t xml:space="preserve">était imputable à </w:t>
      </w:r>
      <w:r w:rsidRPr="00562699">
        <w:rPr>
          <w:szCs w:val="22"/>
          <w:lang w:val="fr-FR"/>
        </w:rPr>
        <w:t>l</w:t>
      </w:r>
      <w:r w:rsidR="003C64A0">
        <w:rPr>
          <w:szCs w:val="22"/>
          <w:lang w:val="fr-FR"/>
        </w:rPr>
        <w:t>’</w:t>
      </w:r>
      <w:r w:rsidR="00431D79" w:rsidRPr="00562699">
        <w:rPr>
          <w:szCs w:val="22"/>
          <w:lang w:val="fr-FR"/>
        </w:rPr>
        <w:t>o</w:t>
      </w:r>
      <w:r w:rsidRPr="00562699">
        <w:rPr>
          <w:szCs w:val="22"/>
          <w:lang w:val="fr-FR"/>
        </w:rPr>
        <w:t>ffi</w:t>
      </w:r>
      <w:r w:rsidR="00B85EF1" w:rsidRPr="00562699">
        <w:rPr>
          <w:szCs w:val="22"/>
          <w:lang w:val="fr-FR"/>
        </w:rPr>
        <w:t>ce</w:t>
      </w:r>
      <w:r w:rsidR="00B85EF1">
        <w:rPr>
          <w:szCs w:val="22"/>
          <w:lang w:val="fr-FR"/>
        </w:rPr>
        <w:t xml:space="preserve">.  </w:t>
      </w:r>
      <w:r w:rsidR="00B85EF1" w:rsidRPr="00562699">
        <w:rPr>
          <w:szCs w:val="22"/>
          <w:lang w:val="fr-FR"/>
        </w:rPr>
        <w:t>Il</w:t>
      </w:r>
      <w:r w:rsidRPr="00562699">
        <w:rPr>
          <w:szCs w:val="22"/>
          <w:lang w:val="fr-FR"/>
        </w:rPr>
        <w:t xml:space="preserve"> </w:t>
      </w:r>
      <w:r w:rsidR="00431D79" w:rsidRPr="00562699">
        <w:rPr>
          <w:szCs w:val="22"/>
          <w:lang w:val="fr-FR"/>
        </w:rPr>
        <w:t xml:space="preserve">importait </w:t>
      </w:r>
      <w:r w:rsidRPr="00562699">
        <w:rPr>
          <w:szCs w:val="22"/>
          <w:lang w:val="fr-FR"/>
        </w:rPr>
        <w:t xml:space="preserve">également que </w:t>
      </w:r>
      <w:r w:rsidR="0016563A" w:rsidRPr="00562699">
        <w:rPr>
          <w:szCs w:val="22"/>
          <w:lang w:val="fr-FR"/>
        </w:rPr>
        <w:t>l</w:t>
      </w:r>
      <w:r w:rsidR="003C64A0">
        <w:rPr>
          <w:szCs w:val="22"/>
          <w:lang w:val="fr-FR"/>
        </w:rPr>
        <w:t>’</w:t>
      </w:r>
      <w:r w:rsidR="0016563A" w:rsidRPr="00562699">
        <w:rPr>
          <w:szCs w:val="22"/>
          <w:lang w:val="fr-FR"/>
        </w:rPr>
        <w:t xml:space="preserve">interruption de service </w:t>
      </w:r>
      <w:r w:rsidR="006D0365" w:rsidRPr="00562699">
        <w:rPr>
          <w:szCs w:val="22"/>
          <w:lang w:val="fr-FR"/>
        </w:rPr>
        <w:t xml:space="preserve">fasse </w:t>
      </w:r>
      <w:r w:rsidR="0016563A" w:rsidRPr="00562699">
        <w:rPr>
          <w:szCs w:val="22"/>
          <w:lang w:val="fr-FR"/>
        </w:rPr>
        <w:t>l</w:t>
      </w:r>
      <w:r w:rsidR="003C64A0">
        <w:rPr>
          <w:szCs w:val="22"/>
          <w:lang w:val="fr-FR"/>
        </w:rPr>
        <w:t>’</w:t>
      </w:r>
      <w:r w:rsidR="0016563A" w:rsidRPr="00562699">
        <w:rPr>
          <w:szCs w:val="22"/>
          <w:lang w:val="fr-FR"/>
        </w:rPr>
        <w:t>objet d</w:t>
      </w:r>
      <w:r w:rsidR="003C64A0">
        <w:rPr>
          <w:szCs w:val="22"/>
          <w:lang w:val="fr-FR"/>
        </w:rPr>
        <w:t>’</w:t>
      </w:r>
      <w:r w:rsidR="0016563A" w:rsidRPr="00562699">
        <w:rPr>
          <w:szCs w:val="22"/>
          <w:lang w:val="fr-FR"/>
        </w:rPr>
        <w:t xml:space="preserve">une notification publique dans un </w:t>
      </w:r>
      <w:r w:rsidRPr="00562699">
        <w:rPr>
          <w:szCs w:val="22"/>
          <w:lang w:val="fr-FR"/>
        </w:rPr>
        <w:t>souci de transparence et de prévisibilité</w:t>
      </w:r>
      <w:r w:rsidR="0016563A" w:rsidRPr="00562699">
        <w:rPr>
          <w:szCs w:val="22"/>
          <w:lang w:val="fr-FR"/>
        </w:rPr>
        <w:t xml:space="preserve">, </w:t>
      </w:r>
      <w:r w:rsidRPr="00562699">
        <w:rPr>
          <w:szCs w:val="22"/>
          <w:lang w:val="fr-FR"/>
        </w:rPr>
        <w:t xml:space="preserve">en particulier dans la mesure où cela garantirait que les </w:t>
      </w:r>
      <w:r w:rsidR="006D0365" w:rsidRPr="00562699">
        <w:rPr>
          <w:szCs w:val="22"/>
          <w:lang w:val="fr-FR"/>
        </w:rPr>
        <w:t>o</w:t>
      </w:r>
      <w:r w:rsidRPr="00562699">
        <w:rPr>
          <w:szCs w:val="22"/>
          <w:lang w:val="fr-FR"/>
        </w:rPr>
        <w:t xml:space="preserve">ffices désignés soient </w:t>
      </w:r>
      <w:r w:rsidR="0016563A" w:rsidRPr="00562699">
        <w:rPr>
          <w:szCs w:val="22"/>
          <w:lang w:val="fr-FR"/>
        </w:rPr>
        <w:t xml:space="preserve">informés des cas où </w:t>
      </w:r>
      <w:r w:rsidR="00431D79" w:rsidRPr="00562699">
        <w:rPr>
          <w:szCs w:val="22"/>
          <w:lang w:val="fr-FR"/>
        </w:rPr>
        <w:t>l</w:t>
      </w:r>
      <w:r w:rsidR="003C64A0">
        <w:rPr>
          <w:szCs w:val="22"/>
          <w:lang w:val="fr-FR"/>
        </w:rPr>
        <w:t>’</w:t>
      </w:r>
      <w:r w:rsidR="00431D79" w:rsidRPr="00562699">
        <w:rPr>
          <w:szCs w:val="22"/>
          <w:lang w:val="fr-FR"/>
        </w:rPr>
        <w:t xml:space="preserve">inobservation </w:t>
      </w:r>
      <w:r w:rsidR="0016563A" w:rsidRPr="00562699">
        <w:rPr>
          <w:szCs w:val="22"/>
          <w:lang w:val="fr-FR"/>
        </w:rPr>
        <w:t>des délais</w:t>
      </w:r>
      <w:r w:rsidR="003C64A0" w:rsidRPr="00562699">
        <w:rPr>
          <w:szCs w:val="22"/>
          <w:lang w:val="fr-FR"/>
        </w:rPr>
        <w:t xml:space="preserve"> du</w:t>
      </w:r>
      <w:r w:rsidR="003C64A0">
        <w:rPr>
          <w:szCs w:val="22"/>
          <w:lang w:val="fr-FR"/>
        </w:rPr>
        <w:t> </w:t>
      </w:r>
      <w:r w:rsidR="003C64A0" w:rsidRPr="00562699">
        <w:rPr>
          <w:szCs w:val="22"/>
          <w:lang w:val="fr-FR"/>
        </w:rPr>
        <w:t>PCT</w:t>
      </w:r>
      <w:r w:rsidR="0016563A" w:rsidRPr="00562699">
        <w:rPr>
          <w:szCs w:val="22"/>
          <w:lang w:val="fr-FR"/>
        </w:rPr>
        <w:t xml:space="preserve"> était excusé</w:t>
      </w:r>
      <w:r w:rsidR="00431D79" w:rsidRPr="00562699">
        <w:rPr>
          <w:szCs w:val="22"/>
          <w:lang w:val="fr-FR"/>
        </w:rPr>
        <w:t>e</w:t>
      </w:r>
      <w:r w:rsidR="0016563A" w:rsidRPr="00562699">
        <w:rPr>
          <w:szCs w:val="22"/>
          <w:lang w:val="fr-FR"/>
        </w:rPr>
        <w:t>.</w:t>
      </w:r>
      <w:r w:rsidR="008D1E3B" w:rsidRPr="00562699">
        <w:rPr>
          <w:szCs w:val="22"/>
          <w:lang w:val="fr-FR"/>
        </w:rPr>
        <w:t xml:space="preserve">  </w:t>
      </w:r>
      <w:r w:rsidRPr="00562699">
        <w:rPr>
          <w:szCs w:val="22"/>
          <w:lang w:val="fr-FR"/>
        </w:rPr>
        <w:t>L</w:t>
      </w:r>
      <w:r w:rsidR="003C64A0">
        <w:rPr>
          <w:szCs w:val="22"/>
          <w:lang w:val="fr-FR"/>
        </w:rPr>
        <w:t>’</w:t>
      </w:r>
      <w:r w:rsidRPr="00562699">
        <w:rPr>
          <w:szCs w:val="22"/>
          <w:lang w:val="fr-FR"/>
        </w:rPr>
        <w:t xml:space="preserve">Office européen des brevets a en outre indiqué que, </w:t>
      </w:r>
      <w:r w:rsidR="0016563A" w:rsidRPr="00562699">
        <w:rPr>
          <w:szCs w:val="22"/>
          <w:lang w:val="fr-FR"/>
        </w:rPr>
        <w:t>à la suite des</w:t>
      </w:r>
      <w:r w:rsidRPr="00562699">
        <w:rPr>
          <w:szCs w:val="22"/>
          <w:lang w:val="fr-FR"/>
        </w:rPr>
        <w:t xml:space="preserve"> observations informelles</w:t>
      </w:r>
      <w:r w:rsidR="0016563A" w:rsidRPr="00562699">
        <w:rPr>
          <w:szCs w:val="22"/>
          <w:lang w:val="fr-FR"/>
        </w:rPr>
        <w:t xml:space="preserve"> reçues</w:t>
      </w:r>
      <w:r w:rsidRPr="00562699">
        <w:rPr>
          <w:szCs w:val="22"/>
          <w:lang w:val="fr-FR"/>
        </w:rPr>
        <w:t>, il avait reconnu qu</w:t>
      </w:r>
      <w:r w:rsidR="003C64A0">
        <w:rPr>
          <w:szCs w:val="22"/>
          <w:lang w:val="fr-FR"/>
        </w:rPr>
        <w:t>’</w:t>
      </w:r>
      <w:r w:rsidRPr="00562699">
        <w:rPr>
          <w:szCs w:val="22"/>
          <w:lang w:val="fr-FR"/>
        </w:rPr>
        <w:t>il pouvait être difficile d</w:t>
      </w:r>
      <w:r w:rsidR="003C64A0">
        <w:rPr>
          <w:szCs w:val="22"/>
          <w:lang w:val="fr-FR"/>
        </w:rPr>
        <w:t>’</w:t>
      </w:r>
      <w:r w:rsidRPr="00562699">
        <w:rPr>
          <w:szCs w:val="22"/>
          <w:lang w:val="fr-FR"/>
        </w:rPr>
        <w:t xml:space="preserve">appliquer la proposition </w:t>
      </w:r>
      <w:r w:rsidR="00431D79" w:rsidRPr="00562699">
        <w:rPr>
          <w:szCs w:val="22"/>
          <w:lang w:val="fr-FR"/>
        </w:rPr>
        <w:t>au délai</w:t>
      </w:r>
      <w:r w:rsidRPr="00562699">
        <w:rPr>
          <w:szCs w:val="22"/>
          <w:lang w:val="fr-FR"/>
        </w:rPr>
        <w:t xml:space="preserve"> de priorité et qu</w:t>
      </w:r>
      <w:r w:rsidR="003C64A0">
        <w:rPr>
          <w:szCs w:val="22"/>
          <w:lang w:val="fr-FR"/>
        </w:rPr>
        <w:t>’</w:t>
      </w:r>
      <w:r w:rsidR="0016563A" w:rsidRPr="00562699">
        <w:rPr>
          <w:szCs w:val="22"/>
          <w:lang w:val="fr-FR"/>
        </w:rPr>
        <w:t>il</w:t>
      </w:r>
      <w:r w:rsidRPr="00562699">
        <w:rPr>
          <w:szCs w:val="22"/>
          <w:lang w:val="fr-FR"/>
        </w:rPr>
        <w:t xml:space="preserve"> pouvait accepter d</w:t>
      </w:r>
      <w:r w:rsidR="003C64A0">
        <w:rPr>
          <w:szCs w:val="22"/>
          <w:lang w:val="fr-FR"/>
        </w:rPr>
        <w:t>’</w:t>
      </w:r>
      <w:r w:rsidRPr="00562699">
        <w:rPr>
          <w:szCs w:val="22"/>
          <w:lang w:val="fr-FR"/>
        </w:rPr>
        <w:t>aller de l</w:t>
      </w:r>
      <w:r w:rsidR="003C64A0">
        <w:rPr>
          <w:szCs w:val="22"/>
          <w:lang w:val="fr-FR"/>
        </w:rPr>
        <w:t>’</w:t>
      </w:r>
      <w:r w:rsidRPr="00562699">
        <w:rPr>
          <w:szCs w:val="22"/>
          <w:lang w:val="fr-FR"/>
        </w:rPr>
        <w:t>avant sans la modifi</w:t>
      </w:r>
      <w:r w:rsidR="0016563A" w:rsidRPr="00562699">
        <w:rPr>
          <w:szCs w:val="22"/>
          <w:lang w:val="fr-FR"/>
        </w:rPr>
        <w:t xml:space="preserve">cation proposée de la </w:t>
      </w:r>
      <w:r w:rsidR="003C64A0" w:rsidRPr="00562699">
        <w:rPr>
          <w:szCs w:val="22"/>
          <w:lang w:val="fr-FR"/>
        </w:rPr>
        <w:t>règle</w:t>
      </w:r>
      <w:r w:rsidR="003C64A0">
        <w:rPr>
          <w:szCs w:val="22"/>
          <w:lang w:val="fr-FR"/>
        </w:rPr>
        <w:t> </w:t>
      </w:r>
      <w:r w:rsidR="003C64A0" w:rsidRPr="00562699">
        <w:rPr>
          <w:szCs w:val="22"/>
          <w:lang w:val="fr-FR"/>
        </w:rPr>
        <w:t>2</w:t>
      </w:r>
      <w:r w:rsidR="0016563A" w:rsidRPr="00562699">
        <w:rPr>
          <w:szCs w:val="22"/>
          <w:lang w:val="fr-FR"/>
        </w:rPr>
        <w:t>.4</w:t>
      </w:r>
      <w:r w:rsidR="00431D79" w:rsidRPr="00562699">
        <w:rPr>
          <w:szCs w:val="22"/>
          <w:lang w:val="fr-FR"/>
        </w:rPr>
        <w:t>.</w:t>
      </w:r>
      <w:r w:rsidR="0016563A" w:rsidRPr="00562699">
        <w:rPr>
          <w:szCs w:val="22"/>
          <w:lang w:val="fr-FR"/>
        </w:rPr>
        <w:t>b</w:t>
      </w:r>
      <w:r w:rsidRPr="00562699">
        <w:rPr>
          <w:szCs w:val="22"/>
          <w:lang w:val="fr-FR"/>
        </w:rPr>
        <w:t>)</w:t>
      </w:r>
      <w:r w:rsidR="00EE4F64" w:rsidRPr="00562699">
        <w:rPr>
          <w:szCs w:val="22"/>
          <w:lang w:val="fr-FR"/>
        </w:rPr>
        <w:t xml:space="preserve"> pour autant que les clarifications nécessaires </w:t>
      </w:r>
      <w:r w:rsidR="006D0365" w:rsidRPr="00562699">
        <w:rPr>
          <w:szCs w:val="22"/>
          <w:lang w:val="fr-FR"/>
        </w:rPr>
        <w:t>apparaissent</w:t>
      </w:r>
      <w:r w:rsidR="00EE4F64" w:rsidRPr="00562699">
        <w:rPr>
          <w:szCs w:val="22"/>
          <w:lang w:val="fr-FR"/>
        </w:rPr>
        <w:t xml:space="preserve"> d</w:t>
      </w:r>
      <w:r w:rsidR="003C64A0">
        <w:rPr>
          <w:szCs w:val="22"/>
          <w:lang w:val="fr-FR"/>
        </w:rPr>
        <w:t>’</w:t>
      </w:r>
      <w:r w:rsidR="00EE4F64" w:rsidRPr="00562699">
        <w:rPr>
          <w:szCs w:val="22"/>
          <w:lang w:val="fr-FR"/>
        </w:rPr>
        <w:t>une manière ou d</w:t>
      </w:r>
      <w:r w:rsidR="003C64A0">
        <w:rPr>
          <w:szCs w:val="22"/>
          <w:lang w:val="fr-FR"/>
        </w:rPr>
        <w:t>’</w:t>
      </w:r>
      <w:r w:rsidR="00EE4F64" w:rsidRPr="00562699">
        <w:rPr>
          <w:szCs w:val="22"/>
          <w:lang w:val="fr-FR"/>
        </w:rPr>
        <w:t xml:space="preserve">une autre dans les </w:t>
      </w:r>
      <w:r w:rsidRPr="00562699">
        <w:rPr>
          <w:szCs w:val="22"/>
          <w:lang w:val="fr-FR"/>
        </w:rPr>
        <w:t>directives</w:t>
      </w:r>
      <w:r w:rsidR="003C64A0" w:rsidRPr="00562699">
        <w:rPr>
          <w:szCs w:val="22"/>
          <w:lang w:val="fr-FR"/>
        </w:rPr>
        <w:t xml:space="preserve"> du</w:t>
      </w:r>
      <w:r w:rsidR="003C64A0">
        <w:rPr>
          <w:szCs w:val="22"/>
          <w:lang w:val="fr-FR"/>
        </w:rPr>
        <w:t> </w:t>
      </w:r>
      <w:r w:rsidR="003C64A0" w:rsidRPr="00562699">
        <w:rPr>
          <w:szCs w:val="22"/>
          <w:lang w:val="fr-FR"/>
        </w:rPr>
        <w:t>PCT</w:t>
      </w:r>
      <w:r w:rsidRPr="00562699">
        <w:rPr>
          <w:szCs w:val="22"/>
          <w:lang w:val="fr-FR"/>
        </w:rPr>
        <w:t>.</w:t>
      </w:r>
    </w:p>
    <w:p w14:paraId="21E21BBC" w14:textId="61E7FC98" w:rsidR="009246D2" w:rsidRPr="00562699" w:rsidRDefault="00CB23D2" w:rsidP="00273B5F">
      <w:pPr>
        <w:pStyle w:val="ONUMFS"/>
        <w:rPr>
          <w:szCs w:val="22"/>
          <w:lang w:val="fr-FR"/>
        </w:rPr>
      </w:pPr>
      <w:r w:rsidRPr="00562699">
        <w:rPr>
          <w:szCs w:val="22"/>
          <w:lang w:val="fr-FR"/>
        </w:rPr>
        <w:t>Les administrations ont reconnu l</w:t>
      </w:r>
      <w:r w:rsidR="003C64A0">
        <w:rPr>
          <w:szCs w:val="22"/>
          <w:lang w:val="fr-FR"/>
        </w:rPr>
        <w:t>’</w:t>
      </w:r>
      <w:r w:rsidRPr="00562699">
        <w:rPr>
          <w:szCs w:val="22"/>
          <w:lang w:val="fr-FR"/>
        </w:rPr>
        <w:t xml:space="preserve">importance de cette question et </w:t>
      </w:r>
      <w:r w:rsidR="00EE4F64" w:rsidRPr="00562699">
        <w:rPr>
          <w:szCs w:val="22"/>
          <w:lang w:val="fr-FR"/>
        </w:rPr>
        <w:t xml:space="preserve">admis </w:t>
      </w:r>
      <w:r w:rsidRPr="00562699">
        <w:rPr>
          <w:szCs w:val="22"/>
          <w:lang w:val="fr-FR"/>
        </w:rPr>
        <w:t>qu</w:t>
      </w:r>
      <w:r w:rsidR="003C64A0">
        <w:rPr>
          <w:szCs w:val="22"/>
          <w:lang w:val="fr-FR"/>
        </w:rPr>
        <w:t>’</w:t>
      </w:r>
      <w:r w:rsidRPr="00562699">
        <w:rPr>
          <w:szCs w:val="22"/>
          <w:lang w:val="fr-FR"/>
        </w:rPr>
        <w:t xml:space="preserve">il était souhaitable de veiller à ce que des </w:t>
      </w:r>
      <w:r w:rsidR="00EE4F64" w:rsidRPr="00562699">
        <w:rPr>
          <w:szCs w:val="22"/>
          <w:lang w:val="fr-FR"/>
        </w:rPr>
        <w:t>mesures de sauvegarde</w:t>
      </w:r>
      <w:r w:rsidRPr="00562699">
        <w:rPr>
          <w:szCs w:val="22"/>
          <w:lang w:val="fr-FR"/>
        </w:rPr>
        <w:t xml:space="preserve"> appropriées existent pour atténuer les effets des interruptions de servi</w:t>
      </w:r>
      <w:r w:rsidR="00B85EF1" w:rsidRPr="00562699">
        <w:rPr>
          <w:szCs w:val="22"/>
          <w:lang w:val="fr-FR"/>
        </w:rPr>
        <w:t>ce</w:t>
      </w:r>
      <w:r w:rsidR="00B85EF1">
        <w:rPr>
          <w:szCs w:val="22"/>
          <w:lang w:val="fr-FR"/>
        </w:rPr>
        <w:t xml:space="preserve">.  </w:t>
      </w:r>
      <w:r w:rsidR="00B85EF1" w:rsidRPr="00562699">
        <w:rPr>
          <w:szCs w:val="22"/>
          <w:lang w:val="fr-FR"/>
        </w:rPr>
        <w:t>Il</w:t>
      </w:r>
      <w:r w:rsidRPr="00562699">
        <w:rPr>
          <w:szCs w:val="22"/>
          <w:lang w:val="fr-FR"/>
        </w:rPr>
        <w:t xml:space="preserve"> a été observé que les délais de dépôt expiraient </w:t>
      </w:r>
      <w:r w:rsidR="00EE4F64" w:rsidRPr="00562699">
        <w:rPr>
          <w:szCs w:val="22"/>
          <w:lang w:val="fr-FR"/>
        </w:rPr>
        <w:t>habituellement</w:t>
      </w:r>
      <w:r w:rsidRPr="00562699">
        <w:rPr>
          <w:szCs w:val="22"/>
          <w:lang w:val="fr-FR"/>
        </w:rPr>
        <w:t xml:space="preserve"> à minuit, </w:t>
      </w:r>
      <w:r w:rsidR="00EE4F64" w:rsidRPr="00562699">
        <w:rPr>
          <w:szCs w:val="22"/>
          <w:lang w:val="fr-FR"/>
        </w:rPr>
        <w:t xml:space="preserve">heure locale, </w:t>
      </w:r>
      <w:r w:rsidR="00431D79" w:rsidRPr="00562699">
        <w:rPr>
          <w:szCs w:val="22"/>
          <w:lang w:val="fr-FR"/>
        </w:rPr>
        <w:t>alors que</w:t>
      </w:r>
      <w:r w:rsidR="00EE4F64" w:rsidRPr="00562699">
        <w:rPr>
          <w:szCs w:val="22"/>
          <w:lang w:val="fr-FR"/>
        </w:rPr>
        <w:t xml:space="preserve"> </w:t>
      </w:r>
      <w:r w:rsidRPr="00562699">
        <w:rPr>
          <w:szCs w:val="22"/>
          <w:lang w:val="fr-FR"/>
        </w:rPr>
        <w:t xml:space="preserve">les </w:t>
      </w:r>
      <w:r w:rsidR="006D0365" w:rsidRPr="00562699">
        <w:rPr>
          <w:szCs w:val="22"/>
          <w:lang w:val="fr-FR"/>
        </w:rPr>
        <w:t>o</w:t>
      </w:r>
      <w:r w:rsidRPr="00562699">
        <w:rPr>
          <w:szCs w:val="22"/>
          <w:lang w:val="fr-FR"/>
        </w:rPr>
        <w:t xml:space="preserve">ffices </w:t>
      </w:r>
      <w:r w:rsidR="00EE4F64" w:rsidRPr="00562699">
        <w:rPr>
          <w:szCs w:val="22"/>
          <w:lang w:val="fr-FR"/>
        </w:rPr>
        <w:t xml:space="preserve">disposaient </w:t>
      </w:r>
      <w:r w:rsidRPr="00562699">
        <w:rPr>
          <w:szCs w:val="22"/>
          <w:lang w:val="fr-FR"/>
        </w:rPr>
        <w:t xml:space="preserve">généralement </w:t>
      </w:r>
      <w:r w:rsidR="00EE4F64" w:rsidRPr="00562699">
        <w:rPr>
          <w:szCs w:val="22"/>
          <w:lang w:val="fr-FR"/>
        </w:rPr>
        <w:t xml:space="preserve">de </w:t>
      </w:r>
      <w:r w:rsidRPr="00562699">
        <w:rPr>
          <w:szCs w:val="22"/>
          <w:lang w:val="fr-FR"/>
        </w:rPr>
        <w:t>peu ou pas d</w:t>
      </w:r>
      <w:r w:rsidR="003C64A0">
        <w:rPr>
          <w:szCs w:val="22"/>
          <w:lang w:val="fr-FR"/>
        </w:rPr>
        <w:t>’</w:t>
      </w:r>
      <w:r w:rsidRPr="00562699">
        <w:rPr>
          <w:szCs w:val="22"/>
          <w:lang w:val="fr-FR"/>
        </w:rPr>
        <w:t>appui pour résoudre les problèmes techniqu</w:t>
      </w:r>
      <w:r w:rsidR="00B85EF1" w:rsidRPr="00562699">
        <w:rPr>
          <w:szCs w:val="22"/>
          <w:lang w:val="fr-FR"/>
        </w:rPr>
        <w:t>es</w:t>
      </w:r>
      <w:r w:rsidR="00B85EF1">
        <w:rPr>
          <w:szCs w:val="22"/>
          <w:lang w:val="fr-FR"/>
        </w:rPr>
        <w:t xml:space="preserve">.  </w:t>
      </w:r>
      <w:r w:rsidR="00B85EF1" w:rsidRPr="00562699">
        <w:rPr>
          <w:szCs w:val="22"/>
          <w:lang w:val="fr-FR"/>
        </w:rPr>
        <w:t>Ce</w:t>
      </w:r>
      <w:r w:rsidRPr="00562699">
        <w:rPr>
          <w:szCs w:val="22"/>
          <w:lang w:val="fr-FR"/>
        </w:rPr>
        <w:t xml:space="preserve">rtaines administrations ont </w:t>
      </w:r>
      <w:r w:rsidR="00EE4F64" w:rsidRPr="00562699">
        <w:rPr>
          <w:szCs w:val="22"/>
          <w:lang w:val="fr-FR"/>
        </w:rPr>
        <w:t xml:space="preserve">soutenu </w:t>
      </w:r>
      <w:r w:rsidRPr="00562699">
        <w:rPr>
          <w:szCs w:val="22"/>
          <w:lang w:val="fr-FR"/>
        </w:rPr>
        <w:t xml:space="preserve">la proposition, </w:t>
      </w:r>
      <w:r w:rsidR="00431D79" w:rsidRPr="00562699">
        <w:rPr>
          <w:szCs w:val="22"/>
          <w:lang w:val="fr-FR"/>
        </w:rPr>
        <w:t xml:space="preserve">alors </w:t>
      </w:r>
      <w:r w:rsidRPr="00562699">
        <w:rPr>
          <w:szCs w:val="22"/>
          <w:lang w:val="fr-FR"/>
        </w:rPr>
        <w:t>que d</w:t>
      </w:r>
      <w:r w:rsidR="003C64A0">
        <w:rPr>
          <w:szCs w:val="22"/>
          <w:lang w:val="fr-FR"/>
        </w:rPr>
        <w:t>’</w:t>
      </w:r>
      <w:r w:rsidRPr="00562699">
        <w:rPr>
          <w:szCs w:val="22"/>
          <w:lang w:val="fr-FR"/>
        </w:rPr>
        <w:t xml:space="preserve">autres </w:t>
      </w:r>
      <w:r w:rsidR="00431D79" w:rsidRPr="00562699">
        <w:rPr>
          <w:szCs w:val="22"/>
          <w:lang w:val="fr-FR"/>
        </w:rPr>
        <w:t xml:space="preserve">ont </w:t>
      </w:r>
      <w:r w:rsidRPr="00562699">
        <w:rPr>
          <w:szCs w:val="22"/>
          <w:lang w:val="fr-FR"/>
        </w:rPr>
        <w:t xml:space="preserve">exprimé des préoccupations </w:t>
      </w:r>
      <w:r w:rsidR="00431D79" w:rsidRPr="00562699">
        <w:rPr>
          <w:szCs w:val="22"/>
          <w:lang w:val="fr-FR"/>
        </w:rPr>
        <w:t>quant aux modalités pratiques</w:t>
      </w:r>
      <w:r w:rsidRPr="00562699">
        <w:rPr>
          <w:szCs w:val="22"/>
          <w:lang w:val="fr-FR"/>
        </w:rPr>
        <w:t>.</w:t>
      </w:r>
    </w:p>
    <w:p w14:paraId="7A4ECF23" w14:textId="09188442" w:rsidR="009246D2" w:rsidRPr="00562699" w:rsidRDefault="00CB23D2" w:rsidP="00273B5F">
      <w:pPr>
        <w:pStyle w:val="ONUMFS"/>
        <w:rPr>
          <w:szCs w:val="22"/>
          <w:lang w:val="fr-FR"/>
        </w:rPr>
      </w:pPr>
      <w:r w:rsidRPr="00562699">
        <w:rPr>
          <w:szCs w:val="22"/>
          <w:lang w:val="fr-FR"/>
        </w:rPr>
        <w:t xml:space="preserve">Plusieurs administrations ont </w:t>
      </w:r>
      <w:r w:rsidR="00001CC9" w:rsidRPr="00562699">
        <w:rPr>
          <w:szCs w:val="22"/>
          <w:lang w:val="fr-FR"/>
        </w:rPr>
        <w:t>estimé</w:t>
      </w:r>
      <w:r w:rsidRPr="00562699">
        <w:rPr>
          <w:szCs w:val="22"/>
          <w:lang w:val="fr-FR"/>
        </w:rPr>
        <w:t xml:space="preserve"> que la proposition telle qu</w:t>
      </w:r>
      <w:r w:rsidR="003C64A0">
        <w:rPr>
          <w:szCs w:val="22"/>
          <w:lang w:val="fr-FR"/>
        </w:rPr>
        <w:t>’</w:t>
      </w:r>
      <w:r w:rsidRPr="00562699">
        <w:rPr>
          <w:szCs w:val="22"/>
          <w:lang w:val="fr-FR"/>
        </w:rPr>
        <w:t xml:space="preserve">elle était présentée dans le document ne fonctionnerait pas pour les </w:t>
      </w:r>
      <w:r w:rsidR="006D0365" w:rsidRPr="00562699">
        <w:rPr>
          <w:szCs w:val="22"/>
          <w:lang w:val="fr-FR"/>
        </w:rPr>
        <w:t>o</w:t>
      </w:r>
      <w:r w:rsidRPr="00562699">
        <w:rPr>
          <w:szCs w:val="22"/>
          <w:lang w:val="fr-FR"/>
        </w:rPr>
        <w:t xml:space="preserve">ffices désignés </w:t>
      </w:r>
      <w:r w:rsidR="00EE4F64" w:rsidRPr="00562699">
        <w:rPr>
          <w:szCs w:val="22"/>
          <w:lang w:val="fr-FR"/>
        </w:rPr>
        <w:t>dont la législation nationale sui</w:t>
      </w:r>
      <w:r w:rsidR="00001CC9" w:rsidRPr="00562699">
        <w:rPr>
          <w:szCs w:val="22"/>
          <w:lang w:val="fr-FR"/>
        </w:rPr>
        <w:t>vai</w:t>
      </w:r>
      <w:r w:rsidR="00EE4F64" w:rsidRPr="00562699">
        <w:rPr>
          <w:szCs w:val="22"/>
          <w:lang w:val="fr-FR"/>
        </w:rPr>
        <w:t xml:space="preserve">t </w:t>
      </w:r>
      <w:r w:rsidRPr="00562699">
        <w:rPr>
          <w:szCs w:val="22"/>
          <w:lang w:val="fr-FR"/>
        </w:rPr>
        <w:t>une interprétation stricte de la Convention de Par</w:t>
      </w:r>
      <w:r w:rsidR="00B85EF1" w:rsidRPr="00562699">
        <w:rPr>
          <w:szCs w:val="22"/>
          <w:lang w:val="fr-FR"/>
        </w:rPr>
        <w:t>is</w:t>
      </w:r>
      <w:r w:rsidR="00B85EF1">
        <w:rPr>
          <w:szCs w:val="22"/>
          <w:lang w:val="fr-FR"/>
        </w:rPr>
        <w:t xml:space="preserve">.  </w:t>
      </w:r>
      <w:r w:rsidR="00B85EF1" w:rsidRPr="00562699">
        <w:rPr>
          <w:szCs w:val="22"/>
          <w:lang w:val="fr-FR"/>
        </w:rPr>
        <w:t>Un</w:t>
      </w:r>
      <w:r w:rsidRPr="00562699">
        <w:rPr>
          <w:szCs w:val="22"/>
          <w:lang w:val="fr-FR"/>
        </w:rPr>
        <w:t xml:space="preserve">e administration a également </w:t>
      </w:r>
      <w:r w:rsidR="00677545" w:rsidRPr="00562699">
        <w:rPr>
          <w:szCs w:val="22"/>
          <w:lang w:val="fr-FR"/>
        </w:rPr>
        <w:t xml:space="preserve">fait </w:t>
      </w:r>
      <w:r w:rsidR="00EE4F64" w:rsidRPr="00562699">
        <w:rPr>
          <w:szCs w:val="22"/>
          <w:lang w:val="fr-FR"/>
        </w:rPr>
        <w:t>observ</w:t>
      </w:r>
      <w:r w:rsidR="00677545" w:rsidRPr="00562699">
        <w:rPr>
          <w:szCs w:val="22"/>
          <w:lang w:val="fr-FR"/>
        </w:rPr>
        <w:t>er</w:t>
      </w:r>
      <w:r w:rsidRPr="00562699">
        <w:rPr>
          <w:szCs w:val="22"/>
          <w:lang w:val="fr-FR"/>
        </w:rPr>
        <w:t xml:space="preserve"> que les dispositions ne pouvaient pas s</w:t>
      </w:r>
      <w:r w:rsidR="003C64A0">
        <w:rPr>
          <w:szCs w:val="22"/>
          <w:lang w:val="fr-FR"/>
        </w:rPr>
        <w:t>’</w:t>
      </w:r>
      <w:r w:rsidRPr="00562699">
        <w:rPr>
          <w:szCs w:val="22"/>
          <w:lang w:val="fr-FR"/>
        </w:rPr>
        <w:t xml:space="preserve">appliquer aux revendications de priorité nationales, </w:t>
      </w:r>
      <w:r w:rsidR="00EE4F64" w:rsidRPr="00562699">
        <w:rPr>
          <w:szCs w:val="22"/>
          <w:lang w:val="fr-FR"/>
        </w:rPr>
        <w:t xml:space="preserve">qui </w:t>
      </w:r>
      <w:r w:rsidR="00677545" w:rsidRPr="00562699">
        <w:rPr>
          <w:szCs w:val="22"/>
          <w:lang w:val="fr-FR"/>
        </w:rPr>
        <w:t xml:space="preserve">relevaient </w:t>
      </w:r>
      <w:r w:rsidR="00EE4F64" w:rsidRPr="00562699">
        <w:rPr>
          <w:szCs w:val="22"/>
          <w:lang w:val="fr-FR"/>
        </w:rPr>
        <w:t xml:space="preserve">du droit national </w:t>
      </w:r>
      <w:r w:rsidR="006D0365" w:rsidRPr="00562699">
        <w:rPr>
          <w:szCs w:val="22"/>
          <w:lang w:val="fr-FR"/>
        </w:rPr>
        <w:t>aux termes du</w:t>
      </w:r>
      <w:r w:rsidR="00EE4F64" w:rsidRPr="00562699">
        <w:rPr>
          <w:szCs w:val="22"/>
          <w:lang w:val="fr-FR"/>
        </w:rPr>
        <w:t xml:space="preserve"> trai</w:t>
      </w:r>
      <w:r w:rsidR="00B85EF1" w:rsidRPr="00562699">
        <w:rPr>
          <w:szCs w:val="22"/>
          <w:lang w:val="fr-FR"/>
        </w:rPr>
        <w:t>té</w:t>
      </w:r>
      <w:r w:rsidR="00B85EF1">
        <w:rPr>
          <w:szCs w:val="22"/>
          <w:lang w:val="fr-FR"/>
        </w:rPr>
        <w:t xml:space="preserve">.  </w:t>
      </w:r>
      <w:r w:rsidR="00B85EF1" w:rsidRPr="00562699">
        <w:rPr>
          <w:szCs w:val="22"/>
          <w:lang w:val="fr-FR"/>
        </w:rPr>
        <w:t>Ce</w:t>
      </w:r>
      <w:r w:rsidRPr="00562699">
        <w:rPr>
          <w:szCs w:val="22"/>
          <w:lang w:val="fr-FR"/>
        </w:rPr>
        <w:t xml:space="preserve">rtaines administrations se sont </w:t>
      </w:r>
      <w:r w:rsidR="00183389" w:rsidRPr="00562699">
        <w:rPr>
          <w:szCs w:val="22"/>
          <w:lang w:val="fr-FR"/>
        </w:rPr>
        <w:t xml:space="preserve">inquiétées du </w:t>
      </w:r>
      <w:r w:rsidRPr="00562699">
        <w:rPr>
          <w:szCs w:val="22"/>
          <w:lang w:val="fr-FR"/>
        </w:rPr>
        <w:t xml:space="preserve">fait </w:t>
      </w:r>
      <w:r w:rsidR="00EE4F64" w:rsidRPr="00562699">
        <w:rPr>
          <w:szCs w:val="22"/>
          <w:lang w:val="fr-FR"/>
        </w:rPr>
        <w:t>qu</w:t>
      </w:r>
      <w:r w:rsidR="003C64A0">
        <w:rPr>
          <w:szCs w:val="22"/>
          <w:lang w:val="fr-FR"/>
        </w:rPr>
        <w:t>’</w:t>
      </w:r>
      <w:r w:rsidR="00EE4F64" w:rsidRPr="00562699">
        <w:rPr>
          <w:szCs w:val="22"/>
          <w:lang w:val="fr-FR"/>
        </w:rPr>
        <w:t>une situation qui soulève un doute</w:t>
      </w:r>
      <w:r w:rsidRPr="00562699">
        <w:rPr>
          <w:szCs w:val="22"/>
          <w:lang w:val="fr-FR"/>
        </w:rPr>
        <w:t xml:space="preserve"> </w:t>
      </w:r>
      <w:r w:rsidR="00EE4F64" w:rsidRPr="00562699">
        <w:rPr>
          <w:szCs w:val="22"/>
          <w:lang w:val="fr-FR"/>
        </w:rPr>
        <w:t xml:space="preserve">quant à </w:t>
      </w:r>
      <w:r w:rsidRPr="00562699">
        <w:rPr>
          <w:szCs w:val="22"/>
          <w:lang w:val="fr-FR"/>
        </w:rPr>
        <w:t>la question de savoir si l</w:t>
      </w:r>
      <w:r w:rsidR="003C64A0">
        <w:rPr>
          <w:szCs w:val="22"/>
          <w:lang w:val="fr-FR"/>
        </w:rPr>
        <w:t>’</w:t>
      </w:r>
      <w:r w:rsidR="006D0365" w:rsidRPr="00562699">
        <w:rPr>
          <w:szCs w:val="22"/>
          <w:lang w:val="fr-FR"/>
        </w:rPr>
        <w:t>o</w:t>
      </w:r>
      <w:r w:rsidRPr="00562699">
        <w:rPr>
          <w:szCs w:val="22"/>
          <w:lang w:val="fr-FR"/>
        </w:rPr>
        <w:t xml:space="preserve">ffice </w:t>
      </w:r>
      <w:r w:rsidR="006D0365" w:rsidRPr="00562699">
        <w:rPr>
          <w:szCs w:val="22"/>
          <w:lang w:val="fr-FR"/>
        </w:rPr>
        <w:t>signalerait</w:t>
      </w:r>
      <w:r w:rsidRPr="00562699">
        <w:rPr>
          <w:szCs w:val="22"/>
          <w:lang w:val="fr-FR"/>
        </w:rPr>
        <w:t xml:space="preserve"> un</w:t>
      </w:r>
      <w:r w:rsidR="00EE4F64" w:rsidRPr="00562699">
        <w:rPr>
          <w:szCs w:val="22"/>
          <w:lang w:val="fr-FR"/>
        </w:rPr>
        <w:t>e interruption de service</w:t>
      </w:r>
      <w:r w:rsidRPr="00562699">
        <w:rPr>
          <w:szCs w:val="22"/>
          <w:lang w:val="fr-FR"/>
        </w:rPr>
        <w:t xml:space="preserve"> et</w:t>
      </w:r>
      <w:r w:rsidR="00EE4F64" w:rsidRPr="00562699">
        <w:rPr>
          <w:szCs w:val="22"/>
          <w:lang w:val="fr-FR"/>
        </w:rPr>
        <w:t xml:space="preserve"> quant à </w:t>
      </w:r>
      <w:r w:rsidRPr="00562699">
        <w:rPr>
          <w:szCs w:val="22"/>
          <w:lang w:val="fr-FR"/>
        </w:rPr>
        <w:t>l</w:t>
      </w:r>
      <w:r w:rsidR="003C64A0">
        <w:rPr>
          <w:szCs w:val="22"/>
          <w:lang w:val="fr-FR"/>
        </w:rPr>
        <w:t>’</w:t>
      </w:r>
      <w:r w:rsidRPr="00562699">
        <w:rPr>
          <w:szCs w:val="22"/>
          <w:lang w:val="fr-FR"/>
        </w:rPr>
        <w:t xml:space="preserve">effet </w:t>
      </w:r>
      <w:r w:rsidR="00677545" w:rsidRPr="00562699">
        <w:rPr>
          <w:szCs w:val="22"/>
          <w:lang w:val="fr-FR"/>
        </w:rPr>
        <w:t xml:space="preserve">concret sur </w:t>
      </w:r>
      <w:r w:rsidRPr="00562699">
        <w:rPr>
          <w:szCs w:val="22"/>
          <w:lang w:val="fr-FR"/>
        </w:rPr>
        <w:t xml:space="preserve">la phase nationale </w:t>
      </w:r>
      <w:r w:rsidR="00EE4F64" w:rsidRPr="00562699">
        <w:rPr>
          <w:szCs w:val="22"/>
          <w:lang w:val="fr-FR"/>
        </w:rPr>
        <w:t xml:space="preserve">pourrait </w:t>
      </w:r>
      <w:r w:rsidR="00AE092D" w:rsidRPr="00562699">
        <w:rPr>
          <w:szCs w:val="22"/>
          <w:lang w:val="fr-FR"/>
        </w:rPr>
        <w:t xml:space="preserve">inciter </w:t>
      </w:r>
      <w:r w:rsidRPr="00562699">
        <w:rPr>
          <w:szCs w:val="22"/>
          <w:lang w:val="fr-FR"/>
        </w:rPr>
        <w:t xml:space="preserve">les déposants </w:t>
      </w:r>
      <w:r w:rsidR="00AE092D" w:rsidRPr="00562699">
        <w:rPr>
          <w:szCs w:val="22"/>
          <w:lang w:val="fr-FR"/>
        </w:rPr>
        <w:t>à s</w:t>
      </w:r>
      <w:r w:rsidR="003C64A0">
        <w:rPr>
          <w:szCs w:val="22"/>
          <w:lang w:val="fr-FR"/>
        </w:rPr>
        <w:t>’</w:t>
      </w:r>
      <w:r w:rsidR="00AE092D" w:rsidRPr="00562699">
        <w:rPr>
          <w:szCs w:val="22"/>
          <w:lang w:val="fr-FR"/>
        </w:rPr>
        <w:t xml:space="preserve">en remettre par </w:t>
      </w:r>
      <w:r w:rsidRPr="00562699">
        <w:rPr>
          <w:szCs w:val="22"/>
          <w:lang w:val="fr-FR"/>
        </w:rPr>
        <w:t xml:space="preserve">erreur à des </w:t>
      </w:r>
      <w:r w:rsidR="00AE092D" w:rsidRPr="00562699">
        <w:rPr>
          <w:szCs w:val="22"/>
          <w:lang w:val="fr-FR"/>
        </w:rPr>
        <w:t>mesures de sauvegarde jouant en leur défave</w:t>
      </w:r>
      <w:r w:rsidR="00B85EF1" w:rsidRPr="00562699">
        <w:rPr>
          <w:szCs w:val="22"/>
          <w:lang w:val="fr-FR"/>
        </w:rPr>
        <w:t>ur</w:t>
      </w:r>
      <w:r w:rsidR="00B85EF1">
        <w:rPr>
          <w:szCs w:val="22"/>
          <w:lang w:val="fr-FR"/>
        </w:rPr>
        <w:t xml:space="preserve">.  </w:t>
      </w:r>
      <w:r w:rsidR="00B85EF1" w:rsidRPr="00562699">
        <w:rPr>
          <w:szCs w:val="22"/>
          <w:lang w:val="fr-FR"/>
        </w:rPr>
        <w:t>Un</w:t>
      </w:r>
      <w:r w:rsidRPr="00562699">
        <w:rPr>
          <w:szCs w:val="22"/>
          <w:lang w:val="fr-FR"/>
        </w:rPr>
        <w:t xml:space="preserve">e autre question était de savoir si les dispositions </w:t>
      </w:r>
      <w:r w:rsidR="00AE092D" w:rsidRPr="00562699">
        <w:rPr>
          <w:szCs w:val="22"/>
          <w:lang w:val="fr-FR"/>
        </w:rPr>
        <w:t xml:space="preserve">avaient une </w:t>
      </w:r>
      <w:r w:rsidRPr="00562699">
        <w:rPr>
          <w:szCs w:val="22"/>
          <w:lang w:val="fr-FR"/>
        </w:rPr>
        <w:t xml:space="preserve">valeur quelconque si les tribunaux nationaux ne </w:t>
      </w:r>
      <w:r w:rsidR="00AE092D" w:rsidRPr="00562699">
        <w:rPr>
          <w:szCs w:val="22"/>
          <w:lang w:val="fr-FR"/>
        </w:rPr>
        <w:t>r</w:t>
      </w:r>
      <w:r w:rsidRPr="00562699">
        <w:rPr>
          <w:szCs w:val="22"/>
          <w:lang w:val="fr-FR"/>
        </w:rPr>
        <w:t xml:space="preserve">econnaissaient pas les retards qui avaient été excusés par les </w:t>
      </w:r>
      <w:r w:rsidR="00183389" w:rsidRPr="00562699">
        <w:rPr>
          <w:szCs w:val="22"/>
          <w:lang w:val="fr-FR"/>
        </w:rPr>
        <w:t>o</w:t>
      </w:r>
      <w:r w:rsidRPr="00562699">
        <w:rPr>
          <w:szCs w:val="22"/>
          <w:lang w:val="fr-FR"/>
        </w:rPr>
        <w:t>ffices.</w:t>
      </w:r>
    </w:p>
    <w:p w14:paraId="3C6D7BBC" w14:textId="74491A6C" w:rsidR="009246D2" w:rsidRPr="00562699" w:rsidRDefault="00CB23D2" w:rsidP="00273B5F">
      <w:pPr>
        <w:pStyle w:val="ONUMFS"/>
        <w:rPr>
          <w:szCs w:val="22"/>
          <w:lang w:val="fr-FR"/>
        </w:rPr>
      </w:pPr>
      <w:r w:rsidRPr="00562699">
        <w:rPr>
          <w:szCs w:val="22"/>
          <w:lang w:val="fr-FR"/>
        </w:rPr>
        <w:lastRenderedPageBreak/>
        <w:t xml:space="preserve">Plusieurs administrations </w:t>
      </w:r>
      <w:r w:rsidR="00E11170" w:rsidRPr="00562699">
        <w:rPr>
          <w:szCs w:val="22"/>
          <w:lang w:val="fr-FR"/>
        </w:rPr>
        <w:t>étaient</w:t>
      </w:r>
      <w:r w:rsidRPr="00562699">
        <w:rPr>
          <w:szCs w:val="22"/>
          <w:lang w:val="fr-FR"/>
        </w:rPr>
        <w:t xml:space="preserve"> préoccupées par le caractère facultatif de la disposition, </w:t>
      </w:r>
      <w:r w:rsidR="00677545" w:rsidRPr="00562699">
        <w:rPr>
          <w:szCs w:val="22"/>
          <w:lang w:val="fr-FR"/>
        </w:rPr>
        <w:t>source d</w:t>
      </w:r>
      <w:r w:rsidR="003C64A0">
        <w:rPr>
          <w:szCs w:val="22"/>
          <w:lang w:val="fr-FR"/>
        </w:rPr>
        <w:t>’</w:t>
      </w:r>
      <w:r w:rsidR="00677545" w:rsidRPr="00562699">
        <w:rPr>
          <w:szCs w:val="22"/>
          <w:lang w:val="fr-FR"/>
        </w:rPr>
        <w:t>insécurité et de disparités entre les systèmes</w:t>
      </w:r>
      <w:r w:rsidR="00E11170" w:rsidRPr="00562699">
        <w:rPr>
          <w:szCs w:val="22"/>
          <w:lang w:val="fr-FR"/>
        </w:rPr>
        <w:t>.</w:t>
      </w:r>
    </w:p>
    <w:p w14:paraId="4F30A540" w14:textId="6A0E5BA8" w:rsidR="009246D2" w:rsidRPr="00562699" w:rsidRDefault="00CB23D2" w:rsidP="00273B5F">
      <w:pPr>
        <w:pStyle w:val="ONUMFS"/>
        <w:rPr>
          <w:szCs w:val="22"/>
          <w:lang w:val="fr-FR"/>
        </w:rPr>
      </w:pPr>
      <w:r w:rsidRPr="00562699">
        <w:rPr>
          <w:szCs w:val="22"/>
          <w:lang w:val="fr-FR"/>
        </w:rPr>
        <w:t>Certaines administrations ont indiqué qu</w:t>
      </w:r>
      <w:r w:rsidR="003C64A0">
        <w:rPr>
          <w:szCs w:val="22"/>
          <w:lang w:val="fr-FR"/>
        </w:rPr>
        <w:t>’</w:t>
      </w:r>
      <w:r w:rsidRPr="00562699">
        <w:rPr>
          <w:szCs w:val="22"/>
          <w:lang w:val="fr-FR"/>
        </w:rPr>
        <w:t xml:space="preserve">il </w:t>
      </w:r>
      <w:r w:rsidR="00183389" w:rsidRPr="00562699">
        <w:rPr>
          <w:szCs w:val="22"/>
          <w:lang w:val="fr-FR"/>
        </w:rPr>
        <w:t>convenait</w:t>
      </w:r>
      <w:r w:rsidRPr="00562699">
        <w:rPr>
          <w:szCs w:val="22"/>
          <w:lang w:val="fr-FR"/>
        </w:rPr>
        <w:t xml:space="preserve"> de préciser que toute excuse </w:t>
      </w:r>
      <w:r w:rsidR="00E11170" w:rsidRPr="00562699">
        <w:rPr>
          <w:szCs w:val="22"/>
          <w:lang w:val="fr-FR"/>
        </w:rPr>
        <w:t xml:space="preserve">avancée pour justifier un </w:t>
      </w:r>
      <w:r w:rsidRPr="00562699">
        <w:rPr>
          <w:szCs w:val="22"/>
          <w:lang w:val="fr-FR"/>
        </w:rPr>
        <w:t xml:space="preserve">retard </w:t>
      </w:r>
      <w:r w:rsidR="00183389" w:rsidRPr="00562699">
        <w:rPr>
          <w:szCs w:val="22"/>
          <w:lang w:val="fr-FR"/>
        </w:rPr>
        <w:t xml:space="preserve">nécessiterait que </w:t>
      </w:r>
      <w:r w:rsidR="00677545" w:rsidRPr="00562699">
        <w:rPr>
          <w:szCs w:val="22"/>
          <w:lang w:val="fr-FR"/>
        </w:rPr>
        <w:t>l</w:t>
      </w:r>
      <w:r w:rsidRPr="00562699">
        <w:rPr>
          <w:szCs w:val="22"/>
          <w:lang w:val="fr-FR"/>
        </w:rPr>
        <w:t xml:space="preserve">es mesures </w:t>
      </w:r>
      <w:r w:rsidR="00677545" w:rsidRPr="00562699">
        <w:rPr>
          <w:szCs w:val="22"/>
          <w:lang w:val="fr-FR"/>
        </w:rPr>
        <w:t xml:space="preserve">correspondantes </w:t>
      </w:r>
      <w:r w:rsidRPr="00562699">
        <w:rPr>
          <w:szCs w:val="22"/>
          <w:lang w:val="fr-FR"/>
        </w:rPr>
        <w:t xml:space="preserve">soient prises au plus tard le jour ouvrable suivant </w:t>
      </w:r>
      <w:r w:rsidR="00E11170" w:rsidRPr="00562699">
        <w:rPr>
          <w:szCs w:val="22"/>
          <w:lang w:val="fr-FR"/>
        </w:rPr>
        <w:t>l</w:t>
      </w:r>
      <w:r w:rsidR="003C64A0">
        <w:rPr>
          <w:szCs w:val="22"/>
          <w:lang w:val="fr-FR"/>
        </w:rPr>
        <w:t>’</w:t>
      </w:r>
      <w:r w:rsidR="00E11170" w:rsidRPr="00562699">
        <w:rPr>
          <w:szCs w:val="22"/>
          <w:lang w:val="fr-FR"/>
        </w:rPr>
        <w:t>interruption de servi</w:t>
      </w:r>
      <w:r w:rsidR="00B85EF1" w:rsidRPr="00562699">
        <w:rPr>
          <w:szCs w:val="22"/>
          <w:lang w:val="fr-FR"/>
        </w:rPr>
        <w:t>ce</w:t>
      </w:r>
      <w:r w:rsidR="00B85EF1">
        <w:rPr>
          <w:szCs w:val="22"/>
          <w:lang w:val="fr-FR"/>
        </w:rPr>
        <w:t xml:space="preserve">.  </w:t>
      </w:r>
      <w:r w:rsidR="00B85EF1" w:rsidRPr="00562699">
        <w:rPr>
          <w:szCs w:val="22"/>
          <w:lang w:val="fr-FR"/>
        </w:rPr>
        <w:t>Ce</w:t>
      </w:r>
      <w:r w:rsidRPr="00562699">
        <w:rPr>
          <w:szCs w:val="22"/>
          <w:lang w:val="fr-FR"/>
        </w:rPr>
        <w:t xml:space="preserve">rtaines administrations </w:t>
      </w:r>
      <w:r w:rsidR="00677545" w:rsidRPr="00562699">
        <w:rPr>
          <w:szCs w:val="22"/>
          <w:lang w:val="fr-FR"/>
        </w:rPr>
        <w:t>considéraient</w:t>
      </w:r>
      <w:r w:rsidR="00E11170" w:rsidRPr="00562699">
        <w:rPr>
          <w:szCs w:val="22"/>
          <w:lang w:val="fr-FR"/>
        </w:rPr>
        <w:t xml:space="preserve"> qu</w:t>
      </w:r>
      <w:r w:rsidR="003C64A0">
        <w:rPr>
          <w:szCs w:val="22"/>
          <w:lang w:val="fr-FR"/>
        </w:rPr>
        <w:t>’</w:t>
      </w:r>
      <w:r w:rsidR="00E11170" w:rsidRPr="00562699">
        <w:rPr>
          <w:szCs w:val="22"/>
          <w:lang w:val="fr-FR"/>
        </w:rPr>
        <w:t>une interruption de service dans un système empêchant l</w:t>
      </w:r>
      <w:r w:rsidR="003C64A0">
        <w:rPr>
          <w:szCs w:val="22"/>
          <w:lang w:val="fr-FR"/>
        </w:rPr>
        <w:t>’</w:t>
      </w:r>
      <w:r w:rsidR="00E11170" w:rsidRPr="00562699">
        <w:rPr>
          <w:szCs w:val="22"/>
          <w:lang w:val="fr-FR"/>
        </w:rPr>
        <w:t>exécution d</w:t>
      </w:r>
      <w:r w:rsidR="003C64A0">
        <w:rPr>
          <w:szCs w:val="22"/>
          <w:lang w:val="fr-FR"/>
        </w:rPr>
        <w:t>’</w:t>
      </w:r>
      <w:r w:rsidR="00E11170" w:rsidRPr="00562699">
        <w:rPr>
          <w:szCs w:val="22"/>
          <w:lang w:val="fr-FR"/>
        </w:rPr>
        <w:t xml:space="preserve">une action ne </w:t>
      </w:r>
      <w:r w:rsidRPr="00562699">
        <w:rPr>
          <w:szCs w:val="22"/>
          <w:lang w:val="fr-FR"/>
        </w:rPr>
        <w:t>devrait pas automatiquement excuser un retard dans l</w:t>
      </w:r>
      <w:r w:rsidR="003C64A0">
        <w:rPr>
          <w:szCs w:val="22"/>
          <w:lang w:val="fr-FR"/>
        </w:rPr>
        <w:t>’</w:t>
      </w:r>
      <w:r w:rsidRPr="00562699">
        <w:rPr>
          <w:szCs w:val="22"/>
          <w:lang w:val="fr-FR"/>
        </w:rPr>
        <w:t>observation d</w:t>
      </w:r>
      <w:r w:rsidR="003C64A0">
        <w:rPr>
          <w:szCs w:val="22"/>
          <w:lang w:val="fr-FR"/>
        </w:rPr>
        <w:t>’</w:t>
      </w:r>
      <w:r w:rsidRPr="00562699">
        <w:rPr>
          <w:szCs w:val="22"/>
          <w:lang w:val="fr-FR"/>
        </w:rPr>
        <w:t xml:space="preserve">un délai </w:t>
      </w:r>
      <w:r w:rsidR="00E11170" w:rsidRPr="00562699">
        <w:rPr>
          <w:szCs w:val="22"/>
          <w:lang w:val="fr-FR"/>
        </w:rPr>
        <w:t>lorsque</w:t>
      </w:r>
      <w:r w:rsidRPr="00562699">
        <w:rPr>
          <w:szCs w:val="22"/>
          <w:lang w:val="fr-FR"/>
        </w:rPr>
        <w:t xml:space="preserve"> d</w:t>
      </w:r>
      <w:r w:rsidR="003C64A0">
        <w:rPr>
          <w:szCs w:val="22"/>
          <w:lang w:val="fr-FR"/>
        </w:rPr>
        <w:t>’</w:t>
      </w:r>
      <w:r w:rsidRPr="00562699">
        <w:rPr>
          <w:szCs w:val="22"/>
          <w:lang w:val="fr-FR"/>
        </w:rPr>
        <w:t>autres options étaient disponibl</w:t>
      </w:r>
      <w:r w:rsidR="00B85EF1" w:rsidRPr="00562699">
        <w:rPr>
          <w:szCs w:val="22"/>
          <w:lang w:val="fr-FR"/>
        </w:rPr>
        <w:t>es</w:t>
      </w:r>
      <w:r w:rsidR="00B85EF1">
        <w:rPr>
          <w:szCs w:val="22"/>
          <w:lang w:val="fr-FR"/>
        </w:rPr>
        <w:t xml:space="preserve">.  </w:t>
      </w:r>
      <w:r w:rsidR="00B85EF1" w:rsidRPr="00562699">
        <w:rPr>
          <w:szCs w:val="22"/>
          <w:lang w:val="fr-FR"/>
        </w:rPr>
        <w:t>En</w:t>
      </w:r>
      <w:r w:rsidRPr="00562699">
        <w:rPr>
          <w:szCs w:val="22"/>
          <w:lang w:val="fr-FR"/>
        </w:rPr>
        <w:t xml:space="preserve"> </w:t>
      </w:r>
      <w:r w:rsidR="00E11170" w:rsidRPr="00562699">
        <w:rPr>
          <w:szCs w:val="22"/>
          <w:lang w:val="fr-FR"/>
        </w:rPr>
        <w:t>pareil</w:t>
      </w:r>
      <w:r w:rsidRPr="00562699">
        <w:rPr>
          <w:szCs w:val="22"/>
          <w:lang w:val="fr-FR"/>
        </w:rPr>
        <w:t xml:space="preserve"> cas, un système fondé sur la présentation par le déposant des</w:t>
      </w:r>
      <w:r w:rsidR="00183389" w:rsidRPr="00562699">
        <w:rPr>
          <w:szCs w:val="22"/>
          <w:lang w:val="fr-FR"/>
        </w:rPr>
        <w:t xml:space="preserve"> circonstances particulières </w:t>
      </w:r>
      <w:r w:rsidRPr="00562699">
        <w:rPr>
          <w:szCs w:val="22"/>
          <w:lang w:val="fr-FR"/>
        </w:rPr>
        <w:t xml:space="preserve">de </w:t>
      </w:r>
      <w:r w:rsidR="00183389" w:rsidRPr="00562699">
        <w:rPr>
          <w:szCs w:val="22"/>
          <w:lang w:val="fr-FR"/>
        </w:rPr>
        <w:t>l</w:t>
      </w:r>
      <w:r w:rsidR="003C64A0">
        <w:rPr>
          <w:szCs w:val="22"/>
          <w:lang w:val="fr-FR"/>
        </w:rPr>
        <w:t>’</w:t>
      </w:r>
      <w:r w:rsidR="00183389" w:rsidRPr="00562699">
        <w:rPr>
          <w:szCs w:val="22"/>
          <w:lang w:val="fr-FR"/>
        </w:rPr>
        <w:t xml:space="preserve">incident </w:t>
      </w:r>
      <w:r w:rsidRPr="00562699">
        <w:rPr>
          <w:szCs w:val="22"/>
          <w:lang w:val="fr-FR"/>
        </w:rPr>
        <w:t xml:space="preserve">serait </w:t>
      </w:r>
      <w:proofErr w:type="gramStart"/>
      <w:r w:rsidRPr="00562699">
        <w:rPr>
          <w:szCs w:val="22"/>
          <w:lang w:val="fr-FR"/>
        </w:rPr>
        <w:t>peut</w:t>
      </w:r>
      <w:proofErr w:type="gramEnd"/>
      <w:r w:rsidR="001B4A2C">
        <w:rPr>
          <w:szCs w:val="22"/>
          <w:lang w:val="fr-FR"/>
        </w:rPr>
        <w:noBreakHyphen/>
      </w:r>
      <w:r w:rsidRPr="00562699">
        <w:rPr>
          <w:szCs w:val="22"/>
          <w:lang w:val="fr-FR"/>
        </w:rPr>
        <w:t>être plus appropr</w:t>
      </w:r>
      <w:r w:rsidR="00B85EF1" w:rsidRPr="00562699">
        <w:rPr>
          <w:szCs w:val="22"/>
          <w:lang w:val="fr-FR"/>
        </w:rPr>
        <w:t>ié</w:t>
      </w:r>
      <w:r w:rsidR="00B85EF1">
        <w:rPr>
          <w:szCs w:val="22"/>
          <w:lang w:val="fr-FR"/>
        </w:rPr>
        <w:t xml:space="preserve">.  </w:t>
      </w:r>
      <w:r w:rsidR="00B85EF1" w:rsidRPr="00562699">
        <w:rPr>
          <w:szCs w:val="22"/>
          <w:lang w:val="fr-FR"/>
        </w:rPr>
        <w:t>To</w:t>
      </w:r>
      <w:r w:rsidRPr="00562699">
        <w:rPr>
          <w:szCs w:val="22"/>
          <w:lang w:val="fr-FR"/>
        </w:rPr>
        <w:t>utefois, il a été observé que</w:t>
      </w:r>
      <w:r w:rsidR="00677545" w:rsidRPr="00562699">
        <w:rPr>
          <w:szCs w:val="22"/>
          <w:lang w:val="fr-FR"/>
        </w:rPr>
        <w:t>,</w:t>
      </w:r>
      <w:r w:rsidRPr="00562699">
        <w:rPr>
          <w:szCs w:val="22"/>
          <w:lang w:val="fr-FR"/>
        </w:rPr>
        <w:t xml:space="preserve"> même si d</w:t>
      </w:r>
      <w:r w:rsidR="003C64A0">
        <w:rPr>
          <w:szCs w:val="22"/>
          <w:lang w:val="fr-FR"/>
        </w:rPr>
        <w:t>’</w:t>
      </w:r>
      <w:r w:rsidRPr="00562699">
        <w:rPr>
          <w:szCs w:val="22"/>
          <w:lang w:val="fr-FR"/>
        </w:rPr>
        <w:t xml:space="preserve">autres options électroniques étaient disponibles, </w:t>
      </w:r>
      <w:r w:rsidR="00E11170" w:rsidRPr="00562699">
        <w:rPr>
          <w:szCs w:val="22"/>
          <w:lang w:val="fr-FR"/>
        </w:rPr>
        <w:t xml:space="preserve">le déposant pourrait rencontrer des difficultés pratiques pour les utiliser si des </w:t>
      </w:r>
      <w:r w:rsidRPr="00562699">
        <w:rPr>
          <w:szCs w:val="22"/>
          <w:lang w:val="fr-FR"/>
        </w:rPr>
        <w:t>préparatifs spécifiques étaient nécessaires, comme l</w:t>
      </w:r>
      <w:r w:rsidR="003C64A0">
        <w:rPr>
          <w:szCs w:val="22"/>
          <w:lang w:val="fr-FR"/>
        </w:rPr>
        <w:t>’</w:t>
      </w:r>
      <w:r w:rsidRPr="00562699">
        <w:rPr>
          <w:szCs w:val="22"/>
          <w:lang w:val="fr-FR"/>
        </w:rPr>
        <w:t>obtention de certificats ou de cartes à pu</w:t>
      </w:r>
      <w:r w:rsidR="00B85EF1" w:rsidRPr="00562699">
        <w:rPr>
          <w:szCs w:val="22"/>
          <w:lang w:val="fr-FR"/>
        </w:rPr>
        <w:t>ce</w:t>
      </w:r>
      <w:r w:rsidR="00B85EF1">
        <w:rPr>
          <w:szCs w:val="22"/>
          <w:lang w:val="fr-FR"/>
        </w:rPr>
        <w:t xml:space="preserve">.  </w:t>
      </w:r>
      <w:r w:rsidR="00B85EF1" w:rsidRPr="00562699">
        <w:rPr>
          <w:szCs w:val="22"/>
          <w:lang w:val="fr-FR"/>
        </w:rPr>
        <w:t>Pl</w:t>
      </w:r>
      <w:r w:rsidRPr="00562699">
        <w:rPr>
          <w:szCs w:val="22"/>
          <w:lang w:val="fr-FR"/>
        </w:rPr>
        <w:t>usieurs administrations ont estimé que les interruptions programmées de services notifiées à l</w:t>
      </w:r>
      <w:r w:rsidR="003C64A0">
        <w:rPr>
          <w:szCs w:val="22"/>
          <w:lang w:val="fr-FR"/>
        </w:rPr>
        <w:t>’</w:t>
      </w:r>
      <w:r w:rsidRPr="00562699">
        <w:rPr>
          <w:szCs w:val="22"/>
          <w:lang w:val="fr-FR"/>
        </w:rPr>
        <w:t>avance ne devraient pas être couvertes par un</w:t>
      </w:r>
      <w:r w:rsidR="00E11170" w:rsidRPr="00562699">
        <w:rPr>
          <w:szCs w:val="22"/>
          <w:lang w:val="fr-FR"/>
        </w:rPr>
        <w:t xml:space="preserve"> mécanisme </w:t>
      </w:r>
      <w:r w:rsidRPr="00562699">
        <w:rPr>
          <w:szCs w:val="22"/>
          <w:lang w:val="fr-FR"/>
        </w:rPr>
        <w:t xml:space="preserve">de sauvegarde, </w:t>
      </w:r>
      <w:r w:rsidR="00E11170" w:rsidRPr="00562699">
        <w:rPr>
          <w:szCs w:val="22"/>
          <w:lang w:val="fr-FR"/>
        </w:rPr>
        <w:t xml:space="preserve">alors que </w:t>
      </w:r>
      <w:r w:rsidRPr="00562699">
        <w:rPr>
          <w:szCs w:val="22"/>
          <w:lang w:val="fr-FR"/>
        </w:rPr>
        <w:t>d</w:t>
      </w:r>
      <w:r w:rsidR="003C64A0">
        <w:rPr>
          <w:szCs w:val="22"/>
          <w:lang w:val="fr-FR"/>
        </w:rPr>
        <w:t>’</w:t>
      </w:r>
      <w:r w:rsidRPr="00562699">
        <w:rPr>
          <w:szCs w:val="22"/>
          <w:lang w:val="fr-FR"/>
        </w:rPr>
        <w:t>autres ont suggéré que toute forme d</w:t>
      </w:r>
      <w:r w:rsidR="003C64A0">
        <w:rPr>
          <w:szCs w:val="22"/>
          <w:lang w:val="fr-FR"/>
        </w:rPr>
        <w:t>’</w:t>
      </w:r>
      <w:r w:rsidR="00E11170" w:rsidRPr="00562699">
        <w:rPr>
          <w:szCs w:val="22"/>
          <w:lang w:val="fr-FR"/>
        </w:rPr>
        <w:t xml:space="preserve">interruption de service </w:t>
      </w:r>
      <w:r w:rsidRPr="00562699">
        <w:rPr>
          <w:szCs w:val="22"/>
          <w:lang w:val="fr-FR"/>
        </w:rPr>
        <w:t>entraîn</w:t>
      </w:r>
      <w:r w:rsidR="00E11170" w:rsidRPr="00562699">
        <w:rPr>
          <w:szCs w:val="22"/>
          <w:lang w:val="fr-FR"/>
        </w:rPr>
        <w:t>ait</w:t>
      </w:r>
      <w:r w:rsidRPr="00562699">
        <w:rPr>
          <w:szCs w:val="22"/>
          <w:lang w:val="fr-FR"/>
        </w:rPr>
        <w:t xml:space="preserve"> un</w:t>
      </w:r>
      <w:r w:rsidR="00E11170" w:rsidRPr="00562699">
        <w:rPr>
          <w:szCs w:val="22"/>
          <w:lang w:val="fr-FR"/>
        </w:rPr>
        <w:t xml:space="preserve"> changement effectif des délais </w:t>
      </w:r>
      <w:r w:rsidR="00FB6026" w:rsidRPr="00562699">
        <w:rPr>
          <w:szCs w:val="22"/>
          <w:lang w:val="fr-FR"/>
        </w:rPr>
        <w:t>pour lesquels les déposants ne devraient pas être pénalis</w:t>
      </w:r>
      <w:r w:rsidR="00B85EF1" w:rsidRPr="00562699">
        <w:rPr>
          <w:szCs w:val="22"/>
          <w:lang w:val="fr-FR"/>
        </w:rPr>
        <w:t>és</w:t>
      </w:r>
      <w:r w:rsidR="00B85EF1">
        <w:rPr>
          <w:szCs w:val="22"/>
          <w:lang w:val="fr-FR"/>
        </w:rPr>
        <w:t xml:space="preserve">.  </w:t>
      </w:r>
      <w:r w:rsidR="00B85EF1" w:rsidRPr="00562699">
        <w:rPr>
          <w:szCs w:val="22"/>
          <w:lang w:val="fr-FR"/>
        </w:rPr>
        <w:t>Il</w:t>
      </w:r>
      <w:r w:rsidRPr="00562699">
        <w:rPr>
          <w:szCs w:val="22"/>
          <w:lang w:val="fr-FR"/>
        </w:rPr>
        <w:t xml:space="preserve"> a été observé que la mesure dans laquelle un </w:t>
      </w:r>
      <w:r w:rsidR="00183389" w:rsidRPr="00562699">
        <w:rPr>
          <w:szCs w:val="22"/>
          <w:lang w:val="fr-FR"/>
        </w:rPr>
        <w:t>o</w:t>
      </w:r>
      <w:r w:rsidRPr="00562699">
        <w:rPr>
          <w:szCs w:val="22"/>
          <w:lang w:val="fr-FR"/>
        </w:rPr>
        <w:t xml:space="preserve">ffice était </w:t>
      </w:r>
      <w:r w:rsidR="00FB6026" w:rsidRPr="00562699">
        <w:rPr>
          <w:szCs w:val="22"/>
          <w:lang w:val="fr-FR"/>
        </w:rPr>
        <w:t xml:space="preserve">opérationnel lorsque les </w:t>
      </w:r>
      <w:r w:rsidRPr="00562699">
        <w:rPr>
          <w:szCs w:val="22"/>
          <w:lang w:val="fr-FR"/>
        </w:rPr>
        <w:t xml:space="preserve">documents </w:t>
      </w:r>
      <w:r w:rsidR="00FB6026" w:rsidRPr="00562699">
        <w:rPr>
          <w:szCs w:val="22"/>
          <w:lang w:val="fr-FR"/>
        </w:rPr>
        <w:t xml:space="preserve">ne pouvaient pas être transmis et </w:t>
      </w:r>
      <w:r w:rsidRPr="00562699">
        <w:rPr>
          <w:szCs w:val="22"/>
          <w:lang w:val="fr-FR"/>
        </w:rPr>
        <w:t xml:space="preserve">les taxes </w:t>
      </w:r>
      <w:r w:rsidR="00FB6026" w:rsidRPr="00562699">
        <w:rPr>
          <w:szCs w:val="22"/>
          <w:lang w:val="fr-FR"/>
        </w:rPr>
        <w:t>payées</w:t>
      </w:r>
      <w:r w:rsidRPr="00562699">
        <w:rPr>
          <w:szCs w:val="22"/>
          <w:lang w:val="fr-FR"/>
        </w:rPr>
        <w:t xml:space="preserve">, </w:t>
      </w:r>
      <w:r w:rsidR="00FB6026" w:rsidRPr="00562699">
        <w:rPr>
          <w:szCs w:val="22"/>
          <w:lang w:val="fr-FR"/>
        </w:rPr>
        <w:t>alors même qu</w:t>
      </w:r>
      <w:r w:rsidR="003C64A0">
        <w:rPr>
          <w:szCs w:val="22"/>
          <w:lang w:val="fr-FR"/>
        </w:rPr>
        <w:t>’</w:t>
      </w:r>
      <w:r w:rsidR="00FB6026" w:rsidRPr="00562699">
        <w:rPr>
          <w:szCs w:val="22"/>
          <w:lang w:val="fr-FR"/>
        </w:rPr>
        <w:t>une grande partie de son personnel travaillait</w:t>
      </w:r>
      <w:r w:rsidRPr="00562699">
        <w:rPr>
          <w:szCs w:val="22"/>
          <w:lang w:val="fr-FR"/>
        </w:rPr>
        <w:t xml:space="preserve">, </w:t>
      </w:r>
      <w:r w:rsidR="00FB6026" w:rsidRPr="00562699">
        <w:rPr>
          <w:szCs w:val="22"/>
          <w:lang w:val="fr-FR"/>
        </w:rPr>
        <w:t xml:space="preserve">avait </w:t>
      </w:r>
      <w:r w:rsidRPr="00562699">
        <w:rPr>
          <w:szCs w:val="22"/>
          <w:lang w:val="fr-FR"/>
        </w:rPr>
        <w:t>des conséquences dépassa</w:t>
      </w:r>
      <w:r w:rsidR="00FB6026" w:rsidRPr="00562699">
        <w:rPr>
          <w:szCs w:val="22"/>
          <w:lang w:val="fr-FR"/>
        </w:rPr>
        <w:t>n</w:t>
      </w:r>
      <w:r w:rsidRPr="00562699">
        <w:rPr>
          <w:szCs w:val="22"/>
          <w:lang w:val="fr-FR"/>
        </w:rPr>
        <w:t>t le cadre de cette proposition spécifique.</w:t>
      </w:r>
    </w:p>
    <w:p w14:paraId="18406CCE" w14:textId="226D305A" w:rsidR="009246D2" w:rsidRPr="00562699" w:rsidRDefault="00CB23D2" w:rsidP="00273B5F">
      <w:pPr>
        <w:pStyle w:val="ONUMFS"/>
        <w:rPr>
          <w:szCs w:val="22"/>
          <w:lang w:val="fr-FR"/>
        </w:rPr>
      </w:pPr>
      <w:r w:rsidRPr="00562699">
        <w:rPr>
          <w:szCs w:val="22"/>
          <w:lang w:val="fr-FR"/>
        </w:rPr>
        <w:t xml:space="preserve">Une administration a suggéré que la nature de la </w:t>
      </w:r>
      <w:r w:rsidR="00FB6026" w:rsidRPr="00562699">
        <w:rPr>
          <w:szCs w:val="22"/>
          <w:lang w:val="fr-FR"/>
        </w:rPr>
        <w:t>mesure</w:t>
      </w:r>
      <w:r w:rsidRPr="00562699">
        <w:rPr>
          <w:szCs w:val="22"/>
          <w:lang w:val="fr-FR"/>
        </w:rPr>
        <w:t xml:space="preserve"> de sauvegarde proposée</w:t>
      </w:r>
      <w:r w:rsidR="00FB6026" w:rsidRPr="00562699">
        <w:rPr>
          <w:szCs w:val="22"/>
          <w:lang w:val="fr-FR"/>
        </w:rPr>
        <w:t xml:space="preserve"> et sa place</w:t>
      </w:r>
      <w:r w:rsidRPr="00562699">
        <w:rPr>
          <w:szCs w:val="22"/>
          <w:lang w:val="fr-FR"/>
        </w:rPr>
        <w:t xml:space="preserve"> dans le </w:t>
      </w:r>
      <w:r w:rsidR="00FB6026" w:rsidRPr="00562699">
        <w:rPr>
          <w:szCs w:val="22"/>
          <w:lang w:val="fr-FR"/>
        </w:rPr>
        <w:t>r</w:t>
      </w:r>
      <w:r w:rsidRPr="00562699">
        <w:rPr>
          <w:szCs w:val="22"/>
          <w:lang w:val="fr-FR"/>
        </w:rPr>
        <w:t>èglement n</w:t>
      </w:r>
      <w:r w:rsidR="003C64A0">
        <w:rPr>
          <w:szCs w:val="22"/>
          <w:lang w:val="fr-FR"/>
        </w:rPr>
        <w:t>’</w:t>
      </w:r>
      <w:r w:rsidRPr="00562699">
        <w:rPr>
          <w:szCs w:val="22"/>
          <w:lang w:val="fr-FR"/>
        </w:rPr>
        <w:t>étai</w:t>
      </w:r>
      <w:r w:rsidR="00FB6026" w:rsidRPr="00562699">
        <w:rPr>
          <w:szCs w:val="22"/>
          <w:lang w:val="fr-FR"/>
        </w:rPr>
        <w:t>en</w:t>
      </w:r>
      <w:r w:rsidRPr="00562699">
        <w:rPr>
          <w:szCs w:val="22"/>
          <w:lang w:val="fr-FR"/>
        </w:rPr>
        <w:t>t pas approprié</w:t>
      </w:r>
      <w:r w:rsidR="00B85EF1" w:rsidRPr="00562699">
        <w:rPr>
          <w:szCs w:val="22"/>
          <w:lang w:val="fr-FR"/>
        </w:rPr>
        <w:t>es</w:t>
      </w:r>
      <w:r w:rsidR="00B85EF1">
        <w:rPr>
          <w:szCs w:val="22"/>
          <w:lang w:val="fr-FR"/>
        </w:rPr>
        <w:t xml:space="preserve">.  </w:t>
      </w:r>
      <w:r w:rsidR="00B85EF1" w:rsidRPr="00562699">
        <w:rPr>
          <w:szCs w:val="22"/>
          <w:lang w:val="fr-FR"/>
        </w:rPr>
        <w:t>Le</w:t>
      </w:r>
      <w:r w:rsidRPr="00562699">
        <w:rPr>
          <w:szCs w:val="22"/>
          <w:lang w:val="fr-FR"/>
        </w:rPr>
        <w:t xml:space="preserve">s propositions antérieures, qui </w:t>
      </w:r>
      <w:r w:rsidR="00FB6026" w:rsidRPr="00562699">
        <w:rPr>
          <w:szCs w:val="22"/>
          <w:lang w:val="fr-FR"/>
        </w:rPr>
        <w:t>prévoyaient</w:t>
      </w:r>
      <w:r w:rsidRPr="00562699">
        <w:rPr>
          <w:szCs w:val="22"/>
          <w:lang w:val="fr-FR"/>
        </w:rPr>
        <w:t xml:space="preserve"> une prorogation des délais </w:t>
      </w:r>
      <w:r w:rsidR="00183389" w:rsidRPr="00562699">
        <w:rPr>
          <w:szCs w:val="22"/>
          <w:lang w:val="fr-FR"/>
        </w:rPr>
        <w:t>d</w:t>
      </w:r>
      <w:r w:rsidR="003C64A0">
        <w:rPr>
          <w:szCs w:val="22"/>
          <w:lang w:val="fr-FR"/>
        </w:rPr>
        <w:t>’</w:t>
      </w:r>
      <w:r w:rsidR="00183389" w:rsidRPr="00562699">
        <w:rPr>
          <w:szCs w:val="22"/>
          <w:lang w:val="fr-FR"/>
        </w:rPr>
        <w:t xml:space="preserve">une matière équivalente à </w:t>
      </w:r>
      <w:r w:rsidRPr="00562699">
        <w:rPr>
          <w:szCs w:val="22"/>
          <w:lang w:val="fr-FR"/>
        </w:rPr>
        <w:t xml:space="preserve">la </w:t>
      </w:r>
      <w:r w:rsidR="003C64A0" w:rsidRPr="00562699">
        <w:rPr>
          <w:szCs w:val="22"/>
          <w:lang w:val="fr-FR"/>
        </w:rPr>
        <w:t>règle</w:t>
      </w:r>
      <w:r w:rsidR="003C64A0">
        <w:rPr>
          <w:szCs w:val="22"/>
          <w:lang w:val="fr-FR"/>
        </w:rPr>
        <w:t> </w:t>
      </w:r>
      <w:r w:rsidR="003C64A0" w:rsidRPr="00562699">
        <w:rPr>
          <w:szCs w:val="22"/>
          <w:lang w:val="fr-FR"/>
        </w:rPr>
        <w:t>8</w:t>
      </w:r>
      <w:r w:rsidRPr="00562699">
        <w:rPr>
          <w:szCs w:val="22"/>
          <w:lang w:val="fr-FR"/>
        </w:rPr>
        <w:t>0</w:t>
      </w:r>
      <w:r w:rsidR="00FB6026" w:rsidRPr="00562699">
        <w:rPr>
          <w:szCs w:val="22"/>
          <w:lang w:val="fr-FR"/>
        </w:rPr>
        <w:t>.</w:t>
      </w:r>
      <w:r w:rsidRPr="00562699">
        <w:rPr>
          <w:szCs w:val="22"/>
          <w:lang w:val="fr-FR"/>
        </w:rPr>
        <w:t xml:space="preserve">5, pourraient être plus </w:t>
      </w:r>
      <w:r w:rsidR="00FB6026" w:rsidRPr="00562699">
        <w:rPr>
          <w:szCs w:val="22"/>
          <w:lang w:val="fr-FR"/>
        </w:rPr>
        <w:t>adéquates</w:t>
      </w:r>
      <w:r w:rsidRPr="00562699">
        <w:rPr>
          <w:szCs w:val="22"/>
          <w:lang w:val="fr-FR"/>
        </w:rPr>
        <w:t xml:space="preserve"> </w:t>
      </w:r>
      <w:r w:rsidR="00677545" w:rsidRPr="00562699">
        <w:rPr>
          <w:szCs w:val="22"/>
          <w:lang w:val="fr-FR"/>
        </w:rPr>
        <w:t>qu</w:t>
      </w:r>
      <w:r w:rsidR="003C64A0">
        <w:rPr>
          <w:szCs w:val="22"/>
          <w:lang w:val="fr-FR"/>
        </w:rPr>
        <w:t>’</w:t>
      </w:r>
      <w:r w:rsidR="00677545" w:rsidRPr="00562699">
        <w:rPr>
          <w:szCs w:val="22"/>
          <w:lang w:val="fr-FR"/>
        </w:rPr>
        <w:t>une excuse pour l</w:t>
      </w:r>
      <w:r w:rsidR="003C64A0">
        <w:rPr>
          <w:szCs w:val="22"/>
          <w:lang w:val="fr-FR"/>
        </w:rPr>
        <w:t>’</w:t>
      </w:r>
      <w:r w:rsidR="00677545" w:rsidRPr="00562699">
        <w:rPr>
          <w:szCs w:val="22"/>
          <w:lang w:val="fr-FR"/>
        </w:rPr>
        <w:t>inobservation</w:t>
      </w:r>
      <w:r w:rsidR="00FB6026" w:rsidRPr="00562699">
        <w:rPr>
          <w:szCs w:val="22"/>
          <w:lang w:val="fr-FR"/>
        </w:rPr>
        <w:t xml:space="preserve"> d</w:t>
      </w:r>
      <w:r w:rsidR="003C64A0">
        <w:rPr>
          <w:szCs w:val="22"/>
          <w:lang w:val="fr-FR"/>
        </w:rPr>
        <w:t>’</w:t>
      </w:r>
      <w:r w:rsidR="00FB6026" w:rsidRPr="00562699">
        <w:rPr>
          <w:szCs w:val="22"/>
          <w:lang w:val="fr-FR"/>
        </w:rPr>
        <w:t>u</w:t>
      </w:r>
      <w:r w:rsidR="00677545" w:rsidRPr="00562699">
        <w:rPr>
          <w:szCs w:val="22"/>
          <w:lang w:val="fr-FR"/>
        </w:rPr>
        <w:t>n</w:t>
      </w:r>
      <w:r w:rsidR="00FB6026" w:rsidRPr="00562699">
        <w:rPr>
          <w:szCs w:val="22"/>
          <w:lang w:val="fr-FR"/>
        </w:rPr>
        <w:t xml:space="preserve"> délai.</w:t>
      </w:r>
    </w:p>
    <w:p w14:paraId="7A9AEB88" w14:textId="1F31CB54" w:rsidR="009246D2" w:rsidRPr="00562699" w:rsidRDefault="00FB6026" w:rsidP="00273B5F">
      <w:pPr>
        <w:pStyle w:val="ONUMFS"/>
        <w:rPr>
          <w:szCs w:val="22"/>
          <w:lang w:val="fr-FR"/>
        </w:rPr>
      </w:pPr>
      <w:r w:rsidRPr="00562699">
        <w:rPr>
          <w:szCs w:val="22"/>
          <w:lang w:val="fr-FR"/>
        </w:rPr>
        <w:t xml:space="preserve">Il a été observé </w:t>
      </w:r>
      <w:r w:rsidR="00CB23D2" w:rsidRPr="00562699">
        <w:rPr>
          <w:szCs w:val="22"/>
          <w:lang w:val="fr-FR"/>
        </w:rPr>
        <w:t xml:space="preserve">que ce type de </w:t>
      </w:r>
      <w:r w:rsidR="00183389" w:rsidRPr="00562699">
        <w:rPr>
          <w:szCs w:val="22"/>
          <w:lang w:val="fr-FR"/>
        </w:rPr>
        <w:t>mesure</w:t>
      </w:r>
      <w:r w:rsidR="00CB23D2" w:rsidRPr="00562699">
        <w:rPr>
          <w:szCs w:val="22"/>
          <w:lang w:val="fr-FR"/>
        </w:rPr>
        <w:t xml:space="preserve"> de sauvegarde était important, mais qu</w:t>
      </w:r>
      <w:r w:rsidR="003C64A0">
        <w:rPr>
          <w:szCs w:val="22"/>
          <w:lang w:val="fr-FR"/>
        </w:rPr>
        <w:t>’</w:t>
      </w:r>
      <w:r w:rsidR="00CB23D2" w:rsidRPr="00562699">
        <w:rPr>
          <w:szCs w:val="22"/>
          <w:lang w:val="fr-FR"/>
        </w:rPr>
        <w:t>il ne s</w:t>
      </w:r>
      <w:r w:rsidR="003C64A0">
        <w:rPr>
          <w:szCs w:val="22"/>
          <w:lang w:val="fr-FR"/>
        </w:rPr>
        <w:t>’</w:t>
      </w:r>
      <w:r w:rsidR="00CB23D2" w:rsidRPr="00562699">
        <w:rPr>
          <w:szCs w:val="22"/>
          <w:lang w:val="fr-FR"/>
        </w:rPr>
        <w:t>agissait pas d</w:t>
      </w:r>
      <w:r w:rsidR="003C64A0">
        <w:rPr>
          <w:szCs w:val="22"/>
          <w:lang w:val="fr-FR"/>
        </w:rPr>
        <w:t>’</w:t>
      </w:r>
      <w:r w:rsidR="00CB23D2" w:rsidRPr="00562699">
        <w:rPr>
          <w:szCs w:val="22"/>
          <w:lang w:val="fr-FR"/>
        </w:rPr>
        <w:t xml:space="preserve">une </w:t>
      </w:r>
      <w:r w:rsidRPr="00562699">
        <w:rPr>
          <w:szCs w:val="22"/>
          <w:lang w:val="fr-FR"/>
        </w:rPr>
        <w:t>panacée</w:t>
      </w:r>
      <w:r w:rsidR="00CB23D2" w:rsidRPr="00562699">
        <w:rPr>
          <w:szCs w:val="22"/>
          <w:lang w:val="fr-FR"/>
        </w:rPr>
        <w:t xml:space="preserve"> et que les </w:t>
      </w:r>
      <w:r w:rsidR="00183389" w:rsidRPr="00562699">
        <w:rPr>
          <w:szCs w:val="22"/>
          <w:lang w:val="fr-FR"/>
        </w:rPr>
        <w:t>o</w:t>
      </w:r>
      <w:r w:rsidR="00CB23D2" w:rsidRPr="00562699">
        <w:rPr>
          <w:szCs w:val="22"/>
          <w:lang w:val="fr-FR"/>
        </w:rPr>
        <w:t xml:space="preserve">ffices devraient </w:t>
      </w:r>
      <w:r w:rsidRPr="00562699">
        <w:rPr>
          <w:szCs w:val="22"/>
          <w:lang w:val="fr-FR"/>
        </w:rPr>
        <w:t>s</w:t>
      </w:r>
      <w:r w:rsidR="003C64A0">
        <w:rPr>
          <w:szCs w:val="22"/>
          <w:lang w:val="fr-FR"/>
        </w:rPr>
        <w:t>’</w:t>
      </w:r>
      <w:r w:rsidRPr="00562699">
        <w:rPr>
          <w:szCs w:val="22"/>
          <w:lang w:val="fr-FR"/>
        </w:rPr>
        <w:t>efforcer d</w:t>
      </w:r>
      <w:r w:rsidR="003C64A0">
        <w:rPr>
          <w:szCs w:val="22"/>
          <w:lang w:val="fr-FR"/>
        </w:rPr>
        <w:t>’</w:t>
      </w:r>
      <w:r w:rsidRPr="00562699">
        <w:rPr>
          <w:szCs w:val="22"/>
          <w:lang w:val="fr-FR"/>
        </w:rPr>
        <w:t xml:space="preserve">assurer une disponibilité élevée des </w:t>
      </w:r>
      <w:r w:rsidR="00CB23D2" w:rsidRPr="00562699">
        <w:rPr>
          <w:szCs w:val="22"/>
          <w:lang w:val="fr-FR"/>
        </w:rPr>
        <w:t xml:space="preserve">services en ligne et des solutions de remplacement claires et pratiques </w:t>
      </w:r>
      <w:r w:rsidRPr="00562699">
        <w:rPr>
          <w:szCs w:val="22"/>
          <w:lang w:val="fr-FR"/>
        </w:rPr>
        <w:t>à utiliser en cas de défaillance.</w:t>
      </w:r>
    </w:p>
    <w:p w14:paraId="244AB24D" w14:textId="58FA809E" w:rsidR="009246D2" w:rsidRPr="00562699" w:rsidRDefault="00CB23D2" w:rsidP="00273B5F">
      <w:pPr>
        <w:pStyle w:val="ONUMFS"/>
        <w:ind w:left="567"/>
        <w:rPr>
          <w:szCs w:val="22"/>
          <w:lang w:val="fr-FR"/>
        </w:rPr>
      </w:pPr>
      <w:r w:rsidRPr="00562699">
        <w:rPr>
          <w:szCs w:val="22"/>
          <w:lang w:val="fr-FR"/>
        </w:rPr>
        <w:t>L</w:t>
      </w:r>
      <w:r w:rsidR="00A0558B" w:rsidRPr="00562699">
        <w:rPr>
          <w:szCs w:val="22"/>
          <w:lang w:val="fr-FR"/>
        </w:rPr>
        <w:t xml:space="preserve">a Réunion a </w:t>
      </w:r>
      <w:r w:rsidRPr="00562699">
        <w:rPr>
          <w:szCs w:val="22"/>
          <w:lang w:val="fr-FR"/>
        </w:rPr>
        <w:t>pris note de l</w:t>
      </w:r>
      <w:r w:rsidR="003C64A0">
        <w:rPr>
          <w:szCs w:val="22"/>
          <w:lang w:val="fr-FR"/>
        </w:rPr>
        <w:t>’</w:t>
      </w:r>
      <w:r w:rsidRPr="00562699">
        <w:rPr>
          <w:szCs w:val="22"/>
          <w:lang w:val="fr-FR"/>
        </w:rPr>
        <w:t>intention de l</w:t>
      </w:r>
      <w:r w:rsidR="003C64A0">
        <w:rPr>
          <w:szCs w:val="22"/>
          <w:lang w:val="fr-FR"/>
        </w:rPr>
        <w:t>’</w:t>
      </w:r>
      <w:r w:rsidRPr="00562699">
        <w:rPr>
          <w:szCs w:val="22"/>
          <w:lang w:val="fr-FR"/>
        </w:rPr>
        <w:t xml:space="preserve">Office européen des brevets de </w:t>
      </w:r>
      <w:r w:rsidR="00FB6026" w:rsidRPr="00562699">
        <w:rPr>
          <w:szCs w:val="22"/>
          <w:lang w:val="fr-FR"/>
        </w:rPr>
        <w:t>présenter</w:t>
      </w:r>
      <w:r w:rsidRPr="00562699">
        <w:rPr>
          <w:szCs w:val="22"/>
          <w:lang w:val="fr-FR"/>
        </w:rPr>
        <w:t xml:space="preserve"> </w:t>
      </w:r>
      <w:r w:rsidR="00677545" w:rsidRPr="00562699">
        <w:rPr>
          <w:szCs w:val="22"/>
          <w:lang w:val="fr-FR"/>
        </w:rPr>
        <w:t>au Groupe de travail</w:t>
      </w:r>
      <w:r w:rsidR="003C64A0" w:rsidRPr="00562699">
        <w:rPr>
          <w:szCs w:val="22"/>
          <w:lang w:val="fr-FR"/>
        </w:rPr>
        <w:t xml:space="preserve"> du</w:t>
      </w:r>
      <w:r w:rsidR="003C64A0">
        <w:rPr>
          <w:szCs w:val="22"/>
          <w:lang w:val="fr-FR"/>
        </w:rPr>
        <w:t> </w:t>
      </w:r>
      <w:r w:rsidR="003C64A0" w:rsidRPr="00562699">
        <w:rPr>
          <w:szCs w:val="22"/>
          <w:lang w:val="fr-FR"/>
        </w:rPr>
        <w:t>PCT</w:t>
      </w:r>
      <w:r w:rsidR="00677545" w:rsidRPr="00562699">
        <w:rPr>
          <w:szCs w:val="22"/>
          <w:lang w:val="fr-FR"/>
        </w:rPr>
        <w:t xml:space="preserve"> </w:t>
      </w:r>
      <w:r w:rsidRPr="00562699">
        <w:rPr>
          <w:szCs w:val="22"/>
          <w:lang w:val="fr-FR"/>
        </w:rPr>
        <w:t>une nouvelle proposition modifiée sur ce sujet.</w:t>
      </w:r>
    </w:p>
    <w:p w14:paraId="60A6EB0B" w14:textId="7D138045" w:rsidR="009246D2" w:rsidRPr="00562699" w:rsidRDefault="009246D2" w:rsidP="00273B5F">
      <w:pPr>
        <w:pStyle w:val="Heading1"/>
        <w:rPr>
          <w:lang w:val="fr-FR"/>
        </w:rPr>
      </w:pPr>
      <w:r w:rsidRPr="00562699">
        <w:rPr>
          <w:lang w:val="fr-FR"/>
        </w:rPr>
        <w:t>Point</w:t>
      </w:r>
      <w:r w:rsidR="004E4E83" w:rsidRPr="00562699">
        <w:rPr>
          <w:lang w:val="fr-FR"/>
        </w:rPr>
        <w:t> </w:t>
      </w:r>
      <w:r w:rsidR="00CB23D2" w:rsidRPr="00562699">
        <w:rPr>
          <w:lang w:val="fr-FR"/>
        </w:rPr>
        <w:t>8</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00CB23D2" w:rsidRPr="00562699">
        <w:rPr>
          <w:lang w:val="fr-FR"/>
        </w:rPr>
        <w:t xml:space="preserve"> </w:t>
      </w:r>
      <w:r w:rsidR="00273B5F" w:rsidRPr="00562699">
        <w:rPr>
          <w:lang w:val="fr-FR"/>
        </w:rPr>
        <w:t>proposition visant à prévoir la correction ou l</w:t>
      </w:r>
      <w:r w:rsidR="003C64A0">
        <w:rPr>
          <w:lang w:val="fr-FR"/>
        </w:rPr>
        <w:t>’</w:t>
      </w:r>
      <w:r w:rsidR="00273B5F" w:rsidRPr="00562699">
        <w:rPr>
          <w:lang w:val="fr-FR"/>
        </w:rPr>
        <w:t>ajout d</w:t>
      </w:r>
      <w:r w:rsidR="003C64A0">
        <w:rPr>
          <w:lang w:val="fr-FR"/>
        </w:rPr>
        <w:t>’</w:t>
      </w:r>
      <w:r w:rsidR="00273B5F" w:rsidRPr="00562699">
        <w:rPr>
          <w:lang w:val="fr-FR"/>
        </w:rPr>
        <w:t>indications en vertu de la règle 4.11</w:t>
      </w:r>
    </w:p>
    <w:p w14:paraId="612F54BA" w14:textId="77777777" w:rsidR="00273B5F" w:rsidRPr="00562699" w:rsidRDefault="00273B5F" w:rsidP="00273B5F">
      <w:pPr>
        <w:rPr>
          <w:lang w:val="fr-FR"/>
        </w:rPr>
      </w:pPr>
    </w:p>
    <w:p w14:paraId="7E93F23D" w14:textId="77777777" w:rsidR="009246D2" w:rsidRPr="00562699" w:rsidRDefault="00CB23D2" w:rsidP="00273B5F">
      <w:pPr>
        <w:pStyle w:val="ONUMFS"/>
        <w:rPr>
          <w:lang w:val="fr-FR"/>
        </w:rPr>
      </w:pPr>
      <w:r w:rsidRPr="00562699">
        <w:rPr>
          <w:lang w:val="fr-FR"/>
        </w:rPr>
        <w:t>Les délibérations ont eu lieu sur la base du document PCT/MIA/26/7.</w:t>
      </w:r>
    </w:p>
    <w:p w14:paraId="0CC107EC" w14:textId="026FD9C4" w:rsidR="009246D2" w:rsidRPr="00562699" w:rsidRDefault="00CB23D2" w:rsidP="00273B5F">
      <w:pPr>
        <w:pStyle w:val="ONUMFS"/>
        <w:rPr>
          <w:szCs w:val="22"/>
          <w:lang w:val="fr-FR"/>
        </w:rPr>
      </w:pPr>
      <w:r w:rsidRPr="00562699">
        <w:rPr>
          <w:szCs w:val="22"/>
          <w:lang w:val="fr-FR"/>
        </w:rPr>
        <w:t>Les administrations sont convenues qu</w:t>
      </w:r>
      <w:r w:rsidR="003C64A0">
        <w:rPr>
          <w:szCs w:val="22"/>
          <w:lang w:val="fr-FR"/>
        </w:rPr>
        <w:t>’</w:t>
      </w:r>
      <w:r w:rsidRPr="00562699">
        <w:rPr>
          <w:szCs w:val="22"/>
          <w:lang w:val="fr-FR"/>
        </w:rPr>
        <w:t>il était approprié d</w:t>
      </w:r>
      <w:r w:rsidR="003C64A0">
        <w:rPr>
          <w:szCs w:val="22"/>
          <w:lang w:val="fr-FR"/>
        </w:rPr>
        <w:t>’</w:t>
      </w:r>
      <w:r w:rsidR="00A0558B" w:rsidRPr="00562699">
        <w:rPr>
          <w:szCs w:val="22"/>
          <w:lang w:val="fr-FR"/>
        </w:rPr>
        <w:t xml:space="preserve">autoriser </w:t>
      </w:r>
      <w:r w:rsidRPr="00562699">
        <w:rPr>
          <w:szCs w:val="22"/>
          <w:lang w:val="fr-FR"/>
        </w:rPr>
        <w:t>la correction ou l</w:t>
      </w:r>
      <w:r w:rsidR="003C64A0">
        <w:rPr>
          <w:szCs w:val="22"/>
          <w:lang w:val="fr-FR"/>
        </w:rPr>
        <w:t>’</w:t>
      </w:r>
      <w:r w:rsidRPr="00562699">
        <w:rPr>
          <w:szCs w:val="22"/>
          <w:lang w:val="fr-FR"/>
        </w:rPr>
        <w:t>a</w:t>
      </w:r>
      <w:r w:rsidR="00A0558B" w:rsidRPr="00562699">
        <w:rPr>
          <w:szCs w:val="22"/>
          <w:lang w:val="fr-FR"/>
        </w:rPr>
        <w:t>jout</w:t>
      </w:r>
      <w:r w:rsidRPr="00562699">
        <w:rPr>
          <w:szCs w:val="22"/>
          <w:lang w:val="fr-FR"/>
        </w:rPr>
        <w:t xml:space="preserve"> d</w:t>
      </w:r>
      <w:r w:rsidR="003C64A0">
        <w:rPr>
          <w:szCs w:val="22"/>
          <w:lang w:val="fr-FR"/>
        </w:rPr>
        <w:t>’</w:t>
      </w:r>
      <w:r w:rsidRPr="00562699">
        <w:rPr>
          <w:szCs w:val="22"/>
          <w:lang w:val="fr-FR"/>
        </w:rPr>
        <w:t xml:space="preserve">indications en vertu de la </w:t>
      </w:r>
      <w:r w:rsidR="003C64A0" w:rsidRPr="00562699">
        <w:rPr>
          <w:szCs w:val="22"/>
          <w:lang w:val="fr-FR"/>
        </w:rPr>
        <w:t>règle</w:t>
      </w:r>
      <w:r w:rsidR="003C64A0">
        <w:rPr>
          <w:szCs w:val="22"/>
          <w:lang w:val="fr-FR"/>
        </w:rPr>
        <w:t> </w:t>
      </w:r>
      <w:r w:rsidR="003C64A0" w:rsidRPr="00562699">
        <w:rPr>
          <w:szCs w:val="22"/>
          <w:lang w:val="fr-FR"/>
        </w:rPr>
        <w:t>4</w:t>
      </w:r>
      <w:r w:rsidR="00A0558B" w:rsidRPr="00562699">
        <w:rPr>
          <w:szCs w:val="22"/>
          <w:lang w:val="fr-FR"/>
        </w:rPr>
        <w:t>.</w:t>
      </w:r>
      <w:r w:rsidRPr="00562699">
        <w:rPr>
          <w:szCs w:val="22"/>
          <w:lang w:val="fr-FR"/>
        </w:rPr>
        <w:t xml:space="preserve">11 et </w:t>
      </w:r>
      <w:r w:rsidR="00A0558B" w:rsidRPr="00562699">
        <w:rPr>
          <w:szCs w:val="22"/>
          <w:lang w:val="fr-FR"/>
        </w:rPr>
        <w:t>ont</w:t>
      </w:r>
      <w:r w:rsidRPr="00562699">
        <w:rPr>
          <w:szCs w:val="22"/>
          <w:lang w:val="fr-FR"/>
        </w:rPr>
        <w:t xml:space="preserve"> estimé que la similitude </w:t>
      </w:r>
      <w:r w:rsidR="00A0558B" w:rsidRPr="00562699">
        <w:rPr>
          <w:szCs w:val="22"/>
          <w:lang w:val="fr-FR"/>
        </w:rPr>
        <w:t xml:space="preserve">entre </w:t>
      </w:r>
      <w:r w:rsidRPr="00562699">
        <w:rPr>
          <w:szCs w:val="22"/>
          <w:lang w:val="fr-FR"/>
        </w:rPr>
        <w:t xml:space="preserve">la </w:t>
      </w:r>
      <w:r w:rsidR="003C64A0" w:rsidRPr="00562699">
        <w:rPr>
          <w:szCs w:val="22"/>
          <w:lang w:val="fr-FR"/>
        </w:rPr>
        <w:t>règle</w:t>
      </w:r>
      <w:r w:rsidR="003C64A0">
        <w:rPr>
          <w:szCs w:val="22"/>
          <w:lang w:val="fr-FR"/>
        </w:rPr>
        <w:t> </w:t>
      </w:r>
      <w:r w:rsidR="003C64A0" w:rsidRPr="00562699">
        <w:rPr>
          <w:szCs w:val="22"/>
          <w:lang w:val="fr-FR"/>
        </w:rPr>
        <w:t>2</w:t>
      </w:r>
      <w:r w:rsidRPr="00562699">
        <w:rPr>
          <w:szCs w:val="22"/>
          <w:lang w:val="fr-FR"/>
        </w:rPr>
        <w:t xml:space="preserve">6 </w:t>
      </w:r>
      <w:r w:rsidRPr="00562699">
        <w:rPr>
          <w:i/>
          <w:szCs w:val="22"/>
          <w:lang w:val="fr-FR"/>
        </w:rPr>
        <w:t>quater</w:t>
      </w:r>
      <w:r w:rsidRPr="00562699">
        <w:rPr>
          <w:szCs w:val="22"/>
          <w:lang w:val="fr-FR"/>
        </w:rPr>
        <w:t xml:space="preserve"> proposée </w:t>
      </w:r>
      <w:r w:rsidR="00A0558B" w:rsidRPr="00562699">
        <w:rPr>
          <w:szCs w:val="22"/>
          <w:lang w:val="fr-FR"/>
        </w:rPr>
        <w:t xml:space="preserve">et </w:t>
      </w:r>
      <w:r w:rsidRPr="00562699">
        <w:rPr>
          <w:szCs w:val="22"/>
          <w:lang w:val="fr-FR"/>
        </w:rPr>
        <w:t xml:space="preserve">la </w:t>
      </w:r>
      <w:r w:rsidR="003C64A0" w:rsidRPr="00562699">
        <w:rPr>
          <w:szCs w:val="22"/>
          <w:lang w:val="fr-FR"/>
        </w:rPr>
        <w:t>règle</w:t>
      </w:r>
      <w:r w:rsidR="003C64A0">
        <w:rPr>
          <w:szCs w:val="22"/>
          <w:lang w:val="fr-FR"/>
        </w:rPr>
        <w:t> </w:t>
      </w:r>
      <w:r w:rsidR="003C64A0" w:rsidRPr="00562699">
        <w:rPr>
          <w:szCs w:val="22"/>
          <w:lang w:val="fr-FR"/>
        </w:rPr>
        <w:t>2</w:t>
      </w:r>
      <w:r w:rsidRPr="00562699">
        <w:rPr>
          <w:szCs w:val="22"/>
          <w:lang w:val="fr-FR"/>
        </w:rPr>
        <w:t xml:space="preserve">6 </w:t>
      </w:r>
      <w:r w:rsidRPr="00562699">
        <w:rPr>
          <w:i/>
          <w:szCs w:val="22"/>
          <w:lang w:val="fr-FR"/>
        </w:rPr>
        <w:t>ter</w:t>
      </w:r>
      <w:r w:rsidRPr="00562699">
        <w:rPr>
          <w:szCs w:val="22"/>
          <w:lang w:val="fr-FR"/>
        </w:rPr>
        <w:t xml:space="preserve"> existante donnait l</w:t>
      </w:r>
      <w:r w:rsidR="003C64A0">
        <w:rPr>
          <w:szCs w:val="22"/>
          <w:lang w:val="fr-FR"/>
        </w:rPr>
        <w:t>’</w:t>
      </w:r>
      <w:r w:rsidR="00A0558B" w:rsidRPr="00562699">
        <w:rPr>
          <w:szCs w:val="22"/>
          <w:lang w:val="fr-FR"/>
        </w:rPr>
        <w:t>assurance</w:t>
      </w:r>
      <w:r w:rsidRPr="00562699">
        <w:rPr>
          <w:szCs w:val="22"/>
          <w:lang w:val="fr-FR"/>
        </w:rPr>
        <w:t xml:space="preserve"> que les </w:t>
      </w:r>
      <w:r w:rsidR="009922EE" w:rsidRPr="00562699">
        <w:rPr>
          <w:szCs w:val="22"/>
          <w:lang w:val="fr-FR"/>
        </w:rPr>
        <w:t xml:space="preserve">modalités </w:t>
      </w:r>
      <w:r w:rsidRPr="00562699">
        <w:rPr>
          <w:szCs w:val="22"/>
          <w:lang w:val="fr-FR"/>
        </w:rPr>
        <w:t xml:space="preserve">étaient </w:t>
      </w:r>
      <w:r w:rsidR="009922EE" w:rsidRPr="00562699">
        <w:rPr>
          <w:szCs w:val="22"/>
          <w:lang w:val="fr-FR"/>
        </w:rPr>
        <w:t xml:space="preserve">viables et </w:t>
      </w:r>
      <w:r w:rsidRPr="00562699">
        <w:rPr>
          <w:szCs w:val="22"/>
          <w:lang w:val="fr-FR"/>
        </w:rPr>
        <w:t>approprié</w:t>
      </w:r>
      <w:r w:rsidR="009922EE" w:rsidRPr="00562699">
        <w:rPr>
          <w:szCs w:val="22"/>
          <w:lang w:val="fr-FR"/>
        </w:rPr>
        <w:t>e</w:t>
      </w:r>
      <w:r w:rsidRPr="00562699">
        <w:rPr>
          <w:szCs w:val="22"/>
          <w:lang w:val="fr-FR"/>
        </w:rPr>
        <w:t>s.</w:t>
      </w:r>
    </w:p>
    <w:p w14:paraId="6459A2A7" w14:textId="611A54E3" w:rsidR="009246D2" w:rsidRPr="00562699" w:rsidRDefault="00CB23D2" w:rsidP="00273B5F">
      <w:pPr>
        <w:pStyle w:val="ONUMFS"/>
        <w:ind w:left="567"/>
        <w:rPr>
          <w:szCs w:val="22"/>
          <w:lang w:val="fr-FR"/>
        </w:rPr>
      </w:pPr>
      <w:r w:rsidRPr="00562699">
        <w:rPr>
          <w:szCs w:val="22"/>
          <w:lang w:val="fr-FR"/>
        </w:rPr>
        <w:t xml:space="preserve">La </w:t>
      </w:r>
      <w:r w:rsidR="00A0558B" w:rsidRPr="00562699">
        <w:rPr>
          <w:szCs w:val="22"/>
          <w:lang w:val="fr-FR"/>
        </w:rPr>
        <w:t>R</w:t>
      </w:r>
      <w:r w:rsidRPr="00562699">
        <w:rPr>
          <w:szCs w:val="22"/>
          <w:lang w:val="fr-FR"/>
        </w:rPr>
        <w:t>éunion a invité l</w:t>
      </w:r>
      <w:r w:rsidR="003C64A0">
        <w:rPr>
          <w:szCs w:val="22"/>
          <w:lang w:val="fr-FR"/>
        </w:rPr>
        <w:t>’</w:t>
      </w:r>
      <w:r w:rsidRPr="00562699">
        <w:rPr>
          <w:szCs w:val="22"/>
          <w:lang w:val="fr-FR"/>
        </w:rPr>
        <w:t>Office des brevets et des marques des États</w:t>
      </w:r>
      <w:r w:rsidR="001B4A2C">
        <w:rPr>
          <w:szCs w:val="22"/>
          <w:lang w:val="fr-FR"/>
        </w:rPr>
        <w:noBreakHyphen/>
      </w:r>
      <w:r w:rsidRPr="00562699">
        <w:rPr>
          <w:szCs w:val="22"/>
          <w:lang w:val="fr-FR"/>
        </w:rPr>
        <w:t>Unis d</w:t>
      </w:r>
      <w:r w:rsidR="003C64A0">
        <w:rPr>
          <w:szCs w:val="22"/>
          <w:lang w:val="fr-FR"/>
        </w:rPr>
        <w:t>’</w:t>
      </w:r>
      <w:r w:rsidRPr="00562699">
        <w:rPr>
          <w:szCs w:val="22"/>
          <w:lang w:val="fr-FR"/>
        </w:rPr>
        <w:t>Amérique à présenter les propositions au Groupe de travail</w:t>
      </w:r>
      <w:r w:rsidR="003C64A0" w:rsidRPr="00562699">
        <w:rPr>
          <w:szCs w:val="22"/>
          <w:lang w:val="fr-FR"/>
        </w:rPr>
        <w:t xml:space="preserve"> du</w:t>
      </w:r>
      <w:r w:rsidR="003C64A0">
        <w:rPr>
          <w:szCs w:val="22"/>
          <w:lang w:val="fr-FR"/>
        </w:rPr>
        <w:t> </w:t>
      </w:r>
      <w:r w:rsidR="003C64A0" w:rsidRPr="00562699">
        <w:rPr>
          <w:szCs w:val="22"/>
          <w:lang w:val="fr-FR"/>
        </w:rPr>
        <w:t>PCT</w:t>
      </w:r>
      <w:r w:rsidRPr="00562699">
        <w:rPr>
          <w:szCs w:val="22"/>
          <w:lang w:val="fr-FR"/>
        </w:rPr>
        <w:t>.</w:t>
      </w:r>
    </w:p>
    <w:p w14:paraId="5DC1CA2A" w14:textId="0DB38C68" w:rsidR="009246D2" w:rsidRPr="00562699" w:rsidRDefault="00CB23D2" w:rsidP="00273B5F">
      <w:pPr>
        <w:pStyle w:val="Heading1"/>
        <w:rPr>
          <w:lang w:val="fr-FR"/>
        </w:rPr>
      </w:pPr>
      <w:r w:rsidRPr="00562699">
        <w:rPr>
          <w:lang w:val="fr-FR"/>
        </w:rPr>
        <w:lastRenderedPageBreak/>
        <w:t>Point</w:t>
      </w:r>
      <w:r w:rsidR="004E4E83" w:rsidRPr="00562699">
        <w:rPr>
          <w:lang w:val="fr-FR"/>
        </w:rPr>
        <w:t> </w:t>
      </w:r>
      <w:r w:rsidRPr="00562699">
        <w:rPr>
          <w:lang w:val="fr-FR"/>
        </w:rPr>
        <w:t>9</w:t>
      </w:r>
      <w:r w:rsidR="00273B5F" w:rsidRPr="00562699">
        <w:rPr>
          <w:lang w:val="fr-FR"/>
        </w:rPr>
        <w:t xml:space="preserve"> de l</w:t>
      </w:r>
      <w:r w:rsidR="003C64A0">
        <w:rPr>
          <w:lang w:val="fr-FR"/>
        </w:rPr>
        <w:t>’</w:t>
      </w:r>
      <w:r w:rsidR="00273B5F" w:rsidRPr="00562699">
        <w:rPr>
          <w:lang w:val="fr-FR"/>
        </w:rPr>
        <w:t>ordre du jour</w:t>
      </w:r>
      <w:r w:rsidR="003C64A0">
        <w:rPr>
          <w:lang w:val="fr-FR"/>
        </w:rPr>
        <w:t> :</w:t>
      </w:r>
      <w:r w:rsidRPr="00562699">
        <w:rPr>
          <w:lang w:val="fr-FR"/>
        </w:rPr>
        <w:t xml:space="preserve"> </w:t>
      </w:r>
      <w:r w:rsidR="00273B5F" w:rsidRPr="00562699">
        <w:rPr>
          <w:lang w:val="fr-FR"/>
        </w:rPr>
        <w:t>promotion du lien entre la phase internationale et la phase nationale</w:t>
      </w:r>
    </w:p>
    <w:p w14:paraId="37A24D28" w14:textId="77777777" w:rsidR="00273B5F" w:rsidRPr="00562699" w:rsidRDefault="00273B5F" w:rsidP="00273B5F">
      <w:pPr>
        <w:keepNext/>
        <w:rPr>
          <w:lang w:val="fr-FR"/>
        </w:rPr>
      </w:pPr>
    </w:p>
    <w:p w14:paraId="6E75A3DE" w14:textId="77777777" w:rsidR="009246D2" w:rsidRPr="00562699" w:rsidRDefault="00CB23D2" w:rsidP="001B4A2C">
      <w:pPr>
        <w:pStyle w:val="ONUMFS"/>
        <w:keepNext/>
        <w:rPr>
          <w:lang w:val="fr-FR"/>
        </w:rPr>
      </w:pPr>
      <w:r w:rsidRPr="00562699">
        <w:rPr>
          <w:lang w:val="fr-FR"/>
        </w:rPr>
        <w:t>Les délibérations ont eu lieu sur la base du document PCT/MIA/26/6.</w:t>
      </w:r>
    </w:p>
    <w:p w14:paraId="321C6A18" w14:textId="487DEAAE" w:rsidR="009246D2" w:rsidRPr="00562699" w:rsidRDefault="00CB23D2" w:rsidP="00273B5F">
      <w:pPr>
        <w:pStyle w:val="ONUMFS"/>
        <w:rPr>
          <w:szCs w:val="22"/>
          <w:lang w:val="fr-FR"/>
        </w:rPr>
      </w:pPr>
      <w:r w:rsidRPr="00562699">
        <w:rPr>
          <w:szCs w:val="22"/>
          <w:lang w:val="fr-FR"/>
        </w:rPr>
        <w:t>Toutes les administrations ont appuyé la modification proposée du paragraphe</w:t>
      </w:r>
      <w:r w:rsidR="004E4E83" w:rsidRPr="00562699">
        <w:rPr>
          <w:szCs w:val="22"/>
          <w:lang w:val="fr-FR"/>
        </w:rPr>
        <w:t> </w:t>
      </w:r>
      <w:r w:rsidRPr="00562699">
        <w:rPr>
          <w:szCs w:val="22"/>
          <w:lang w:val="fr-FR"/>
        </w:rPr>
        <w:t>2</w:t>
      </w:r>
      <w:r w:rsidR="00A0558B" w:rsidRPr="00562699">
        <w:rPr>
          <w:szCs w:val="22"/>
          <w:lang w:val="fr-FR"/>
        </w:rPr>
        <w:t>.</w:t>
      </w:r>
      <w:r w:rsidRPr="00562699">
        <w:rPr>
          <w:szCs w:val="22"/>
          <w:lang w:val="fr-FR"/>
        </w:rPr>
        <w:t xml:space="preserve">03 des </w:t>
      </w:r>
      <w:r w:rsidR="009D49D9">
        <w:rPr>
          <w:szCs w:val="22"/>
          <w:lang w:val="fr-FR"/>
        </w:rPr>
        <w:t>D</w:t>
      </w:r>
      <w:r w:rsidR="009D49D9" w:rsidRPr="00562699">
        <w:rPr>
          <w:szCs w:val="22"/>
          <w:lang w:val="fr-FR"/>
        </w:rPr>
        <w:t xml:space="preserve">irectives </w:t>
      </w:r>
      <w:r w:rsidRPr="00562699">
        <w:rPr>
          <w:szCs w:val="22"/>
          <w:lang w:val="fr-FR"/>
        </w:rPr>
        <w:t>concernant la recherche internationale et l</w:t>
      </w:r>
      <w:r w:rsidR="003C64A0">
        <w:rPr>
          <w:szCs w:val="22"/>
          <w:lang w:val="fr-FR"/>
        </w:rPr>
        <w:t>’</w:t>
      </w:r>
      <w:r w:rsidRPr="00562699">
        <w:rPr>
          <w:szCs w:val="22"/>
          <w:lang w:val="fr-FR"/>
        </w:rPr>
        <w:t xml:space="preserve">examen préliminaire </w:t>
      </w:r>
      <w:r w:rsidR="00A0558B" w:rsidRPr="00562699">
        <w:rPr>
          <w:szCs w:val="22"/>
          <w:lang w:val="fr-FR"/>
        </w:rPr>
        <w:t>i</w:t>
      </w:r>
      <w:r w:rsidRPr="00562699">
        <w:rPr>
          <w:szCs w:val="22"/>
          <w:lang w:val="fr-FR"/>
        </w:rPr>
        <w:t>nternation</w:t>
      </w:r>
      <w:r w:rsidR="00B85EF1" w:rsidRPr="00562699">
        <w:rPr>
          <w:szCs w:val="22"/>
          <w:lang w:val="fr-FR"/>
        </w:rPr>
        <w:t>al</w:t>
      </w:r>
      <w:r w:rsidR="00B85EF1">
        <w:rPr>
          <w:szCs w:val="22"/>
          <w:lang w:val="fr-FR"/>
        </w:rPr>
        <w:t xml:space="preserve">.  </w:t>
      </w:r>
      <w:r w:rsidR="00B85EF1" w:rsidRPr="00562699">
        <w:rPr>
          <w:szCs w:val="22"/>
          <w:lang w:val="fr-FR"/>
        </w:rPr>
        <w:t>Ce</w:t>
      </w:r>
      <w:r w:rsidRPr="00562699">
        <w:rPr>
          <w:szCs w:val="22"/>
          <w:lang w:val="fr-FR"/>
        </w:rPr>
        <w:t>la ne modifierait pas le sens du paragraphe</w:t>
      </w:r>
      <w:r w:rsidR="00A0558B" w:rsidRPr="00562699">
        <w:rPr>
          <w:szCs w:val="22"/>
          <w:lang w:val="fr-FR"/>
        </w:rPr>
        <w:t>,</w:t>
      </w:r>
      <w:r w:rsidRPr="00562699">
        <w:rPr>
          <w:szCs w:val="22"/>
          <w:lang w:val="fr-FR"/>
        </w:rPr>
        <w:t xml:space="preserve"> mais permettrait </w:t>
      </w:r>
      <w:r w:rsidR="009922EE" w:rsidRPr="00562699">
        <w:rPr>
          <w:szCs w:val="22"/>
          <w:lang w:val="fr-FR"/>
        </w:rPr>
        <w:t>d</w:t>
      </w:r>
      <w:r w:rsidR="003C64A0">
        <w:rPr>
          <w:szCs w:val="22"/>
          <w:lang w:val="fr-FR"/>
        </w:rPr>
        <w:t>’</w:t>
      </w:r>
      <w:r w:rsidR="009922EE" w:rsidRPr="00562699">
        <w:rPr>
          <w:szCs w:val="22"/>
          <w:lang w:val="fr-FR"/>
        </w:rPr>
        <w:t>harmoniser</w:t>
      </w:r>
      <w:r w:rsidRPr="00562699">
        <w:rPr>
          <w:szCs w:val="22"/>
          <w:lang w:val="fr-FR"/>
        </w:rPr>
        <w:t xml:space="preserve"> la terminolog</w:t>
      </w:r>
      <w:r w:rsidR="00B85EF1" w:rsidRPr="00562699">
        <w:rPr>
          <w:szCs w:val="22"/>
          <w:lang w:val="fr-FR"/>
        </w:rPr>
        <w:t>ie</w:t>
      </w:r>
      <w:r w:rsidR="00B85EF1">
        <w:rPr>
          <w:szCs w:val="22"/>
          <w:lang w:val="fr-FR"/>
        </w:rPr>
        <w:t xml:space="preserve">.  </w:t>
      </w:r>
      <w:r w:rsidR="00B85EF1" w:rsidRPr="00562699">
        <w:rPr>
          <w:szCs w:val="22"/>
          <w:lang w:val="fr-FR"/>
        </w:rPr>
        <w:t>Le</w:t>
      </w:r>
      <w:r w:rsidRPr="00562699">
        <w:rPr>
          <w:szCs w:val="22"/>
          <w:lang w:val="fr-FR"/>
        </w:rPr>
        <w:t>s administrations ont souscrit aux intentions exprimées dans la proposition de modification du paragraphe</w:t>
      </w:r>
      <w:r w:rsidR="004E4E83" w:rsidRPr="00562699">
        <w:rPr>
          <w:szCs w:val="22"/>
          <w:lang w:val="fr-FR"/>
        </w:rPr>
        <w:t> </w:t>
      </w:r>
      <w:r w:rsidRPr="00562699">
        <w:rPr>
          <w:szCs w:val="22"/>
          <w:lang w:val="fr-FR"/>
        </w:rPr>
        <w:t>15</w:t>
      </w:r>
      <w:r w:rsidR="00A0558B" w:rsidRPr="00562699">
        <w:rPr>
          <w:szCs w:val="22"/>
          <w:lang w:val="fr-FR"/>
        </w:rPr>
        <w:t>.</w:t>
      </w:r>
      <w:r w:rsidRPr="00562699">
        <w:rPr>
          <w:szCs w:val="22"/>
          <w:lang w:val="fr-FR"/>
        </w:rPr>
        <w:t>09, mais certaines n</w:t>
      </w:r>
      <w:r w:rsidR="003C64A0">
        <w:rPr>
          <w:szCs w:val="22"/>
          <w:lang w:val="fr-FR"/>
        </w:rPr>
        <w:t>’</w:t>
      </w:r>
      <w:r w:rsidRPr="00562699">
        <w:rPr>
          <w:szCs w:val="22"/>
          <w:lang w:val="fr-FR"/>
        </w:rPr>
        <w:t>ont pas jugé approprié d</w:t>
      </w:r>
      <w:r w:rsidR="003C64A0">
        <w:rPr>
          <w:szCs w:val="22"/>
          <w:lang w:val="fr-FR"/>
        </w:rPr>
        <w:t>’</w:t>
      </w:r>
      <w:r w:rsidRPr="00562699">
        <w:rPr>
          <w:szCs w:val="22"/>
          <w:lang w:val="fr-FR"/>
        </w:rPr>
        <w:t xml:space="preserve">inclure le texte dans les directives </w:t>
      </w:r>
      <w:r w:rsidR="00A0558B" w:rsidRPr="00562699">
        <w:rPr>
          <w:szCs w:val="22"/>
          <w:lang w:val="fr-FR"/>
        </w:rPr>
        <w:t xml:space="preserve">au motif </w:t>
      </w:r>
      <w:r w:rsidRPr="00562699">
        <w:rPr>
          <w:szCs w:val="22"/>
          <w:lang w:val="fr-FR"/>
        </w:rPr>
        <w:t>qu</w:t>
      </w:r>
      <w:r w:rsidR="003C64A0">
        <w:rPr>
          <w:szCs w:val="22"/>
          <w:lang w:val="fr-FR"/>
        </w:rPr>
        <w:t>’</w:t>
      </w:r>
      <w:r w:rsidRPr="00562699">
        <w:rPr>
          <w:szCs w:val="22"/>
          <w:lang w:val="fr-FR"/>
        </w:rPr>
        <w:t>il n</w:t>
      </w:r>
      <w:r w:rsidR="003C64A0">
        <w:rPr>
          <w:szCs w:val="22"/>
          <w:lang w:val="fr-FR"/>
        </w:rPr>
        <w:t>’</w:t>
      </w:r>
      <w:r w:rsidRPr="00562699">
        <w:rPr>
          <w:szCs w:val="22"/>
          <w:lang w:val="fr-FR"/>
        </w:rPr>
        <w:t>introdui</w:t>
      </w:r>
      <w:r w:rsidR="00A0558B" w:rsidRPr="00562699">
        <w:rPr>
          <w:szCs w:val="22"/>
          <w:lang w:val="fr-FR"/>
        </w:rPr>
        <w:t>sai</w:t>
      </w:r>
      <w:r w:rsidRPr="00562699">
        <w:rPr>
          <w:szCs w:val="22"/>
          <w:lang w:val="fr-FR"/>
        </w:rPr>
        <w:t xml:space="preserve">t pas </w:t>
      </w:r>
      <w:r w:rsidR="00A0558B" w:rsidRPr="00562699">
        <w:rPr>
          <w:szCs w:val="22"/>
          <w:lang w:val="fr-FR"/>
        </w:rPr>
        <w:t xml:space="preserve">une </w:t>
      </w:r>
      <w:r w:rsidRPr="00562699">
        <w:rPr>
          <w:szCs w:val="22"/>
          <w:lang w:val="fr-FR"/>
        </w:rPr>
        <w:t>recommandation claire et concrète</w:t>
      </w:r>
      <w:r w:rsidR="00A0558B" w:rsidRPr="00562699">
        <w:rPr>
          <w:szCs w:val="22"/>
          <w:lang w:val="fr-FR"/>
        </w:rPr>
        <w:t xml:space="preserve">, mais se limitait à </w:t>
      </w:r>
      <w:r w:rsidR="00A810DD" w:rsidRPr="00562699">
        <w:rPr>
          <w:szCs w:val="22"/>
          <w:lang w:val="fr-FR"/>
        </w:rPr>
        <w:t>formuler un souha</w:t>
      </w:r>
      <w:r w:rsidR="00B85EF1" w:rsidRPr="00562699">
        <w:rPr>
          <w:szCs w:val="22"/>
          <w:lang w:val="fr-FR"/>
        </w:rPr>
        <w:t>it</w:t>
      </w:r>
      <w:r w:rsidR="00B85EF1">
        <w:rPr>
          <w:szCs w:val="22"/>
          <w:lang w:val="fr-FR"/>
        </w:rPr>
        <w:t xml:space="preserve">.  </w:t>
      </w:r>
      <w:r w:rsidR="00B85EF1" w:rsidRPr="00562699">
        <w:rPr>
          <w:szCs w:val="22"/>
          <w:lang w:val="fr-FR"/>
        </w:rPr>
        <w:t>En</w:t>
      </w:r>
      <w:r w:rsidRPr="00562699">
        <w:rPr>
          <w:szCs w:val="22"/>
          <w:lang w:val="fr-FR"/>
        </w:rPr>
        <w:t xml:space="preserve"> outre, les paragraphes</w:t>
      </w:r>
      <w:r w:rsidR="004E4E83" w:rsidRPr="00562699">
        <w:rPr>
          <w:szCs w:val="22"/>
          <w:lang w:val="fr-FR"/>
        </w:rPr>
        <w:t> </w:t>
      </w:r>
      <w:r w:rsidRPr="00562699">
        <w:rPr>
          <w:szCs w:val="22"/>
          <w:lang w:val="fr-FR"/>
        </w:rPr>
        <w:t>15</w:t>
      </w:r>
      <w:r w:rsidR="00A810DD" w:rsidRPr="00562699">
        <w:rPr>
          <w:szCs w:val="22"/>
          <w:lang w:val="fr-FR"/>
        </w:rPr>
        <w:t>.</w:t>
      </w:r>
      <w:r w:rsidRPr="00562699">
        <w:rPr>
          <w:szCs w:val="22"/>
          <w:lang w:val="fr-FR"/>
        </w:rPr>
        <w:t>18 et 15</w:t>
      </w:r>
      <w:r w:rsidR="00A810DD" w:rsidRPr="00562699">
        <w:rPr>
          <w:szCs w:val="22"/>
          <w:lang w:val="fr-FR"/>
        </w:rPr>
        <w:t>.</w:t>
      </w:r>
      <w:r w:rsidRPr="00562699">
        <w:rPr>
          <w:szCs w:val="22"/>
          <w:lang w:val="fr-FR"/>
        </w:rPr>
        <w:t>20 des directives mentionn</w:t>
      </w:r>
      <w:r w:rsidR="00A810DD" w:rsidRPr="00562699">
        <w:rPr>
          <w:szCs w:val="22"/>
          <w:lang w:val="fr-FR"/>
        </w:rPr>
        <w:t>ai</w:t>
      </w:r>
      <w:r w:rsidRPr="00562699">
        <w:rPr>
          <w:szCs w:val="22"/>
          <w:lang w:val="fr-FR"/>
        </w:rPr>
        <w:t>ent déjà des mesures concrètes répondant au souhait formulé dans le paragraphe propo</w:t>
      </w:r>
      <w:r w:rsidR="00B85EF1" w:rsidRPr="00562699">
        <w:rPr>
          <w:szCs w:val="22"/>
          <w:lang w:val="fr-FR"/>
        </w:rPr>
        <w:t>sé</w:t>
      </w:r>
      <w:r w:rsidR="00B85EF1">
        <w:rPr>
          <w:szCs w:val="22"/>
          <w:lang w:val="fr-FR"/>
        </w:rPr>
        <w:t xml:space="preserve">.  </w:t>
      </w:r>
      <w:r w:rsidR="00B85EF1" w:rsidRPr="00562699">
        <w:rPr>
          <w:szCs w:val="22"/>
          <w:lang w:val="fr-FR"/>
        </w:rPr>
        <w:t>Un</w:t>
      </w:r>
      <w:r w:rsidRPr="00562699">
        <w:rPr>
          <w:szCs w:val="22"/>
          <w:lang w:val="fr-FR"/>
        </w:rPr>
        <w:t>e administration a souligné que</w:t>
      </w:r>
      <w:r w:rsidR="00A810DD" w:rsidRPr="00562699">
        <w:rPr>
          <w:szCs w:val="22"/>
          <w:lang w:val="fr-FR"/>
        </w:rPr>
        <w:t>, de manière générale,</w:t>
      </w:r>
      <w:r w:rsidRPr="00562699">
        <w:rPr>
          <w:szCs w:val="22"/>
          <w:lang w:val="fr-FR"/>
        </w:rPr>
        <w:t xml:space="preserve"> les </w:t>
      </w:r>
      <w:r w:rsidR="009922EE" w:rsidRPr="00562699">
        <w:rPr>
          <w:szCs w:val="22"/>
          <w:lang w:val="fr-FR"/>
        </w:rPr>
        <w:t>d</w:t>
      </w:r>
      <w:r w:rsidRPr="00562699">
        <w:rPr>
          <w:szCs w:val="22"/>
          <w:lang w:val="fr-FR"/>
        </w:rPr>
        <w:t>irectives ne devraient comporter que des mesures concrètes et réalisables.</w:t>
      </w:r>
    </w:p>
    <w:p w14:paraId="071EEAAC" w14:textId="4C3FBAE4" w:rsidR="009246D2" w:rsidRPr="00562699" w:rsidRDefault="00CB23D2" w:rsidP="00273B5F">
      <w:pPr>
        <w:pStyle w:val="ONUMFS"/>
        <w:rPr>
          <w:szCs w:val="22"/>
          <w:lang w:val="fr-FR"/>
        </w:rPr>
      </w:pPr>
      <w:r w:rsidRPr="00562699">
        <w:rPr>
          <w:szCs w:val="22"/>
          <w:lang w:val="fr-FR"/>
        </w:rPr>
        <w:t>Plusieurs administrations ont encouragé l</w:t>
      </w:r>
      <w:r w:rsidR="003C64A0">
        <w:rPr>
          <w:szCs w:val="22"/>
          <w:lang w:val="fr-FR"/>
        </w:rPr>
        <w:t>’</w:t>
      </w:r>
      <w:r w:rsidRPr="00562699">
        <w:rPr>
          <w:szCs w:val="22"/>
          <w:lang w:val="fr-FR"/>
        </w:rPr>
        <w:t>Office des brevets du Japon à poursuivre les consultations en vue de déterminer quelles nouvelles idées</w:t>
      </w:r>
      <w:r w:rsidR="00A810DD" w:rsidRPr="00562699">
        <w:rPr>
          <w:szCs w:val="22"/>
          <w:lang w:val="fr-FR"/>
        </w:rPr>
        <w:t xml:space="preserve"> parmi celles</w:t>
      </w:r>
      <w:r w:rsidRPr="00562699">
        <w:rPr>
          <w:szCs w:val="22"/>
          <w:lang w:val="fr-FR"/>
        </w:rPr>
        <w:t xml:space="preserve"> exposées dans l</w:t>
      </w:r>
      <w:r w:rsidR="003C64A0">
        <w:rPr>
          <w:szCs w:val="22"/>
          <w:lang w:val="fr-FR"/>
        </w:rPr>
        <w:t>’</w:t>
      </w:r>
      <w:r w:rsidRPr="00562699">
        <w:rPr>
          <w:szCs w:val="22"/>
          <w:lang w:val="fr-FR"/>
        </w:rPr>
        <w:t xml:space="preserve">annexe du document </w:t>
      </w:r>
      <w:r w:rsidR="00A810DD" w:rsidRPr="00562699">
        <w:rPr>
          <w:szCs w:val="22"/>
          <w:lang w:val="fr-FR"/>
        </w:rPr>
        <w:t xml:space="preserve">pouvaient être transformées en </w:t>
      </w:r>
      <w:r w:rsidRPr="00562699">
        <w:rPr>
          <w:szCs w:val="22"/>
          <w:lang w:val="fr-FR"/>
        </w:rPr>
        <w:t>propositions spécifiqu</w:t>
      </w:r>
      <w:r w:rsidR="00B85EF1" w:rsidRPr="00562699">
        <w:rPr>
          <w:szCs w:val="22"/>
          <w:lang w:val="fr-FR"/>
        </w:rPr>
        <w:t>es</w:t>
      </w:r>
      <w:r w:rsidR="00B85EF1">
        <w:rPr>
          <w:szCs w:val="22"/>
          <w:lang w:val="fr-FR"/>
        </w:rPr>
        <w:t xml:space="preserve">.  </w:t>
      </w:r>
      <w:r w:rsidR="00B85EF1" w:rsidRPr="00562699">
        <w:rPr>
          <w:szCs w:val="22"/>
          <w:lang w:val="fr-FR"/>
        </w:rPr>
        <w:t>Le</w:t>
      </w:r>
      <w:r w:rsidR="00A810DD" w:rsidRPr="00562699">
        <w:rPr>
          <w:szCs w:val="22"/>
          <w:lang w:val="fr-FR"/>
        </w:rPr>
        <w:t>s r</w:t>
      </w:r>
      <w:r w:rsidRPr="00562699">
        <w:rPr>
          <w:szCs w:val="22"/>
          <w:lang w:val="fr-FR"/>
        </w:rPr>
        <w:t>ubriques d</w:t>
      </w:r>
      <w:r w:rsidR="001B4A2C">
        <w:rPr>
          <w:szCs w:val="22"/>
          <w:lang w:val="fr-FR"/>
        </w:rPr>
        <w:noBreakHyphen/>
      </w:r>
      <w:r w:rsidRPr="00562699">
        <w:rPr>
          <w:szCs w:val="22"/>
          <w:lang w:val="fr-FR"/>
        </w:rPr>
        <w:t>1 (développement continu de l</w:t>
      </w:r>
      <w:r w:rsidR="003C64A0">
        <w:rPr>
          <w:szCs w:val="22"/>
          <w:lang w:val="fr-FR"/>
        </w:rPr>
        <w:t>’</w:t>
      </w:r>
      <w:r w:rsidRPr="00562699">
        <w:rPr>
          <w:szCs w:val="22"/>
          <w:lang w:val="fr-FR"/>
        </w:rPr>
        <w:t>information sur les familles de brevets), d</w:t>
      </w:r>
      <w:r w:rsidR="001B4A2C">
        <w:rPr>
          <w:szCs w:val="22"/>
          <w:lang w:val="fr-FR"/>
        </w:rPr>
        <w:noBreakHyphen/>
      </w:r>
      <w:r w:rsidRPr="00562699">
        <w:rPr>
          <w:szCs w:val="22"/>
          <w:lang w:val="fr-FR"/>
        </w:rPr>
        <w:t>4 (retour d</w:t>
      </w:r>
      <w:r w:rsidR="003C64A0">
        <w:rPr>
          <w:szCs w:val="22"/>
          <w:lang w:val="fr-FR"/>
        </w:rPr>
        <w:t>’</w:t>
      </w:r>
      <w:r w:rsidRPr="00562699">
        <w:rPr>
          <w:szCs w:val="22"/>
          <w:lang w:val="fr-FR"/>
        </w:rPr>
        <w:t xml:space="preserve">information des </w:t>
      </w:r>
      <w:r w:rsidR="00F143AA" w:rsidRPr="00562699">
        <w:rPr>
          <w:szCs w:val="22"/>
          <w:lang w:val="fr-FR"/>
        </w:rPr>
        <w:t>o</w:t>
      </w:r>
      <w:r w:rsidRPr="00562699">
        <w:rPr>
          <w:szCs w:val="22"/>
          <w:lang w:val="fr-FR"/>
        </w:rPr>
        <w:t>ffices désignés), e</w:t>
      </w:r>
      <w:r w:rsidR="001B4A2C">
        <w:rPr>
          <w:szCs w:val="22"/>
          <w:lang w:val="fr-FR"/>
        </w:rPr>
        <w:noBreakHyphen/>
      </w:r>
      <w:r w:rsidRPr="00562699">
        <w:rPr>
          <w:szCs w:val="22"/>
          <w:lang w:val="fr-FR"/>
        </w:rPr>
        <w:t>4 (accès automatique aux documents cités contre d</w:t>
      </w:r>
      <w:r w:rsidR="003C64A0">
        <w:rPr>
          <w:szCs w:val="22"/>
          <w:lang w:val="fr-FR"/>
        </w:rPr>
        <w:t>’</w:t>
      </w:r>
      <w:r w:rsidRPr="00562699">
        <w:rPr>
          <w:szCs w:val="22"/>
          <w:lang w:val="fr-FR"/>
        </w:rPr>
        <w:t>autres membres de la famille de brevets) et e</w:t>
      </w:r>
      <w:r w:rsidR="001B4A2C">
        <w:rPr>
          <w:szCs w:val="22"/>
          <w:lang w:val="fr-FR"/>
        </w:rPr>
        <w:noBreakHyphen/>
      </w:r>
      <w:r w:rsidRPr="00562699">
        <w:rPr>
          <w:szCs w:val="22"/>
          <w:lang w:val="fr-FR"/>
        </w:rPr>
        <w:t xml:space="preserve">5 (outils permettant de </w:t>
      </w:r>
      <w:r w:rsidR="004D3A82" w:rsidRPr="00562699">
        <w:rPr>
          <w:szCs w:val="22"/>
          <w:lang w:val="fr-FR"/>
        </w:rPr>
        <w:t xml:space="preserve">déterminer </w:t>
      </w:r>
      <w:r w:rsidRPr="00562699">
        <w:rPr>
          <w:szCs w:val="22"/>
          <w:lang w:val="fr-FR"/>
        </w:rPr>
        <w:t>l</w:t>
      </w:r>
      <w:r w:rsidR="003C64A0">
        <w:rPr>
          <w:szCs w:val="22"/>
          <w:lang w:val="fr-FR"/>
        </w:rPr>
        <w:t>’</w:t>
      </w:r>
      <w:r w:rsidRPr="00562699">
        <w:rPr>
          <w:szCs w:val="22"/>
          <w:lang w:val="fr-FR"/>
        </w:rPr>
        <w:t>état de la technique à partir d</w:t>
      </w:r>
      <w:r w:rsidR="00A810DD" w:rsidRPr="00562699">
        <w:rPr>
          <w:szCs w:val="22"/>
          <w:lang w:val="fr-FR"/>
        </w:rPr>
        <w:t xml:space="preserve">e demandes </w:t>
      </w:r>
      <w:r w:rsidRPr="00562699">
        <w:rPr>
          <w:szCs w:val="22"/>
          <w:lang w:val="fr-FR"/>
        </w:rPr>
        <w:t xml:space="preserve">similaires du même déposant) ont été </w:t>
      </w:r>
      <w:r w:rsidR="00A810DD" w:rsidRPr="00562699">
        <w:rPr>
          <w:szCs w:val="22"/>
          <w:lang w:val="fr-FR"/>
        </w:rPr>
        <w:t xml:space="preserve">citées comme </w:t>
      </w:r>
      <w:r w:rsidRPr="00562699">
        <w:rPr>
          <w:szCs w:val="22"/>
          <w:lang w:val="fr-FR"/>
        </w:rPr>
        <w:t>éléments présentant un intérêt particulier.</w:t>
      </w:r>
    </w:p>
    <w:p w14:paraId="481D74B1" w14:textId="797FC546" w:rsidR="009246D2" w:rsidRPr="00562699" w:rsidRDefault="00CB23D2" w:rsidP="00273B5F">
      <w:pPr>
        <w:pStyle w:val="ONUMFS"/>
        <w:ind w:left="567"/>
        <w:rPr>
          <w:szCs w:val="22"/>
          <w:lang w:val="fr-FR"/>
        </w:rPr>
      </w:pPr>
      <w:r w:rsidRPr="00562699">
        <w:rPr>
          <w:szCs w:val="22"/>
          <w:lang w:val="fr-FR"/>
        </w:rPr>
        <w:t xml:space="preserve">La réunion a invité le Bureau </w:t>
      </w:r>
      <w:r w:rsidR="00A810DD" w:rsidRPr="00562699">
        <w:rPr>
          <w:szCs w:val="22"/>
          <w:lang w:val="fr-FR"/>
        </w:rPr>
        <w:t>i</w:t>
      </w:r>
      <w:r w:rsidRPr="00562699">
        <w:rPr>
          <w:szCs w:val="22"/>
          <w:lang w:val="fr-FR"/>
        </w:rPr>
        <w:t xml:space="preserve">nternational à inclure </w:t>
      </w:r>
      <w:r w:rsidR="004D3A82" w:rsidRPr="00562699">
        <w:rPr>
          <w:szCs w:val="22"/>
          <w:lang w:val="fr-FR"/>
        </w:rPr>
        <w:t xml:space="preserve">dans la prochaine circulaire PCT pertinente </w:t>
      </w:r>
      <w:r w:rsidRPr="00562699">
        <w:rPr>
          <w:szCs w:val="22"/>
          <w:lang w:val="fr-FR"/>
        </w:rPr>
        <w:t xml:space="preserve">les modifications </w:t>
      </w:r>
      <w:r w:rsidR="004D3A82" w:rsidRPr="00562699">
        <w:rPr>
          <w:szCs w:val="22"/>
          <w:lang w:val="fr-FR"/>
        </w:rPr>
        <w:t>qu</w:t>
      </w:r>
      <w:r w:rsidR="003C64A0">
        <w:rPr>
          <w:szCs w:val="22"/>
          <w:lang w:val="fr-FR"/>
        </w:rPr>
        <w:t>’</w:t>
      </w:r>
      <w:r w:rsidR="004D3A82" w:rsidRPr="00562699">
        <w:rPr>
          <w:szCs w:val="22"/>
          <w:lang w:val="fr-FR"/>
        </w:rPr>
        <w:t xml:space="preserve">il était </w:t>
      </w:r>
      <w:r w:rsidRPr="00562699">
        <w:rPr>
          <w:szCs w:val="22"/>
          <w:lang w:val="fr-FR"/>
        </w:rPr>
        <w:t>proposé</w:t>
      </w:r>
      <w:r w:rsidR="00A810DD" w:rsidRPr="00562699">
        <w:rPr>
          <w:szCs w:val="22"/>
          <w:lang w:val="fr-FR"/>
        </w:rPr>
        <w:t xml:space="preserve"> </w:t>
      </w:r>
      <w:r w:rsidR="004D3A82" w:rsidRPr="00562699">
        <w:rPr>
          <w:szCs w:val="22"/>
          <w:lang w:val="fr-FR"/>
        </w:rPr>
        <w:t>d</w:t>
      </w:r>
      <w:r w:rsidR="003C64A0">
        <w:rPr>
          <w:szCs w:val="22"/>
          <w:lang w:val="fr-FR"/>
        </w:rPr>
        <w:t>’</w:t>
      </w:r>
      <w:r w:rsidR="004D3A82" w:rsidRPr="00562699">
        <w:rPr>
          <w:szCs w:val="22"/>
          <w:lang w:val="fr-FR"/>
        </w:rPr>
        <w:t xml:space="preserve">apporter </w:t>
      </w:r>
      <w:r w:rsidR="00A810DD" w:rsidRPr="00562699">
        <w:rPr>
          <w:szCs w:val="22"/>
          <w:lang w:val="fr-FR"/>
        </w:rPr>
        <w:t xml:space="preserve">aux </w:t>
      </w:r>
      <w:r w:rsidRPr="00562699">
        <w:rPr>
          <w:szCs w:val="22"/>
          <w:lang w:val="fr-FR"/>
        </w:rPr>
        <w:t>Directives concernant la recherche internationale et l</w:t>
      </w:r>
      <w:r w:rsidR="003C64A0">
        <w:rPr>
          <w:szCs w:val="22"/>
          <w:lang w:val="fr-FR"/>
        </w:rPr>
        <w:t>’</w:t>
      </w:r>
      <w:r w:rsidRPr="00562699">
        <w:rPr>
          <w:szCs w:val="22"/>
          <w:lang w:val="fr-FR"/>
        </w:rPr>
        <w:t xml:space="preserve">examen préliminaire </w:t>
      </w:r>
      <w:r w:rsidR="00A810DD" w:rsidRPr="00562699">
        <w:rPr>
          <w:szCs w:val="22"/>
          <w:lang w:val="fr-FR"/>
        </w:rPr>
        <w:t>i</w:t>
      </w:r>
      <w:r w:rsidRPr="00562699">
        <w:rPr>
          <w:szCs w:val="22"/>
          <w:lang w:val="fr-FR"/>
        </w:rPr>
        <w:t>nternational en vue de nouvelles consultations.</w:t>
      </w:r>
    </w:p>
    <w:p w14:paraId="2D128A96" w14:textId="208DCBEE" w:rsidR="009246D2" w:rsidRPr="00562699" w:rsidRDefault="00CB23D2" w:rsidP="00273B5F">
      <w:pPr>
        <w:pStyle w:val="Heading1"/>
        <w:rPr>
          <w:lang w:val="fr-FR"/>
        </w:rPr>
      </w:pPr>
      <w:r w:rsidRPr="00562699">
        <w:rPr>
          <w:lang w:val="fr-FR"/>
        </w:rPr>
        <w:t>Point</w:t>
      </w:r>
      <w:r w:rsidR="004E4E83" w:rsidRPr="00562699">
        <w:rPr>
          <w:lang w:val="fr-FR"/>
        </w:rPr>
        <w:t> </w:t>
      </w:r>
      <w:r w:rsidRPr="00562699">
        <w:rPr>
          <w:lang w:val="fr-FR"/>
        </w:rPr>
        <w:t>10 de l</w:t>
      </w:r>
      <w:r w:rsidR="003C64A0">
        <w:rPr>
          <w:lang w:val="fr-FR"/>
        </w:rPr>
        <w:t>’</w:t>
      </w:r>
      <w:r w:rsidRPr="00562699">
        <w:rPr>
          <w:lang w:val="fr-FR"/>
        </w:rPr>
        <w:t>ordre du jour</w:t>
      </w:r>
      <w:r w:rsidR="003C64A0">
        <w:rPr>
          <w:lang w:val="fr-FR"/>
        </w:rPr>
        <w:t> :</w:t>
      </w:r>
      <w:r w:rsidRPr="00562699">
        <w:rPr>
          <w:lang w:val="fr-FR"/>
        </w:rPr>
        <w:t xml:space="preserve"> proposition </w:t>
      </w:r>
      <w:r w:rsidR="00273B5F" w:rsidRPr="00562699">
        <w:rPr>
          <w:lang w:val="fr-FR"/>
        </w:rPr>
        <w:t>visant à améliorer le rapport de recherche internationale et l</w:t>
      </w:r>
      <w:r w:rsidR="003C64A0">
        <w:rPr>
          <w:lang w:val="fr-FR"/>
        </w:rPr>
        <w:t>’</w:t>
      </w:r>
      <w:r w:rsidR="00273B5F" w:rsidRPr="00562699">
        <w:rPr>
          <w:lang w:val="fr-FR"/>
        </w:rPr>
        <w:t>opinion écrite</w:t>
      </w:r>
    </w:p>
    <w:p w14:paraId="3B16C301" w14:textId="77777777" w:rsidR="00273B5F" w:rsidRPr="00562699" w:rsidRDefault="00273B5F" w:rsidP="00273B5F">
      <w:pPr>
        <w:rPr>
          <w:lang w:val="fr-FR"/>
        </w:rPr>
      </w:pPr>
    </w:p>
    <w:p w14:paraId="3B5B5FA1" w14:textId="77777777" w:rsidR="009246D2" w:rsidRPr="00562699" w:rsidRDefault="00CB23D2" w:rsidP="00273B5F">
      <w:pPr>
        <w:pStyle w:val="ONUMFS"/>
        <w:rPr>
          <w:lang w:val="fr-FR"/>
        </w:rPr>
      </w:pPr>
      <w:r w:rsidRPr="00562699">
        <w:rPr>
          <w:lang w:val="fr-FR"/>
        </w:rPr>
        <w:t>Les délibérations ont eu lieu sur la base du document PCT/MIA/26/11.</w:t>
      </w:r>
    </w:p>
    <w:p w14:paraId="3B7073BD" w14:textId="7C737A89" w:rsidR="009246D2" w:rsidRPr="00562699" w:rsidRDefault="00CB23D2" w:rsidP="00273B5F">
      <w:pPr>
        <w:pStyle w:val="ONUMFS"/>
        <w:rPr>
          <w:szCs w:val="22"/>
          <w:lang w:val="fr-FR"/>
        </w:rPr>
      </w:pPr>
      <w:r w:rsidRPr="00562699">
        <w:rPr>
          <w:szCs w:val="22"/>
          <w:lang w:val="fr-FR"/>
        </w:rPr>
        <w:t>Les administrations ont accueilli avec satisfaction le principe d</w:t>
      </w:r>
      <w:r w:rsidR="003C64A0">
        <w:rPr>
          <w:szCs w:val="22"/>
          <w:lang w:val="fr-FR"/>
        </w:rPr>
        <w:t>’</w:t>
      </w:r>
      <w:r w:rsidRPr="00562699">
        <w:rPr>
          <w:szCs w:val="22"/>
          <w:lang w:val="fr-FR"/>
        </w:rPr>
        <w:t>une enquête visant à améliorer la forme, le contenu et la présentation du rapport de recherche internationale et de l</w:t>
      </w:r>
      <w:r w:rsidR="003C64A0">
        <w:rPr>
          <w:szCs w:val="22"/>
          <w:lang w:val="fr-FR"/>
        </w:rPr>
        <w:t>’</w:t>
      </w:r>
      <w:r w:rsidRPr="00562699">
        <w:rPr>
          <w:szCs w:val="22"/>
          <w:lang w:val="fr-FR"/>
        </w:rPr>
        <w:t>opinion écrite de l</w:t>
      </w:r>
      <w:r w:rsidR="003C64A0">
        <w:rPr>
          <w:szCs w:val="22"/>
          <w:lang w:val="fr-FR"/>
        </w:rPr>
        <w:t>’</w:t>
      </w:r>
      <w:r w:rsidRPr="00562699">
        <w:rPr>
          <w:szCs w:val="22"/>
          <w:lang w:val="fr-FR"/>
        </w:rPr>
        <w:t>administration chargée de la recherche internationale et ont demandé un complément d</w:t>
      </w:r>
      <w:r w:rsidR="003C64A0">
        <w:rPr>
          <w:szCs w:val="22"/>
          <w:lang w:val="fr-FR"/>
        </w:rPr>
        <w:t>’</w:t>
      </w:r>
      <w:r w:rsidRPr="00562699">
        <w:rPr>
          <w:szCs w:val="22"/>
          <w:lang w:val="fr-FR"/>
        </w:rPr>
        <w:t>information sur la manière dont les questionnaires envisagés seraient élaborés et administrés.</w:t>
      </w:r>
    </w:p>
    <w:p w14:paraId="6414E1BD" w14:textId="09D73EE9" w:rsidR="009246D2" w:rsidRPr="00562699" w:rsidRDefault="00CB23D2" w:rsidP="00273B5F">
      <w:pPr>
        <w:pStyle w:val="ONUMFS"/>
        <w:rPr>
          <w:szCs w:val="22"/>
          <w:lang w:val="fr-FR"/>
        </w:rPr>
      </w:pPr>
      <w:r w:rsidRPr="00562699">
        <w:rPr>
          <w:szCs w:val="22"/>
          <w:lang w:val="fr-FR"/>
        </w:rPr>
        <w:t xml:space="preserve">Une administration a suggéré que </w:t>
      </w:r>
      <w:r w:rsidR="004D3A82" w:rsidRPr="00562699">
        <w:rPr>
          <w:szCs w:val="22"/>
          <w:lang w:val="fr-FR"/>
        </w:rPr>
        <w:t xml:space="preserve">toute enquête approuvée devrait être administrée par </w:t>
      </w:r>
      <w:r w:rsidRPr="00562699">
        <w:rPr>
          <w:szCs w:val="22"/>
          <w:lang w:val="fr-FR"/>
        </w:rPr>
        <w:t xml:space="preserve">le Bureau </w:t>
      </w:r>
      <w:r w:rsidR="008351C3" w:rsidRPr="00562699">
        <w:rPr>
          <w:szCs w:val="22"/>
          <w:lang w:val="fr-FR"/>
        </w:rPr>
        <w:t>i</w:t>
      </w:r>
      <w:r w:rsidRPr="00562699">
        <w:rPr>
          <w:szCs w:val="22"/>
          <w:lang w:val="fr-FR"/>
        </w:rPr>
        <w:t>nternation</w:t>
      </w:r>
      <w:r w:rsidR="00B85EF1" w:rsidRPr="00562699">
        <w:rPr>
          <w:szCs w:val="22"/>
          <w:lang w:val="fr-FR"/>
        </w:rPr>
        <w:t>al</w:t>
      </w:r>
      <w:r w:rsidR="00B85EF1">
        <w:rPr>
          <w:szCs w:val="22"/>
          <w:lang w:val="fr-FR"/>
        </w:rPr>
        <w:t xml:space="preserve">.  </w:t>
      </w:r>
      <w:r w:rsidR="00B85EF1" w:rsidRPr="00562699">
        <w:rPr>
          <w:szCs w:val="22"/>
          <w:lang w:val="fr-FR"/>
        </w:rPr>
        <w:t>Un</w:t>
      </w:r>
      <w:r w:rsidRPr="00562699">
        <w:rPr>
          <w:szCs w:val="22"/>
          <w:lang w:val="fr-FR"/>
        </w:rPr>
        <w:t xml:space="preserve">e autre administration a estimé que </w:t>
      </w:r>
      <w:r w:rsidR="00332CAD" w:rsidRPr="00562699">
        <w:rPr>
          <w:szCs w:val="22"/>
          <w:lang w:val="fr-FR"/>
        </w:rPr>
        <w:t xml:space="preserve">toute </w:t>
      </w:r>
      <w:r w:rsidRPr="00562699">
        <w:rPr>
          <w:szCs w:val="22"/>
          <w:lang w:val="fr-FR"/>
        </w:rPr>
        <w:t xml:space="preserve">enquête </w:t>
      </w:r>
      <w:r w:rsidR="00332CAD" w:rsidRPr="00562699">
        <w:rPr>
          <w:szCs w:val="22"/>
          <w:lang w:val="fr-FR"/>
        </w:rPr>
        <w:t xml:space="preserve">auprès </w:t>
      </w:r>
      <w:r w:rsidRPr="00562699">
        <w:rPr>
          <w:szCs w:val="22"/>
          <w:lang w:val="fr-FR"/>
        </w:rPr>
        <w:t xml:space="preserve">des examinateurs </w:t>
      </w:r>
      <w:r w:rsidR="00332CAD" w:rsidRPr="00562699">
        <w:rPr>
          <w:szCs w:val="22"/>
          <w:lang w:val="fr-FR"/>
        </w:rPr>
        <w:t>devrait</w:t>
      </w:r>
      <w:r w:rsidRPr="00562699">
        <w:rPr>
          <w:szCs w:val="22"/>
          <w:lang w:val="fr-FR"/>
        </w:rPr>
        <w:t xml:space="preserve"> être administrée </w:t>
      </w:r>
      <w:r w:rsidR="00332CAD" w:rsidRPr="00562699">
        <w:rPr>
          <w:szCs w:val="22"/>
          <w:lang w:val="fr-FR"/>
        </w:rPr>
        <w:t xml:space="preserve">exclusivement </w:t>
      </w:r>
      <w:r w:rsidRPr="00562699">
        <w:rPr>
          <w:szCs w:val="22"/>
          <w:lang w:val="fr-FR"/>
        </w:rPr>
        <w:t xml:space="preserve">par </w:t>
      </w:r>
      <w:r w:rsidR="00332CAD" w:rsidRPr="00562699">
        <w:rPr>
          <w:szCs w:val="22"/>
          <w:lang w:val="fr-FR"/>
        </w:rPr>
        <w:t>l</w:t>
      </w:r>
      <w:r w:rsidR="003C64A0">
        <w:rPr>
          <w:szCs w:val="22"/>
          <w:lang w:val="fr-FR"/>
        </w:rPr>
        <w:t>’</w:t>
      </w:r>
      <w:r w:rsidR="00494680" w:rsidRPr="00562699">
        <w:rPr>
          <w:szCs w:val="22"/>
          <w:lang w:val="fr-FR"/>
        </w:rPr>
        <w:t>o</w:t>
      </w:r>
      <w:r w:rsidRPr="00562699">
        <w:rPr>
          <w:szCs w:val="22"/>
          <w:lang w:val="fr-FR"/>
        </w:rPr>
        <w:t xml:space="preserve">ffice </w:t>
      </w:r>
      <w:r w:rsidR="00332CAD" w:rsidRPr="00562699">
        <w:rPr>
          <w:szCs w:val="22"/>
          <w:lang w:val="fr-FR"/>
        </w:rPr>
        <w:t xml:space="preserve">correspondant </w:t>
      </w:r>
      <w:r w:rsidRPr="00562699">
        <w:rPr>
          <w:szCs w:val="22"/>
          <w:lang w:val="fr-FR"/>
        </w:rPr>
        <w:t>et que les réponses à l</w:t>
      </w:r>
      <w:r w:rsidR="003C64A0">
        <w:rPr>
          <w:szCs w:val="22"/>
          <w:lang w:val="fr-FR"/>
        </w:rPr>
        <w:t>’</w:t>
      </w:r>
      <w:r w:rsidRPr="00562699">
        <w:rPr>
          <w:szCs w:val="22"/>
          <w:lang w:val="fr-FR"/>
        </w:rPr>
        <w:t xml:space="preserve">enquête principale tenant compte </w:t>
      </w:r>
      <w:r w:rsidR="008351C3" w:rsidRPr="00562699">
        <w:rPr>
          <w:szCs w:val="22"/>
          <w:lang w:val="fr-FR"/>
        </w:rPr>
        <w:t xml:space="preserve">du point de </w:t>
      </w:r>
      <w:r w:rsidRPr="00562699">
        <w:rPr>
          <w:szCs w:val="22"/>
          <w:lang w:val="fr-FR"/>
        </w:rPr>
        <w:t xml:space="preserve">vue des examinateurs devraient être fournies uniquement par les </w:t>
      </w:r>
      <w:r w:rsidR="00494680" w:rsidRPr="00562699">
        <w:rPr>
          <w:szCs w:val="22"/>
          <w:lang w:val="fr-FR"/>
        </w:rPr>
        <w:t>o</w:t>
      </w:r>
      <w:r w:rsidRPr="00562699">
        <w:rPr>
          <w:szCs w:val="22"/>
          <w:lang w:val="fr-FR"/>
        </w:rPr>
        <w:t>ffices</w:t>
      </w:r>
      <w:r w:rsidR="008351C3" w:rsidRPr="00562699">
        <w:rPr>
          <w:szCs w:val="22"/>
          <w:lang w:val="fr-FR"/>
        </w:rPr>
        <w:t xml:space="preserve"> proprement di</w:t>
      </w:r>
      <w:r w:rsidR="00B85EF1" w:rsidRPr="00562699">
        <w:rPr>
          <w:szCs w:val="22"/>
          <w:lang w:val="fr-FR"/>
        </w:rPr>
        <w:t>ts</w:t>
      </w:r>
      <w:r w:rsidR="00B85EF1">
        <w:rPr>
          <w:szCs w:val="22"/>
          <w:lang w:val="fr-FR"/>
        </w:rPr>
        <w:t xml:space="preserve">.  </w:t>
      </w:r>
      <w:r w:rsidR="00B85EF1" w:rsidRPr="00562699">
        <w:rPr>
          <w:szCs w:val="22"/>
          <w:lang w:val="fr-FR"/>
        </w:rPr>
        <w:t>Le</w:t>
      </w:r>
      <w:r w:rsidRPr="00562699">
        <w:rPr>
          <w:szCs w:val="22"/>
          <w:lang w:val="fr-FR"/>
        </w:rPr>
        <w:t>s groupes d</w:t>
      </w:r>
      <w:r w:rsidR="003C64A0">
        <w:rPr>
          <w:szCs w:val="22"/>
          <w:lang w:val="fr-FR"/>
        </w:rPr>
        <w:t>’</w:t>
      </w:r>
      <w:r w:rsidRPr="00562699">
        <w:rPr>
          <w:szCs w:val="22"/>
          <w:lang w:val="fr-FR"/>
        </w:rPr>
        <w:t xml:space="preserve">utilisateurs devraient également être pris en </w:t>
      </w:r>
      <w:r w:rsidR="00332CAD" w:rsidRPr="00562699">
        <w:rPr>
          <w:szCs w:val="22"/>
          <w:lang w:val="fr-FR"/>
        </w:rPr>
        <w:t>considération</w:t>
      </w:r>
      <w:r w:rsidRPr="00562699">
        <w:rPr>
          <w:szCs w:val="22"/>
          <w:lang w:val="fr-FR"/>
        </w:rPr>
        <w:t>.</w:t>
      </w:r>
    </w:p>
    <w:p w14:paraId="102505D3" w14:textId="785E6464" w:rsidR="009246D2" w:rsidRPr="00562699" w:rsidRDefault="00494680" w:rsidP="00273B5F">
      <w:pPr>
        <w:pStyle w:val="ONUMFS"/>
        <w:rPr>
          <w:szCs w:val="22"/>
          <w:lang w:val="fr-FR"/>
        </w:rPr>
      </w:pPr>
      <w:r w:rsidRPr="00562699">
        <w:rPr>
          <w:szCs w:val="22"/>
          <w:lang w:val="fr-FR"/>
        </w:rPr>
        <w:t>L</w:t>
      </w:r>
      <w:r w:rsidR="003C64A0">
        <w:rPr>
          <w:szCs w:val="22"/>
          <w:lang w:val="fr-FR"/>
        </w:rPr>
        <w:t>’</w:t>
      </w:r>
      <w:r w:rsidR="00CB23D2" w:rsidRPr="00562699">
        <w:rPr>
          <w:szCs w:val="22"/>
          <w:lang w:val="fr-FR"/>
        </w:rPr>
        <w:t xml:space="preserve">enquête pourrait </w:t>
      </w:r>
      <w:r w:rsidR="008351C3" w:rsidRPr="00562699">
        <w:rPr>
          <w:szCs w:val="22"/>
          <w:lang w:val="fr-FR"/>
        </w:rPr>
        <w:t xml:space="preserve">inclure </w:t>
      </w:r>
      <w:r w:rsidR="00CB23D2" w:rsidRPr="00562699">
        <w:rPr>
          <w:szCs w:val="22"/>
          <w:lang w:val="fr-FR"/>
        </w:rPr>
        <w:t xml:space="preserve">des </w:t>
      </w:r>
      <w:r w:rsidR="008351C3" w:rsidRPr="00562699">
        <w:rPr>
          <w:szCs w:val="22"/>
          <w:lang w:val="fr-FR"/>
        </w:rPr>
        <w:t>q</w:t>
      </w:r>
      <w:r w:rsidR="00CB23D2" w:rsidRPr="00562699">
        <w:rPr>
          <w:szCs w:val="22"/>
          <w:lang w:val="fr-FR"/>
        </w:rPr>
        <w:t xml:space="preserve">uestions sur la manière dont les </w:t>
      </w:r>
      <w:r w:rsidRPr="00562699">
        <w:rPr>
          <w:szCs w:val="22"/>
          <w:lang w:val="fr-FR"/>
        </w:rPr>
        <w:t>o</w:t>
      </w:r>
      <w:r w:rsidR="00CB23D2" w:rsidRPr="00562699">
        <w:rPr>
          <w:szCs w:val="22"/>
          <w:lang w:val="fr-FR"/>
        </w:rPr>
        <w:t>ffices utilis</w:t>
      </w:r>
      <w:r w:rsidRPr="00562699">
        <w:rPr>
          <w:szCs w:val="22"/>
          <w:lang w:val="fr-FR"/>
        </w:rPr>
        <w:t>ai</w:t>
      </w:r>
      <w:r w:rsidR="00CB23D2" w:rsidRPr="00562699">
        <w:rPr>
          <w:szCs w:val="22"/>
          <w:lang w:val="fr-FR"/>
        </w:rPr>
        <w:t>ent actuel</w:t>
      </w:r>
      <w:r w:rsidRPr="00562699">
        <w:rPr>
          <w:szCs w:val="22"/>
          <w:lang w:val="fr-FR"/>
        </w:rPr>
        <w:t>lement les rapports des autres o</w:t>
      </w:r>
      <w:r w:rsidR="00CB23D2" w:rsidRPr="00562699">
        <w:rPr>
          <w:szCs w:val="22"/>
          <w:lang w:val="fr-FR"/>
        </w:rPr>
        <w:t xml:space="preserve">ffices et sur les formats </w:t>
      </w:r>
      <w:r w:rsidR="008351C3" w:rsidRPr="00562699">
        <w:rPr>
          <w:szCs w:val="22"/>
          <w:lang w:val="fr-FR"/>
        </w:rPr>
        <w:t>que</w:t>
      </w:r>
      <w:r w:rsidR="00CB23D2" w:rsidRPr="00562699">
        <w:rPr>
          <w:szCs w:val="22"/>
          <w:lang w:val="fr-FR"/>
        </w:rPr>
        <w:t xml:space="preserve"> les </w:t>
      </w:r>
      <w:r w:rsidRPr="00562699">
        <w:rPr>
          <w:szCs w:val="22"/>
          <w:lang w:val="fr-FR"/>
        </w:rPr>
        <w:t>o</w:t>
      </w:r>
      <w:r w:rsidR="00CB23D2" w:rsidRPr="00562699">
        <w:rPr>
          <w:szCs w:val="22"/>
          <w:lang w:val="fr-FR"/>
        </w:rPr>
        <w:t xml:space="preserve">ffices préféreraient </w:t>
      </w:r>
      <w:r w:rsidR="008351C3" w:rsidRPr="00562699">
        <w:rPr>
          <w:szCs w:val="22"/>
          <w:lang w:val="fr-FR"/>
        </w:rPr>
        <w:t xml:space="preserve">utiliser pour </w:t>
      </w:r>
      <w:r w:rsidR="00CB23D2" w:rsidRPr="00562699">
        <w:rPr>
          <w:szCs w:val="22"/>
          <w:lang w:val="fr-FR"/>
        </w:rPr>
        <w:t>accéder au contenu de ces rappor</w:t>
      </w:r>
      <w:r w:rsidR="00B85EF1" w:rsidRPr="00562699">
        <w:rPr>
          <w:szCs w:val="22"/>
          <w:lang w:val="fr-FR"/>
        </w:rPr>
        <w:t>ts</w:t>
      </w:r>
      <w:r w:rsidR="00B85EF1">
        <w:rPr>
          <w:szCs w:val="22"/>
          <w:lang w:val="fr-FR"/>
        </w:rPr>
        <w:t xml:space="preserve">.  </w:t>
      </w:r>
      <w:r w:rsidR="00B85EF1" w:rsidRPr="00562699">
        <w:rPr>
          <w:szCs w:val="22"/>
          <w:lang w:val="fr-FR"/>
        </w:rPr>
        <w:t>Le</w:t>
      </w:r>
      <w:r w:rsidR="00CB23D2" w:rsidRPr="00562699">
        <w:rPr>
          <w:szCs w:val="22"/>
          <w:lang w:val="fr-FR"/>
        </w:rPr>
        <w:t xml:space="preserve">s résultats </w:t>
      </w:r>
      <w:r w:rsidRPr="00562699">
        <w:rPr>
          <w:szCs w:val="22"/>
          <w:lang w:val="fr-FR"/>
        </w:rPr>
        <w:t>étaient</w:t>
      </w:r>
      <w:r w:rsidR="00CB23D2" w:rsidRPr="00562699">
        <w:rPr>
          <w:szCs w:val="22"/>
          <w:lang w:val="fr-FR"/>
        </w:rPr>
        <w:t xml:space="preserve"> susceptibles de </w:t>
      </w:r>
      <w:r w:rsidR="008351C3" w:rsidRPr="00562699">
        <w:rPr>
          <w:szCs w:val="22"/>
          <w:lang w:val="fr-FR"/>
        </w:rPr>
        <w:t>privilégier</w:t>
      </w:r>
      <w:r w:rsidR="00CB23D2" w:rsidRPr="00562699">
        <w:rPr>
          <w:szCs w:val="22"/>
          <w:lang w:val="fr-FR"/>
        </w:rPr>
        <w:t xml:space="preserve"> la livraison </w:t>
      </w:r>
      <w:r w:rsidR="008351C3" w:rsidRPr="00562699">
        <w:rPr>
          <w:szCs w:val="22"/>
          <w:lang w:val="fr-FR"/>
        </w:rPr>
        <w:t>des documents</w:t>
      </w:r>
      <w:r w:rsidR="00CB23D2" w:rsidRPr="00562699">
        <w:rPr>
          <w:szCs w:val="22"/>
          <w:lang w:val="fr-FR"/>
        </w:rPr>
        <w:t xml:space="preserve"> au format XML.</w:t>
      </w:r>
    </w:p>
    <w:p w14:paraId="775D3449" w14:textId="6F0C2F96" w:rsidR="009246D2" w:rsidRPr="00562699" w:rsidRDefault="00CB23D2" w:rsidP="00273B5F">
      <w:pPr>
        <w:pStyle w:val="ONUMFS"/>
        <w:rPr>
          <w:szCs w:val="22"/>
          <w:lang w:val="fr-FR"/>
        </w:rPr>
      </w:pPr>
      <w:r w:rsidRPr="00562699">
        <w:rPr>
          <w:szCs w:val="22"/>
          <w:lang w:val="fr-FR"/>
        </w:rPr>
        <w:lastRenderedPageBreak/>
        <w:t xml:space="preserve">Il a été observé que toute modification de la forme et du contenu des rapports aurait des répercussions sur </w:t>
      </w:r>
      <w:r w:rsidR="00693C01" w:rsidRPr="00562699">
        <w:rPr>
          <w:szCs w:val="22"/>
          <w:lang w:val="fr-FR"/>
        </w:rPr>
        <w:t>de nombreux</w:t>
      </w:r>
      <w:r w:rsidRPr="00562699">
        <w:rPr>
          <w:szCs w:val="22"/>
          <w:lang w:val="fr-FR"/>
        </w:rPr>
        <w:t xml:space="preserve"> systèmes et </w:t>
      </w:r>
      <w:r w:rsidR="00693C01" w:rsidRPr="00562699">
        <w:rPr>
          <w:szCs w:val="22"/>
          <w:lang w:val="fr-FR"/>
        </w:rPr>
        <w:t xml:space="preserve">entraînerait </w:t>
      </w:r>
      <w:r w:rsidRPr="00562699">
        <w:rPr>
          <w:szCs w:val="22"/>
          <w:lang w:val="fr-FR"/>
        </w:rPr>
        <w:t>des coûts importants, qui devraient être mis en balance avec les avantages escompt</w:t>
      </w:r>
      <w:r w:rsidR="00B85EF1" w:rsidRPr="00562699">
        <w:rPr>
          <w:szCs w:val="22"/>
          <w:lang w:val="fr-FR"/>
        </w:rPr>
        <w:t>és</w:t>
      </w:r>
      <w:r w:rsidR="00B85EF1">
        <w:rPr>
          <w:szCs w:val="22"/>
          <w:lang w:val="fr-FR"/>
        </w:rPr>
        <w:t xml:space="preserve">.  </w:t>
      </w:r>
      <w:r w:rsidR="00B85EF1" w:rsidRPr="00562699">
        <w:rPr>
          <w:szCs w:val="22"/>
          <w:lang w:val="fr-FR"/>
        </w:rPr>
        <w:t>Le</w:t>
      </w:r>
      <w:r w:rsidRPr="00562699">
        <w:rPr>
          <w:szCs w:val="22"/>
          <w:lang w:val="fr-FR"/>
        </w:rPr>
        <w:t xml:space="preserve">s </w:t>
      </w:r>
      <w:r w:rsidR="00693C01" w:rsidRPr="00562699">
        <w:rPr>
          <w:szCs w:val="22"/>
          <w:lang w:val="fr-FR"/>
        </w:rPr>
        <w:t>conséquences sur les</w:t>
      </w:r>
      <w:r w:rsidRPr="00562699">
        <w:rPr>
          <w:szCs w:val="22"/>
          <w:lang w:val="fr-FR"/>
        </w:rPr>
        <w:t xml:space="preserve"> procédures nationales devraient également être </w:t>
      </w:r>
      <w:r w:rsidR="00693C01" w:rsidRPr="00562699">
        <w:rPr>
          <w:szCs w:val="22"/>
          <w:lang w:val="fr-FR"/>
        </w:rPr>
        <w:t>prises en considération</w:t>
      </w:r>
      <w:r w:rsidRPr="00562699">
        <w:rPr>
          <w:szCs w:val="22"/>
          <w:lang w:val="fr-FR"/>
        </w:rPr>
        <w:t>.</w:t>
      </w:r>
    </w:p>
    <w:p w14:paraId="4DABBD0B" w14:textId="562BA2A0" w:rsidR="009246D2" w:rsidRPr="00562699" w:rsidRDefault="00CB23D2" w:rsidP="00273B5F">
      <w:pPr>
        <w:pStyle w:val="ONUMFS"/>
        <w:rPr>
          <w:szCs w:val="22"/>
          <w:lang w:val="fr-FR"/>
        </w:rPr>
      </w:pPr>
      <w:r w:rsidRPr="00562699">
        <w:rPr>
          <w:szCs w:val="22"/>
          <w:lang w:val="fr-FR"/>
        </w:rPr>
        <w:t>L</w:t>
      </w:r>
      <w:r w:rsidR="003C64A0">
        <w:rPr>
          <w:szCs w:val="22"/>
          <w:lang w:val="fr-FR"/>
        </w:rPr>
        <w:t>’</w:t>
      </w:r>
      <w:r w:rsidRPr="00562699">
        <w:rPr>
          <w:szCs w:val="22"/>
          <w:lang w:val="fr-FR"/>
        </w:rPr>
        <w:t>Administration nationale chinoise de la propriété intellectuelle a souligné que l</w:t>
      </w:r>
      <w:r w:rsidR="003C64A0">
        <w:rPr>
          <w:szCs w:val="22"/>
          <w:lang w:val="fr-FR"/>
        </w:rPr>
        <w:t>’</w:t>
      </w:r>
      <w:r w:rsidRPr="00562699">
        <w:rPr>
          <w:szCs w:val="22"/>
          <w:lang w:val="fr-FR"/>
        </w:rPr>
        <w:t xml:space="preserve">objectif de la première étape des travaux était de préparer les questionnaires </w:t>
      </w:r>
      <w:r w:rsidR="00693C01" w:rsidRPr="00562699">
        <w:rPr>
          <w:szCs w:val="22"/>
          <w:lang w:val="fr-FR"/>
        </w:rPr>
        <w:t xml:space="preserve">et que </w:t>
      </w:r>
      <w:r w:rsidRPr="00562699">
        <w:rPr>
          <w:szCs w:val="22"/>
          <w:lang w:val="fr-FR"/>
        </w:rPr>
        <w:t>la nécessité et l</w:t>
      </w:r>
      <w:r w:rsidR="003C64A0">
        <w:rPr>
          <w:szCs w:val="22"/>
          <w:lang w:val="fr-FR"/>
        </w:rPr>
        <w:t>’</w:t>
      </w:r>
      <w:r w:rsidR="00693C01" w:rsidRPr="00562699">
        <w:rPr>
          <w:szCs w:val="22"/>
          <w:lang w:val="fr-FR"/>
        </w:rPr>
        <w:t>intérêt d</w:t>
      </w:r>
      <w:r w:rsidRPr="00562699">
        <w:rPr>
          <w:szCs w:val="22"/>
          <w:lang w:val="fr-FR"/>
        </w:rPr>
        <w:t xml:space="preserve">e tout travail de fond seraient </w:t>
      </w:r>
      <w:r w:rsidR="00693C01" w:rsidRPr="00562699">
        <w:rPr>
          <w:szCs w:val="22"/>
          <w:lang w:val="fr-FR"/>
        </w:rPr>
        <w:t xml:space="preserve">jugés sur </w:t>
      </w:r>
      <w:r w:rsidRPr="00562699">
        <w:rPr>
          <w:szCs w:val="22"/>
          <w:lang w:val="fr-FR"/>
        </w:rPr>
        <w:t>les résulta</w:t>
      </w:r>
      <w:r w:rsidR="00B85EF1" w:rsidRPr="00562699">
        <w:rPr>
          <w:szCs w:val="22"/>
          <w:lang w:val="fr-FR"/>
        </w:rPr>
        <w:t>ts</w:t>
      </w:r>
      <w:r w:rsidR="00B85EF1">
        <w:rPr>
          <w:szCs w:val="22"/>
          <w:lang w:val="fr-FR"/>
        </w:rPr>
        <w:t xml:space="preserve">.  </w:t>
      </w:r>
      <w:r w:rsidR="00B85EF1" w:rsidRPr="00562699">
        <w:rPr>
          <w:szCs w:val="22"/>
          <w:lang w:val="fr-FR"/>
        </w:rPr>
        <w:t>L</w:t>
      </w:r>
      <w:r w:rsidR="00B85EF1">
        <w:rPr>
          <w:szCs w:val="22"/>
          <w:lang w:val="fr-FR"/>
        </w:rPr>
        <w:t>’</w:t>
      </w:r>
      <w:r w:rsidR="00B85EF1" w:rsidRPr="00562699">
        <w:rPr>
          <w:szCs w:val="22"/>
          <w:lang w:val="fr-FR"/>
        </w:rPr>
        <w:t>i</w:t>
      </w:r>
      <w:r w:rsidRPr="00562699">
        <w:rPr>
          <w:szCs w:val="22"/>
          <w:lang w:val="fr-FR"/>
        </w:rPr>
        <w:t xml:space="preserve">dée </w:t>
      </w:r>
      <w:r w:rsidR="00693C01" w:rsidRPr="00562699">
        <w:rPr>
          <w:szCs w:val="22"/>
          <w:lang w:val="fr-FR"/>
        </w:rPr>
        <w:t>de départ</w:t>
      </w:r>
      <w:r w:rsidRPr="00562699">
        <w:rPr>
          <w:szCs w:val="22"/>
          <w:lang w:val="fr-FR"/>
        </w:rPr>
        <w:t xml:space="preserve"> était de concevoir plusieurs questionnaires </w:t>
      </w:r>
      <w:r w:rsidR="0078566E" w:rsidRPr="00562699">
        <w:rPr>
          <w:szCs w:val="22"/>
          <w:lang w:val="fr-FR"/>
        </w:rPr>
        <w:t>en fonction des</w:t>
      </w:r>
      <w:r w:rsidRPr="00562699">
        <w:rPr>
          <w:szCs w:val="22"/>
          <w:lang w:val="fr-FR"/>
        </w:rPr>
        <w:t xml:space="preserve"> publics cibl</w:t>
      </w:r>
      <w:r w:rsidR="00B85EF1" w:rsidRPr="00562699">
        <w:rPr>
          <w:szCs w:val="22"/>
          <w:lang w:val="fr-FR"/>
        </w:rPr>
        <w:t>es</w:t>
      </w:r>
      <w:r w:rsidR="00B85EF1">
        <w:rPr>
          <w:szCs w:val="22"/>
          <w:lang w:val="fr-FR"/>
        </w:rPr>
        <w:t xml:space="preserve">.  </w:t>
      </w:r>
      <w:r w:rsidR="00B85EF1" w:rsidRPr="00562699">
        <w:rPr>
          <w:szCs w:val="22"/>
          <w:lang w:val="fr-FR"/>
        </w:rPr>
        <w:t>Le</w:t>
      </w:r>
      <w:r w:rsidRPr="00562699">
        <w:rPr>
          <w:szCs w:val="22"/>
          <w:lang w:val="fr-FR"/>
        </w:rPr>
        <w:t xml:space="preserve"> processus d</w:t>
      </w:r>
      <w:r w:rsidR="003C64A0">
        <w:rPr>
          <w:szCs w:val="22"/>
          <w:lang w:val="fr-FR"/>
        </w:rPr>
        <w:t>’</w:t>
      </w:r>
      <w:r w:rsidRPr="00562699">
        <w:rPr>
          <w:szCs w:val="22"/>
          <w:lang w:val="fr-FR"/>
        </w:rPr>
        <w:t xml:space="preserve">établissement du questionnaire </w:t>
      </w:r>
      <w:r w:rsidR="00693C01" w:rsidRPr="00562699">
        <w:rPr>
          <w:szCs w:val="22"/>
          <w:lang w:val="fr-FR"/>
        </w:rPr>
        <w:t xml:space="preserve">examinerait également la manière la plus efficace de conduire </w:t>
      </w:r>
      <w:r w:rsidRPr="00562699">
        <w:rPr>
          <w:szCs w:val="22"/>
          <w:lang w:val="fr-FR"/>
        </w:rPr>
        <w:t>l</w:t>
      </w:r>
      <w:r w:rsidR="003C64A0">
        <w:rPr>
          <w:szCs w:val="22"/>
          <w:lang w:val="fr-FR"/>
        </w:rPr>
        <w:t>’</w:t>
      </w:r>
      <w:r w:rsidRPr="00562699">
        <w:rPr>
          <w:szCs w:val="22"/>
          <w:lang w:val="fr-FR"/>
        </w:rPr>
        <w:t>enquête.</w:t>
      </w:r>
    </w:p>
    <w:p w14:paraId="508037D2" w14:textId="25E8F2E6" w:rsidR="009246D2" w:rsidRPr="00562699" w:rsidRDefault="00CB23D2" w:rsidP="00273B5F">
      <w:pPr>
        <w:pStyle w:val="ONUMFS"/>
        <w:ind w:left="567"/>
        <w:rPr>
          <w:szCs w:val="22"/>
          <w:lang w:val="fr-FR"/>
        </w:rPr>
      </w:pPr>
      <w:r w:rsidRPr="00562699">
        <w:rPr>
          <w:szCs w:val="22"/>
          <w:lang w:val="fr-FR"/>
        </w:rPr>
        <w:t xml:space="preserve">La </w:t>
      </w:r>
      <w:r w:rsidR="00693C01" w:rsidRPr="00562699">
        <w:rPr>
          <w:szCs w:val="22"/>
          <w:lang w:val="fr-FR"/>
        </w:rPr>
        <w:t>R</w:t>
      </w:r>
      <w:r w:rsidRPr="00562699">
        <w:rPr>
          <w:szCs w:val="22"/>
          <w:lang w:val="fr-FR"/>
        </w:rPr>
        <w:t>éunion a invité l</w:t>
      </w:r>
      <w:r w:rsidR="003C64A0">
        <w:rPr>
          <w:szCs w:val="22"/>
          <w:lang w:val="fr-FR"/>
        </w:rPr>
        <w:t>’</w:t>
      </w:r>
      <w:r w:rsidRPr="00562699">
        <w:rPr>
          <w:szCs w:val="22"/>
          <w:lang w:val="fr-FR"/>
        </w:rPr>
        <w:t xml:space="preserve">Administration nationale </w:t>
      </w:r>
      <w:r w:rsidR="00033DEA" w:rsidRPr="00562699">
        <w:rPr>
          <w:szCs w:val="22"/>
          <w:lang w:val="fr-FR"/>
        </w:rPr>
        <w:t xml:space="preserve">chinoise </w:t>
      </w:r>
      <w:r w:rsidRPr="00562699">
        <w:rPr>
          <w:szCs w:val="22"/>
          <w:lang w:val="fr-FR"/>
        </w:rPr>
        <w:t>de la propriété intellectuelle à publier des propositions plus détaillées sur le forum électronique du Sous</w:t>
      </w:r>
      <w:r w:rsidR="001B4A2C">
        <w:rPr>
          <w:szCs w:val="22"/>
          <w:lang w:val="fr-FR"/>
        </w:rPr>
        <w:noBreakHyphen/>
      </w:r>
      <w:r w:rsidRPr="00562699">
        <w:rPr>
          <w:szCs w:val="22"/>
          <w:lang w:val="fr-FR"/>
        </w:rPr>
        <w:t xml:space="preserve">groupe chargé de la qualité comme base </w:t>
      </w:r>
      <w:r w:rsidR="0078566E" w:rsidRPr="00562699">
        <w:rPr>
          <w:szCs w:val="22"/>
          <w:lang w:val="fr-FR"/>
        </w:rPr>
        <w:t xml:space="preserve">de </w:t>
      </w:r>
      <w:r w:rsidRPr="00562699">
        <w:rPr>
          <w:szCs w:val="22"/>
          <w:lang w:val="fr-FR"/>
        </w:rPr>
        <w:t>poursui</w:t>
      </w:r>
      <w:r w:rsidR="0078566E" w:rsidRPr="00562699">
        <w:rPr>
          <w:szCs w:val="22"/>
          <w:lang w:val="fr-FR"/>
        </w:rPr>
        <w:t>t</w:t>
      </w:r>
      <w:r w:rsidRPr="00562699">
        <w:rPr>
          <w:szCs w:val="22"/>
          <w:lang w:val="fr-FR"/>
        </w:rPr>
        <w:t xml:space="preserve">e </w:t>
      </w:r>
      <w:r w:rsidR="0078566E" w:rsidRPr="00562699">
        <w:rPr>
          <w:szCs w:val="22"/>
          <w:lang w:val="fr-FR"/>
        </w:rPr>
        <w:t>d</w:t>
      </w:r>
      <w:r w:rsidRPr="00562699">
        <w:rPr>
          <w:szCs w:val="22"/>
          <w:lang w:val="fr-FR"/>
        </w:rPr>
        <w:t>es discussions sur la proposition.</w:t>
      </w:r>
    </w:p>
    <w:p w14:paraId="61EA518C" w14:textId="18169EBB" w:rsidR="009246D2" w:rsidRPr="00562699" w:rsidRDefault="00CB23D2" w:rsidP="00CB23D2">
      <w:pPr>
        <w:pStyle w:val="Heading1"/>
        <w:rPr>
          <w:lang w:val="fr-FR"/>
        </w:rPr>
      </w:pPr>
      <w:r w:rsidRPr="00562699">
        <w:rPr>
          <w:lang w:val="fr-FR"/>
        </w:rPr>
        <w:t>Point</w:t>
      </w:r>
      <w:r w:rsidR="004E4E83" w:rsidRPr="00562699">
        <w:rPr>
          <w:lang w:val="fr-FR"/>
        </w:rPr>
        <w:t> </w:t>
      </w:r>
      <w:r w:rsidRPr="00562699">
        <w:rPr>
          <w:lang w:val="fr-FR"/>
        </w:rPr>
        <w:t>11</w:t>
      </w:r>
      <w:r w:rsidR="00141A5E" w:rsidRPr="00562699">
        <w:rPr>
          <w:lang w:val="fr-FR"/>
        </w:rPr>
        <w:t xml:space="preserve"> de l</w:t>
      </w:r>
      <w:r w:rsidR="003C64A0">
        <w:rPr>
          <w:lang w:val="fr-FR"/>
        </w:rPr>
        <w:t>’</w:t>
      </w:r>
      <w:r w:rsidR="00141A5E" w:rsidRPr="00562699">
        <w:rPr>
          <w:lang w:val="fr-FR"/>
        </w:rPr>
        <w:t>ordre du jour</w:t>
      </w:r>
      <w:r w:rsidR="003C64A0">
        <w:rPr>
          <w:lang w:val="fr-FR"/>
        </w:rPr>
        <w:t> :</w:t>
      </w:r>
      <w:r w:rsidRPr="00562699">
        <w:rPr>
          <w:lang w:val="fr-FR"/>
        </w:rPr>
        <w:t xml:space="preserve"> </w:t>
      </w:r>
      <w:r w:rsidR="00141A5E" w:rsidRPr="00562699">
        <w:rPr>
          <w:lang w:val="fr-FR"/>
        </w:rPr>
        <w:t>nomination en qualité d</w:t>
      </w:r>
      <w:r w:rsidR="003C64A0">
        <w:rPr>
          <w:lang w:val="fr-FR"/>
        </w:rPr>
        <w:t>’</w:t>
      </w:r>
      <w:r w:rsidR="00141A5E" w:rsidRPr="00562699">
        <w:rPr>
          <w:lang w:val="fr-FR"/>
        </w:rPr>
        <w:t>administration chargée de la recherche internationale et de l</w:t>
      </w:r>
      <w:r w:rsidR="003C64A0">
        <w:rPr>
          <w:lang w:val="fr-FR"/>
        </w:rPr>
        <w:t>’</w:t>
      </w:r>
      <w:r w:rsidR="00141A5E" w:rsidRPr="00562699">
        <w:rPr>
          <w:lang w:val="fr-FR"/>
        </w:rPr>
        <w:t>examen préliminaire international et déclaration des offices récepteurs en qualité d</w:t>
      </w:r>
      <w:r w:rsidR="003C64A0">
        <w:rPr>
          <w:lang w:val="fr-FR"/>
        </w:rPr>
        <w:t>’</w:t>
      </w:r>
      <w:r w:rsidR="00141A5E" w:rsidRPr="00562699">
        <w:rPr>
          <w:lang w:val="fr-FR"/>
        </w:rPr>
        <w:t>administration chargée de la recherche internationale et de l</w:t>
      </w:r>
      <w:r w:rsidR="003C64A0">
        <w:rPr>
          <w:lang w:val="fr-FR"/>
        </w:rPr>
        <w:t>’</w:t>
      </w:r>
      <w:r w:rsidR="00141A5E" w:rsidRPr="00562699">
        <w:rPr>
          <w:lang w:val="fr-FR"/>
        </w:rPr>
        <w:t>examen préliminaire international</w:t>
      </w:r>
    </w:p>
    <w:p w14:paraId="5A35BFED" w14:textId="77777777" w:rsidR="0090629E" w:rsidRPr="00562699" w:rsidRDefault="0090629E" w:rsidP="0090629E">
      <w:pPr>
        <w:rPr>
          <w:lang w:val="fr-FR"/>
        </w:rPr>
      </w:pPr>
    </w:p>
    <w:p w14:paraId="75475507" w14:textId="77777777" w:rsidR="009246D2" w:rsidRPr="00562699" w:rsidRDefault="00CB23D2" w:rsidP="00141A5E">
      <w:pPr>
        <w:pStyle w:val="ONUMFS"/>
        <w:rPr>
          <w:lang w:val="fr-FR"/>
        </w:rPr>
      </w:pPr>
      <w:r w:rsidRPr="00562699">
        <w:rPr>
          <w:lang w:val="fr-FR"/>
        </w:rPr>
        <w:t>Les délibérations ont eu lieu sur la base du document PCT/MIA/26/12.</w:t>
      </w:r>
    </w:p>
    <w:p w14:paraId="4C95E055" w14:textId="6BD14538" w:rsidR="009246D2" w:rsidRPr="00562699" w:rsidRDefault="00CB23D2" w:rsidP="00141A5E">
      <w:pPr>
        <w:pStyle w:val="ONUMFS"/>
        <w:rPr>
          <w:lang w:val="fr-FR"/>
        </w:rPr>
      </w:pPr>
      <w:r w:rsidRPr="00562699">
        <w:rPr>
          <w:lang w:val="fr-FR"/>
        </w:rPr>
        <w:t>L</w:t>
      </w:r>
      <w:r w:rsidR="003C64A0">
        <w:rPr>
          <w:lang w:val="fr-FR"/>
        </w:rPr>
        <w:t>’</w:t>
      </w:r>
      <w:r w:rsidRPr="00562699">
        <w:rPr>
          <w:lang w:val="fr-FR"/>
        </w:rPr>
        <w:t>Office indien des brevets a indiqué que la proposition figurant dans le document visait à rendre les services</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plus accessibles et plus utiles aux déposan</w:t>
      </w:r>
      <w:r w:rsidR="00B85EF1" w:rsidRPr="00562699">
        <w:rPr>
          <w:lang w:val="fr-FR"/>
        </w:rPr>
        <w:t>ts</w:t>
      </w:r>
      <w:r w:rsidR="00B85EF1">
        <w:rPr>
          <w:lang w:val="fr-FR"/>
        </w:rPr>
        <w:t xml:space="preserve">.  </w:t>
      </w:r>
      <w:r w:rsidR="00B85EF1" w:rsidRPr="00562699">
        <w:rPr>
          <w:lang w:val="fr-FR"/>
        </w:rPr>
        <w:t>Se</w:t>
      </w:r>
      <w:r w:rsidRPr="00562699">
        <w:rPr>
          <w:lang w:val="fr-FR"/>
        </w:rPr>
        <w:t xml:space="preserve">lon la pratique actuelle, les </w:t>
      </w:r>
      <w:r w:rsidR="00C35D4B" w:rsidRPr="00562699">
        <w:rPr>
          <w:lang w:val="fr-FR"/>
        </w:rPr>
        <w:t xml:space="preserve">critères </w:t>
      </w:r>
      <w:r w:rsidRPr="00562699">
        <w:rPr>
          <w:lang w:val="fr-FR"/>
        </w:rPr>
        <w:t>et la procédure de nomination en qualité d</w:t>
      </w:r>
      <w:r w:rsidR="003C64A0">
        <w:rPr>
          <w:lang w:val="fr-FR"/>
        </w:rPr>
        <w:t>’</w:t>
      </w:r>
      <w:r w:rsidRPr="00562699">
        <w:rPr>
          <w:lang w:val="fr-FR"/>
        </w:rPr>
        <w:t xml:space="preserve">administration internationale étaient communs à </w:t>
      </w:r>
      <w:r w:rsidR="00C35D4B" w:rsidRPr="00562699">
        <w:rPr>
          <w:lang w:val="fr-FR"/>
        </w:rPr>
        <w:t>l</w:t>
      </w:r>
      <w:r w:rsidR="003C64A0">
        <w:rPr>
          <w:lang w:val="fr-FR"/>
        </w:rPr>
        <w:t>’</w:t>
      </w:r>
      <w:r w:rsidR="00C35D4B" w:rsidRPr="00562699">
        <w:rPr>
          <w:lang w:val="fr-FR"/>
        </w:rPr>
        <w:t>ensemble des</w:t>
      </w:r>
      <w:r w:rsidRPr="00562699">
        <w:rPr>
          <w:lang w:val="fr-FR"/>
        </w:rPr>
        <w:t xml:space="preserve"> offices candida</w:t>
      </w:r>
      <w:r w:rsidR="00B85EF1" w:rsidRPr="00562699">
        <w:rPr>
          <w:lang w:val="fr-FR"/>
        </w:rPr>
        <w:t>ts</w:t>
      </w:r>
      <w:r w:rsidR="00B85EF1">
        <w:rPr>
          <w:lang w:val="fr-FR"/>
        </w:rPr>
        <w:t xml:space="preserve">.  </w:t>
      </w:r>
      <w:r w:rsidR="00B85EF1" w:rsidRPr="00562699">
        <w:rPr>
          <w:lang w:val="fr-FR"/>
        </w:rPr>
        <w:t>En</w:t>
      </w:r>
      <w:r w:rsidR="00494680" w:rsidRPr="00562699">
        <w:rPr>
          <w:lang w:val="fr-FR"/>
        </w:rPr>
        <w:t xml:space="preserve"> outre, chaque o</w:t>
      </w:r>
      <w:r w:rsidRPr="00562699">
        <w:rPr>
          <w:lang w:val="fr-FR"/>
        </w:rPr>
        <w:t xml:space="preserve">ffice récepteur </w:t>
      </w:r>
      <w:r w:rsidR="00C35D4B" w:rsidRPr="00562699">
        <w:rPr>
          <w:lang w:val="fr-FR"/>
        </w:rPr>
        <w:t>indiquait</w:t>
      </w:r>
      <w:r w:rsidRPr="00562699">
        <w:rPr>
          <w:lang w:val="fr-FR"/>
        </w:rPr>
        <w:t xml:space="preserve"> les administrations chargées de la recherche internationale et de l</w:t>
      </w:r>
      <w:r w:rsidR="003C64A0">
        <w:rPr>
          <w:lang w:val="fr-FR"/>
        </w:rPr>
        <w:t>’</w:t>
      </w:r>
      <w:r w:rsidRPr="00562699">
        <w:rPr>
          <w:lang w:val="fr-FR"/>
        </w:rPr>
        <w:t>examen préliminaire international compétentes aux fins de la recherche et de l</w:t>
      </w:r>
      <w:r w:rsidR="003C64A0">
        <w:rPr>
          <w:lang w:val="fr-FR"/>
        </w:rPr>
        <w:t>’</w:t>
      </w:r>
      <w:r w:rsidRPr="00562699">
        <w:rPr>
          <w:lang w:val="fr-FR"/>
        </w:rPr>
        <w:t xml:space="preserve">examen des demandes internationales déposées auprès de cet </w:t>
      </w:r>
      <w:r w:rsidR="00494680" w:rsidRPr="00562699">
        <w:rPr>
          <w:lang w:val="fr-FR"/>
        </w:rPr>
        <w:t>o</w:t>
      </w:r>
      <w:r w:rsidRPr="00562699">
        <w:rPr>
          <w:lang w:val="fr-FR"/>
        </w:rPr>
        <w:t>ffi</w:t>
      </w:r>
      <w:r w:rsidR="00B85EF1" w:rsidRPr="00562699">
        <w:rPr>
          <w:lang w:val="fr-FR"/>
        </w:rPr>
        <w:t>ce</w:t>
      </w:r>
      <w:r w:rsidR="00B85EF1">
        <w:rPr>
          <w:lang w:val="fr-FR"/>
        </w:rPr>
        <w:t xml:space="preserve">.  </w:t>
      </w:r>
      <w:r w:rsidR="00B85EF1" w:rsidRPr="00562699">
        <w:rPr>
          <w:lang w:val="fr-FR"/>
        </w:rPr>
        <w:t>Ce</w:t>
      </w:r>
      <w:r w:rsidR="00494680" w:rsidRPr="00562699">
        <w:rPr>
          <w:lang w:val="fr-FR"/>
        </w:rPr>
        <w:t>la s</w:t>
      </w:r>
      <w:r w:rsidR="003C64A0">
        <w:rPr>
          <w:lang w:val="fr-FR"/>
        </w:rPr>
        <w:t>’</w:t>
      </w:r>
      <w:r w:rsidR="00494680" w:rsidRPr="00562699">
        <w:rPr>
          <w:lang w:val="fr-FR"/>
        </w:rPr>
        <w:t>appliquait</w:t>
      </w:r>
      <w:r w:rsidRPr="00562699">
        <w:rPr>
          <w:lang w:val="fr-FR"/>
        </w:rPr>
        <w:t xml:space="preserve"> aux demandes internationales déposées auprès du Bureau international agissant en tant qu</w:t>
      </w:r>
      <w:r w:rsidR="003C64A0">
        <w:rPr>
          <w:lang w:val="fr-FR"/>
        </w:rPr>
        <w:t>’</w:t>
      </w:r>
      <w:r w:rsidRPr="00562699">
        <w:rPr>
          <w:lang w:val="fr-FR"/>
        </w:rPr>
        <w:t xml:space="preserve">office récepteur par ses </w:t>
      </w:r>
      <w:r w:rsidR="0065563A" w:rsidRPr="00562699">
        <w:rPr>
          <w:lang w:val="fr-FR"/>
        </w:rPr>
        <w:t xml:space="preserve">nationaux ou </w:t>
      </w:r>
      <w:r w:rsidRPr="00562699">
        <w:rPr>
          <w:lang w:val="fr-FR"/>
        </w:rPr>
        <w:t>résiden</w:t>
      </w:r>
      <w:r w:rsidR="00B85EF1" w:rsidRPr="00562699">
        <w:rPr>
          <w:lang w:val="fr-FR"/>
        </w:rPr>
        <w:t>ts</w:t>
      </w:r>
      <w:r w:rsidR="00B85EF1">
        <w:rPr>
          <w:lang w:val="fr-FR"/>
        </w:rPr>
        <w:t xml:space="preserve">.  </w:t>
      </w:r>
      <w:r w:rsidR="00B85EF1" w:rsidRPr="00562699">
        <w:rPr>
          <w:lang w:val="fr-FR"/>
        </w:rPr>
        <w:t>Pa</w:t>
      </w:r>
      <w:r w:rsidRPr="00562699">
        <w:rPr>
          <w:lang w:val="fr-FR"/>
        </w:rPr>
        <w:t>r conséquent, le déposant ne pouvait choisir que les administrations chargées de la recherche internationale et les administrations chargées de l</w:t>
      </w:r>
      <w:r w:rsidR="003C64A0">
        <w:rPr>
          <w:lang w:val="fr-FR"/>
        </w:rPr>
        <w:t>’</w:t>
      </w:r>
      <w:r w:rsidRPr="00562699">
        <w:rPr>
          <w:lang w:val="fr-FR"/>
        </w:rPr>
        <w:t>examen préliminaire international qui étaient déclarées compétentes par les Offices récepteurs du pays de nationalité ou de résidence du déposant.</w:t>
      </w:r>
    </w:p>
    <w:p w14:paraId="2CCC0136" w14:textId="4B644013" w:rsidR="009246D2" w:rsidRPr="00562699" w:rsidRDefault="00CB23D2" w:rsidP="00141A5E">
      <w:pPr>
        <w:pStyle w:val="ONUMFS"/>
        <w:rPr>
          <w:lang w:val="fr-FR"/>
        </w:rPr>
      </w:pPr>
      <w:r w:rsidRPr="00562699">
        <w:rPr>
          <w:lang w:val="fr-FR"/>
        </w:rPr>
        <w:t>L</w:t>
      </w:r>
      <w:r w:rsidR="003C64A0">
        <w:rPr>
          <w:lang w:val="fr-FR"/>
        </w:rPr>
        <w:t>’</w:t>
      </w:r>
      <w:r w:rsidRPr="00562699">
        <w:rPr>
          <w:lang w:val="fr-FR"/>
        </w:rPr>
        <w:t xml:space="preserve">Office indien des brevets a poursuivi en déclarant que, dans le cadre du mécanisme existant, </w:t>
      </w:r>
      <w:r w:rsidR="00560BF2" w:rsidRPr="00562699">
        <w:rPr>
          <w:lang w:val="fr-FR"/>
        </w:rPr>
        <w:t>un</w:t>
      </w:r>
      <w:r w:rsidRPr="00562699">
        <w:rPr>
          <w:lang w:val="fr-FR"/>
        </w:rPr>
        <w:t xml:space="preserve"> déposant de l</w:t>
      </w:r>
      <w:r w:rsidR="003C64A0">
        <w:rPr>
          <w:lang w:val="fr-FR"/>
        </w:rPr>
        <w:t>’</w:t>
      </w:r>
      <w:r w:rsidRPr="00562699">
        <w:rPr>
          <w:lang w:val="fr-FR"/>
        </w:rPr>
        <w:t xml:space="preserve">un des États membres ne pouvait pas utiliser les services offerts par toutes les administrations internationales </w:t>
      </w:r>
      <w:r w:rsidR="0065563A" w:rsidRPr="00562699">
        <w:rPr>
          <w:lang w:val="fr-FR"/>
        </w:rPr>
        <w:t xml:space="preserve">qui en </w:t>
      </w:r>
      <w:r w:rsidRPr="00562699">
        <w:rPr>
          <w:lang w:val="fr-FR"/>
        </w:rPr>
        <w:t>proposa</w:t>
      </w:r>
      <w:r w:rsidR="0065563A" w:rsidRPr="00562699">
        <w:rPr>
          <w:lang w:val="fr-FR"/>
        </w:rPr>
        <w:t>ie</w:t>
      </w:r>
      <w:r w:rsidR="00B85EF1" w:rsidRPr="00562699">
        <w:rPr>
          <w:lang w:val="fr-FR"/>
        </w:rPr>
        <w:t>nt</w:t>
      </w:r>
      <w:r w:rsidR="00B85EF1">
        <w:rPr>
          <w:lang w:val="fr-FR"/>
        </w:rPr>
        <w:t xml:space="preserve">.  </w:t>
      </w:r>
      <w:r w:rsidR="00B85EF1" w:rsidRPr="00562699">
        <w:rPr>
          <w:lang w:val="fr-FR"/>
        </w:rPr>
        <w:t>En</w:t>
      </w:r>
      <w:r w:rsidR="0065563A" w:rsidRPr="00562699">
        <w:rPr>
          <w:lang w:val="fr-FR"/>
        </w:rPr>
        <w:t xml:space="preserve"> </w:t>
      </w:r>
      <w:r w:rsidRPr="00562699">
        <w:rPr>
          <w:lang w:val="fr-FR"/>
        </w:rPr>
        <w:t xml:space="preserve">cas de </w:t>
      </w:r>
      <w:r w:rsidR="0065563A" w:rsidRPr="00562699">
        <w:rPr>
          <w:lang w:val="fr-FR"/>
        </w:rPr>
        <w:t xml:space="preserve">pluralité de </w:t>
      </w:r>
      <w:r w:rsidRPr="00562699">
        <w:rPr>
          <w:lang w:val="fr-FR"/>
        </w:rPr>
        <w:t xml:space="preserve">déposants </w:t>
      </w:r>
      <w:r w:rsidR="0065563A" w:rsidRPr="00562699">
        <w:rPr>
          <w:lang w:val="fr-FR"/>
        </w:rPr>
        <w:t xml:space="preserve">provenant </w:t>
      </w:r>
      <w:r w:rsidRPr="00562699">
        <w:rPr>
          <w:lang w:val="fr-FR"/>
        </w:rPr>
        <w:t>de pays</w:t>
      </w:r>
      <w:r w:rsidR="00560BF2" w:rsidRPr="00562699">
        <w:rPr>
          <w:lang w:val="fr-FR"/>
        </w:rPr>
        <w:t xml:space="preserve"> différents</w:t>
      </w:r>
      <w:r w:rsidRPr="00562699">
        <w:rPr>
          <w:lang w:val="fr-FR"/>
        </w:rPr>
        <w:t xml:space="preserve">, </w:t>
      </w:r>
      <w:r w:rsidR="0065563A" w:rsidRPr="00562699">
        <w:rPr>
          <w:lang w:val="fr-FR"/>
        </w:rPr>
        <w:t>ceux</w:t>
      </w:r>
      <w:r w:rsidR="001B4A2C">
        <w:rPr>
          <w:lang w:val="fr-FR"/>
        </w:rPr>
        <w:noBreakHyphen/>
      </w:r>
      <w:r w:rsidR="0065563A" w:rsidRPr="00562699">
        <w:rPr>
          <w:lang w:val="fr-FR"/>
        </w:rPr>
        <w:t>ci</w:t>
      </w:r>
      <w:r w:rsidRPr="00562699">
        <w:rPr>
          <w:lang w:val="fr-FR"/>
        </w:rPr>
        <w:t xml:space="preserve"> </w:t>
      </w:r>
      <w:r w:rsidR="00560BF2" w:rsidRPr="00562699">
        <w:rPr>
          <w:lang w:val="fr-FR"/>
        </w:rPr>
        <w:t>disposaient d</w:t>
      </w:r>
      <w:r w:rsidR="003C64A0">
        <w:rPr>
          <w:lang w:val="fr-FR"/>
        </w:rPr>
        <w:t>’</w:t>
      </w:r>
      <w:r w:rsidR="00560BF2" w:rsidRPr="00562699">
        <w:rPr>
          <w:lang w:val="fr-FR"/>
        </w:rPr>
        <w:t xml:space="preserve">un choix plus large </w:t>
      </w:r>
      <w:r w:rsidRPr="00562699">
        <w:rPr>
          <w:lang w:val="fr-FR"/>
        </w:rPr>
        <w:t xml:space="preserve">dans la mesure où </w:t>
      </w:r>
      <w:r w:rsidR="0065563A" w:rsidRPr="00562699">
        <w:rPr>
          <w:lang w:val="fr-FR"/>
        </w:rPr>
        <w:t>le choix</w:t>
      </w:r>
      <w:r w:rsidRPr="00562699">
        <w:rPr>
          <w:lang w:val="fr-FR"/>
        </w:rPr>
        <w:t xml:space="preserve"> d</w:t>
      </w:r>
      <w:r w:rsidR="003C64A0">
        <w:rPr>
          <w:lang w:val="fr-FR"/>
        </w:rPr>
        <w:t>’</w:t>
      </w:r>
      <w:r w:rsidRPr="00562699">
        <w:rPr>
          <w:lang w:val="fr-FR"/>
        </w:rPr>
        <w:t>une administration chargée de la recherche internationale et d</w:t>
      </w:r>
      <w:r w:rsidR="003C64A0">
        <w:rPr>
          <w:lang w:val="fr-FR"/>
        </w:rPr>
        <w:t>’</w:t>
      </w:r>
      <w:r w:rsidRPr="00562699">
        <w:rPr>
          <w:lang w:val="fr-FR"/>
        </w:rPr>
        <w:t>une administration chargée de l</w:t>
      </w:r>
      <w:r w:rsidR="003C64A0">
        <w:rPr>
          <w:lang w:val="fr-FR"/>
        </w:rPr>
        <w:t>’</w:t>
      </w:r>
      <w:r w:rsidRPr="00562699">
        <w:rPr>
          <w:lang w:val="fr-FR"/>
        </w:rPr>
        <w:t xml:space="preserve">examen préliminaire international était possible </w:t>
      </w:r>
      <w:r w:rsidR="00560BF2" w:rsidRPr="00562699">
        <w:rPr>
          <w:lang w:val="fr-FR"/>
        </w:rPr>
        <w:t>à condition qu</w:t>
      </w:r>
      <w:r w:rsidR="003C64A0">
        <w:rPr>
          <w:lang w:val="fr-FR"/>
        </w:rPr>
        <w:t>’</w:t>
      </w:r>
      <w:r w:rsidRPr="00562699">
        <w:rPr>
          <w:lang w:val="fr-FR"/>
        </w:rPr>
        <w:t xml:space="preserve">au moins un des déposants </w:t>
      </w:r>
      <w:r w:rsidR="00560BF2" w:rsidRPr="00562699">
        <w:rPr>
          <w:lang w:val="fr-FR"/>
        </w:rPr>
        <w:t xml:space="preserve">soit </w:t>
      </w:r>
      <w:r w:rsidRPr="00562699">
        <w:rPr>
          <w:lang w:val="fr-FR"/>
        </w:rPr>
        <w:t>habilité à choisir l</w:t>
      </w:r>
      <w:r w:rsidR="003C64A0">
        <w:rPr>
          <w:lang w:val="fr-FR"/>
        </w:rPr>
        <w:t>’</w:t>
      </w:r>
      <w:r w:rsidRPr="00562699">
        <w:rPr>
          <w:lang w:val="fr-FR"/>
        </w:rPr>
        <w:t>office agissant en qualité d</w:t>
      </w:r>
      <w:r w:rsidR="003C64A0">
        <w:rPr>
          <w:lang w:val="fr-FR"/>
        </w:rPr>
        <w:t>’</w:t>
      </w:r>
      <w:r w:rsidRPr="00562699">
        <w:rPr>
          <w:lang w:val="fr-FR"/>
        </w:rPr>
        <w:t>administration chargée de la recherche internationale et d</w:t>
      </w:r>
      <w:r w:rsidR="003C64A0">
        <w:rPr>
          <w:lang w:val="fr-FR"/>
        </w:rPr>
        <w:t>’</w:t>
      </w:r>
      <w:r w:rsidRPr="00562699">
        <w:rPr>
          <w:lang w:val="fr-FR"/>
        </w:rPr>
        <w:t>administration chargée de l</w:t>
      </w:r>
      <w:r w:rsidR="003C64A0">
        <w:rPr>
          <w:lang w:val="fr-FR"/>
        </w:rPr>
        <w:t>’</w:t>
      </w:r>
      <w:r w:rsidRPr="00562699">
        <w:rPr>
          <w:lang w:val="fr-FR"/>
        </w:rPr>
        <w:t>examen préliminaire internation</w:t>
      </w:r>
      <w:r w:rsidR="00B85EF1" w:rsidRPr="00562699">
        <w:rPr>
          <w:lang w:val="fr-FR"/>
        </w:rPr>
        <w:t>al</w:t>
      </w:r>
      <w:r w:rsidR="00B85EF1">
        <w:rPr>
          <w:lang w:val="fr-FR"/>
        </w:rPr>
        <w:t xml:space="preserve">.  </w:t>
      </w:r>
      <w:r w:rsidR="00B85EF1" w:rsidRPr="00562699">
        <w:rPr>
          <w:lang w:val="fr-FR"/>
        </w:rPr>
        <w:t>Le</w:t>
      </w:r>
      <w:r w:rsidRPr="00562699">
        <w:rPr>
          <w:lang w:val="fr-FR"/>
        </w:rPr>
        <w:t>s choix n</w:t>
      </w:r>
      <w:r w:rsidR="003C64A0">
        <w:rPr>
          <w:lang w:val="fr-FR"/>
        </w:rPr>
        <w:t>’</w:t>
      </w:r>
      <w:r w:rsidRPr="00562699">
        <w:rPr>
          <w:lang w:val="fr-FR"/>
        </w:rPr>
        <w:t xml:space="preserve">étaient donc pas accessibles </w:t>
      </w:r>
      <w:r w:rsidR="00560BF2" w:rsidRPr="00562699">
        <w:rPr>
          <w:lang w:val="fr-FR"/>
        </w:rPr>
        <w:t xml:space="preserve">de la même manière </w:t>
      </w:r>
      <w:r w:rsidRPr="00562699">
        <w:rPr>
          <w:lang w:val="fr-FR"/>
        </w:rPr>
        <w:t xml:space="preserve">à tous les </w:t>
      </w:r>
      <w:r w:rsidR="00560BF2" w:rsidRPr="00562699">
        <w:rPr>
          <w:lang w:val="fr-FR"/>
        </w:rPr>
        <w:t>déposan</w:t>
      </w:r>
      <w:r w:rsidR="00B85EF1" w:rsidRPr="00562699">
        <w:rPr>
          <w:lang w:val="fr-FR"/>
        </w:rPr>
        <w:t>ts</w:t>
      </w:r>
      <w:r w:rsidR="00B85EF1">
        <w:rPr>
          <w:lang w:val="fr-FR"/>
        </w:rPr>
        <w:t xml:space="preserve">.  </w:t>
      </w:r>
      <w:r w:rsidR="00B85EF1" w:rsidRPr="00562699">
        <w:rPr>
          <w:lang w:val="fr-FR"/>
        </w:rPr>
        <w:t>Po</w:t>
      </w:r>
      <w:r w:rsidRPr="00562699">
        <w:rPr>
          <w:lang w:val="fr-FR"/>
        </w:rPr>
        <w:t>ur rendre le système</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plus efficace et plus accessible, l</w:t>
      </w:r>
      <w:r w:rsidR="003C64A0">
        <w:rPr>
          <w:lang w:val="fr-FR"/>
        </w:rPr>
        <w:t>’</w:t>
      </w:r>
      <w:r w:rsidR="0065563A" w:rsidRPr="00562699">
        <w:rPr>
          <w:lang w:val="fr-FR"/>
        </w:rPr>
        <w:t>o</w:t>
      </w:r>
      <w:r w:rsidR="00560BF2" w:rsidRPr="00562699">
        <w:rPr>
          <w:lang w:val="fr-FR"/>
        </w:rPr>
        <w:t xml:space="preserve">ffice </w:t>
      </w:r>
      <w:r w:rsidRPr="00562699">
        <w:rPr>
          <w:lang w:val="fr-FR"/>
        </w:rPr>
        <w:t>propos</w:t>
      </w:r>
      <w:r w:rsidR="0065563A" w:rsidRPr="00562699">
        <w:rPr>
          <w:lang w:val="fr-FR"/>
        </w:rPr>
        <w:t>ait</w:t>
      </w:r>
      <w:r w:rsidRPr="00562699">
        <w:rPr>
          <w:lang w:val="fr-FR"/>
        </w:rPr>
        <w:t xml:space="preserve"> que tous les </w:t>
      </w:r>
      <w:r w:rsidR="00560BF2" w:rsidRPr="00562699">
        <w:rPr>
          <w:lang w:val="fr-FR"/>
        </w:rPr>
        <w:t>déposants</w:t>
      </w:r>
      <w:r w:rsidRPr="00562699">
        <w:rPr>
          <w:lang w:val="fr-FR"/>
        </w:rPr>
        <w:t xml:space="preserve"> </w:t>
      </w:r>
      <w:r w:rsidR="00560BF2" w:rsidRPr="00562699">
        <w:rPr>
          <w:lang w:val="fr-FR"/>
        </w:rPr>
        <w:t>puissent utiliser le système de la même faç</w:t>
      </w:r>
      <w:r w:rsidR="00B85EF1" w:rsidRPr="00562699">
        <w:rPr>
          <w:lang w:val="fr-FR"/>
        </w:rPr>
        <w:t>on</w:t>
      </w:r>
      <w:r w:rsidR="00B85EF1">
        <w:rPr>
          <w:lang w:val="fr-FR"/>
        </w:rPr>
        <w:t xml:space="preserve">.  </w:t>
      </w:r>
      <w:r w:rsidR="00B85EF1" w:rsidRPr="00562699">
        <w:rPr>
          <w:lang w:val="fr-FR"/>
        </w:rPr>
        <w:t>Ce</w:t>
      </w:r>
      <w:r w:rsidRPr="00562699">
        <w:rPr>
          <w:lang w:val="fr-FR"/>
        </w:rPr>
        <w:t xml:space="preserve"> choix ne devrait pas être limité </w:t>
      </w:r>
      <w:r w:rsidR="00494680" w:rsidRPr="00562699">
        <w:rPr>
          <w:lang w:val="fr-FR"/>
        </w:rPr>
        <w:t xml:space="preserve">par </w:t>
      </w:r>
      <w:r w:rsidR="002921B6" w:rsidRPr="00562699">
        <w:rPr>
          <w:lang w:val="fr-FR"/>
        </w:rPr>
        <w:t>l</w:t>
      </w:r>
      <w:r w:rsidR="003C64A0">
        <w:rPr>
          <w:lang w:val="fr-FR"/>
        </w:rPr>
        <w:t>’</w:t>
      </w:r>
      <w:r w:rsidR="002921B6" w:rsidRPr="00562699">
        <w:rPr>
          <w:lang w:val="fr-FR"/>
        </w:rPr>
        <w:t>absence d</w:t>
      </w:r>
      <w:r w:rsidR="003C64A0">
        <w:rPr>
          <w:lang w:val="fr-FR"/>
        </w:rPr>
        <w:t>’</w:t>
      </w:r>
      <w:r w:rsidR="002921B6" w:rsidRPr="00562699">
        <w:rPr>
          <w:lang w:val="fr-FR"/>
        </w:rPr>
        <w:t xml:space="preserve">accords </w:t>
      </w:r>
      <w:r w:rsidRPr="00562699">
        <w:rPr>
          <w:lang w:val="fr-FR"/>
        </w:rPr>
        <w:t>bilatéra</w:t>
      </w:r>
      <w:r w:rsidR="00B85EF1" w:rsidRPr="00562699">
        <w:rPr>
          <w:lang w:val="fr-FR"/>
        </w:rPr>
        <w:t>ux</w:t>
      </w:r>
      <w:r w:rsidR="00B85EF1">
        <w:rPr>
          <w:lang w:val="fr-FR"/>
        </w:rPr>
        <w:t xml:space="preserve">.  </w:t>
      </w:r>
      <w:r w:rsidR="00B85EF1" w:rsidRPr="00562699">
        <w:rPr>
          <w:lang w:val="fr-FR"/>
        </w:rPr>
        <w:t>En</w:t>
      </w:r>
      <w:r w:rsidRPr="00562699">
        <w:rPr>
          <w:lang w:val="fr-FR"/>
        </w:rPr>
        <w:t xml:space="preserve"> simplifiant la procédure et en </w:t>
      </w:r>
      <w:r w:rsidR="002921B6" w:rsidRPr="00562699">
        <w:rPr>
          <w:lang w:val="fr-FR"/>
        </w:rPr>
        <w:t xml:space="preserve">offrant plus </w:t>
      </w:r>
      <w:r w:rsidRPr="00562699">
        <w:rPr>
          <w:lang w:val="fr-FR"/>
        </w:rPr>
        <w:t>de choix au déposant, le système</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2921B6" w:rsidRPr="00562699">
        <w:rPr>
          <w:lang w:val="fr-FR"/>
        </w:rPr>
        <w:t xml:space="preserve">faciliterait </w:t>
      </w:r>
      <w:r w:rsidR="0065563A" w:rsidRPr="00562699">
        <w:rPr>
          <w:lang w:val="fr-FR"/>
        </w:rPr>
        <w:t>la tâche</w:t>
      </w:r>
      <w:r w:rsidR="002921B6" w:rsidRPr="00562699">
        <w:rPr>
          <w:lang w:val="fr-FR"/>
        </w:rPr>
        <w:t xml:space="preserve"> des </w:t>
      </w:r>
      <w:r w:rsidRPr="00562699">
        <w:rPr>
          <w:lang w:val="fr-FR"/>
        </w:rPr>
        <w:t>déposan</w:t>
      </w:r>
      <w:r w:rsidR="00B85EF1" w:rsidRPr="00562699">
        <w:rPr>
          <w:lang w:val="fr-FR"/>
        </w:rPr>
        <w:t>ts</w:t>
      </w:r>
      <w:r w:rsidR="00B85EF1">
        <w:rPr>
          <w:lang w:val="fr-FR"/>
        </w:rPr>
        <w:t xml:space="preserve">.  </w:t>
      </w:r>
      <w:r w:rsidR="00B85EF1" w:rsidRPr="00562699">
        <w:rPr>
          <w:lang w:val="fr-FR"/>
        </w:rPr>
        <w:t>Ce</w:t>
      </w:r>
      <w:r w:rsidRPr="00562699">
        <w:rPr>
          <w:lang w:val="fr-FR"/>
        </w:rPr>
        <w:t xml:space="preserve">la </w:t>
      </w:r>
      <w:r w:rsidR="002921B6" w:rsidRPr="00562699">
        <w:rPr>
          <w:lang w:val="fr-FR"/>
        </w:rPr>
        <w:t>inciterait</w:t>
      </w:r>
      <w:r w:rsidRPr="00562699">
        <w:rPr>
          <w:lang w:val="fr-FR"/>
        </w:rPr>
        <w:t xml:space="preserve"> davantage de déposants à utiliser le système</w:t>
      </w:r>
      <w:r w:rsidR="003C64A0" w:rsidRPr="00562699">
        <w:rPr>
          <w:lang w:val="fr-FR"/>
        </w:rPr>
        <w:t xml:space="preserve"> du</w:t>
      </w:r>
      <w:r w:rsidR="003C64A0">
        <w:rPr>
          <w:lang w:val="fr-FR"/>
        </w:rPr>
        <w:t> </w:t>
      </w:r>
      <w:r w:rsidR="003C64A0" w:rsidRPr="00562699">
        <w:rPr>
          <w:lang w:val="fr-FR"/>
        </w:rPr>
        <w:t>PCT</w:t>
      </w:r>
      <w:r w:rsidRPr="00562699">
        <w:rPr>
          <w:lang w:val="fr-FR"/>
        </w:rPr>
        <w:t>.</w:t>
      </w:r>
    </w:p>
    <w:p w14:paraId="29573069" w14:textId="384DBF8F" w:rsidR="009246D2" w:rsidRPr="00562699" w:rsidRDefault="00CB23D2" w:rsidP="00141A5E">
      <w:pPr>
        <w:pStyle w:val="ONUMFS"/>
        <w:rPr>
          <w:lang w:val="fr-FR"/>
        </w:rPr>
      </w:pPr>
      <w:r w:rsidRPr="00562699">
        <w:rPr>
          <w:lang w:val="fr-FR"/>
        </w:rPr>
        <w:t>L</w:t>
      </w:r>
      <w:r w:rsidR="003C64A0">
        <w:rPr>
          <w:lang w:val="fr-FR"/>
        </w:rPr>
        <w:t>’</w:t>
      </w:r>
      <w:r w:rsidRPr="00562699">
        <w:rPr>
          <w:lang w:val="fr-FR"/>
        </w:rPr>
        <w:t>Office indien des brevets a donc proposé que toutes les administrations envisagent de modifier le mécanisme existant afin que les administrations internationales puissent agir pour tous les Éta</w:t>
      </w:r>
      <w:r w:rsidR="00B85EF1" w:rsidRPr="00562699">
        <w:rPr>
          <w:lang w:val="fr-FR"/>
        </w:rPr>
        <w:t>ts</w:t>
      </w:r>
      <w:r w:rsidR="00B85EF1">
        <w:rPr>
          <w:lang w:val="fr-FR"/>
        </w:rPr>
        <w:t xml:space="preserve">.  </w:t>
      </w:r>
      <w:r w:rsidR="00B85EF1" w:rsidRPr="00562699">
        <w:rPr>
          <w:lang w:val="fr-FR"/>
        </w:rPr>
        <w:t xml:space="preserve">À </w:t>
      </w:r>
      <w:r w:rsidR="002921B6" w:rsidRPr="00562699">
        <w:rPr>
          <w:lang w:val="fr-FR"/>
        </w:rPr>
        <w:t>terme, l</w:t>
      </w:r>
      <w:r w:rsidR="003C64A0">
        <w:rPr>
          <w:lang w:val="fr-FR"/>
        </w:rPr>
        <w:t>’</w:t>
      </w:r>
      <w:r w:rsidRPr="00562699">
        <w:rPr>
          <w:lang w:val="fr-FR"/>
        </w:rPr>
        <w:t xml:space="preserve">étape de la déclaration </w:t>
      </w:r>
      <w:r w:rsidR="0065563A" w:rsidRPr="00562699">
        <w:rPr>
          <w:lang w:val="fr-FR"/>
        </w:rPr>
        <w:t xml:space="preserve">des </w:t>
      </w:r>
      <w:r w:rsidRPr="00562699">
        <w:rPr>
          <w:lang w:val="fr-FR"/>
        </w:rPr>
        <w:t>administration</w:t>
      </w:r>
      <w:r w:rsidR="0065563A" w:rsidRPr="00562699">
        <w:rPr>
          <w:lang w:val="fr-FR"/>
        </w:rPr>
        <w:t>s</w:t>
      </w:r>
      <w:r w:rsidRPr="00562699">
        <w:rPr>
          <w:lang w:val="fr-FR"/>
        </w:rPr>
        <w:t xml:space="preserve"> compétente</w:t>
      </w:r>
      <w:r w:rsidR="0065563A" w:rsidRPr="00562699">
        <w:rPr>
          <w:lang w:val="fr-FR"/>
        </w:rPr>
        <w:t>s</w:t>
      </w:r>
      <w:r w:rsidRPr="00562699">
        <w:rPr>
          <w:lang w:val="fr-FR"/>
        </w:rPr>
        <w:t xml:space="preserve"> chargée</w:t>
      </w:r>
      <w:r w:rsidR="0065563A" w:rsidRPr="00562699">
        <w:rPr>
          <w:lang w:val="fr-FR"/>
        </w:rPr>
        <w:t>s</w:t>
      </w:r>
      <w:r w:rsidRPr="00562699">
        <w:rPr>
          <w:lang w:val="fr-FR"/>
        </w:rPr>
        <w:t xml:space="preserve"> de </w:t>
      </w:r>
      <w:r w:rsidRPr="00562699">
        <w:rPr>
          <w:lang w:val="fr-FR"/>
        </w:rPr>
        <w:lastRenderedPageBreak/>
        <w:t>la recherche internationale et de l</w:t>
      </w:r>
      <w:r w:rsidR="003C64A0">
        <w:rPr>
          <w:lang w:val="fr-FR"/>
        </w:rPr>
        <w:t>’</w:t>
      </w:r>
      <w:r w:rsidRPr="00562699">
        <w:rPr>
          <w:lang w:val="fr-FR"/>
        </w:rPr>
        <w:t xml:space="preserve">examen préliminaire international par les </w:t>
      </w:r>
      <w:r w:rsidR="002921B6" w:rsidRPr="00562699">
        <w:rPr>
          <w:lang w:val="fr-FR"/>
        </w:rPr>
        <w:t>o</w:t>
      </w:r>
      <w:r w:rsidRPr="00562699">
        <w:rPr>
          <w:lang w:val="fr-FR"/>
        </w:rPr>
        <w:t>ffices récepteurs de chacun des États membres</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pourrait </w:t>
      </w:r>
      <w:r w:rsidR="002921B6" w:rsidRPr="00562699">
        <w:rPr>
          <w:lang w:val="fr-FR"/>
        </w:rPr>
        <w:t>être supprimée</w:t>
      </w:r>
      <w:r w:rsidRPr="00562699">
        <w:rPr>
          <w:lang w:val="fr-FR"/>
        </w:rPr>
        <w:t xml:space="preserve">, de sorte que les déposants qui sont </w:t>
      </w:r>
      <w:r w:rsidR="0065563A" w:rsidRPr="00562699">
        <w:rPr>
          <w:lang w:val="fr-FR"/>
        </w:rPr>
        <w:t xml:space="preserve">nationaux ou </w:t>
      </w:r>
      <w:r w:rsidRPr="00562699">
        <w:rPr>
          <w:lang w:val="fr-FR"/>
        </w:rPr>
        <w:t xml:space="preserve">résidents de </w:t>
      </w:r>
      <w:r w:rsidR="0065563A" w:rsidRPr="00562699">
        <w:rPr>
          <w:lang w:val="fr-FR"/>
        </w:rPr>
        <w:t xml:space="preserve">tout </w:t>
      </w:r>
      <w:r w:rsidRPr="00562699">
        <w:rPr>
          <w:lang w:val="fr-FR"/>
        </w:rPr>
        <w:t xml:space="preserve">État </w:t>
      </w:r>
      <w:r w:rsidR="0065563A" w:rsidRPr="00562699">
        <w:rPr>
          <w:lang w:val="fr-FR"/>
        </w:rPr>
        <w:t>contractant</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65563A" w:rsidRPr="00562699">
        <w:rPr>
          <w:lang w:val="fr-FR"/>
        </w:rPr>
        <w:t xml:space="preserve">puissent </w:t>
      </w:r>
      <w:r w:rsidRPr="00562699">
        <w:rPr>
          <w:lang w:val="fr-FR"/>
        </w:rPr>
        <w:t xml:space="preserve">choisir </w:t>
      </w:r>
      <w:r w:rsidR="0065563A" w:rsidRPr="00562699">
        <w:rPr>
          <w:lang w:val="fr-FR"/>
        </w:rPr>
        <w:t>n</w:t>
      </w:r>
      <w:r w:rsidR="003C64A0">
        <w:rPr>
          <w:lang w:val="fr-FR"/>
        </w:rPr>
        <w:t>’</w:t>
      </w:r>
      <w:r w:rsidR="0065563A" w:rsidRPr="00562699">
        <w:rPr>
          <w:lang w:val="fr-FR"/>
        </w:rPr>
        <w:t xml:space="preserve">importe laquelle </w:t>
      </w:r>
      <w:proofErr w:type="gramStart"/>
      <w:r w:rsidRPr="00562699">
        <w:rPr>
          <w:lang w:val="fr-FR"/>
        </w:rPr>
        <w:t>des administration internationales</w:t>
      </w:r>
      <w:proofErr w:type="gramEnd"/>
      <w:r w:rsidRPr="00562699">
        <w:rPr>
          <w:lang w:val="fr-FR"/>
        </w:rPr>
        <w:t xml:space="preserve"> </w:t>
      </w:r>
      <w:r w:rsidR="002921B6" w:rsidRPr="00562699">
        <w:rPr>
          <w:lang w:val="fr-FR"/>
        </w:rPr>
        <w:t xml:space="preserve">comme </w:t>
      </w:r>
      <w:r w:rsidRPr="00562699">
        <w:rPr>
          <w:lang w:val="fr-FR"/>
        </w:rPr>
        <w:t>administration chargée de la recherche internationale pour leurs demandes international</w:t>
      </w:r>
      <w:r w:rsidR="00B85EF1" w:rsidRPr="00562699">
        <w:rPr>
          <w:lang w:val="fr-FR"/>
        </w:rPr>
        <w:t>es</w:t>
      </w:r>
      <w:r w:rsidR="00B85EF1">
        <w:rPr>
          <w:lang w:val="fr-FR"/>
        </w:rPr>
        <w:t xml:space="preserve">.  </w:t>
      </w:r>
      <w:r w:rsidR="00B85EF1" w:rsidRPr="00562699">
        <w:rPr>
          <w:lang w:val="fr-FR"/>
        </w:rPr>
        <w:t>En</w:t>
      </w:r>
      <w:r w:rsidRPr="00562699">
        <w:rPr>
          <w:lang w:val="fr-FR"/>
        </w:rPr>
        <w:t xml:space="preserve"> ce qui concerne le choix de l</w:t>
      </w:r>
      <w:r w:rsidR="003C64A0">
        <w:rPr>
          <w:lang w:val="fr-FR"/>
        </w:rPr>
        <w:t>’</w:t>
      </w:r>
      <w:r w:rsidRPr="00562699">
        <w:rPr>
          <w:lang w:val="fr-FR"/>
        </w:rPr>
        <w:t>administration chargée de l</w:t>
      </w:r>
      <w:r w:rsidR="003C64A0">
        <w:rPr>
          <w:lang w:val="fr-FR"/>
        </w:rPr>
        <w:t>’</w:t>
      </w:r>
      <w:r w:rsidRPr="00562699">
        <w:rPr>
          <w:lang w:val="fr-FR"/>
        </w:rPr>
        <w:t xml:space="preserve">examen préliminaire international, </w:t>
      </w:r>
      <w:r w:rsidR="002921B6" w:rsidRPr="00562699">
        <w:rPr>
          <w:lang w:val="fr-FR"/>
        </w:rPr>
        <w:t>celui</w:t>
      </w:r>
      <w:r w:rsidR="001B4A2C">
        <w:rPr>
          <w:lang w:val="fr-FR"/>
        </w:rPr>
        <w:noBreakHyphen/>
      </w:r>
      <w:r w:rsidR="002921B6" w:rsidRPr="00562699">
        <w:rPr>
          <w:lang w:val="fr-FR"/>
        </w:rPr>
        <w:t>ci</w:t>
      </w:r>
      <w:r w:rsidRPr="00562699">
        <w:rPr>
          <w:lang w:val="fr-FR"/>
        </w:rPr>
        <w:t xml:space="preserve"> pourrait être fondé sur le choix de l</w:t>
      </w:r>
      <w:r w:rsidR="003C64A0">
        <w:rPr>
          <w:lang w:val="fr-FR"/>
        </w:rPr>
        <w:t>’</w:t>
      </w:r>
      <w:r w:rsidRPr="00562699">
        <w:rPr>
          <w:lang w:val="fr-FR"/>
        </w:rPr>
        <w:t xml:space="preserve">administration chargée de la recherche internationale </w:t>
      </w:r>
      <w:r w:rsidR="002921B6" w:rsidRPr="00562699">
        <w:rPr>
          <w:lang w:val="fr-FR"/>
        </w:rPr>
        <w:t xml:space="preserve">retenue pour </w:t>
      </w:r>
      <w:r w:rsidRPr="00562699">
        <w:rPr>
          <w:lang w:val="fr-FR"/>
        </w:rPr>
        <w:t>la demande, si cette condition s</w:t>
      </w:r>
      <w:r w:rsidR="003C64A0">
        <w:rPr>
          <w:lang w:val="fr-FR"/>
        </w:rPr>
        <w:t>’</w:t>
      </w:r>
      <w:r w:rsidRPr="00562699">
        <w:rPr>
          <w:lang w:val="fr-FR"/>
        </w:rPr>
        <w:t>appliquait à l</w:t>
      </w:r>
      <w:r w:rsidR="003C64A0">
        <w:rPr>
          <w:lang w:val="fr-FR"/>
        </w:rPr>
        <w:t>’</w:t>
      </w:r>
      <w:r w:rsidRPr="00562699">
        <w:rPr>
          <w:lang w:val="fr-FR"/>
        </w:rPr>
        <w:t>administration chargée de l</w:t>
      </w:r>
      <w:r w:rsidR="003C64A0">
        <w:rPr>
          <w:lang w:val="fr-FR"/>
        </w:rPr>
        <w:t>’</w:t>
      </w:r>
      <w:r w:rsidRPr="00562699">
        <w:rPr>
          <w:lang w:val="fr-FR"/>
        </w:rPr>
        <w:t>examen préliminaire international.</w:t>
      </w:r>
    </w:p>
    <w:p w14:paraId="10E9040A" w14:textId="07A2E306" w:rsidR="009246D2" w:rsidRPr="00562699" w:rsidRDefault="00CB23D2" w:rsidP="00141A5E">
      <w:pPr>
        <w:pStyle w:val="ONUMFS"/>
        <w:rPr>
          <w:lang w:val="fr-FR"/>
        </w:rPr>
      </w:pPr>
      <w:r w:rsidRPr="00562699">
        <w:rPr>
          <w:lang w:val="fr-FR"/>
        </w:rPr>
        <w:t>L</w:t>
      </w:r>
      <w:r w:rsidR="003C64A0">
        <w:rPr>
          <w:lang w:val="fr-FR"/>
        </w:rPr>
        <w:t>’</w:t>
      </w:r>
      <w:r w:rsidRPr="00562699">
        <w:rPr>
          <w:lang w:val="fr-FR"/>
        </w:rPr>
        <w:t xml:space="preserve">Office indien des brevets a conclu en déclarant que cette proposition pourrait être mise en </w:t>
      </w:r>
      <w:r w:rsidR="002921B6" w:rsidRPr="00562699">
        <w:rPr>
          <w:lang w:val="fr-FR"/>
        </w:rPr>
        <w:t>œuvre</w:t>
      </w:r>
      <w:r w:rsidRPr="00562699">
        <w:rPr>
          <w:lang w:val="fr-FR"/>
        </w:rPr>
        <w:t xml:space="preserve"> sans modifi</w:t>
      </w:r>
      <w:r w:rsidR="002921B6" w:rsidRPr="00562699">
        <w:rPr>
          <w:lang w:val="fr-FR"/>
        </w:rPr>
        <w:t xml:space="preserve">er le </w:t>
      </w:r>
      <w:r w:rsidRPr="00562699">
        <w:rPr>
          <w:lang w:val="fr-FR"/>
        </w:rPr>
        <w:t>traité et son règlement d</w:t>
      </w:r>
      <w:r w:rsidR="003C64A0">
        <w:rPr>
          <w:lang w:val="fr-FR"/>
        </w:rPr>
        <w:t>’</w:t>
      </w:r>
      <w:r w:rsidRPr="00562699">
        <w:rPr>
          <w:lang w:val="fr-FR"/>
        </w:rPr>
        <w:t xml:space="preserve">exécution </w:t>
      </w:r>
      <w:r w:rsidR="002921B6" w:rsidRPr="00562699">
        <w:rPr>
          <w:lang w:val="fr-FR"/>
        </w:rPr>
        <w:t>à condition que</w:t>
      </w:r>
      <w:r w:rsidRPr="00562699">
        <w:rPr>
          <w:lang w:val="fr-FR"/>
        </w:rPr>
        <w:t xml:space="preserve"> tous les </w:t>
      </w:r>
      <w:r w:rsidR="002921B6" w:rsidRPr="00562699">
        <w:rPr>
          <w:lang w:val="fr-FR"/>
        </w:rPr>
        <w:t>o</w:t>
      </w:r>
      <w:r w:rsidRPr="00562699">
        <w:rPr>
          <w:lang w:val="fr-FR"/>
        </w:rPr>
        <w:t xml:space="preserve">ffices récepteurs </w:t>
      </w:r>
      <w:r w:rsidR="002921B6" w:rsidRPr="00562699">
        <w:rPr>
          <w:lang w:val="fr-FR"/>
        </w:rPr>
        <w:t>aient</w:t>
      </w:r>
      <w:r w:rsidRPr="00562699">
        <w:rPr>
          <w:lang w:val="fr-FR"/>
        </w:rPr>
        <w:t xml:space="preserve"> déclaré que toutes les administrations chargées de la recherche internationale et de l</w:t>
      </w:r>
      <w:r w:rsidR="003C64A0">
        <w:rPr>
          <w:lang w:val="fr-FR"/>
        </w:rPr>
        <w:t>’</w:t>
      </w:r>
      <w:r w:rsidRPr="00562699">
        <w:rPr>
          <w:lang w:val="fr-FR"/>
        </w:rPr>
        <w:t xml:space="preserve">examen préliminaire </w:t>
      </w:r>
      <w:r w:rsidR="00494680" w:rsidRPr="00562699">
        <w:rPr>
          <w:lang w:val="fr-FR"/>
        </w:rPr>
        <w:t>i</w:t>
      </w:r>
      <w:r w:rsidRPr="00562699">
        <w:rPr>
          <w:lang w:val="fr-FR"/>
        </w:rPr>
        <w:t>nternational étaient compétent</w:t>
      </w:r>
      <w:r w:rsidR="00B85EF1" w:rsidRPr="00562699">
        <w:rPr>
          <w:lang w:val="fr-FR"/>
        </w:rPr>
        <w:t>es</w:t>
      </w:r>
      <w:r w:rsidR="00B85EF1">
        <w:rPr>
          <w:lang w:val="fr-FR"/>
        </w:rPr>
        <w:t xml:space="preserve">.  </w:t>
      </w:r>
      <w:r w:rsidR="00B85EF1" w:rsidRPr="00562699">
        <w:rPr>
          <w:lang w:val="fr-FR"/>
        </w:rPr>
        <w:t>Pa</w:t>
      </w:r>
      <w:r w:rsidR="002921B6" w:rsidRPr="00562699">
        <w:rPr>
          <w:lang w:val="fr-FR"/>
        </w:rPr>
        <w:t xml:space="preserve">rmi les </w:t>
      </w:r>
      <w:r w:rsidRPr="00562699">
        <w:rPr>
          <w:lang w:val="fr-FR"/>
        </w:rPr>
        <w:t xml:space="preserve">obstacles techniques </w:t>
      </w:r>
      <w:r w:rsidR="00494680" w:rsidRPr="00562699">
        <w:rPr>
          <w:lang w:val="fr-FR"/>
        </w:rPr>
        <w:t>attendus</w:t>
      </w:r>
      <w:r w:rsidRPr="00562699">
        <w:rPr>
          <w:lang w:val="fr-FR"/>
        </w:rPr>
        <w:t xml:space="preserve"> </w:t>
      </w:r>
      <w:r w:rsidR="002921B6" w:rsidRPr="00562699">
        <w:rPr>
          <w:lang w:val="fr-FR"/>
        </w:rPr>
        <w:t xml:space="preserve">pour </w:t>
      </w:r>
      <w:r w:rsidRPr="00562699">
        <w:rPr>
          <w:lang w:val="fr-FR"/>
        </w:rPr>
        <w:t xml:space="preserve">la mise en </w:t>
      </w:r>
      <w:r w:rsidR="002921B6" w:rsidRPr="00562699">
        <w:rPr>
          <w:lang w:val="fr-FR"/>
        </w:rPr>
        <w:t>œuvre</w:t>
      </w:r>
      <w:r w:rsidRPr="00562699">
        <w:rPr>
          <w:lang w:val="fr-FR"/>
        </w:rPr>
        <w:t xml:space="preserve"> de cette proposition </w:t>
      </w:r>
      <w:r w:rsidR="002921B6" w:rsidRPr="00562699">
        <w:rPr>
          <w:lang w:val="fr-FR"/>
        </w:rPr>
        <w:t xml:space="preserve">figuraient </w:t>
      </w:r>
      <w:r w:rsidRPr="00562699">
        <w:rPr>
          <w:lang w:val="fr-FR"/>
        </w:rPr>
        <w:t xml:space="preserve">les dispositions prises par les </w:t>
      </w:r>
      <w:r w:rsidR="002921B6" w:rsidRPr="00562699">
        <w:rPr>
          <w:lang w:val="fr-FR"/>
        </w:rPr>
        <w:t>o</w:t>
      </w:r>
      <w:r w:rsidRPr="00562699">
        <w:rPr>
          <w:lang w:val="fr-FR"/>
        </w:rPr>
        <w:t>ffices récepteurs pour la transmission des taxes de recherche et des copies de recherche aux administrations chargées de la recherche internationa</w:t>
      </w:r>
      <w:r w:rsidR="00B85EF1" w:rsidRPr="00562699">
        <w:rPr>
          <w:lang w:val="fr-FR"/>
        </w:rPr>
        <w:t>le</w:t>
      </w:r>
      <w:r w:rsidR="00B85EF1">
        <w:rPr>
          <w:lang w:val="fr-FR"/>
        </w:rPr>
        <w:t xml:space="preserve">.  </w:t>
      </w:r>
      <w:r w:rsidR="00B85EF1" w:rsidRPr="00562699">
        <w:rPr>
          <w:lang w:val="fr-FR"/>
        </w:rPr>
        <w:t>Da</w:t>
      </w:r>
      <w:r w:rsidR="002921B6" w:rsidRPr="00562699">
        <w:rPr>
          <w:lang w:val="fr-FR"/>
        </w:rPr>
        <w:t>ns l</w:t>
      </w:r>
      <w:r w:rsidR="003C64A0">
        <w:rPr>
          <w:lang w:val="fr-FR"/>
        </w:rPr>
        <w:t>’</w:t>
      </w:r>
      <w:r w:rsidR="002921B6" w:rsidRPr="00562699">
        <w:rPr>
          <w:lang w:val="fr-FR"/>
        </w:rPr>
        <w:t xml:space="preserve">attente de la mise en place de ces dispositions, </w:t>
      </w:r>
      <w:r w:rsidRPr="00562699">
        <w:rPr>
          <w:lang w:val="fr-FR"/>
        </w:rPr>
        <w:t xml:space="preserve">soit directement entre les </w:t>
      </w:r>
      <w:r w:rsidR="002921B6" w:rsidRPr="00562699">
        <w:rPr>
          <w:lang w:val="fr-FR"/>
        </w:rPr>
        <w:t>o</w:t>
      </w:r>
      <w:r w:rsidRPr="00562699">
        <w:rPr>
          <w:lang w:val="fr-FR"/>
        </w:rPr>
        <w:t>ffices soit par l</w:t>
      </w:r>
      <w:r w:rsidR="003C64A0">
        <w:rPr>
          <w:lang w:val="fr-FR"/>
        </w:rPr>
        <w:t>’</w:t>
      </w:r>
      <w:r w:rsidRPr="00562699">
        <w:rPr>
          <w:lang w:val="fr-FR"/>
        </w:rPr>
        <w:t>intermédiaire du Bureau international, l</w:t>
      </w:r>
      <w:r w:rsidR="003C64A0">
        <w:rPr>
          <w:lang w:val="fr-FR"/>
        </w:rPr>
        <w:t>’</w:t>
      </w:r>
      <w:r w:rsidRPr="00562699">
        <w:rPr>
          <w:lang w:val="fr-FR"/>
        </w:rPr>
        <w:t xml:space="preserve">Office indien des brevets a proposé que, pour commencer, les déposants </w:t>
      </w:r>
      <w:r w:rsidR="00494680" w:rsidRPr="00562699">
        <w:rPr>
          <w:lang w:val="fr-FR"/>
        </w:rPr>
        <w:t xml:space="preserve">qui </w:t>
      </w:r>
      <w:r w:rsidR="002921B6" w:rsidRPr="00562699">
        <w:rPr>
          <w:lang w:val="fr-FR"/>
        </w:rPr>
        <w:t>soumett</w:t>
      </w:r>
      <w:r w:rsidR="00494680" w:rsidRPr="00562699">
        <w:rPr>
          <w:lang w:val="fr-FR"/>
        </w:rPr>
        <w:t>aie</w:t>
      </w:r>
      <w:r w:rsidR="002921B6" w:rsidRPr="00562699">
        <w:rPr>
          <w:lang w:val="fr-FR"/>
        </w:rPr>
        <w:t xml:space="preserve">nt </w:t>
      </w:r>
      <w:r w:rsidR="00494680" w:rsidRPr="00562699">
        <w:rPr>
          <w:lang w:val="fr-FR"/>
        </w:rPr>
        <w:t>d</w:t>
      </w:r>
      <w:r w:rsidR="002921B6" w:rsidRPr="00562699">
        <w:rPr>
          <w:lang w:val="fr-FR"/>
        </w:rPr>
        <w:t>e</w:t>
      </w:r>
      <w:r w:rsidRPr="00562699">
        <w:rPr>
          <w:lang w:val="fr-FR"/>
        </w:rPr>
        <w:t>s demandes internationales par l</w:t>
      </w:r>
      <w:r w:rsidR="003C64A0">
        <w:rPr>
          <w:lang w:val="fr-FR"/>
        </w:rPr>
        <w:t>’</w:t>
      </w:r>
      <w:r w:rsidRPr="00562699">
        <w:rPr>
          <w:lang w:val="fr-FR"/>
        </w:rPr>
        <w:t>intermédiaire du Bureau international agissant en tant qu</w:t>
      </w:r>
      <w:r w:rsidR="003C64A0">
        <w:rPr>
          <w:lang w:val="fr-FR"/>
        </w:rPr>
        <w:t>’</w:t>
      </w:r>
      <w:r w:rsidR="002921B6" w:rsidRPr="00562699">
        <w:rPr>
          <w:lang w:val="fr-FR"/>
        </w:rPr>
        <w:t xml:space="preserve">office récepteur </w:t>
      </w:r>
      <w:r w:rsidR="0065563A" w:rsidRPr="00562699">
        <w:rPr>
          <w:lang w:val="fr-FR"/>
        </w:rPr>
        <w:t xml:space="preserve">puissent </w:t>
      </w:r>
      <w:r w:rsidR="002921B6" w:rsidRPr="00562699">
        <w:rPr>
          <w:lang w:val="fr-FR"/>
        </w:rPr>
        <w:t xml:space="preserve">choisir </w:t>
      </w:r>
      <w:r w:rsidRPr="00562699">
        <w:rPr>
          <w:lang w:val="fr-FR"/>
        </w:rPr>
        <w:t>n</w:t>
      </w:r>
      <w:r w:rsidR="003C64A0">
        <w:rPr>
          <w:lang w:val="fr-FR"/>
        </w:rPr>
        <w:t>’</w:t>
      </w:r>
      <w:r w:rsidRPr="00562699">
        <w:rPr>
          <w:lang w:val="fr-FR"/>
        </w:rPr>
        <w:t xml:space="preserve">importe quelle administration internationale </w:t>
      </w:r>
      <w:r w:rsidR="002921B6" w:rsidRPr="00562699">
        <w:rPr>
          <w:lang w:val="fr-FR"/>
        </w:rPr>
        <w:t>comme</w:t>
      </w:r>
      <w:r w:rsidRPr="00562699">
        <w:rPr>
          <w:lang w:val="fr-FR"/>
        </w:rPr>
        <w:t xml:space="preserve"> administration chargée de la recherche internationale et administration chargée de l</w:t>
      </w:r>
      <w:r w:rsidR="003C64A0">
        <w:rPr>
          <w:lang w:val="fr-FR"/>
        </w:rPr>
        <w:t>’</w:t>
      </w:r>
      <w:r w:rsidRPr="00562699">
        <w:rPr>
          <w:lang w:val="fr-FR"/>
        </w:rPr>
        <w:t>examen préliminaire internation</w:t>
      </w:r>
      <w:r w:rsidR="00B85EF1" w:rsidRPr="00562699">
        <w:rPr>
          <w:lang w:val="fr-FR"/>
        </w:rPr>
        <w:t>al</w:t>
      </w:r>
      <w:r w:rsidR="00B85EF1">
        <w:rPr>
          <w:lang w:val="fr-FR"/>
        </w:rPr>
        <w:t xml:space="preserve">.  </w:t>
      </w:r>
      <w:r w:rsidR="00B85EF1" w:rsidRPr="00562699">
        <w:rPr>
          <w:lang w:val="fr-FR"/>
        </w:rPr>
        <w:t>Un</w:t>
      </w:r>
      <w:r w:rsidRPr="00562699">
        <w:rPr>
          <w:lang w:val="fr-FR"/>
        </w:rPr>
        <w:t xml:space="preserve">e fois </w:t>
      </w:r>
      <w:r w:rsidR="00494680" w:rsidRPr="00562699">
        <w:rPr>
          <w:lang w:val="fr-FR"/>
        </w:rPr>
        <w:t xml:space="preserve">que </w:t>
      </w:r>
      <w:r w:rsidRPr="00562699">
        <w:rPr>
          <w:lang w:val="fr-FR"/>
        </w:rPr>
        <w:t xml:space="preserve">les administrations </w:t>
      </w:r>
      <w:r w:rsidR="005855E5" w:rsidRPr="00562699">
        <w:rPr>
          <w:lang w:val="fr-FR"/>
        </w:rPr>
        <w:t xml:space="preserve">auraient </w:t>
      </w:r>
      <w:r w:rsidR="002921B6" w:rsidRPr="00562699">
        <w:rPr>
          <w:lang w:val="fr-FR"/>
        </w:rPr>
        <w:t xml:space="preserve">donné leur accord de principe à </w:t>
      </w:r>
      <w:r w:rsidRPr="00562699">
        <w:rPr>
          <w:lang w:val="fr-FR"/>
        </w:rPr>
        <w:t xml:space="preserve">la proposition, </w:t>
      </w:r>
      <w:r w:rsidR="005859F2" w:rsidRPr="00562699">
        <w:rPr>
          <w:lang w:val="fr-FR"/>
        </w:rPr>
        <w:t>l</w:t>
      </w:r>
      <w:r w:rsidRPr="00562699">
        <w:rPr>
          <w:lang w:val="fr-FR"/>
        </w:rPr>
        <w:t>es modalités détaillées pourraient être mises au point.</w:t>
      </w:r>
    </w:p>
    <w:p w14:paraId="564CA995" w14:textId="1B431BEF" w:rsidR="009246D2" w:rsidRPr="00562699" w:rsidRDefault="005855E5" w:rsidP="00141A5E">
      <w:pPr>
        <w:pStyle w:val="ONUMFS"/>
        <w:rPr>
          <w:lang w:val="fr-FR"/>
        </w:rPr>
      </w:pPr>
      <w:r w:rsidRPr="00562699">
        <w:rPr>
          <w:lang w:val="fr-FR"/>
        </w:rPr>
        <w:t>D</w:t>
      </w:r>
      <w:r w:rsidR="00CB23D2" w:rsidRPr="00562699">
        <w:rPr>
          <w:lang w:val="fr-FR"/>
        </w:rPr>
        <w:t>es administrations ont indiqué qu</w:t>
      </w:r>
      <w:r w:rsidR="003C64A0">
        <w:rPr>
          <w:lang w:val="fr-FR"/>
        </w:rPr>
        <w:t>’</w:t>
      </w:r>
      <w:r w:rsidR="00CB23D2" w:rsidRPr="00562699">
        <w:rPr>
          <w:lang w:val="fr-FR"/>
        </w:rPr>
        <w:t>elles n</w:t>
      </w:r>
      <w:r w:rsidR="003C64A0">
        <w:rPr>
          <w:lang w:val="fr-FR"/>
        </w:rPr>
        <w:t>’</w:t>
      </w:r>
      <w:r w:rsidR="00CB23D2" w:rsidRPr="00562699">
        <w:rPr>
          <w:lang w:val="fr-FR"/>
        </w:rPr>
        <w:t xml:space="preserve">avaient pas eu suffisamment de temps pour </w:t>
      </w:r>
      <w:r w:rsidR="005859F2" w:rsidRPr="00562699">
        <w:rPr>
          <w:lang w:val="fr-FR"/>
        </w:rPr>
        <w:t>préparer</w:t>
      </w:r>
      <w:r w:rsidR="00CB23D2" w:rsidRPr="00562699">
        <w:rPr>
          <w:lang w:val="fr-FR"/>
        </w:rPr>
        <w:t xml:space="preserve"> des réponses officielles aux propositions </w:t>
      </w:r>
      <w:r w:rsidR="005859F2" w:rsidRPr="00562699">
        <w:rPr>
          <w:lang w:val="fr-FR"/>
        </w:rPr>
        <w:t>énoncées</w:t>
      </w:r>
      <w:r w:rsidR="00CB23D2" w:rsidRPr="00562699">
        <w:rPr>
          <w:lang w:val="fr-FR"/>
        </w:rPr>
        <w:t xml:space="preserve"> dans le docume</w:t>
      </w:r>
      <w:r w:rsidR="00B85EF1" w:rsidRPr="00562699">
        <w:rPr>
          <w:lang w:val="fr-FR"/>
        </w:rPr>
        <w:t>nt</w:t>
      </w:r>
      <w:r w:rsidR="00B85EF1">
        <w:rPr>
          <w:lang w:val="fr-FR"/>
        </w:rPr>
        <w:t xml:space="preserve">.  </w:t>
      </w:r>
      <w:r w:rsidR="00B85EF1" w:rsidRPr="00562699">
        <w:rPr>
          <w:lang w:val="fr-FR"/>
        </w:rPr>
        <w:t>Pa</w:t>
      </w:r>
      <w:r w:rsidR="005859F2" w:rsidRPr="00562699">
        <w:rPr>
          <w:lang w:val="fr-FR"/>
        </w:rPr>
        <w:t xml:space="preserve">rmi les </w:t>
      </w:r>
      <w:r w:rsidR="00CB23D2" w:rsidRPr="00562699">
        <w:rPr>
          <w:lang w:val="fr-FR"/>
        </w:rPr>
        <w:t xml:space="preserve">considérations préliminaires </w:t>
      </w:r>
      <w:r w:rsidRPr="00562699">
        <w:rPr>
          <w:lang w:val="fr-FR"/>
        </w:rPr>
        <w:t>exprimées, certaines faisaient état</w:t>
      </w:r>
      <w:r w:rsidR="00CB23D2" w:rsidRPr="00562699">
        <w:rPr>
          <w:lang w:val="fr-FR"/>
        </w:rPr>
        <w:t xml:space="preserve"> </w:t>
      </w:r>
      <w:r w:rsidRPr="00562699">
        <w:rPr>
          <w:lang w:val="fr-FR"/>
        </w:rPr>
        <w:t xml:space="preserve">des </w:t>
      </w:r>
      <w:r w:rsidR="00CB23D2" w:rsidRPr="00562699">
        <w:rPr>
          <w:lang w:val="fr-FR"/>
        </w:rPr>
        <w:t xml:space="preserve">difficultés techniques et juridiques </w:t>
      </w:r>
      <w:r w:rsidR="005859F2" w:rsidRPr="00562699">
        <w:rPr>
          <w:lang w:val="fr-FR"/>
        </w:rPr>
        <w:t xml:space="preserve">que poserait le </w:t>
      </w:r>
      <w:r w:rsidR="00CB23D2" w:rsidRPr="00562699">
        <w:rPr>
          <w:lang w:val="fr-FR"/>
        </w:rPr>
        <w:t>libre choix de l</w:t>
      </w:r>
      <w:r w:rsidR="003C64A0">
        <w:rPr>
          <w:lang w:val="fr-FR"/>
        </w:rPr>
        <w:t>’</w:t>
      </w:r>
      <w:r w:rsidR="00CB23D2" w:rsidRPr="00562699">
        <w:rPr>
          <w:lang w:val="fr-FR"/>
        </w:rPr>
        <w:t xml:space="preserve">administration chargée de la recherche internationale, </w:t>
      </w:r>
      <w:r w:rsidR="003C64A0">
        <w:rPr>
          <w:lang w:val="fr-FR"/>
        </w:rPr>
        <w:t>y compris</w:t>
      </w:r>
      <w:r w:rsidR="00CB23D2" w:rsidRPr="00562699">
        <w:rPr>
          <w:lang w:val="fr-FR"/>
        </w:rPr>
        <w:t xml:space="preserve"> la fourniture effective de copies de recherche entre </w:t>
      </w:r>
      <w:r w:rsidR="005859F2" w:rsidRPr="00562699">
        <w:rPr>
          <w:lang w:val="fr-FR"/>
        </w:rPr>
        <w:t>deux</w:t>
      </w:r>
      <w:r w:rsidR="00953186">
        <w:rPr>
          <w:lang w:val="fr-FR"/>
        </w:rPr>
        <w:t> </w:t>
      </w:r>
      <w:r w:rsidR="005859F2" w:rsidRPr="00562699">
        <w:rPr>
          <w:lang w:val="fr-FR"/>
        </w:rPr>
        <w:t xml:space="preserve">offices </w:t>
      </w:r>
      <w:r w:rsidR="00CB23D2" w:rsidRPr="00562699">
        <w:rPr>
          <w:lang w:val="fr-FR"/>
        </w:rPr>
        <w:t xml:space="preserve">lorsque le service </w:t>
      </w:r>
      <w:proofErr w:type="spellStart"/>
      <w:r w:rsidR="00CB23D2" w:rsidRPr="00562699">
        <w:rPr>
          <w:lang w:val="fr-FR"/>
        </w:rPr>
        <w:t>eSearchCopy</w:t>
      </w:r>
      <w:proofErr w:type="spellEnd"/>
      <w:r w:rsidR="00CB23D2" w:rsidRPr="00562699">
        <w:rPr>
          <w:lang w:val="fr-FR"/>
        </w:rPr>
        <w:t xml:space="preserve"> </w:t>
      </w:r>
      <w:r w:rsidRPr="00562699">
        <w:rPr>
          <w:lang w:val="fr-FR"/>
        </w:rPr>
        <w:t>n</w:t>
      </w:r>
      <w:r w:rsidR="003C64A0">
        <w:rPr>
          <w:lang w:val="fr-FR"/>
        </w:rPr>
        <w:t>’</w:t>
      </w:r>
      <w:r w:rsidRPr="00562699">
        <w:rPr>
          <w:lang w:val="fr-FR"/>
        </w:rPr>
        <w:t xml:space="preserve">était </w:t>
      </w:r>
      <w:r w:rsidR="00CB23D2" w:rsidRPr="00562699">
        <w:rPr>
          <w:lang w:val="fr-FR"/>
        </w:rPr>
        <w:t>pas disponible, la nécessité de traductions et la nécessité de modifier l</w:t>
      </w:r>
      <w:r w:rsidR="005859F2" w:rsidRPr="00562699">
        <w:rPr>
          <w:lang w:val="fr-FR"/>
        </w:rPr>
        <w:t xml:space="preserve">es législations </w:t>
      </w:r>
      <w:r w:rsidR="00CB23D2" w:rsidRPr="00562699">
        <w:rPr>
          <w:lang w:val="fr-FR"/>
        </w:rPr>
        <w:t>nationales ou les dispositions de certains autres accords internationa</w:t>
      </w:r>
      <w:r w:rsidR="00B85EF1" w:rsidRPr="00562699">
        <w:rPr>
          <w:lang w:val="fr-FR"/>
        </w:rPr>
        <w:t>ux</w:t>
      </w:r>
      <w:r w:rsidR="00B85EF1">
        <w:rPr>
          <w:lang w:val="fr-FR"/>
        </w:rPr>
        <w:t xml:space="preserve">.  </w:t>
      </w:r>
      <w:r w:rsidR="00B85EF1" w:rsidRPr="00562699">
        <w:rPr>
          <w:lang w:val="fr-FR"/>
        </w:rPr>
        <w:t>Il</w:t>
      </w:r>
      <w:r w:rsidR="005859F2" w:rsidRPr="00562699">
        <w:rPr>
          <w:lang w:val="fr-FR"/>
        </w:rPr>
        <w:t xml:space="preserve"> a été observé</w:t>
      </w:r>
      <w:r w:rsidR="00CB23D2" w:rsidRPr="00562699">
        <w:rPr>
          <w:lang w:val="fr-FR"/>
        </w:rPr>
        <w:t xml:space="preserve"> que de nombreux déposants pouvaient déjà </w:t>
      </w:r>
      <w:r w:rsidR="005859F2" w:rsidRPr="00562699">
        <w:rPr>
          <w:lang w:val="fr-FR"/>
        </w:rPr>
        <w:t>exploiter</w:t>
      </w:r>
      <w:r w:rsidR="00CB23D2" w:rsidRPr="00562699">
        <w:rPr>
          <w:lang w:val="fr-FR"/>
        </w:rPr>
        <w:t xml:space="preserve"> certains des avantages proposés en</w:t>
      </w:r>
      <w:r w:rsidR="005859F2" w:rsidRPr="00562699">
        <w:rPr>
          <w:lang w:val="fr-FR"/>
        </w:rPr>
        <w:t xml:space="preserve"> fonction </w:t>
      </w:r>
      <w:r w:rsidR="00CB23D2" w:rsidRPr="00562699">
        <w:rPr>
          <w:lang w:val="fr-FR"/>
        </w:rPr>
        <w:t xml:space="preserve">des choix </w:t>
      </w:r>
      <w:r w:rsidR="005859F2" w:rsidRPr="00562699">
        <w:rPr>
          <w:lang w:val="fr-FR"/>
        </w:rPr>
        <w:t xml:space="preserve">opérés par des codemandeurs </w:t>
      </w:r>
      <w:r w:rsidR="00CB23D2" w:rsidRPr="00562699">
        <w:rPr>
          <w:lang w:val="fr-FR"/>
        </w:rPr>
        <w:t>ayant une nationalité ou un lieu de résidence différent.</w:t>
      </w:r>
    </w:p>
    <w:p w14:paraId="56128A93" w14:textId="29481848" w:rsidR="009246D2" w:rsidRPr="00562699" w:rsidRDefault="00CB23D2" w:rsidP="00141A5E">
      <w:pPr>
        <w:pStyle w:val="ONUMFS"/>
        <w:ind w:left="567"/>
        <w:rPr>
          <w:lang w:val="fr-FR"/>
        </w:rPr>
      </w:pPr>
      <w:r w:rsidRPr="00562699">
        <w:rPr>
          <w:lang w:val="fr-FR"/>
        </w:rPr>
        <w:t xml:space="preserve">La </w:t>
      </w:r>
      <w:r w:rsidR="005859F2" w:rsidRPr="00562699">
        <w:rPr>
          <w:lang w:val="fr-FR"/>
        </w:rPr>
        <w:t>R</w:t>
      </w:r>
      <w:r w:rsidRPr="00562699">
        <w:rPr>
          <w:lang w:val="fr-FR"/>
        </w:rPr>
        <w:t xml:space="preserve">éunion a invité le Bureau </w:t>
      </w:r>
      <w:r w:rsidR="005859F2" w:rsidRPr="00562699">
        <w:rPr>
          <w:lang w:val="fr-FR"/>
        </w:rPr>
        <w:t>i</w:t>
      </w:r>
      <w:r w:rsidRPr="00562699">
        <w:rPr>
          <w:lang w:val="fr-FR"/>
        </w:rPr>
        <w:t>nternational à ouvrir un</w:t>
      </w:r>
      <w:r w:rsidR="005859F2" w:rsidRPr="00562699">
        <w:rPr>
          <w:lang w:val="fr-FR"/>
        </w:rPr>
        <w:t xml:space="preserve"> espace </w:t>
      </w:r>
      <w:r w:rsidRPr="00562699">
        <w:rPr>
          <w:lang w:val="fr-FR"/>
        </w:rPr>
        <w:t>sur le forum électronique du Sous</w:t>
      </w:r>
      <w:r w:rsidR="001B4A2C">
        <w:rPr>
          <w:lang w:val="fr-FR"/>
        </w:rPr>
        <w:noBreakHyphen/>
      </w:r>
      <w:r w:rsidRPr="00562699">
        <w:rPr>
          <w:lang w:val="fr-FR"/>
        </w:rPr>
        <w:t xml:space="preserve">groupe chargé de la qualité </w:t>
      </w:r>
      <w:r w:rsidR="005859F2" w:rsidRPr="00562699">
        <w:rPr>
          <w:lang w:val="fr-FR"/>
        </w:rPr>
        <w:t xml:space="preserve">afin de discuter des </w:t>
      </w:r>
      <w:r w:rsidRPr="00562699">
        <w:rPr>
          <w:lang w:val="fr-FR"/>
        </w:rPr>
        <w:t xml:space="preserve">questions </w:t>
      </w:r>
      <w:r w:rsidR="005855E5" w:rsidRPr="00562699">
        <w:rPr>
          <w:lang w:val="fr-FR"/>
        </w:rPr>
        <w:t>soulevées par</w:t>
      </w:r>
      <w:r w:rsidR="005859F2" w:rsidRPr="00562699">
        <w:rPr>
          <w:lang w:val="fr-FR"/>
        </w:rPr>
        <w:t xml:space="preserve"> </w:t>
      </w:r>
      <w:r w:rsidRPr="00562699">
        <w:rPr>
          <w:lang w:val="fr-FR"/>
        </w:rPr>
        <w:t>les propositions figurant dans le document.</w:t>
      </w:r>
    </w:p>
    <w:p w14:paraId="205B1441" w14:textId="3123B2F4" w:rsidR="009246D2" w:rsidRPr="00562699" w:rsidRDefault="00CB23D2" w:rsidP="00F60F39">
      <w:pPr>
        <w:pStyle w:val="Heading1"/>
        <w:rPr>
          <w:lang w:val="fr-FR"/>
        </w:rPr>
      </w:pPr>
      <w:r w:rsidRPr="00562699">
        <w:rPr>
          <w:lang w:val="fr-FR"/>
        </w:rPr>
        <w:t>Point</w:t>
      </w:r>
      <w:r w:rsidR="004E4E83" w:rsidRPr="00562699">
        <w:rPr>
          <w:lang w:val="fr-FR"/>
        </w:rPr>
        <w:t> </w:t>
      </w:r>
      <w:r w:rsidRPr="00562699">
        <w:rPr>
          <w:lang w:val="fr-FR"/>
        </w:rPr>
        <w:t>12 de l</w:t>
      </w:r>
      <w:r w:rsidR="003C64A0">
        <w:rPr>
          <w:lang w:val="fr-FR"/>
        </w:rPr>
        <w:t>’</w:t>
      </w:r>
      <w:r w:rsidRPr="00562699">
        <w:rPr>
          <w:lang w:val="fr-FR"/>
        </w:rPr>
        <w:t>ordre du jour</w:t>
      </w:r>
      <w:r w:rsidR="003C64A0">
        <w:rPr>
          <w:lang w:val="fr-FR"/>
        </w:rPr>
        <w:t> :</w:t>
      </w:r>
      <w:r w:rsidRPr="00562699">
        <w:rPr>
          <w:lang w:val="fr-FR"/>
        </w:rPr>
        <w:t xml:space="preserve"> projet pilote relatif à un mécanisme de compensation des taxes</w:t>
      </w:r>
      <w:r w:rsidR="003C64A0" w:rsidRPr="00562699">
        <w:rPr>
          <w:lang w:val="fr-FR"/>
        </w:rPr>
        <w:t xml:space="preserve"> du</w:t>
      </w:r>
      <w:r w:rsidR="003C64A0">
        <w:rPr>
          <w:lang w:val="fr-FR"/>
        </w:rPr>
        <w:t> </w:t>
      </w:r>
      <w:r w:rsidR="003C64A0" w:rsidRPr="00562699">
        <w:rPr>
          <w:lang w:val="fr-FR"/>
        </w:rPr>
        <w:t>PCT</w:t>
      </w:r>
    </w:p>
    <w:p w14:paraId="594AABA7" w14:textId="77777777" w:rsidR="00141A5E" w:rsidRPr="00562699" w:rsidRDefault="00141A5E" w:rsidP="00141A5E">
      <w:pPr>
        <w:rPr>
          <w:lang w:val="fr-FR"/>
        </w:rPr>
      </w:pPr>
    </w:p>
    <w:p w14:paraId="6124B5D6" w14:textId="77777777" w:rsidR="009246D2" w:rsidRPr="00562699" w:rsidRDefault="00CB23D2" w:rsidP="00141A5E">
      <w:pPr>
        <w:pStyle w:val="ONUMFS"/>
        <w:rPr>
          <w:lang w:val="fr-FR"/>
        </w:rPr>
      </w:pPr>
      <w:r w:rsidRPr="00562699">
        <w:rPr>
          <w:lang w:val="fr-FR"/>
        </w:rPr>
        <w:t>Les délibérations ont eu lieu sur la base du document PCT/MIA/26/3.</w:t>
      </w:r>
    </w:p>
    <w:p w14:paraId="5860C3BC" w14:textId="6DE2943E" w:rsidR="009246D2" w:rsidRPr="00562699" w:rsidRDefault="00CB23D2" w:rsidP="00141A5E">
      <w:pPr>
        <w:pStyle w:val="ONUMFS"/>
        <w:rPr>
          <w:lang w:val="fr-FR"/>
        </w:rPr>
      </w:pPr>
      <w:r w:rsidRPr="00562699">
        <w:rPr>
          <w:lang w:val="fr-FR"/>
        </w:rPr>
        <w:t xml:space="preserve">Toutes les administrations qui ont pris la parole ont </w:t>
      </w:r>
      <w:r w:rsidR="005859F2" w:rsidRPr="00562699">
        <w:rPr>
          <w:lang w:val="fr-FR"/>
        </w:rPr>
        <w:t xml:space="preserve">soutenu </w:t>
      </w:r>
      <w:r w:rsidRPr="00562699">
        <w:rPr>
          <w:lang w:val="fr-FR"/>
        </w:rPr>
        <w:t>le projet pilote de compensati</w:t>
      </w:r>
      <w:r w:rsidR="00B85EF1" w:rsidRPr="00562699">
        <w:rPr>
          <w:lang w:val="fr-FR"/>
        </w:rPr>
        <w:t>on</w:t>
      </w:r>
      <w:r w:rsidR="00B85EF1">
        <w:rPr>
          <w:lang w:val="fr-FR"/>
        </w:rPr>
        <w:t xml:space="preserve">.  </w:t>
      </w:r>
      <w:r w:rsidR="00B85EF1" w:rsidRPr="00562699">
        <w:rPr>
          <w:lang w:val="fr-FR"/>
        </w:rPr>
        <w:t>Pl</w:t>
      </w:r>
      <w:r w:rsidRPr="00562699">
        <w:rPr>
          <w:lang w:val="fr-FR"/>
        </w:rPr>
        <w:t xml:space="preserve">usieurs de ces administrations ont informé la </w:t>
      </w:r>
      <w:r w:rsidR="005859F2" w:rsidRPr="00562699">
        <w:rPr>
          <w:lang w:val="fr-FR"/>
        </w:rPr>
        <w:t>R</w:t>
      </w:r>
      <w:r w:rsidRPr="00562699">
        <w:rPr>
          <w:lang w:val="fr-FR"/>
        </w:rPr>
        <w:t>éunion de leur participation au projet pilote de compensation en leur qualité d</w:t>
      </w:r>
      <w:r w:rsidR="003C64A0">
        <w:rPr>
          <w:lang w:val="fr-FR"/>
        </w:rPr>
        <w:t>’</w:t>
      </w:r>
      <w:r w:rsidR="005859F2" w:rsidRPr="00562699">
        <w:rPr>
          <w:lang w:val="fr-FR"/>
        </w:rPr>
        <w:t>o</w:t>
      </w:r>
      <w:r w:rsidRPr="00562699">
        <w:rPr>
          <w:lang w:val="fr-FR"/>
        </w:rPr>
        <w:t>ffices récepteu</w:t>
      </w:r>
      <w:r w:rsidR="00B85EF1" w:rsidRPr="00562699">
        <w:rPr>
          <w:lang w:val="fr-FR"/>
        </w:rPr>
        <w:t>rs</w:t>
      </w:r>
      <w:r w:rsidR="00B85EF1">
        <w:rPr>
          <w:lang w:val="fr-FR"/>
        </w:rPr>
        <w:t xml:space="preserve">.  </w:t>
      </w:r>
      <w:r w:rsidR="00B85EF1" w:rsidRPr="00562699">
        <w:rPr>
          <w:lang w:val="fr-FR"/>
        </w:rPr>
        <w:t>De</w:t>
      </w:r>
      <w:r w:rsidRPr="00562699">
        <w:rPr>
          <w:lang w:val="fr-FR"/>
        </w:rPr>
        <w:t xml:space="preserve"> ce point de vue, le projet pilote a</w:t>
      </w:r>
      <w:r w:rsidR="00494680" w:rsidRPr="00562699">
        <w:rPr>
          <w:lang w:val="fr-FR"/>
        </w:rPr>
        <w:t>vait</w:t>
      </w:r>
      <w:r w:rsidRPr="00562699">
        <w:rPr>
          <w:lang w:val="fr-FR"/>
        </w:rPr>
        <w:t xml:space="preserve"> bien fonctionné, bien qu</w:t>
      </w:r>
      <w:r w:rsidR="003C64A0">
        <w:rPr>
          <w:lang w:val="fr-FR"/>
        </w:rPr>
        <w:t>’</w:t>
      </w:r>
      <w:r w:rsidRPr="00562699">
        <w:rPr>
          <w:lang w:val="fr-FR"/>
        </w:rPr>
        <w:t xml:space="preserve">une administration ait indiqué </w:t>
      </w:r>
      <w:r w:rsidR="005859F2" w:rsidRPr="00562699">
        <w:rPr>
          <w:lang w:val="fr-FR"/>
        </w:rPr>
        <w:t>avoir</w:t>
      </w:r>
      <w:r w:rsidRPr="00562699">
        <w:rPr>
          <w:lang w:val="fr-FR"/>
        </w:rPr>
        <w:t xml:space="preserve"> parfois </w:t>
      </w:r>
      <w:r w:rsidR="005859F2" w:rsidRPr="00562699">
        <w:rPr>
          <w:lang w:val="fr-FR"/>
        </w:rPr>
        <w:t xml:space="preserve">éprouvé </w:t>
      </w:r>
      <w:r w:rsidRPr="00562699">
        <w:rPr>
          <w:lang w:val="fr-FR"/>
        </w:rPr>
        <w:t xml:space="preserve">des difficultés à respecter la date de paiement mensuelle pour le transfert des taxes au Bureau </w:t>
      </w:r>
      <w:r w:rsidR="005859F2" w:rsidRPr="00562699">
        <w:rPr>
          <w:lang w:val="fr-FR"/>
        </w:rPr>
        <w:t>i</w:t>
      </w:r>
      <w:r w:rsidRPr="00562699">
        <w:rPr>
          <w:lang w:val="fr-FR"/>
        </w:rPr>
        <w:t>nternational après réception de la factu</w:t>
      </w:r>
      <w:r w:rsidR="00B85EF1" w:rsidRPr="00562699">
        <w:rPr>
          <w:lang w:val="fr-FR"/>
        </w:rPr>
        <w:t>re</w:t>
      </w:r>
      <w:r w:rsidR="00B85EF1">
        <w:rPr>
          <w:lang w:val="fr-FR"/>
        </w:rPr>
        <w:t xml:space="preserve">.  </w:t>
      </w:r>
      <w:r w:rsidR="00B85EF1" w:rsidRPr="00562699">
        <w:rPr>
          <w:lang w:val="fr-FR"/>
        </w:rPr>
        <w:t>D</w:t>
      </w:r>
      <w:r w:rsidR="00B85EF1">
        <w:rPr>
          <w:lang w:val="fr-FR"/>
        </w:rPr>
        <w:t>’</w:t>
      </w:r>
      <w:r w:rsidR="00B85EF1" w:rsidRPr="00562699">
        <w:rPr>
          <w:lang w:val="fr-FR"/>
        </w:rPr>
        <w:t>a</w:t>
      </w:r>
      <w:r w:rsidRPr="00562699">
        <w:rPr>
          <w:lang w:val="fr-FR"/>
        </w:rPr>
        <w:t>utres administrations ont fait part de leur intention de participer au projet pilote en qualité d</w:t>
      </w:r>
      <w:r w:rsidR="003C64A0">
        <w:rPr>
          <w:lang w:val="fr-FR"/>
        </w:rPr>
        <w:t>’</w:t>
      </w:r>
      <w:r w:rsidR="005859F2" w:rsidRPr="00562699">
        <w:rPr>
          <w:lang w:val="fr-FR"/>
        </w:rPr>
        <w:t>o</w:t>
      </w:r>
      <w:r w:rsidRPr="00562699">
        <w:rPr>
          <w:lang w:val="fr-FR"/>
        </w:rPr>
        <w:t>ffice récepteur dans un avenir proche.</w:t>
      </w:r>
    </w:p>
    <w:p w14:paraId="2411F277" w14:textId="11825F04" w:rsidR="003C64A0" w:rsidRDefault="00CB23D2" w:rsidP="00141A5E">
      <w:pPr>
        <w:pStyle w:val="ONUMFS"/>
        <w:rPr>
          <w:lang w:val="fr-FR"/>
        </w:rPr>
      </w:pPr>
      <w:r w:rsidRPr="00562699">
        <w:rPr>
          <w:lang w:val="fr-FR"/>
        </w:rPr>
        <w:t>L</w:t>
      </w:r>
      <w:r w:rsidR="003C64A0">
        <w:rPr>
          <w:lang w:val="fr-FR"/>
        </w:rPr>
        <w:t>’</w:t>
      </w:r>
      <w:r w:rsidRPr="00562699">
        <w:rPr>
          <w:lang w:val="fr-FR"/>
        </w:rPr>
        <w:t xml:space="preserve">Office européen des brevets </w:t>
      </w:r>
      <w:r w:rsidR="009901D6" w:rsidRPr="00562699">
        <w:rPr>
          <w:lang w:val="fr-FR"/>
        </w:rPr>
        <w:t xml:space="preserve">(OEB) </w:t>
      </w:r>
      <w:r w:rsidRPr="00562699">
        <w:rPr>
          <w:lang w:val="fr-FR"/>
        </w:rPr>
        <w:t xml:space="preserve">a </w:t>
      </w:r>
      <w:r w:rsidR="009901D6" w:rsidRPr="00562699">
        <w:rPr>
          <w:lang w:val="fr-FR"/>
        </w:rPr>
        <w:t xml:space="preserve">informé </w:t>
      </w:r>
      <w:r w:rsidRPr="00562699">
        <w:rPr>
          <w:lang w:val="fr-FR"/>
        </w:rPr>
        <w:t xml:space="preserve">la </w:t>
      </w:r>
      <w:r w:rsidR="009901D6" w:rsidRPr="00562699">
        <w:rPr>
          <w:lang w:val="fr-FR"/>
        </w:rPr>
        <w:t>R</w:t>
      </w:r>
      <w:r w:rsidRPr="00562699">
        <w:rPr>
          <w:lang w:val="fr-FR"/>
        </w:rPr>
        <w:t xml:space="preserve">éunion sur son projet pilote de </w:t>
      </w:r>
      <w:r w:rsidR="00494680" w:rsidRPr="00562699">
        <w:rPr>
          <w:lang w:val="fr-FR"/>
        </w:rPr>
        <w:t xml:space="preserve">mécanisme de </w:t>
      </w:r>
      <w:r w:rsidRPr="00562699">
        <w:rPr>
          <w:lang w:val="fr-FR"/>
        </w:rPr>
        <w:t>compensation en qualité d</w:t>
      </w:r>
      <w:r w:rsidR="003C64A0">
        <w:rPr>
          <w:lang w:val="fr-FR"/>
        </w:rPr>
        <w:t>’</w:t>
      </w:r>
      <w:r w:rsidRPr="00562699">
        <w:rPr>
          <w:lang w:val="fr-FR"/>
        </w:rPr>
        <w:t>administration chargée de la recherche internationa</w:t>
      </w:r>
      <w:r w:rsidR="00B85EF1" w:rsidRPr="00562699">
        <w:rPr>
          <w:lang w:val="fr-FR"/>
        </w:rPr>
        <w:t>le</w:t>
      </w:r>
      <w:r w:rsidR="00B85EF1">
        <w:rPr>
          <w:lang w:val="fr-FR"/>
        </w:rPr>
        <w:t xml:space="preserve">.  </w:t>
      </w:r>
      <w:r w:rsidR="00B85EF1" w:rsidRPr="00562699">
        <w:rPr>
          <w:lang w:val="fr-FR"/>
        </w:rPr>
        <w:lastRenderedPageBreak/>
        <w:t>Tr</w:t>
      </w:r>
      <w:r w:rsidRPr="00562699">
        <w:rPr>
          <w:lang w:val="fr-FR"/>
        </w:rPr>
        <w:t xml:space="preserve">ente </w:t>
      </w:r>
      <w:r w:rsidR="009901D6" w:rsidRPr="00562699">
        <w:rPr>
          <w:lang w:val="fr-FR"/>
        </w:rPr>
        <w:t>o</w:t>
      </w:r>
      <w:r w:rsidRPr="00562699">
        <w:rPr>
          <w:lang w:val="fr-FR"/>
        </w:rPr>
        <w:t xml:space="preserve">ffices récepteurs </w:t>
      </w:r>
      <w:r w:rsidR="009901D6" w:rsidRPr="00562699">
        <w:rPr>
          <w:lang w:val="fr-FR"/>
        </w:rPr>
        <w:t xml:space="preserve">qui avaient désigné </w:t>
      </w:r>
      <w:r w:rsidRPr="00562699">
        <w:rPr>
          <w:lang w:val="fr-FR"/>
        </w:rPr>
        <w:t>l</w:t>
      </w:r>
      <w:r w:rsidR="003C64A0">
        <w:rPr>
          <w:lang w:val="fr-FR"/>
        </w:rPr>
        <w:t>’</w:t>
      </w:r>
      <w:r w:rsidRPr="00562699">
        <w:rPr>
          <w:lang w:val="fr-FR"/>
        </w:rPr>
        <w:t xml:space="preserve">Office européen des brevets </w:t>
      </w:r>
      <w:r w:rsidR="009901D6" w:rsidRPr="00562699">
        <w:rPr>
          <w:lang w:val="fr-FR"/>
        </w:rPr>
        <w:t xml:space="preserve">comme </w:t>
      </w:r>
      <w:r w:rsidRPr="00562699">
        <w:rPr>
          <w:lang w:val="fr-FR"/>
        </w:rPr>
        <w:t xml:space="preserve">administration compétente </w:t>
      </w:r>
      <w:r w:rsidR="005855E5" w:rsidRPr="00562699">
        <w:rPr>
          <w:lang w:val="fr-FR"/>
        </w:rPr>
        <w:t>pour</w:t>
      </w:r>
      <w:r w:rsidRPr="00562699">
        <w:rPr>
          <w:lang w:val="fr-FR"/>
        </w:rPr>
        <w:t xml:space="preserve"> la recherche internationale </w:t>
      </w:r>
      <w:r w:rsidR="009901D6" w:rsidRPr="00562699">
        <w:rPr>
          <w:lang w:val="fr-FR"/>
        </w:rPr>
        <w:t>s</w:t>
      </w:r>
      <w:r w:rsidR="003C64A0">
        <w:rPr>
          <w:lang w:val="fr-FR"/>
        </w:rPr>
        <w:t>’</w:t>
      </w:r>
      <w:r w:rsidR="00494680" w:rsidRPr="00562699">
        <w:rPr>
          <w:lang w:val="fr-FR"/>
        </w:rPr>
        <w:t xml:space="preserve">étaient </w:t>
      </w:r>
      <w:r w:rsidRPr="00562699">
        <w:rPr>
          <w:lang w:val="fr-FR"/>
        </w:rPr>
        <w:t xml:space="preserve">associés au projet pilote et </w:t>
      </w:r>
      <w:r w:rsidR="009901D6" w:rsidRPr="00562699">
        <w:rPr>
          <w:lang w:val="fr-FR"/>
        </w:rPr>
        <w:t>l</w:t>
      </w:r>
      <w:r w:rsidR="003C64A0">
        <w:rPr>
          <w:lang w:val="fr-FR"/>
        </w:rPr>
        <w:t>’</w:t>
      </w:r>
      <w:r w:rsidR="009901D6" w:rsidRPr="00562699">
        <w:rPr>
          <w:lang w:val="fr-FR"/>
        </w:rPr>
        <w:t xml:space="preserve">OEB </w:t>
      </w:r>
      <w:r w:rsidRPr="00562699">
        <w:rPr>
          <w:lang w:val="fr-FR"/>
        </w:rPr>
        <w:t xml:space="preserve">espérait que tous ces </w:t>
      </w:r>
      <w:r w:rsidR="00494680" w:rsidRPr="00562699">
        <w:rPr>
          <w:lang w:val="fr-FR"/>
        </w:rPr>
        <w:t>o</w:t>
      </w:r>
      <w:r w:rsidRPr="00562699">
        <w:rPr>
          <w:lang w:val="fr-FR"/>
        </w:rPr>
        <w:t xml:space="preserve">ffices récepteurs </w:t>
      </w:r>
      <w:r w:rsidR="005855E5" w:rsidRPr="00562699">
        <w:rPr>
          <w:lang w:val="fr-FR"/>
        </w:rPr>
        <w:t>participeraient au</w:t>
      </w:r>
      <w:r w:rsidR="009901D6" w:rsidRPr="00562699">
        <w:rPr>
          <w:lang w:val="fr-FR"/>
        </w:rPr>
        <w:t xml:space="preserve"> </w:t>
      </w:r>
      <w:r w:rsidRPr="00562699">
        <w:rPr>
          <w:lang w:val="fr-FR"/>
        </w:rPr>
        <w:t>projet pilote d</w:t>
      </w:r>
      <w:r w:rsidR="003C64A0">
        <w:rPr>
          <w:lang w:val="fr-FR"/>
        </w:rPr>
        <w:t>’</w:t>
      </w:r>
      <w:r w:rsidRPr="00562699">
        <w:rPr>
          <w:lang w:val="fr-FR"/>
        </w:rPr>
        <w:t>ici à la fin de l</w:t>
      </w:r>
      <w:r w:rsidR="003C64A0">
        <w:rPr>
          <w:lang w:val="fr-FR"/>
        </w:rPr>
        <w:t>’</w:t>
      </w:r>
      <w:r w:rsidRPr="00562699">
        <w:rPr>
          <w:lang w:val="fr-FR"/>
        </w:rPr>
        <w:t>année 2020.</w:t>
      </w:r>
      <w:r w:rsidR="008D1E3B" w:rsidRPr="00562699">
        <w:rPr>
          <w:lang w:val="fr-FR"/>
        </w:rPr>
        <w:t xml:space="preserve">  </w:t>
      </w:r>
      <w:r w:rsidRPr="00562699">
        <w:rPr>
          <w:lang w:val="fr-FR"/>
        </w:rPr>
        <w:t>L</w:t>
      </w:r>
      <w:r w:rsidR="003C64A0">
        <w:rPr>
          <w:lang w:val="fr-FR"/>
        </w:rPr>
        <w:t>’</w:t>
      </w:r>
      <w:r w:rsidRPr="00562699">
        <w:rPr>
          <w:lang w:val="fr-FR"/>
        </w:rPr>
        <w:t>Office européen des brevets a également indiqué qu</w:t>
      </w:r>
      <w:r w:rsidR="003C64A0">
        <w:rPr>
          <w:lang w:val="fr-FR"/>
        </w:rPr>
        <w:t>’</w:t>
      </w:r>
      <w:r w:rsidRPr="00562699">
        <w:rPr>
          <w:lang w:val="fr-FR"/>
        </w:rPr>
        <w:t xml:space="preserve">il souhaitait que le projet pilote de </w:t>
      </w:r>
      <w:r w:rsidR="00494680" w:rsidRPr="00562699">
        <w:rPr>
          <w:lang w:val="fr-FR"/>
        </w:rPr>
        <w:t xml:space="preserve">mécanisme de </w:t>
      </w:r>
      <w:r w:rsidRPr="00562699">
        <w:rPr>
          <w:lang w:val="fr-FR"/>
        </w:rPr>
        <w:t xml:space="preserve">compensation soit lié au service </w:t>
      </w:r>
      <w:proofErr w:type="spellStart"/>
      <w:r w:rsidRPr="00562699">
        <w:rPr>
          <w:lang w:val="fr-FR"/>
        </w:rPr>
        <w:t>eSearchCopy</w:t>
      </w:r>
      <w:proofErr w:type="spellEnd"/>
      <w:r w:rsidRPr="00562699">
        <w:rPr>
          <w:lang w:val="fr-FR"/>
        </w:rPr>
        <w:t>.</w:t>
      </w:r>
      <w:r w:rsidR="008D1E3B" w:rsidRPr="00562699">
        <w:rPr>
          <w:lang w:val="fr-FR"/>
        </w:rPr>
        <w:t xml:space="preserve">  </w:t>
      </w:r>
      <w:r w:rsidRPr="00562699">
        <w:rPr>
          <w:lang w:val="fr-FR"/>
        </w:rPr>
        <w:t>L</w:t>
      </w:r>
      <w:r w:rsidR="003C64A0">
        <w:rPr>
          <w:lang w:val="fr-FR"/>
        </w:rPr>
        <w:t>’</w:t>
      </w:r>
      <w:r w:rsidRPr="00562699">
        <w:rPr>
          <w:lang w:val="fr-FR"/>
        </w:rPr>
        <w:t>O</w:t>
      </w:r>
      <w:r w:rsidR="009901D6" w:rsidRPr="00562699">
        <w:rPr>
          <w:lang w:val="fr-FR"/>
        </w:rPr>
        <w:t xml:space="preserve">EB </w:t>
      </w:r>
      <w:r w:rsidR="00494680" w:rsidRPr="00562699">
        <w:rPr>
          <w:lang w:val="fr-FR"/>
        </w:rPr>
        <w:t>était favorable à</w:t>
      </w:r>
      <w:r w:rsidR="009901D6" w:rsidRPr="00562699">
        <w:rPr>
          <w:lang w:val="fr-FR"/>
        </w:rPr>
        <w:t xml:space="preserve"> l</w:t>
      </w:r>
      <w:r w:rsidR="003C64A0">
        <w:rPr>
          <w:lang w:val="fr-FR"/>
        </w:rPr>
        <w:t>’</w:t>
      </w:r>
      <w:r w:rsidR="009901D6" w:rsidRPr="00562699">
        <w:rPr>
          <w:lang w:val="fr-FR"/>
        </w:rPr>
        <w:t>idée de disposer d</w:t>
      </w:r>
      <w:r w:rsidR="003C64A0">
        <w:rPr>
          <w:lang w:val="fr-FR"/>
        </w:rPr>
        <w:t>’</w:t>
      </w:r>
      <w:r w:rsidR="009901D6" w:rsidRPr="00562699">
        <w:rPr>
          <w:lang w:val="fr-FR"/>
        </w:rPr>
        <w:t xml:space="preserve">une </w:t>
      </w:r>
      <w:r w:rsidRPr="00562699">
        <w:rPr>
          <w:lang w:val="fr-FR"/>
        </w:rPr>
        <w:t>base juridique appropriée dans le règlement d</w:t>
      </w:r>
      <w:r w:rsidR="003C64A0">
        <w:rPr>
          <w:lang w:val="fr-FR"/>
        </w:rPr>
        <w:t>’</w:t>
      </w:r>
      <w:r w:rsidRPr="00562699">
        <w:rPr>
          <w:lang w:val="fr-FR"/>
        </w:rPr>
        <w:t>exécution</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pour la compensation des taxes</w:t>
      </w:r>
      <w:r w:rsidR="003C64A0" w:rsidRPr="00562699">
        <w:rPr>
          <w:lang w:val="fr-FR"/>
        </w:rPr>
        <w:t xml:space="preserve"> du</w:t>
      </w:r>
      <w:r w:rsidR="003C64A0">
        <w:rPr>
          <w:lang w:val="fr-FR"/>
        </w:rPr>
        <w:t> </w:t>
      </w:r>
      <w:r w:rsidR="003C64A0" w:rsidRPr="00562699">
        <w:rPr>
          <w:lang w:val="fr-FR"/>
        </w:rPr>
        <w:t>PCT</w:t>
      </w:r>
      <w:r w:rsidRPr="00562699">
        <w:rPr>
          <w:lang w:val="fr-FR"/>
        </w:rPr>
        <w:t>.</w:t>
      </w:r>
    </w:p>
    <w:p w14:paraId="604EDF13" w14:textId="18022D26" w:rsidR="009246D2" w:rsidRPr="00562699" w:rsidRDefault="00CB23D2" w:rsidP="00141A5E">
      <w:pPr>
        <w:pStyle w:val="ONUMFS"/>
        <w:rPr>
          <w:lang w:val="fr-FR"/>
        </w:rPr>
      </w:pPr>
      <w:r w:rsidRPr="00562699">
        <w:rPr>
          <w:lang w:val="fr-FR"/>
        </w:rPr>
        <w:t>L</w:t>
      </w:r>
      <w:r w:rsidR="003C64A0">
        <w:rPr>
          <w:lang w:val="fr-FR"/>
        </w:rPr>
        <w:t>’</w:t>
      </w:r>
      <w:r w:rsidRPr="00562699">
        <w:rPr>
          <w:lang w:val="fr-FR"/>
        </w:rPr>
        <w:t>Office des brevets du Japon a souligné les avantages de sa participation en qualité d</w:t>
      </w:r>
      <w:r w:rsidR="003C64A0">
        <w:rPr>
          <w:lang w:val="fr-FR"/>
        </w:rPr>
        <w:t>’</w:t>
      </w:r>
      <w:r w:rsidRPr="00562699">
        <w:rPr>
          <w:lang w:val="fr-FR"/>
        </w:rPr>
        <w:t>administration chargée de la recherche internationa</w:t>
      </w:r>
      <w:r w:rsidR="00B85EF1" w:rsidRPr="00562699">
        <w:rPr>
          <w:lang w:val="fr-FR"/>
        </w:rPr>
        <w:t>le</w:t>
      </w:r>
      <w:r w:rsidR="00B85EF1">
        <w:rPr>
          <w:lang w:val="fr-FR"/>
        </w:rPr>
        <w:t xml:space="preserve">.  </w:t>
      </w:r>
      <w:r w:rsidR="00B85EF1" w:rsidRPr="00562699">
        <w:rPr>
          <w:lang w:val="fr-FR"/>
        </w:rPr>
        <w:t>Al</w:t>
      </w:r>
      <w:r w:rsidR="00494680" w:rsidRPr="00562699">
        <w:rPr>
          <w:lang w:val="fr-FR"/>
        </w:rPr>
        <w:t xml:space="preserve">ors </w:t>
      </w:r>
      <w:r w:rsidRPr="00562699">
        <w:rPr>
          <w:lang w:val="fr-FR"/>
        </w:rPr>
        <w:t xml:space="preserve">que son projet pilote </w:t>
      </w:r>
      <w:r w:rsidR="009901D6" w:rsidRPr="00562699">
        <w:rPr>
          <w:lang w:val="fr-FR"/>
        </w:rPr>
        <w:t>ne concern</w:t>
      </w:r>
      <w:r w:rsidR="00494680" w:rsidRPr="00562699">
        <w:rPr>
          <w:lang w:val="fr-FR"/>
        </w:rPr>
        <w:t>ait</w:t>
      </w:r>
      <w:r w:rsidR="009901D6" w:rsidRPr="00562699">
        <w:rPr>
          <w:lang w:val="fr-FR"/>
        </w:rPr>
        <w:t xml:space="preserve"> que </w:t>
      </w:r>
      <w:r w:rsidRPr="00562699">
        <w:rPr>
          <w:lang w:val="fr-FR"/>
        </w:rPr>
        <w:t>trois</w:t>
      </w:r>
      <w:r w:rsidR="00953186">
        <w:rPr>
          <w:lang w:val="fr-FR"/>
        </w:rPr>
        <w:t> </w:t>
      </w:r>
      <w:r w:rsidR="009901D6" w:rsidRPr="00562699">
        <w:rPr>
          <w:lang w:val="fr-FR"/>
        </w:rPr>
        <w:t>o</w:t>
      </w:r>
      <w:r w:rsidRPr="00562699">
        <w:rPr>
          <w:lang w:val="fr-FR"/>
        </w:rPr>
        <w:t xml:space="preserve">ffices récepteurs, le regroupement des paiements en une seule opération </w:t>
      </w:r>
      <w:r w:rsidR="009901D6" w:rsidRPr="00562699">
        <w:rPr>
          <w:lang w:val="fr-FR"/>
        </w:rPr>
        <w:t>a</w:t>
      </w:r>
      <w:r w:rsidR="005855E5" w:rsidRPr="00562699">
        <w:rPr>
          <w:lang w:val="fr-FR"/>
        </w:rPr>
        <w:t>vait</w:t>
      </w:r>
      <w:r w:rsidR="009901D6" w:rsidRPr="00562699">
        <w:rPr>
          <w:lang w:val="fr-FR"/>
        </w:rPr>
        <w:t xml:space="preserve"> </w:t>
      </w:r>
      <w:r w:rsidRPr="00562699">
        <w:rPr>
          <w:lang w:val="fr-FR"/>
        </w:rPr>
        <w:t>amélior</w:t>
      </w:r>
      <w:r w:rsidR="009901D6" w:rsidRPr="00562699">
        <w:rPr>
          <w:lang w:val="fr-FR"/>
        </w:rPr>
        <w:t>é</w:t>
      </w:r>
      <w:r w:rsidRPr="00562699">
        <w:rPr>
          <w:lang w:val="fr-FR"/>
        </w:rPr>
        <w:t xml:space="preserve"> l</w:t>
      </w:r>
      <w:r w:rsidR="003C64A0">
        <w:rPr>
          <w:lang w:val="fr-FR"/>
        </w:rPr>
        <w:t>’</w:t>
      </w:r>
      <w:r w:rsidRPr="00562699">
        <w:rPr>
          <w:lang w:val="fr-FR"/>
        </w:rPr>
        <w:t xml:space="preserve">efficacité et </w:t>
      </w:r>
      <w:r w:rsidR="009901D6" w:rsidRPr="00562699">
        <w:rPr>
          <w:lang w:val="fr-FR"/>
        </w:rPr>
        <w:t>l</w:t>
      </w:r>
      <w:r w:rsidR="003C64A0">
        <w:rPr>
          <w:lang w:val="fr-FR"/>
        </w:rPr>
        <w:t>’</w:t>
      </w:r>
      <w:r w:rsidR="009901D6" w:rsidRPr="00562699">
        <w:rPr>
          <w:lang w:val="fr-FR"/>
        </w:rPr>
        <w:t xml:space="preserve">Office des brevets du Japon </w:t>
      </w:r>
      <w:r w:rsidR="00494680" w:rsidRPr="00562699">
        <w:rPr>
          <w:lang w:val="fr-FR"/>
        </w:rPr>
        <w:t xml:space="preserve">espérait </w:t>
      </w:r>
      <w:r w:rsidRPr="00562699">
        <w:rPr>
          <w:lang w:val="fr-FR"/>
        </w:rPr>
        <w:t>l</w:t>
      </w:r>
      <w:r w:rsidR="003C64A0">
        <w:rPr>
          <w:lang w:val="fr-FR"/>
        </w:rPr>
        <w:t>’</w:t>
      </w:r>
      <w:r w:rsidRPr="00562699">
        <w:rPr>
          <w:lang w:val="fr-FR"/>
        </w:rPr>
        <w:t>adhésion d</w:t>
      </w:r>
      <w:r w:rsidR="003C64A0">
        <w:rPr>
          <w:lang w:val="fr-FR"/>
        </w:rPr>
        <w:t>’</w:t>
      </w:r>
      <w:r w:rsidR="00494680" w:rsidRPr="00562699">
        <w:rPr>
          <w:lang w:val="fr-FR"/>
        </w:rPr>
        <w:t xml:space="preserve">un plus grand nombre </w:t>
      </w:r>
      <w:r w:rsidRPr="00562699">
        <w:rPr>
          <w:lang w:val="fr-FR"/>
        </w:rPr>
        <w:t xml:space="preserve">de ses </w:t>
      </w:r>
      <w:r w:rsidR="009901D6" w:rsidRPr="00562699">
        <w:rPr>
          <w:lang w:val="fr-FR"/>
        </w:rPr>
        <w:t>o</w:t>
      </w:r>
      <w:r w:rsidRPr="00562699">
        <w:rPr>
          <w:lang w:val="fr-FR"/>
        </w:rPr>
        <w:t>ffices récepteurs.</w:t>
      </w:r>
    </w:p>
    <w:p w14:paraId="4CD0D12A" w14:textId="5649FB86" w:rsidR="009246D2" w:rsidRPr="00562699" w:rsidRDefault="00CB23D2" w:rsidP="00141A5E">
      <w:pPr>
        <w:pStyle w:val="ONUMFS"/>
        <w:rPr>
          <w:lang w:val="fr-FR"/>
        </w:rPr>
      </w:pPr>
      <w:r w:rsidRPr="00562699">
        <w:rPr>
          <w:lang w:val="fr-FR"/>
        </w:rPr>
        <w:t xml:space="preserve">Certaines administrations, tout en </w:t>
      </w:r>
      <w:r w:rsidR="009901D6" w:rsidRPr="00562699">
        <w:rPr>
          <w:lang w:val="fr-FR"/>
        </w:rPr>
        <w:t>soutenant</w:t>
      </w:r>
      <w:r w:rsidRPr="00562699">
        <w:rPr>
          <w:lang w:val="fr-FR"/>
        </w:rPr>
        <w:t xml:space="preserve"> le projet pilote et son développement, ont </w:t>
      </w:r>
      <w:r w:rsidR="009901D6" w:rsidRPr="00562699">
        <w:rPr>
          <w:lang w:val="fr-FR"/>
        </w:rPr>
        <w:t>avancé</w:t>
      </w:r>
      <w:r w:rsidRPr="00562699">
        <w:rPr>
          <w:lang w:val="fr-FR"/>
        </w:rPr>
        <w:t xml:space="preserve"> des raisons de ne pas </w:t>
      </w:r>
      <w:r w:rsidR="009901D6" w:rsidRPr="00562699">
        <w:rPr>
          <w:lang w:val="fr-FR"/>
        </w:rPr>
        <w:t xml:space="preserve">y </w:t>
      </w:r>
      <w:r w:rsidRPr="00562699">
        <w:rPr>
          <w:lang w:val="fr-FR"/>
        </w:rPr>
        <w:t>participer à ce stade en qualité d</w:t>
      </w:r>
      <w:r w:rsidR="003C64A0">
        <w:rPr>
          <w:lang w:val="fr-FR"/>
        </w:rPr>
        <w:t>’</w:t>
      </w:r>
      <w:r w:rsidRPr="00562699">
        <w:rPr>
          <w:lang w:val="fr-FR"/>
        </w:rPr>
        <w:t>administration chargée de la recherche internationa</w:t>
      </w:r>
      <w:r w:rsidR="00B85EF1" w:rsidRPr="00562699">
        <w:rPr>
          <w:lang w:val="fr-FR"/>
        </w:rPr>
        <w:t>le</w:t>
      </w:r>
      <w:r w:rsidR="00B85EF1">
        <w:rPr>
          <w:lang w:val="fr-FR"/>
        </w:rPr>
        <w:t xml:space="preserve">.  </w:t>
      </w:r>
      <w:r w:rsidR="00B85EF1" w:rsidRPr="00562699">
        <w:rPr>
          <w:lang w:val="fr-FR"/>
        </w:rPr>
        <w:t>Po</w:t>
      </w:r>
      <w:r w:rsidRPr="00562699">
        <w:rPr>
          <w:lang w:val="fr-FR"/>
        </w:rPr>
        <w:t>ur une administration, il était difficile de convertir sa monnaie nationale en dollars des États</w:t>
      </w:r>
      <w:r w:rsidR="001B4A2C">
        <w:rPr>
          <w:lang w:val="fr-FR"/>
        </w:rPr>
        <w:noBreakHyphen/>
      </w:r>
      <w:r w:rsidRPr="00562699">
        <w:rPr>
          <w:lang w:val="fr-FR"/>
        </w:rPr>
        <w:t>Unis</w:t>
      </w:r>
      <w:r w:rsidR="009901D6" w:rsidRPr="00562699">
        <w:rPr>
          <w:lang w:val="fr-FR"/>
        </w:rPr>
        <w:t xml:space="preserve"> d</w:t>
      </w:r>
      <w:r w:rsidR="003C64A0">
        <w:rPr>
          <w:lang w:val="fr-FR"/>
        </w:rPr>
        <w:t>’</w:t>
      </w:r>
      <w:r w:rsidR="009901D6" w:rsidRPr="00562699">
        <w:rPr>
          <w:lang w:val="fr-FR"/>
        </w:rPr>
        <w:t>Amérique</w:t>
      </w:r>
      <w:r w:rsidRPr="00562699">
        <w:rPr>
          <w:lang w:val="fr-FR"/>
        </w:rPr>
        <w:t xml:space="preserve"> et </w:t>
      </w:r>
      <w:r w:rsidR="009901D6" w:rsidRPr="00562699">
        <w:rPr>
          <w:lang w:val="fr-FR"/>
        </w:rPr>
        <w:t>inversement</w:t>
      </w:r>
      <w:r w:rsidR="00494680" w:rsidRPr="00562699">
        <w:rPr>
          <w:lang w:val="fr-FR"/>
        </w:rPr>
        <w:t>,</w:t>
      </w:r>
      <w:r w:rsidRPr="00562699">
        <w:rPr>
          <w:lang w:val="fr-FR"/>
        </w:rPr>
        <w:t xml:space="preserve"> </w:t>
      </w:r>
      <w:r w:rsidR="009901D6" w:rsidRPr="00562699">
        <w:rPr>
          <w:lang w:val="fr-FR"/>
        </w:rPr>
        <w:t xml:space="preserve">et </w:t>
      </w:r>
      <w:r w:rsidRPr="00562699">
        <w:rPr>
          <w:lang w:val="fr-FR"/>
        </w:rPr>
        <w:t xml:space="preserve">il lui fallait apporter des modifications à ses procédures de dépôt avant </w:t>
      </w:r>
      <w:r w:rsidR="009901D6" w:rsidRPr="00562699">
        <w:rPr>
          <w:lang w:val="fr-FR"/>
        </w:rPr>
        <w:t>de pouvoir particip</w:t>
      </w:r>
      <w:r w:rsidR="00B85EF1" w:rsidRPr="00562699">
        <w:rPr>
          <w:lang w:val="fr-FR"/>
        </w:rPr>
        <w:t>er</w:t>
      </w:r>
      <w:r w:rsidR="00B85EF1">
        <w:rPr>
          <w:lang w:val="fr-FR"/>
        </w:rPr>
        <w:t xml:space="preserve">.  </w:t>
      </w:r>
      <w:r w:rsidR="00B85EF1" w:rsidRPr="00562699">
        <w:rPr>
          <w:lang w:val="fr-FR"/>
        </w:rPr>
        <w:t>Un</w:t>
      </w:r>
      <w:r w:rsidRPr="00562699">
        <w:rPr>
          <w:lang w:val="fr-FR"/>
        </w:rPr>
        <w:t xml:space="preserve">e autre administration ne se considérait pas comme un candidat qualifié pour le projet pilote en raison du nombre </w:t>
      </w:r>
      <w:r w:rsidR="009F7F9C" w:rsidRPr="00562699">
        <w:rPr>
          <w:lang w:val="fr-FR"/>
        </w:rPr>
        <w:t xml:space="preserve">restreint </w:t>
      </w:r>
      <w:r w:rsidRPr="00562699">
        <w:rPr>
          <w:lang w:val="fr-FR"/>
        </w:rPr>
        <w:t>de taxes de recherche qu</w:t>
      </w:r>
      <w:r w:rsidR="003C64A0">
        <w:rPr>
          <w:lang w:val="fr-FR"/>
        </w:rPr>
        <w:t>’</w:t>
      </w:r>
      <w:r w:rsidRPr="00562699">
        <w:rPr>
          <w:lang w:val="fr-FR"/>
        </w:rPr>
        <w:t xml:space="preserve">elle </w:t>
      </w:r>
      <w:r w:rsidR="009901D6" w:rsidRPr="00562699">
        <w:rPr>
          <w:lang w:val="fr-FR"/>
        </w:rPr>
        <w:t>transférait</w:t>
      </w:r>
      <w:r w:rsidRPr="00562699">
        <w:rPr>
          <w:lang w:val="fr-FR"/>
        </w:rPr>
        <w:t xml:space="preserve"> actuellement et de l</w:t>
      </w:r>
      <w:r w:rsidR="003C64A0">
        <w:rPr>
          <w:lang w:val="fr-FR"/>
        </w:rPr>
        <w:t>’</w:t>
      </w:r>
      <w:r w:rsidRPr="00562699">
        <w:rPr>
          <w:lang w:val="fr-FR"/>
        </w:rPr>
        <w:t xml:space="preserve">absence </w:t>
      </w:r>
      <w:r w:rsidR="009F7F9C" w:rsidRPr="00562699">
        <w:rPr>
          <w:lang w:val="fr-FR"/>
        </w:rPr>
        <w:t xml:space="preserve">de </w:t>
      </w:r>
      <w:r w:rsidRPr="00562699">
        <w:rPr>
          <w:lang w:val="fr-FR"/>
        </w:rPr>
        <w:t xml:space="preserve">taxes de transfert </w:t>
      </w:r>
      <w:r w:rsidR="009F7F9C" w:rsidRPr="00562699">
        <w:rPr>
          <w:lang w:val="fr-FR"/>
        </w:rPr>
        <w:t xml:space="preserve">importantes transférées </w:t>
      </w:r>
      <w:r w:rsidRPr="00562699">
        <w:rPr>
          <w:lang w:val="fr-FR"/>
        </w:rPr>
        <w:t xml:space="preserve">à </w:t>
      </w:r>
      <w:r w:rsidR="009F7F9C" w:rsidRPr="00562699">
        <w:rPr>
          <w:lang w:val="fr-FR"/>
        </w:rPr>
        <w:t>son profit</w:t>
      </w:r>
      <w:r w:rsidRPr="00562699">
        <w:rPr>
          <w:lang w:val="fr-FR"/>
        </w:rPr>
        <w:t xml:space="preserve">, mais elle était disposée à </w:t>
      </w:r>
      <w:r w:rsidR="009901D6" w:rsidRPr="00562699">
        <w:rPr>
          <w:lang w:val="fr-FR"/>
        </w:rPr>
        <w:t xml:space="preserve">adhérer au </w:t>
      </w:r>
      <w:r w:rsidRPr="00562699">
        <w:rPr>
          <w:lang w:val="fr-FR"/>
        </w:rPr>
        <w:t>projet pilote</w:t>
      </w:r>
      <w:r w:rsidR="009901D6" w:rsidRPr="00562699">
        <w:rPr>
          <w:lang w:val="fr-FR"/>
        </w:rPr>
        <w:t xml:space="preserve"> si celui</w:t>
      </w:r>
      <w:r w:rsidR="001B4A2C">
        <w:rPr>
          <w:lang w:val="fr-FR"/>
        </w:rPr>
        <w:noBreakHyphen/>
      </w:r>
      <w:r w:rsidR="009901D6" w:rsidRPr="00562699">
        <w:rPr>
          <w:lang w:val="fr-FR"/>
        </w:rPr>
        <w:t>ci</w:t>
      </w:r>
      <w:r w:rsidRPr="00562699">
        <w:rPr>
          <w:lang w:val="fr-FR"/>
        </w:rPr>
        <w:t xml:space="preserve"> devait devenir un </w:t>
      </w:r>
      <w:r w:rsidR="009901D6" w:rsidRPr="00562699">
        <w:rPr>
          <w:lang w:val="fr-FR"/>
        </w:rPr>
        <w:t xml:space="preserve">mécanisme </w:t>
      </w:r>
      <w:r w:rsidRPr="00562699">
        <w:rPr>
          <w:lang w:val="fr-FR"/>
        </w:rPr>
        <w:t>plus permane</w:t>
      </w:r>
      <w:r w:rsidR="00B85EF1" w:rsidRPr="00562699">
        <w:rPr>
          <w:lang w:val="fr-FR"/>
        </w:rPr>
        <w:t>nt</w:t>
      </w:r>
      <w:r w:rsidR="00B85EF1">
        <w:rPr>
          <w:lang w:val="fr-FR"/>
        </w:rPr>
        <w:t xml:space="preserve">.  </w:t>
      </w:r>
      <w:r w:rsidR="00B85EF1" w:rsidRPr="00562699">
        <w:rPr>
          <w:lang w:val="fr-FR"/>
        </w:rPr>
        <w:t>Un</w:t>
      </w:r>
      <w:r w:rsidRPr="00562699">
        <w:rPr>
          <w:lang w:val="fr-FR"/>
        </w:rPr>
        <w:t xml:space="preserve">e troisième administration attendait avec intérêt que davantage de ses </w:t>
      </w:r>
      <w:r w:rsidR="009901D6" w:rsidRPr="00562699">
        <w:rPr>
          <w:lang w:val="fr-FR"/>
        </w:rPr>
        <w:t>o</w:t>
      </w:r>
      <w:r w:rsidRPr="00562699">
        <w:rPr>
          <w:lang w:val="fr-FR"/>
        </w:rPr>
        <w:t xml:space="preserve">ffices récepteurs compétents participent au projet pilote </w:t>
      </w:r>
      <w:r w:rsidR="009901D6" w:rsidRPr="00562699">
        <w:rPr>
          <w:lang w:val="fr-FR"/>
        </w:rPr>
        <w:t>de</w:t>
      </w:r>
      <w:r w:rsidRPr="00562699">
        <w:rPr>
          <w:lang w:val="fr-FR"/>
        </w:rPr>
        <w:t xml:space="preserve"> l</w:t>
      </w:r>
      <w:r w:rsidR="003C64A0">
        <w:rPr>
          <w:lang w:val="fr-FR"/>
        </w:rPr>
        <w:t>’</w:t>
      </w:r>
      <w:r w:rsidRPr="00562699">
        <w:rPr>
          <w:lang w:val="fr-FR"/>
        </w:rPr>
        <w:t xml:space="preserve">Office européen des brevets avant de prendre une décision </w:t>
      </w:r>
      <w:r w:rsidR="009901D6" w:rsidRPr="00562699">
        <w:rPr>
          <w:lang w:val="fr-FR"/>
        </w:rPr>
        <w:t>en la matière.</w:t>
      </w:r>
    </w:p>
    <w:p w14:paraId="01F51C5E" w14:textId="370504E8" w:rsidR="009246D2" w:rsidRPr="00562699" w:rsidRDefault="00CB23D2" w:rsidP="00141A5E">
      <w:pPr>
        <w:pStyle w:val="ONUMFS"/>
        <w:rPr>
          <w:lang w:val="fr-FR"/>
        </w:rPr>
      </w:pPr>
      <w:r w:rsidRPr="00562699">
        <w:rPr>
          <w:lang w:val="fr-FR"/>
        </w:rPr>
        <w:t>Une administration qui a</w:t>
      </w:r>
      <w:r w:rsidR="009F7F9C" w:rsidRPr="00562699">
        <w:rPr>
          <w:lang w:val="fr-FR"/>
        </w:rPr>
        <w:t>vait</w:t>
      </w:r>
      <w:r w:rsidRPr="00562699">
        <w:rPr>
          <w:lang w:val="fr-FR"/>
        </w:rPr>
        <w:t xml:space="preserve"> participé au projet pilote en sa qualité d</w:t>
      </w:r>
      <w:r w:rsidR="003C64A0">
        <w:rPr>
          <w:lang w:val="fr-FR"/>
        </w:rPr>
        <w:t>’</w:t>
      </w:r>
      <w:r w:rsidR="009901D6" w:rsidRPr="00562699">
        <w:rPr>
          <w:lang w:val="fr-FR"/>
        </w:rPr>
        <w:t>o</w:t>
      </w:r>
      <w:r w:rsidRPr="00562699">
        <w:rPr>
          <w:lang w:val="fr-FR"/>
        </w:rPr>
        <w:t>ffice récepteur a fait part de sa volonté d</w:t>
      </w:r>
      <w:r w:rsidR="003C64A0">
        <w:rPr>
          <w:lang w:val="fr-FR"/>
        </w:rPr>
        <w:t>’</w:t>
      </w:r>
      <w:r w:rsidRPr="00562699">
        <w:rPr>
          <w:lang w:val="fr-FR"/>
        </w:rPr>
        <w:t xml:space="preserve">étendre le projet pilote aux taxes en rapport avec les systèmes de Madrid et de </w:t>
      </w:r>
      <w:r w:rsidR="003C64A0">
        <w:rPr>
          <w:lang w:val="fr-FR"/>
        </w:rPr>
        <w:t>La Ha</w:t>
      </w:r>
      <w:r w:rsidR="00B85EF1">
        <w:rPr>
          <w:lang w:val="fr-FR"/>
        </w:rPr>
        <w:t xml:space="preserve">ye.  </w:t>
      </w:r>
      <w:r w:rsidR="00B85EF1" w:rsidRPr="00562699">
        <w:rPr>
          <w:lang w:val="fr-FR"/>
        </w:rPr>
        <w:t>Un</w:t>
      </w:r>
      <w:r w:rsidRPr="00562699">
        <w:rPr>
          <w:lang w:val="fr-FR"/>
        </w:rPr>
        <w:t>e autre administration a dit espérer participer au projet pilote en sa qualité d</w:t>
      </w:r>
      <w:r w:rsidR="003C64A0">
        <w:rPr>
          <w:lang w:val="fr-FR"/>
        </w:rPr>
        <w:t>’</w:t>
      </w:r>
      <w:r w:rsidRPr="00562699">
        <w:rPr>
          <w:lang w:val="fr-FR"/>
        </w:rPr>
        <w:t xml:space="preserve">administration chargée de la recherche internationale, mais </w:t>
      </w:r>
      <w:r w:rsidR="00494680" w:rsidRPr="00562699">
        <w:rPr>
          <w:lang w:val="fr-FR"/>
        </w:rPr>
        <w:t>a indiqué qu</w:t>
      </w:r>
      <w:r w:rsidR="003C64A0">
        <w:rPr>
          <w:lang w:val="fr-FR"/>
        </w:rPr>
        <w:t>’</w:t>
      </w:r>
      <w:r w:rsidR="00494680" w:rsidRPr="00562699">
        <w:rPr>
          <w:lang w:val="fr-FR"/>
        </w:rPr>
        <w:t xml:space="preserve">elle </w:t>
      </w:r>
      <w:r w:rsidRPr="00562699">
        <w:rPr>
          <w:lang w:val="fr-FR"/>
        </w:rPr>
        <w:t xml:space="preserve">aurait des difficultés </w:t>
      </w:r>
      <w:r w:rsidR="009F7F9C" w:rsidRPr="00562699">
        <w:rPr>
          <w:lang w:val="fr-FR"/>
        </w:rPr>
        <w:t xml:space="preserve">à respecter </w:t>
      </w:r>
      <w:r w:rsidRPr="00562699">
        <w:rPr>
          <w:lang w:val="fr-FR"/>
        </w:rPr>
        <w:t>les exigences énoncées au paragraphe</w:t>
      </w:r>
      <w:r w:rsidR="004E4E83" w:rsidRPr="00562699">
        <w:rPr>
          <w:lang w:val="fr-FR"/>
        </w:rPr>
        <w:t> </w:t>
      </w:r>
      <w:r w:rsidRPr="00562699">
        <w:rPr>
          <w:lang w:val="fr-FR"/>
        </w:rPr>
        <w:t>29 du document</w:t>
      </w:r>
      <w:r w:rsidR="00170514" w:rsidRPr="00562699">
        <w:rPr>
          <w:lang w:val="fr-FR"/>
        </w:rPr>
        <w:t xml:space="preserve">, selon lesquelles </w:t>
      </w:r>
      <w:r w:rsidRPr="00562699">
        <w:rPr>
          <w:lang w:val="fr-FR"/>
        </w:rPr>
        <w:t xml:space="preserve">un </w:t>
      </w:r>
      <w:r w:rsidR="00494680" w:rsidRPr="00562699">
        <w:rPr>
          <w:lang w:val="fr-FR"/>
        </w:rPr>
        <w:t>o</w:t>
      </w:r>
      <w:r w:rsidRPr="00562699">
        <w:rPr>
          <w:lang w:val="fr-FR"/>
        </w:rPr>
        <w:t xml:space="preserve">ffice </w:t>
      </w:r>
      <w:r w:rsidR="0050605C" w:rsidRPr="00562699">
        <w:rPr>
          <w:lang w:val="fr-FR"/>
        </w:rPr>
        <w:t xml:space="preserve">devait </w:t>
      </w:r>
      <w:r w:rsidR="00170514" w:rsidRPr="00562699">
        <w:rPr>
          <w:lang w:val="fr-FR"/>
        </w:rPr>
        <w:t xml:space="preserve">verser </w:t>
      </w:r>
      <w:r w:rsidR="0050605C" w:rsidRPr="00562699">
        <w:rPr>
          <w:lang w:val="fr-FR"/>
        </w:rPr>
        <w:t>et percevoir l</w:t>
      </w:r>
      <w:r w:rsidRPr="00562699">
        <w:rPr>
          <w:lang w:val="fr-FR"/>
        </w:rPr>
        <w:t>es taxes liées à un système de propriété intellectuelle administré par l</w:t>
      </w:r>
      <w:r w:rsidR="003C64A0">
        <w:rPr>
          <w:lang w:val="fr-FR"/>
        </w:rPr>
        <w:t>’</w:t>
      </w:r>
      <w:r w:rsidRPr="00562699">
        <w:rPr>
          <w:lang w:val="fr-FR"/>
        </w:rPr>
        <w:t xml:space="preserve">OMPI </w:t>
      </w:r>
      <w:r w:rsidR="0050605C" w:rsidRPr="00562699">
        <w:rPr>
          <w:lang w:val="fr-FR"/>
        </w:rPr>
        <w:t>par l</w:t>
      </w:r>
      <w:r w:rsidR="003C64A0">
        <w:rPr>
          <w:lang w:val="fr-FR"/>
        </w:rPr>
        <w:t>’</w:t>
      </w:r>
      <w:r w:rsidR="0050605C" w:rsidRPr="00562699">
        <w:rPr>
          <w:lang w:val="fr-FR"/>
        </w:rPr>
        <w:t>intermédiaire du</w:t>
      </w:r>
      <w:r w:rsidRPr="00562699">
        <w:rPr>
          <w:lang w:val="fr-FR"/>
        </w:rPr>
        <w:t xml:space="preserve"> compte.</w:t>
      </w:r>
    </w:p>
    <w:p w14:paraId="334DE90A" w14:textId="1AA30F32" w:rsidR="009246D2" w:rsidRPr="00562699" w:rsidRDefault="00CB23D2" w:rsidP="00141A5E">
      <w:pPr>
        <w:pStyle w:val="ONUMFS"/>
        <w:rPr>
          <w:lang w:val="fr-FR"/>
        </w:rPr>
      </w:pPr>
      <w:r w:rsidRPr="00562699">
        <w:rPr>
          <w:lang w:val="fr-FR"/>
        </w:rPr>
        <w:t>Une administration a indiqué que toute modification du règlement d</w:t>
      </w:r>
      <w:r w:rsidR="003C64A0">
        <w:rPr>
          <w:lang w:val="fr-FR"/>
        </w:rPr>
        <w:t>’</w:t>
      </w:r>
      <w:r w:rsidRPr="00562699">
        <w:rPr>
          <w:lang w:val="fr-FR"/>
        </w:rPr>
        <w:t>exécution</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devrait permettre aux </w:t>
      </w:r>
      <w:r w:rsidR="00170514" w:rsidRPr="00562699">
        <w:rPr>
          <w:lang w:val="fr-FR"/>
        </w:rPr>
        <w:t>o</w:t>
      </w:r>
      <w:r w:rsidRPr="00562699">
        <w:rPr>
          <w:lang w:val="fr-FR"/>
        </w:rPr>
        <w:t>ffices récepteurs et aux administrations chargées de la recherche internationale de décider s</w:t>
      </w:r>
      <w:r w:rsidR="003C64A0">
        <w:rPr>
          <w:lang w:val="fr-FR"/>
        </w:rPr>
        <w:t>’</w:t>
      </w:r>
      <w:r w:rsidRPr="00562699">
        <w:rPr>
          <w:lang w:val="fr-FR"/>
        </w:rPr>
        <w:t xml:space="preserve">il y a lieu de participer, étant entendu que </w:t>
      </w:r>
      <w:r w:rsidR="001C7C1E" w:rsidRPr="00562699">
        <w:rPr>
          <w:lang w:val="fr-FR"/>
        </w:rPr>
        <w:t xml:space="preserve">la réglementation financière </w:t>
      </w:r>
      <w:r w:rsidR="00170514" w:rsidRPr="00562699">
        <w:rPr>
          <w:lang w:val="fr-FR"/>
        </w:rPr>
        <w:t>de</w:t>
      </w:r>
      <w:r w:rsidRPr="00562699">
        <w:rPr>
          <w:lang w:val="fr-FR"/>
        </w:rPr>
        <w:t xml:space="preserve"> certains pays pourrait rendre difficile </w:t>
      </w:r>
      <w:r w:rsidR="00170514" w:rsidRPr="00562699">
        <w:rPr>
          <w:lang w:val="fr-FR"/>
        </w:rPr>
        <w:t xml:space="preserve">la participation de </w:t>
      </w:r>
      <w:r w:rsidRPr="00562699">
        <w:rPr>
          <w:lang w:val="fr-FR"/>
        </w:rPr>
        <w:t xml:space="preserve">certains </w:t>
      </w:r>
      <w:r w:rsidR="00170514" w:rsidRPr="00562699">
        <w:rPr>
          <w:lang w:val="fr-FR"/>
        </w:rPr>
        <w:t>o</w:t>
      </w:r>
      <w:r w:rsidRPr="00562699">
        <w:rPr>
          <w:lang w:val="fr-FR"/>
        </w:rPr>
        <w:t xml:space="preserve">ffices </w:t>
      </w:r>
      <w:r w:rsidR="00170514" w:rsidRPr="00562699">
        <w:rPr>
          <w:lang w:val="fr-FR"/>
        </w:rPr>
        <w:t xml:space="preserve">à </w:t>
      </w:r>
      <w:r w:rsidRPr="00562699">
        <w:rPr>
          <w:lang w:val="fr-FR"/>
        </w:rPr>
        <w:t>la mise en place du mécanisme de compensation.</w:t>
      </w:r>
    </w:p>
    <w:p w14:paraId="4EF1E286" w14:textId="5B8D020F" w:rsidR="009246D2" w:rsidRPr="00562699" w:rsidRDefault="00CB23D2" w:rsidP="00141A5E">
      <w:pPr>
        <w:pStyle w:val="ONUMFS"/>
        <w:rPr>
          <w:lang w:val="fr-FR"/>
        </w:rPr>
      </w:pPr>
      <w:r w:rsidRPr="00562699">
        <w:rPr>
          <w:lang w:val="fr-FR"/>
        </w:rPr>
        <w:t xml:space="preserve">En réponse à </w:t>
      </w:r>
      <w:r w:rsidR="00494680" w:rsidRPr="00562699">
        <w:rPr>
          <w:lang w:val="fr-FR"/>
        </w:rPr>
        <w:t>la</w:t>
      </w:r>
      <w:r w:rsidRPr="00562699">
        <w:rPr>
          <w:lang w:val="fr-FR"/>
        </w:rPr>
        <w:t xml:space="preserve"> question d</w:t>
      </w:r>
      <w:r w:rsidR="003C64A0">
        <w:rPr>
          <w:lang w:val="fr-FR"/>
        </w:rPr>
        <w:t>’</w:t>
      </w:r>
      <w:r w:rsidR="00B17626" w:rsidRPr="00562699">
        <w:rPr>
          <w:lang w:val="fr-FR"/>
        </w:rPr>
        <w:t>une administration, le Bureau i</w:t>
      </w:r>
      <w:r w:rsidRPr="00562699">
        <w:rPr>
          <w:lang w:val="fr-FR"/>
        </w:rPr>
        <w:t>nternational a confirmé son intention de présenter une proposition de modification du règlement d</w:t>
      </w:r>
      <w:r w:rsidR="003C64A0">
        <w:rPr>
          <w:lang w:val="fr-FR"/>
        </w:rPr>
        <w:t>’</w:t>
      </w:r>
      <w:r w:rsidRPr="00562699">
        <w:rPr>
          <w:lang w:val="fr-FR"/>
        </w:rPr>
        <w:t>exécution et de</w:t>
      </w:r>
      <w:r w:rsidR="00B17626" w:rsidRPr="00562699">
        <w:rPr>
          <w:lang w:val="fr-FR"/>
        </w:rPr>
        <w:t xml:space="preserve">s </w:t>
      </w:r>
      <w:r w:rsidR="001C7C1E" w:rsidRPr="00562699">
        <w:rPr>
          <w:lang w:val="fr-FR"/>
        </w:rPr>
        <w:t>i</w:t>
      </w:r>
      <w:r w:rsidR="00B17626" w:rsidRPr="00562699">
        <w:rPr>
          <w:lang w:val="fr-FR"/>
        </w:rPr>
        <w:t>nstructions</w:t>
      </w:r>
      <w:r w:rsidRPr="00562699">
        <w:rPr>
          <w:lang w:val="fr-FR"/>
        </w:rPr>
        <w:t xml:space="preserve"> administratives</w:t>
      </w:r>
      <w:r w:rsidR="003C64A0" w:rsidRPr="00562699">
        <w:rPr>
          <w:lang w:val="fr-FR"/>
        </w:rPr>
        <w:t xml:space="preserve"> du</w:t>
      </w:r>
      <w:r w:rsidR="003C64A0">
        <w:rPr>
          <w:lang w:val="fr-FR"/>
        </w:rPr>
        <w:t> </w:t>
      </w:r>
      <w:r w:rsidR="003C64A0" w:rsidRPr="00562699">
        <w:rPr>
          <w:lang w:val="fr-FR"/>
        </w:rPr>
        <w:t>PCT</w:t>
      </w:r>
      <w:r w:rsidR="001C7C1E" w:rsidRPr="00562699">
        <w:rPr>
          <w:lang w:val="fr-FR"/>
        </w:rPr>
        <w:t xml:space="preserve"> concernant</w:t>
      </w:r>
      <w:r w:rsidRPr="00562699">
        <w:rPr>
          <w:lang w:val="fr-FR"/>
        </w:rPr>
        <w:t xml:space="preserve"> la compensation des taxes</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à la douz</w:t>
      </w:r>
      <w:r w:rsidR="003C64A0">
        <w:rPr>
          <w:lang w:val="fr-FR"/>
        </w:rPr>
        <w:t>ième session</w:t>
      </w:r>
      <w:r w:rsidRPr="00562699">
        <w:rPr>
          <w:lang w:val="fr-FR"/>
        </w:rPr>
        <w:t xml:space="preserve"> du Groupe de travail</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1C7C1E" w:rsidRPr="00562699">
        <w:rPr>
          <w:lang w:val="fr-FR"/>
        </w:rPr>
        <w:t>prévue pour</w:t>
      </w:r>
      <w:r w:rsidRPr="00562699">
        <w:rPr>
          <w:lang w:val="fr-FR"/>
        </w:rPr>
        <w:t xml:space="preserve"> juin</w:t>
      </w:r>
      <w:r w:rsidR="004E4E83" w:rsidRPr="00562699">
        <w:rPr>
          <w:lang w:val="fr-FR"/>
        </w:rPr>
        <w:t> </w:t>
      </w:r>
      <w:r w:rsidRPr="00562699">
        <w:rPr>
          <w:lang w:val="fr-FR"/>
        </w:rPr>
        <w:t>2019.</w:t>
      </w:r>
    </w:p>
    <w:p w14:paraId="308C20DF" w14:textId="77777777" w:rsidR="009246D2" w:rsidRPr="00562699" w:rsidRDefault="00CB23D2" w:rsidP="00141A5E">
      <w:pPr>
        <w:pStyle w:val="ONUMFS"/>
        <w:ind w:left="567"/>
        <w:rPr>
          <w:lang w:val="fr-FR"/>
        </w:rPr>
      </w:pPr>
      <w:r w:rsidRPr="00562699">
        <w:rPr>
          <w:lang w:val="fr-FR"/>
        </w:rPr>
        <w:t>La réunion a pris note du contenu du document PCT/MIA/26/3.</w:t>
      </w:r>
    </w:p>
    <w:p w14:paraId="0AD5DDF6" w14:textId="18CB5519" w:rsidR="009246D2" w:rsidRPr="00562699" w:rsidRDefault="00CB23D2" w:rsidP="00CB23D2">
      <w:pPr>
        <w:pStyle w:val="Heading1"/>
        <w:rPr>
          <w:lang w:val="fr-FR"/>
        </w:rPr>
      </w:pPr>
      <w:r w:rsidRPr="00562699">
        <w:rPr>
          <w:lang w:val="fr-FR"/>
        </w:rPr>
        <w:t>Point</w:t>
      </w:r>
      <w:r w:rsidR="004E4E83" w:rsidRPr="00562699">
        <w:rPr>
          <w:lang w:val="fr-FR"/>
        </w:rPr>
        <w:t> </w:t>
      </w:r>
      <w:r w:rsidRPr="00562699">
        <w:rPr>
          <w:lang w:val="fr-FR"/>
        </w:rPr>
        <w:t>13</w:t>
      </w:r>
      <w:r w:rsidR="00F60F39" w:rsidRPr="00562699">
        <w:rPr>
          <w:lang w:val="fr-FR"/>
        </w:rPr>
        <w:t xml:space="preserve"> de l</w:t>
      </w:r>
      <w:r w:rsidR="003C64A0">
        <w:rPr>
          <w:lang w:val="fr-FR"/>
        </w:rPr>
        <w:t>’</w:t>
      </w:r>
      <w:r w:rsidR="00F60F39" w:rsidRPr="00562699">
        <w:rPr>
          <w:lang w:val="fr-FR"/>
        </w:rPr>
        <w:t>ordre du jour</w:t>
      </w:r>
      <w:r w:rsidR="003C64A0">
        <w:rPr>
          <w:lang w:val="fr-FR"/>
        </w:rPr>
        <w:t> :</w:t>
      </w:r>
      <w:r w:rsidRPr="00562699">
        <w:rPr>
          <w:lang w:val="fr-FR"/>
        </w:rPr>
        <w:t xml:space="preserve"> utilisation des symboles du système de </w:t>
      </w:r>
      <w:r w:rsidR="009411DD" w:rsidRPr="00562699">
        <w:rPr>
          <w:lang w:val="fr-FR"/>
        </w:rPr>
        <w:t>classement</w:t>
      </w:r>
      <w:r w:rsidR="00F60F39" w:rsidRPr="00562699">
        <w:rPr>
          <w:lang w:val="fr-FR"/>
        </w:rPr>
        <w:t xml:space="preserve"> </w:t>
      </w:r>
      <w:r w:rsidRPr="00562699">
        <w:rPr>
          <w:lang w:val="fr-FR"/>
        </w:rPr>
        <w:t>national dans les demandes internationales</w:t>
      </w:r>
    </w:p>
    <w:p w14:paraId="1A7E8423" w14:textId="77777777" w:rsidR="00141A5E" w:rsidRPr="00562699" w:rsidRDefault="00141A5E" w:rsidP="00141A5E">
      <w:pPr>
        <w:rPr>
          <w:lang w:val="fr-FR"/>
        </w:rPr>
      </w:pPr>
    </w:p>
    <w:p w14:paraId="49B0DCC4" w14:textId="77777777" w:rsidR="009246D2" w:rsidRPr="00562699" w:rsidRDefault="00CB23D2" w:rsidP="00141A5E">
      <w:pPr>
        <w:pStyle w:val="ONUMFS"/>
        <w:rPr>
          <w:lang w:val="fr-FR"/>
        </w:rPr>
      </w:pPr>
      <w:r w:rsidRPr="00562699">
        <w:rPr>
          <w:lang w:val="fr-FR"/>
        </w:rPr>
        <w:t>Les délibérations ont eu lieu sur la base du document PCT/MIA/26/10.</w:t>
      </w:r>
    </w:p>
    <w:p w14:paraId="21122019" w14:textId="7DB96312" w:rsidR="009246D2" w:rsidRPr="00562699" w:rsidRDefault="00CB23D2" w:rsidP="00141A5E">
      <w:pPr>
        <w:pStyle w:val="ONUMFS"/>
        <w:rPr>
          <w:lang w:val="fr-FR"/>
        </w:rPr>
      </w:pPr>
      <w:r w:rsidRPr="00562699">
        <w:rPr>
          <w:lang w:val="fr-FR"/>
        </w:rPr>
        <w:t>Les administrations ont pris note de l</w:t>
      </w:r>
      <w:r w:rsidR="003C64A0">
        <w:rPr>
          <w:lang w:val="fr-FR"/>
        </w:rPr>
        <w:t>’</w:t>
      </w:r>
      <w:r w:rsidRPr="00562699">
        <w:rPr>
          <w:lang w:val="fr-FR"/>
        </w:rPr>
        <w:t xml:space="preserve">importance des classifications telles que la </w:t>
      </w:r>
      <w:r w:rsidR="001C7C1E" w:rsidRPr="00562699">
        <w:rPr>
          <w:lang w:val="fr-FR"/>
        </w:rPr>
        <w:t>c</w:t>
      </w:r>
      <w:r w:rsidRPr="00562699">
        <w:rPr>
          <w:lang w:val="fr-FR"/>
        </w:rPr>
        <w:t xml:space="preserve">lassification coopérative des brevets (CPC), en particulier dans les domaines de la technologie </w:t>
      </w:r>
      <w:r w:rsidR="00B17626" w:rsidRPr="00562699">
        <w:rPr>
          <w:lang w:val="fr-FR"/>
        </w:rPr>
        <w:lastRenderedPageBreak/>
        <w:t>qui connaiss</w:t>
      </w:r>
      <w:r w:rsidR="001C7C1E" w:rsidRPr="00562699">
        <w:rPr>
          <w:lang w:val="fr-FR"/>
        </w:rPr>
        <w:t>ai</w:t>
      </w:r>
      <w:r w:rsidR="00B17626" w:rsidRPr="00562699">
        <w:rPr>
          <w:lang w:val="fr-FR"/>
        </w:rPr>
        <w:t xml:space="preserve">ent un </w:t>
      </w:r>
      <w:r w:rsidRPr="00562699">
        <w:rPr>
          <w:lang w:val="fr-FR"/>
        </w:rPr>
        <w:t>développement rapi</w:t>
      </w:r>
      <w:r w:rsidR="00B85EF1" w:rsidRPr="00562699">
        <w:rPr>
          <w:lang w:val="fr-FR"/>
        </w:rPr>
        <w:t>de</w:t>
      </w:r>
      <w:r w:rsidR="00B85EF1">
        <w:rPr>
          <w:lang w:val="fr-FR"/>
        </w:rPr>
        <w:t xml:space="preserve">.  </w:t>
      </w:r>
      <w:r w:rsidR="00B85EF1" w:rsidRPr="00562699">
        <w:rPr>
          <w:lang w:val="fr-FR"/>
        </w:rPr>
        <w:t>Pl</w:t>
      </w:r>
      <w:r w:rsidRPr="00562699">
        <w:rPr>
          <w:lang w:val="fr-FR"/>
        </w:rPr>
        <w:t>usieurs administrations ont indiqué qu</w:t>
      </w:r>
      <w:r w:rsidR="003C64A0">
        <w:rPr>
          <w:lang w:val="fr-FR"/>
        </w:rPr>
        <w:t>’</w:t>
      </w:r>
      <w:r w:rsidRPr="00562699">
        <w:rPr>
          <w:lang w:val="fr-FR"/>
        </w:rPr>
        <w:t>elles avaient l</w:t>
      </w:r>
      <w:r w:rsidR="003C64A0">
        <w:rPr>
          <w:lang w:val="fr-FR"/>
        </w:rPr>
        <w:t>’</w:t>
      </w:r>
      <w:r w:rsidRPr="00562699">
        <w:rPr>
          <w:lang w:val="fr-FR"/>
        </w:rPr>
        <w:t xml:space="preserve">intention de </w:t>
      </w:r>
      <w:r w:rsidR="00F7448C" w:rsidRPr="00562699">
        <w:rPr>
          <w:lang w:val="fr-FR"/>
        </w:rPr>
        <w:t xml:space="preserve">communiquer </w:t>
      </w:r>
      <w:r w:rsidR="00B17626" w:rsidRPr="00562699">
        <w:rPr>
          <w:lang w:val="fr-FR"/>
        </w:rPr>
        <w:t xml:space="preserve">à terme </w:t>
      </w:r>
      <w:r w:rsidR="00F7448C" w:rsidRPr="00562699">
        <w:rPr>
          <w:lang w:val="fr-FR"/>
        </w:rPr>
        <w:t>l</w:t>
      </w:r>
      <w:r w:rsidRPr="00562699">
        <w:rPr>
          <w:lang w:val="fr-FR"/>
        </w:rPr>
        <w:t>es symboles de</w:t>
      </w:r>
      <w:r w:rsidR="003C64A0" w:rsidRPr="00562699">
        <w:rPr>
          <w:lang w:val="fr-FR"/>
        </w:rPr>
        <w:t xml:space="preserve"> la</w:t>
      </w:r>
      <w:r w:rsidR="003C64A0">
        <w:rPr>
          <w:lang w:val="fr-FR"/>
        </w:rPr>
        <w:t> </w:t>
      </w:r>
      <w:r w:rsidR="003C64A0" w:rsidRPr="00562699">
        <w:rPr>
          <w:lang w:val="fr-FR"/>
        </w:rPr>
        <w:t>CPC</w:t>
      </w:r>
      <w:r w:rsidRPr="00562699">
        <w:rPr>
          <w:lang w:val="fr-FR"/>
        </w:rPr>
        <w:t xml:space="preserve"> pour les demandes internationales, mais qu</w:t>
      </w:r>
      <w:r w:rsidR="003C64A0">
        <w:rPr>
          <w:lang w:val="fr-FR"/>
        </w:rPr>
        <w:t>’</w:t>
      </w:r>
      <w:r w:rsidRPr="00562699">
        <w:rPr>
          <w:lang w:val="fr-FR"/>
        </w:rPr>
        <w:t xml:space="preserve">elles attendaient </w:t>
      </w:r>
      <w:r w:rsidR="00494680" w:rsidRPr="00562699">
        <w:rPr>
          <w:lang w:val="fr-FR"/>
        </w:rPr>
        <w:t xml:space="preserve">toujours </w:t>
      </w:r>
      <w:r w:rsidR="00B17626" w:rsidRPr="00562699">
        <w:rPr>
          <w:lang w:val="fr-FR"/>
        </w:rPr>
        <w:t>de disposer d</w:t>
      </w:r>
      <w:r w:rsidR="003C64A0">
        <w:rPr>
          <w:lang w:val="fr-FR"/>
        </w:rPr>
        <w:t>’</w:t>
      </w:r>
      <w:r w:rsidR="00B17626" w:rsidRPr="00562699">
        <w:rPr>
          <w:lang w:val="fr-FR"/>
        </w:rPr>
        <w:t xml:space="preserve">une </w:t>
      </w:r>
      <w:r w:rsidRPr="00562699">
        <w:rPr>
          <w:lang w:val="fr-FR"/>
        </w:rPr>
        <w:t xml:space="preserve">formation et </w:t>
      </w:r>
      <w:r w:rsidR="00B17626" w:rsidRPr="00562699">
        <w:rPr>
          <w:lang w:val="fr-FR"/>
        </w:rPr>
        <w:t>d</w:t>
      </w:r>
      <w:r w:rsidR="003C64A0">
        <w:rPr>
          <w:lang w:val="fr-FR"/>
        </w:rPr>
        <w:t>’</w:t>
      </w:r>
      <w:r w:rsidRPr="00562699">
        <w:rPr>
          <w:lang w:val="fr-FR"/>
        </w:rPr>
        <w:t>une expérience</w:t>
      </w:r>
      <w:r w:rsidR="00B17626" w:rsidRPr="00562699">
        <w:rPr>
          <w:lang w:val="fr-FR"/>
        </w:rPr>
        <w:t xml:space="preserve"> suffisant</w:t>
      </w:r>
      <w:r w:rsidR="00B85EF1" w:rsidRPr="00562699">
        <w:rPr>
          <w:lang w:val="fr-FR"/>
        </w:rPr>
        <w:t>es</w:t>
      </w:r>
      <w:r w:rsidR="00B85EF1">
        <w:rPr>
          <w:lang w:val="fr-FR"/>
        </w:rPr>
        <w:t xml:space="preserve">.  </w:t>
      </w:r>
      <w:r w:rsidR="00B85EF1" w:rsidRPr="00562699">
        <w:rPr>
          <w:lang w:val="fr-FR"/>
        </w:rPr>
        <w:t>Un</w:t>
      </w:r>
      <w:r w:rsidRPr="00562699">
        <w:rPr>
          <w:lang w:val="fr-FR"/>
        </w:rPr>
        <w:t>e administration a suggéré que</w:t>
      </w:r>
      <w:r w:rsidR="003C64A0" w:rsidRPr="00562699">
        <w:rPr>
          <w:lang w:val="fr-FR"/>
        </w:rPr>
        <w:t xml:space="preserve"> la</w:t>
      </w:r>
      <w:r w:rsidR="003C64A0">
        <w:rPr>
          <w:lang w:val="fr-FR"/>
        </w:rPr>
        <w:t> </w:t>
      </w:r>
      <w:r w:rsidR="003C64A0" w:rsidRPr="00562699">
        <w:rPr>
          <w:lang w:val="fr-FR"/>
        </w:rPr>
        <w:t>CPC</w:t>
      </w:r>
      <w:r w:rsidRPr="00562699">
        <w:rPr>
          <w:lang w:val="fr-FR"/>
        </w:rPr>
        <w:t xml:space="preserve"> </w:t>
      </w:r>
      <w:r w:rsidR="00B17626" w:rsidRPr="00562699">
        <w:rPr>
          <w:lang w:val="fr-FR"/>
        </w:rPr>
        <w:t>dev</w:t>
      </w:r>
      <w:r w:rsidR="00494680" w:rsidRPr="00562699">
        <w:rPr>
          <w:lang w:val="fr-FR"/>
        </w:rPr>
        <w:t>r</w:t>
      </w:r>
      <w:r w:rsidR="00B17626" w:rsidRPr="00562699">
        <w:rPr>
          <w:lang w:val="fr-FR"/>
        </w:rPr>
        <w:t>ait</w:t>
      </w:r>
      <w:r w:rsidRPr="00562699">
        <w:rPr>
          <w:lang w:val="fr-FR"/>
        </w:rPr>
        <w:t xml:space="preserve"> être traduite au moins </w:t>
      </w:r>
      <w:r w:rsidR="00B17626" w:rsidRPr="00562699">
        <w:rPr>
          <w:lang w:val="fr-FR"/>
        </w:rPr>
        <w:t xml:space="preserve">dans </w:t>
      </w:r>
      <w:r w:rsidRPr="00562699">
        <w:rPr>
          <w:lang w:val="fr-FR"/>
        </w:rPr>
        <w:t xml:space="preserve">les </w:t>
      </w:r>
      <w:r w:rsidR="00953186">
        <w:rPr>
          <w:lang w:val="fr-FR"/>
        </w:rPr>
        <w:t>10</w:t>
      </w:r>
      <w:r w:rsidR="00B17626" w:rsidRPr="00562699">
        <w:rPr>
          <w:lang w:val="fr-FR"/>
        </w:rPr>
        <w:t> </w:t>
      </w:r>
      <w:r w:rsidRPr="00562699">
        <w:rPr>
          <w:lang w:val="fr-FR"/>
        </w:rPr>
        <w:t>langues de publication</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F7448C" w:rsidRPr="00562699">
        <w:rPr>
          <w:lang w:val="fr-FR"/>
        </w:rPr>
        <w:t xml:space="preserve">pour </w:t>
      </w:r>
      <w:r w:rsidRPr="00562699">
        <w:rPr>
          <w:lang w:val="fr-FR"/>
        </w:rPr>
        <w:t>être acceptée et utilisée.</w:t>
      </w:r>
    </w:p>
    <w:p w14:paraId="4F663134" w14:textId="05B2B7BC" w:rsidR="009246D2" w:rsidRPr="00562699" w:rsidRDefault="00CB23D2" w:rsidP="00141A5E">
      <w:pPr>
        <w:pStyle w:val="ONUMFS"/>
        <w:rPr>
          <w:lang w:val="fr-FR"/>
        </w:rPr>
      </w:pPr>
      <w:r w:rsidRPr="00562699">
        <w:rPr>
          <w:lang w:val="fr-FR"/>
        </w:rPr>
        <w:t>L</w:t>
      </w:r>
      <w:r w:rsidR="003C64A0">
        <w:rPr>
          <w:lang w:val="fr-FR"/>
        </w:rPr>
        <w:t>’</w:t>
      </w:r>
      <w:r w:rsidRPr="00562699">
        <w:rPr>
          <w:lang w:val="fr-FR"/>
        </w:rPr>
        <w:t xml:space="preserve">option </w:t>
      </w:r>
      <w:r w:rsidR="00B17626" w:rsidRPr="00562699">
        <w:rPr>
          <w:lang w:val="fr-FR"/>
        </w:rPr>
        <w:t>privilégiée consistait</w:t>
      </w:r>
      <w:r w:rsidRPr="00562699">
        <w:rPr>
          <w:lang w:val="fr-FR"/>
        </w:rPr>
        <w:t xml:space="preserve"> </w:t>
      </w:r>
      <w:r w:rsidR="00B17626" w:rsidRPr="00562699">
        <w:rPr>
          <w:lang w:val="fr-FR"/>
        </w:rPr>
        <w:t>à</w:t>
      </w:r>
      <w:r w:rsidRPr="00562699">
        <w:rPr>
          <w:lang w:val="fr-FR"/>
        </w:rPr>
        <w:t xml:space="preserve"> </w:t>
      </w:r>
      <w:r w:rsidR="008E7B05" w:rsidRPr="00562699">
        <w:rPr>
          <w:lang w:val="fr-FR"/>
        </w:rPr>
        <w:t>communiquer ces</w:t>
      </w:r>
      <w:r w:rsidRPr="00562699">
        <w:rPr>
          <w:lang w:val="fr-FR"/>
        </w:rPr>
        <w:t xml:space="preserve"> symboles dans le cadre d</w:t>
      </w:r>
      <w:r w:rsidR="003C64A0">
        <w:rPr>
          <w:lang w:val="fr-FR"/>
        </w:rPr>
        <w:t>’</w:t>
      </w:r>
      <w:r w:rsidRPr="00562699">
        <w:rPr>
          <w:lang w:val="fr-FR"/>
        </w:rPr>
        <w:t xml:space="preserve">un rapport de recherche internationale au format </w:t>
      </w:r>
      <w:r w:rsidR="00B85EF1" w:rsidRPr="00562699">
        <w:rPr>
          <w:lang w:val="fr-FR"/>
        </w:rPr>
        <w:t>XML</w:t>
      </w:r>
      <w:r w:rsidR="00B85EF1">
        <w:rPr>
          <w:lang w:val="fr-FR"/>
        </w:rPr>
        <w:t xml:space="preserve">.  </w:t>
      </w:r>
      <w:r w:rsidR="00B85EF1" w:rsidRPr="00562699">
        <w:rPr>
          <w:lang w:val="fr-FR"/>
        </w:rPr>
        <w:t>Un</w:t>
      </w:r>
      <w:r w:rsidRPr="00562699">
        <w:rPr>
          <w:lang w:val="fr-FR"/>
        </w:rPr>
        <w:t xml:space="preserve">e administration a </w:t>
      </w:r>
      <w:r w:rsidR="00494680" w:rsidRPr="00562699">
        <w:rPr>
          <w:lang w:val="fr-FR"/>
        </w:rPr>
        <w:t>fait observer</w:t>
      </w:r>
      <w:r w:rsidRPr="00562699">
        <w:rPr>
          <w:lang w:val="fr-FR"/>
        </w:rPr>
        <w:t xml:space="preserve"> qu</w:t>
      </w:r>
      <w:r w:rsidR="003C64A0">
        <w:rPr>
          <w:lang w:val="fr-FR"/>
        </w:rPr>
        <w:t>’</w:t>
      </w:r>
      <w:r w:rsidRPr="00562699">
        <w:rPr>
          <w:lang w:val="fr-FR"/>
        </w:rPr>
        <w:t>une structure XML avait déjà été définie pour l</w:t>
      </w:r>
      <w:r w:rsidR="003C64A0">
        <w:rPr>
          <w:lang w:val="fr-FR"/>
        </w:rPr>
        <w:t>’</w:t>
      </w:r>
      <w:r w:rsidRPr="00562699">
        <w:rPr>
          <w:lang w:val="fr-FR"/>
        </w:rPr>
        <w:t>échange de symboles de</w:t>
      </w:r>
      <w:r w:rsidR="003C64A0" w:rsidRPr="00562699">
        <w:rPr>
          <w:lang w:val="fr-FR"/>
        </w:rPr>
        <w:t xml:space="preserve"> la</w:t>
      </w:r>
      <w:r w:rsidR="003C64A0">
        <w:rPr>
          <w:lang w:val="fr-FR"/>
        </w:rPr>
        <w:t> </w:t>
      </w:r>
      <w:r w:rsidR="003C64A0" w:rsidRPr="00562699">
        <w:rPr>
          <w:lang w:val="fr-FR"/>
        </w:rPr>
        <w:t>CPC</w:t>
      </w:r>
      <w:r w:rsidRPr="00562699">
        <w:rPr>
          <w:lang w:val="fr-FR"/>
        </w:rPr>
        <w:t xml:space="preserve"> et qu</w:t>
      </w:r>
      <w:r w:rsidR="003C64A0">
        <w:rPr>
          <w:lang w:val="fr-FR"/>
        </w:rPr>
        <w:t>’</w:t>
      </w:r>
      <w:r w:rsidRPr="00562699">
        <w:rPr>
          <w:lang w:val="fr-FR"/>
        </w:rPr>
        <w:t>il serait souhaitable d</w:t>
      </w:r>
      <w:r w:rsidR="00B17626" w:rsidRPr="00562699">
        <w:rPr>
          <w:lang w:val="fr-FR"/>
        </w:rPr>
        <w:t>e l</w:t>
      </w:r>
      <w:r w:rsidR="003C64A0">
        <w:rPr>
          <w:lang w:val="fr-FR"/>
        </w:rPr>
        <w:t>’</w:t>
      </w:r>
      <w:r w:rsidRPr="00562699">
        <w:rPr>
          <w:lang w:val="fr-FR"/>
        </w:rPr>
        <w:t xml:space="preserve">utiliser pour éviter </w:t>
      </w:r>
      <w:r w:rsidR="00B17626" w:rsidRPr="00562699">
        <w:rPr>
          <w:lang w:val="fr-FR"/>
        </w:rPr>
        <w:t xml:space="preserve">de compliquer les </w:t>
      </w:r>
      <w:r w:rsidRPr="00562699">
        <w:rPr>
          <w:lang w:val="fr-FR"/>
        </w:rPr>
        <w:t xml:space="preserve">systèmes ou </w:t>
      </w:r>
      <w:r w:rsidR="00B17626" w:rsidRPr="00562699">
        <w:rPr>
          <w:lang w:val="fr-FR"/>
        </w:rPr>
        <w:t xml:space="preserve">de perdre des </w:t>
      </w:r>
      <w:r w:rsidRPr="00562699">
        <w:rPr>
          <w:lang w:val="fr-FR"/>
        </w:rPr>
        <w:t xml:space="preserve">informations </w:t>
      </w:r>
      <w:r w:rsidR="00B17626" w:rsidRPr="00562699">
        <w:rPr>
          <w:lang w:val="fr-FR"/>
        </w:rPr>
        <w:t xml:space="preserve">du fait de la </w:t>
      </w:r>
      <w:r w:rsidR="008E7B05" w:rsidRPr="00562699">
        <w:rPr>
          <w:lang w:val="fr-FR"/>
        </w:rPr>
        <w:t>conversion dans un autre form</w:t>
      </w:r>
      <w:r w:rsidR="00B85EF1" w:rsidRPr="00562699">
        <w:rPr>
          <w:lang w:val="fr-FR"/>
        </w:rPr>
        <w:t>at</w:t>
      </w:r>
      <w:r w:rsidR="00B85EF1">
        <w:rPr>
          <w:lang w:val="fr-FR"/>
        </w:rPr>
        <w:t xml:space="preserve">.  </w:t>
      </w:r>
      <w:r w:rsidR="00B85EF1" w:rsidRPr="00562699">
        <w:rPr>
          <w:lang w:val="fr-FR"/>
        </w:rPr>
        <w:t>Le</w:t>
      </w:r>
      <w:r w:rsidRPr="00562699">
        <w:rPr>
          <w:lang w:val="fr-FR"/>
        </w:rPr>
        <w:t xml:space="preserve">s </w:t>
      </w:r>
      <w:r w:rsidR="008E7B05" w:rsidRPr="00562699">
        <w:rPr>
          <w:lang w:val="fr-FR"/>
        </w:rPr>
        <w:t xml:space="preserve">séries </w:t>
      </w:r>
      <w:r w:rsidR="00B17626" w:rsidRPr="00562699">
        <w:rPr>
          <w:lang w:val="fr-FR"/>
        </w:rPr>
        <w:t>C ont été</w:t>
      </w:r>
      <w:r w:rsidRPr="00562699">
        <w:rPr>
          <w:lang w:val="fr-FR"/>
        </w:rPr>
        <w:t xml:space="preserve"> </w:t>
      </w:r>
      <w:r w:rsidR="00B17626" w:rsidRPr="00562699">
        <w:rPr>
          <w:lang w:val="fr-FR"/>
        </w:rPr>
        <w:t>jugé</w:t>
      </w:r>
      <w:r w:rsidR="008E7B05" w:rsidRPr="00562699">
        <w:rPr>
          <w:lang w:val="fr-FR"/>
        </w:rPr>
        <w:t>e</w:t>
      </w:r>
      <w:r w:rsidR="00B17626" w:rsidRPr="00562699">
        <w:rPr>
          <w:lang w:val="fr-FR"/>
        </w:rPr>
        <w:t xml:space="preserve">s </w:t>
      </w:r>
      <w:r w:rsidRPr="00562699">
        <w:rPr>
          <w:lang w:val="fr-FR"/>
        </w:rPr>
        <w:t>important</w:t>
      </w:r>
      <w:r w:rsidR="008E7B05" w:rsidRPr="00562699">
        <w:rPr>
          <w:lang w:val="fr-FR"/>
        </w:rPr>
        <w:t>e</w:t>
      </w:r>
      <w:r w:rsidRPr="00562699">
        <w:rPr>
          <w:lang w:val="fr-FR"/>
        </w:rPr>
        <w:t xml:space="preserve">s et la transmission </w:t>
      </w:r>
      <w:r w:rsidR="00B17626" w:rsidRPr="00562699">
        <w:rPr>
          <w:lang w:val="fr-FR"/>
        </w:rPr>
        <w:t>devrait</w:t>
      </w:r>
      <w:r w:rsidRPr="00562699">
        <w:rPr>
          <w:lang w:val="fr-FR"/>
        </w:rPr>
        <w:t xml:space="preserve"> conserver </w:t>
      </w:r>
      <w:r w:rsidR="008E7B05" w:rsidRPr="00562699">
        <w:rPr>
          <w:lang w:val="fr-FR"/>
        </w:rPr>
        <w:t>c</w:t>
      </w:r>
      <w:r w:rsidR="00494680" w:rsidRPr="00562699">
        <w:rPr>
          <w:lang w:val="fr-FR"/>
        </w:rPr>
        <w:t>es informations</w:t>
      </w:r>
      <w:r w:rsidRPr="00562699">
        <w:rPr>
          <w:lang w:val="fr-FR"/>
        </w:rPr>
        <w:t>.</w:t>
      </w:r>
    </w:p>
    <w:p w14:paraId="1E7A74BB" w14:textId="0EF3C4C6" w:rsidR="009246D2" w:rsidRPr="00562699" w:rsidRDefault="00CB23D2" w:rsidP="00141A5E">
      <w:pPr>
        <w:pStyle w:val="ONUMFS"/>
        <w:rPr>
          <w:lang w:val="fr-FR"/>
        </w:rPr>
      </w:pPr>
      <w:r w:rsidRPr="00562699">
        <w:rPr>
          <w:lang w:val="fr-FR"/>
        </w:rPr>
        <w:t xml:space="preserve">Une administration </w:t>
      </w:r>
      <w:r w:rsidR="00B17626" w:rsidRPr="00562699">
        <w:rPr>
          <w:lang w:val="fr-FR"/>
        </w:rPr>
        <w:t>qui n</w:t>
      </w:r>
      <w:r w:rsidR="003C64A0">
        <w:rPr>
          <w:lang w:val="fr-FR"/>
        </w:rPr>
        <w:t>’</w:t>
      </w:r>
      <w:r w:rsidR="00494680" w:rsidRPr="00562699">
        <w:rPr>
          <w:lang w:val="fr-FR"/>
        </w:rPr>
        <w:t xml:space="preserve">était </w:t>
      </w:r>
      <w:r w:rsidRPr="00562699">
        <w:rPr>
          <w:lang w:val="fr-FR"/>
        </w:rPr>
        <w:t xml:space="preserve">actuellement </w:t>
      </w:r>
      <w:r w:rsidR="00B17626" w:rsidRPr="00562699">
        <w:rPr>
          <w:lang w:val="fr-FR"/>
        </w:rPr>
        <w:t xml:space="preserve">pas en mesure </w:t>
      </w:r>
      <w:r w:rsidRPr="00562699">
        <w:rPr>
          <w:lang w:val="fr-FR"/>
        </w:rPr>
        <w:t>de produire des rapports de recherche en XML a indiqué qu</w:t>
      </w:r>
      <w:r w:rsidR="003C64A0">
        <w:rPr>
          <w:lang w:val="fr-FR"/>
        </w:rPr>
        <w:t>’</w:t>
      </w:r>
      <w:r w:rsidRPr="00562699">
        <w:rPr>
          <w:lang w:val="fr-FR"/>
        </w:rPr>
        <w:t>elle transmettait des informations relatives à</w:t>
      </w:r>
      <w:r w:rsidR="003C64A0" w:rsidRPr="00562699">
        <w:rPr>
          <w:lang w:val="fr-FR"/>
        </w:rPr>
        <w:t xml:space="preserve"> la</w:t>
      </w:r>
      <w:r w:rsidR="003C64A0">
        <w:rPr>
          <w:lang w:val="fr-FR"/>
        </w:rPr>
        <w:t> </w:t>
      </w:r>
      <w:r w:rsidR="003C64A0" w:rsidRPr="00562699">
        <w:rPr>
          <w:lang w:val="fr-FR"/>
        </w:rPr>
        <w:t>CIB</w:t>
      </w:r>
      <w:r w:rsidRPr="00562699">
        <w:rPr>
          <w:lang w:val="fr-FR"/>
        </w:rPr>
        <w:t xml:space="preserve"> par lots couvrant </w:t>
      </w:r>
      <w:r w:rsidR="00B17626" w:rsidRPr="00562699">
        <w:rPr>
          <w:lang w:val="fr-FR"/>
        </w:rPr>
        <w:t>des</w:t>
      </w:r>
      <w:r w:rsidRPr="00562699">
        <w:rPr>
          <w:lang w:val="fr-FR"/>
        </w:rPr>
        <w:t xml:space="preserve"> demandes internationales </w:t>
      </w:r>
      <w:r w:rsidR="00B17626" w:rsidRPr="00562699">
        <w:rPr>
          <w:lang w:val="fr-FR"/>
        </w:rPr>
        <w:t xml:space="preserve">multiples et que, par conséquent, </w:t>
      </w:r>
      <w:r w:rsidRPr="00562699">
        <w:rPr>
          <w:lang w:val="fr-FR"/>
        </w:rPr>
        <w:t>un format texte offrant la même possibilité serait souhaitable.</w:t>
      </w:r>
    </w:p>
    <w:p w14:paraId="5ADCDF6E" w14:textId="221424D1" w:rsidR="009246D2" w:rsidRPr="00562699" w:rsidRDefault="00CB23D2" w:rsidP="00141A5E">
      <w:pPr>
        <w:pStyle w:val="ONUMFS"/>
        <w:rPr>
          <w:lang w:val="fr-FR"/>
        </w:rPr>
      </w:pPr>
      <w:r w:rsidRPr="00562699">
        <w:rPr>
          <w:lang w:val="fr-FR"/>
        </w:rPr>
        <w:t xml:space="preserve">En réponse à une question, le Bureau </w:t>
      </w:r>
      <w:r w:rsidR="00B17626" w:rsidRPr="00562699">
        <w:rPr>
          <w:lang w:val="fr-FR"/>
        </w:rPr>
        <w:t>i</w:t>
      </w:r>
      <w:r w:rsidRPr="00562699">
        <w:rPr>
          <w:lang w:val="fr-FR"/>
        </w:rPr>
        <w:t>nternational a indiqué qu</w:t>
      </w:r>
      <w:r w:rsidR="003C64A0">
        <w:rPr>
          <w:lang w:val="fr-FR"/>
        </w:rPr>
        <w:t>’</w:t>
      </w:r>
      <w:r w:rsidR="00B17626" w:rsidRPr="00562699">
        <w:rPr>
          <w:lang w:val="fr-FR"/>
        </w:rPr>
        <w:t xml:space="preserve">il avait été convenu </w:t>
      </w:r>
      <w:r w:rsidRPr="00562699">
        <w:rPr>
          <w:lang w:val="fr-FR"/>
        </w:rPr>
        <w:t xml:space="preserve">que les administrations </w:t>
      </w:r>
      <w:r w:rsidR="008E7B05" w:rsidRPr="00562699">
        <w:rPr>
          <w:lang w:val="fr-FR"/>
        </w:rPr>
        <w:t xml:space="preserve">communiquant </w:t>
      </w:r>
      <w:r w:rsidRPr="00562699">
        <w:rPr>
          <w:lang w:val="fr-FR"/>
        </w:rPr>
        <w:t>les symboles de</w:t>
      </w:r>
      <w:r w:rsidR="003C64A0" w:rsidRPr="00562699">
        <w:rPr>
          <w:lang w:val="fr-FR"/>
        </w:rPr>
        <w:t xml:space="preserve"> la</w:t>
      </w:r>
      <w:r w:rsidR="003C64A0">
        <w:rPr>
          <w:lang w:val="fr-FR"/>
        </w:rPr>
        <w:t> </w:t>
      </w:r>
      <w:r w:rsidR="003C64A0" w:rsidRPr="00562699">
        <w:rPr>
          <w:lang w:val="fr-FR"/>
        </w:rPr>
        <w:t>CPC</w:t>
      </w:r>
      <w:r w:rsidRPr="00562699">
        <w:rPr>
          <w:lang w:val="fr-FR"/>
        </w:rPr>
        <w:t xml:space="preserve"> dev</w:t>
      </w:r>
      <w:r w:rsidR="00494680" w:rsidRPr="00562699">
        <w:rPr>
          <w:lang w:val="fr-FR"/>
        </w:rPr>
        <w:t>r</w:t>
      </w:r>
      <w:r w:rsidRPr="00562699">
        <w:rPr>
          <w:lang w:val="fr-FR"/>
        </w:rPr>
        <w:t>aient veiller à ce qu</w:t>
      </w:r>
      <w:r w:rsidR="003C64A0">
        <w:rPr>
          <w:lang w:val="fr-FR"/>
        </w:rPr>
        <w:t>’</w:t>
      </w:r>
      <w:r w:rsidR="00B17626" w:rsidRPr="00562699">
        <w:rPr>
          <w:lang w:val="fr-FR"/>
        </w:rPr>
        <w:t>il</w:t>
      </w:r>
      <w:r w:rsidRPr="00562699">
        <w:rPr>
          <w:lang w:val="fr-FR"/>
        </w:rPr>
        <w:t>s soient validés avant l</w:t>
      </w:r>
      <w:r w:rsidR="00B17626" w:rsidRPr="00562699">
        <w:rPr>
          <w:lang w:val="fr-FR"/>
        </w:rPr>
        <w:t>eur</w:t>
      </w:r>
      <w:r w:rsidRPr="00562699">
        <w:rPr>
          <w:lang w:val="fr-FR"/>
        </w:rPr>
        <w:t xml:space="preserve"> transmissi</w:t>
      </w:r>
      <w:r w:rsidR="00B85EF1" w:rsidRPr="00562699">
        <w:rPr>
          <w:lang w:val="fr-FR"/>
        </w:rPr>
        <w:t>on</w:t>
      </w:r>
      <w:r w:rsidR="00B85EF1">
        <w:rPr>
          <w:lang w:val="fr-FR"/>
        </w:rPr>
        <w:t xml:space="preserve">.  </w:t>
      </w:r>
      <w:r w:rsidR="00B85EF1" w:rsidRPr="00562699">
        <w:rPr>
          <w:lang w:val="fr-FR"/>
        </w:rPr>
        <w:t>Né</w:t>
      </w:r>
      <w:r w:rsidR="00981FAA" w:rsidRPr="00562699">
        <w:rPr>
          <w:lang w:val="fr-FR"/>
        </w:rPr>
        <w:t xml:space="preserve">anmoins, </w:t>
      </w:r>
      <w:r w:rsidR="00494680" w:rsidRPr="00562699">
        <w:rPr>
          <w:lang w:val="fr-FR"/>
        </w:rPr>
        <w:t xml:space="preserve">il était probable que </w:t>
      </w:r>
      <w:r w:rsidR="00981FAA" w:rsidRPr="00562699">
        <w:rPr>
          <w:lang w:val="fr-FR"/>
        </w:rPr>
        <w:t>l</w:t>
      </w:r>
      <w:r w:rsidR="00B17626" w:rsidRPr="00562699">
        <w:rPr>
          <w:lang w:val="fr-FR"/>
        </w:rPr>
        <w:t>e</w:t>
      </w:r>
      <w:r w:rsidRPr="00562699">
        <w:rPr>
          <w:lang w:val="fr-FR"/>
        </w:rPr>
        <w:t xml:space="preserve"> Bureau </w:t>
      </w:r>
      <w:r w:rsidR="00B17626" w:rsidRPr="00562699">
        <w:rPr>
          <w:lang w:val="fr-FR"/>
        </w:rPr>
        <w:t>i</w:t>
      </w:r>
      <w:r w:rsidRPr="00562699">
        <w:rPr>
          <w:lang w:val="fr-FR"/>
        </w:rPr>
        <w:t>nternational validera</w:t>
      </w:r>
      <w:r w:rsidR="00B17626" w:rsidRPr="00562699">
        <w:rPr>
          <w:lang w:val="fr-FR"/>
        </w:rPr>
        <w:t>it</w:t>
      </w:r>
      <w:r w:rsidRPr="00562699">
        <w:rPr>
          <w:lang w:val="fr-FR"/>
        </w:rPr>
        <w:t xml:space="preserve"> </w:t>
      </w:r>
      <w:r w:rsidR="00494680" w:rsidRPr="00562699">
        <w:rPr>
          <w:lang w:val="fr-FR"/>
        </w:rPr>
        <w:t>l</w:t>
      </w:r>
      <w:r w:rsidRPr="00562699">
        <w:rPr>
          <w:lang w:val="fr-FR"/>
        </w:rPr>
        <w:t xml:space="preserve">es symboles </w:t>
      </w:r>
      <w:r w:rsidR="00981FAA" w:rsidRPr="00562699">
        <w:rPr>
          <w:lang w:val="fr-FR"/>
        </w:rPr>
        <w:t>à l</w:t>
      </w:r>
      <w:r w:rsidR="003C64A0">
        <w:rPr>
          <w:lang w:val="fr-FR"/>
        </w:rPr>
        <w:t>’</w:t>
      </w:r>
      <w:r w:rsidRPr="00562699">
        <w:rPr>
          <w:lang w:val="fr-FR"/>
        </w:rPr>
        <w:t>importation, même s</w:t>
      </w:r>
      <w:r w:rsidR="00981FAA" w:rsidRPr="00562699">
        <w:rPr>
          <w:lang w:val="fr-FR"/>
        </w:rPr>
        <w:t xml:space="preserve">i la question de savoir quelles </w:t>
      </w:r>
      <w:r w:rsidR="008E7B05" w:rsidRPr="00562699">
        <w:rPr>
          <w:lang w:val="fr-FR"/>
        </w:rPr>
        <w:t xml:space="preserve">mesures </w:t>
      </w:r>
      <w:r w:rsidR="00981FAA" w:rsidRPr="00562699">
        <w:rPr>
          <w:lang w:val="fr-FR"/>
        </w:rPr>
        <w:t xml:space="preserve">seraient prises concernant les </w:t>
      </w:r>
      <w:r w:rsidRPr="00562699">
        <w:rPr>
          <w:lang w:val="fr-FR"/>
        </w:rPr>
        <w:t>symboles qui n</w:t>
      </w:r>
      <w:r w:rsidR="003C64A0">
        <w:rPr>
          <w:lang w:val="fr-FR"/>
        </w:rPr>
        <w:t>’</w:t>
      </w:r>
      <w:r w:rsidRPr="00562699">
        <w:rPr>
          <w:lang w:val="fr-FR"/>
        </w:rPr>
        <w:t>étaient pas val</w:t>
      </w:r>
      <w:r w:rsidR="00981FAA" w:rsidRPr="00562699">
        <w:rPr>
          <w:lang w:val="fr-FR"/>
        </w:rPr>
        <w:t>ables</w:t>
      </w:r>
      <w:r w:rsidRPr="00562699">
        <w:rPr>
          <w:lang w:val="fr-FR"/>
        </w:rPr>
        <w:t xml:space="preserve"> selon la version </w:t>
      </w:r>
      <w:r w:rsidR="00494680" w:rsidRPr="00562699">
        <w:rPr>
          <w:lang w:val="fr-FR"/>
        </w:rPr>
        <w:t>de</w:t>
      </w:r>
      <w:r w:rsidR="003C64A0" w:rsidRPr="00562699">
        <w:rPr>
          <w:lang w:val="fr-FR"/>
        </w:rPr>
        <w:t xml:space="preserve"> la</w:t>
      </w:r>
      <w:r w:rsidR="003C64A0">
        <w:rPr>
          <w:lang w:val="fr-FR"/>
        </w:rPr>
        <w:t> </w:t>
      </w:r>
      <w:r w:rsidR="003C64A0" w:rsidRPr="00562699">
        <w:rPr>
          <w:lang w:val="fr-FR"/>
        </w:rPr>
        <w:t>CPC</w:t>
      </w:r>
      <w:r w:rsidRPr="00562699">
        <w:rPr>
          <w:lang w:val="fr-FR"/>
        </w:rPr>
        <w:t xml:space="preserve"> indiquée</w:t>
      </w:r>
      <w:r w:rsidR="00981FAA" w:rsidRPr="00562699">
        <w:rPr>
          <w:lang w:val="fr-FR"/>
        </w:rPr>
        <w:t xml:space="preserve"> n</w:t>
      </w:r>
      <w:r w:rsidR="003C64A0">
        <w:rPr>
          <w:lang w:val="fr-FR"/>
        </w:rPr>
        <w:t>’</w:t>
      </w:r>
      <w:r w:rsidR="00981FAA" w:rsidRPr="00562699">
        <w:rPr>
          <w:lang w:val="fr-FR"/>
        </w:rPr>
        <w:t>avait pas encore été examinée</w:t>
      </w:r>
      <w:r w:rsidRPr="00562699">
        <w:rPr>
          <w:lang w:val="fr-FR"/>
        </w:rPr>
        <w:t>.</w:t>
      </w:r>
    </w:p>
    <w:p w14:paraId="66747353" w14:textId="03E58592" w:rsidR="009246D2" w:rsidRPr="00562699" w:rsidRDefault="00981FAA" w:rsidP="00141A5E">
      <w:pPr>
        <w:pStyle w:val="ONUMFS"/>
        <w:ind w:left="567"/>
        <w:rPr>
          <w:szCs w:val="22"/>
          <w:lang w:val="fr-FR"/>
        </w:rPr>
      </w:pPr>
      <w:r w:rsidRPr="00562699">
        <w:rPr>
          <w:szCs w:val="22"/>
          <w:lang w:val="fr-FR"/>
        </w:rPr>
        <w:t>La R</w:t>
      </w:r>
      <w:r w:rsidR="00CB23D2" w:rsidRPr="00562699">
        <w:rPr>
          <w:szCs w:val="22"/>
          <w:lang w:val="fr-FR"/>
        </w:rPr>
        <w:t xml:space="preserve">éunion a invité le Bureau international à tenir compte des points susmentionnés </w:t>
      </w:r>
      <w:r w:rsidRPr="00562699">
        <w:rPr>
          <w:szCs w:val="22"/>
          <w:lang w:val="fr-FR"/>
        </w:rPr>
        <w:t xml:space="preserve">en préparant </w:t>
      </w:r>
      <w:r w:rsidR="00CB23D2" w:rsidRPr="00562699">
        <w:rPr>
          <w:szCs w:val="22"/>
          <w:lang w:val="fr-FR"/>
        </w:rPr>
        <w:t xml:space="preserve">la prochaine consultation sur la transmission des symboles de </w:t>
      </w:r>
      <w:r w:rsidR="00990EBE" w:rsidRPr="00562699">
        <w:rPr>
          <w:szCs w:val="22"/>
          <w:lang w:val="fr-FR"/>
        </w:rPr>
        <w:t xml:space="preserve">classement </w:t>
      </w:r>
      <w:r w:rsidR="00CB23D2" w:rsidRPr="00562699">
        <w:rPr>
          <w:szCs w:val="22"/>
          <w:lang w:val="fr-FR"/>
        </w:rPr>
        <w:t>nationaux en rapport avec les demandes internationales.</w:t>
      </w:r>
    </w:p>
    <w:p w14:paraId="1C79145E" w14:textId="65E8548E" w:rsidR="009246D2" w:rsidRPr="00562699" w:rsidRDefault="00CB23D2" w:rsidP="00562699">
      <w:pPr>
        <w:pStyle w:val="Heading1"/>
        <w:rPr>
          <w:lang w:val="fr-FR"/>
        </w:rPr>
      </w:pPr>
      <w:r w:rsidRPr="00562699">
        <w:rPr>
          <w:lang w:val="fr-FR"/>
        </w:rPr>
        <w:t>Point</w:t>
      </w:r>
      <w:r w:rsidR="004E4E83" w:rsidRPr="00562699">
        <w:rPr>
          <w:lang w:val="fr-FR"/>
        </w:rPr>
        <w:t> </w:t>
      </w:r>
      <w:r w:rsidRPr="00562699">
        <w:rPr>
          <w:lang w:val="fr-FR"/>
        </w:rPr>
        <w:t>14</w:t>
      </w:r>
      <w:r w:rsidR="00F60F39" w:rsidRPr="00562699">
        <w:rPr>
          <w:lang w:val="fr-FR"/>
        </w:rPr>
        <w:t xml:space="preserve"> de l</w:t>
      </w:r>
      <w:r w:rsidR="003C64A0">
        <w:rPr>
          <w:lang w:val="fr-FR"/>
        </w:rPr>
        <w:t>’</w:t>
      </w:r>
      <w:r w:rsidR="00F60F39" w:rsidRPr="00562699">
        <w:rPr>
          <w:lang w:val="fr-FR"/>
        </w:rPr>
        <w:t>ordre du jour</w:t>
      </w:r>
      <w:r w:rsidR="003C64A0">
        <w:rPr>
          <w:lang w:val="fr-FR"/>
        </w:rPr>
        <w:t> :</w:t>
      </w:r>
      <w:r w:rsidR="00F60F39" w:rsidRPr="00562699">
        <w:rPr>
          <w:lang w:val="fr-FR"/>
        </w:rPr>
        <w:t xml:space="preserve"> troisième projet pilote de recherche et d</w:t>
      </w:r>
      <w:r w:rsidR="003C64A0">
        <w:rPr>
          <w:lang w:val="fr-FR"/>
        </w:rPr>
        <w:t>’</w:t>
      </w:r>
      <w:r w:rsidR="00F60F39" w:rsidRPr="00562699">
        <w:rPr>
          <w:lang w:val="fr-FR"/>
        </w:rPr>
        <w:t>examen en collaboration dans le cadre</w:t>
      </w:r>
      <w:r w:rsidR="003C64A0" w:rsidRPr="00562699">
        <w:rPr>
          <w:lang w:val="fr-FR"/>
        </w:rPr>
        <w:t xml:space="preserve"> du</w:t>
      </w:r>
      <w:r w:rsidR="003C64A0">
        <w:rPr>
          <w:lang w:val="fr-FR"/>
        </w:rPr>
        <w:t> </w:t>
      </w:r>
      <w:r w:rsidR="003C64A0" w:rsidRPr="00562699">
        <w:rPr>
          <w:lang w:val="fr-FR"/>
        </w:rPr>
        <w:t>PCT</w:t>
      </w:r>
    </w:p>
    <w:p w14:paraId="7965A39F" w14:textId="77777777" w:rsidR="00141A5E" w:rsidRPr="00562699" w:rsidRDefault="00141A5E" w:rsidP="00141A5E">
      <w:pPr>
        <w:rPr>
          <w:lang w:val="fr-FR"/>
        </w:rPr>
      </w:pPr>
    </w:p>
    <w:p w14:paraId="6C0F0C20" w14:textId="77777777" w:rsidR="009246D2" w:rsidRPr="00562699" w:rsidRDefault="00CB23D2" w:rsidP="00141A5E">
      <w:pPr>
        <w:pStyle w:val="ONUMFS"/>
        <w:rPr>
          <w:lang w:val="fr-FR"/>
        </w:rPr>
      </w:pPr>
      <w:r w:rsidRPr="00562699">
        <w:rPr>
          <w:lang w:val="fr-FR"/>
        </w:rPr>
        <w:t>Les délibérations ont eu lieu sur la base du document PCT/MIA/26/4.</w:t>
      </w:r>
    </w:p>
    <w:p w14:paraId="18510763" w14:textId="4044652D" w:rsidR="009246D2" w:rsidRPr="00562699" w:rsidRDefault="00CB23D2" w:rsidP="00141A5E">
      <w:pPr>
        <w:pStyle w:val="ONUMFS"/>
        <w:rPr>
          <w:lang w:val="fr-FR"/>
        </w:rPr>
      </w:pPr>
      <w:r w:rsidRPr="00562699">
        <w:rPr>
          <w:lang w:val="fr-FR"/>
        </w:rPr>
        <w:t>L</w:t>
      </w:r>
      <w:r w:rsidR="003C64A0">
        <w:rPr>
          <w:lang w:val="fr-FR"/>
        </w:rPr>
        <w:t>’</w:t>
      </w:r>
      <w:r w:rsidRPr="00562699">
        <w:rPr>
          <w:lang w:val="fr-FR"/>
        </w:rPr>
        <w:t>Office européen des brevets a indiqué qu</w:t>
      </w:r>
      <w:r w:rsidR="003C64A0">
        <w:rPr>
          <w:lang w:val="fr-FR"/>
        </w:rPr>
        <w:t>’</w:t>
      </w:r>
      <w:r w:rsidRPr="00562699">
        <w:rPr>
          <w:lang w:val="fr-FR"/>
        </w:rPr>
        <w:t>après deux</w:t>
      </w:r>
      <w:r w:rsidR="00953186">
        <w:rPr>
          <w:lang w:val="fr-FR"/>
        </w:rPr>
        <w:t> </w:t>
      </w:r>
      <w:r w:rsidRPr="00562699">
        <w:rPr>
          <w:lang w:val="fr-FR"/>
        </w:rPr>
        <w:t>années de préparatifs le projet pilote de recherche et d</w:t>
      </w:r>
      <w:r w:rsidR="003C64A0">
        <w:rPr>
          <w:lang w:val="fr-FR"/>
        </w:rPr>
        <w:t>’</w:t>
      </w:r>
      <w:r w:rsidRPr="00562699">
        <w:rPr>
          <w:lang w:val="fr-FR"/>
        </w:rPr>
        <w:t>examen en collaboration avait été lancé avec succès en juillet</w:t>
      </w:r>
      <w:r w:rsidR="004E4E83" w:rsidRPr="00562699">
        <w:rPr>
          <w:lang w:val="fr-FR"/>
        </w:rPr>
        <w:t> </w:t>
      </w:r>
      <w:r w:rsidRPr="00562699">
        <w:rPr>
          <w:lang w:val="fr-FR"/>
        </w:rPr>
        <w:t>2018.</w:t>
      </w:r>
      <w:r w:rsidR="008D1E3B" w:rsidRPr="00562699">
        <w:rPr>
          <w:lang w:val="fr-FR"/>
        </w:rPr>
        <w:t xml:space="preserve">  </w:t>
      </w:r>
      <w:r w:rsidR="004E4E83" w:rsidRPr="00562699">
        <w:rPr>
          <w:lang w:val="fr-FR"/>
        </w:rPr>
        <w:t>U</w:t>
      </w:r>
      <w:r w:rsidRPr="00562699">
        <w:rPr>
          <w:lang w:val="fr-FR"/>
        </w:rPr>
        <w:t xml:space="preserve">n certain nombre de </w:t>
      </w:r>
      <w:r w:rsidR="00981FAA" w:rsidRPr="00562699">
        <w:rPr>
          <w:lang w:val="fr-FR"/>
        </w:rPr>
        <w:t xml:space="preserve">difficultés </w:t>
      </w:r>
      <w:r w:rsidRPr="00562699">
        <w:rPr>
          <w:lang w:val="fr-FR"/>
        </w:rPr>
        <w:t xml:space="preserve">opérationnelles </w:t>
      </w:r>
      <w:r w:rsidR="00E746C2" w:rsidRPr="00562699">
        <w:rPr>
          <w:lang w:val="fr-FR"/>
        </w:rPr>
        <w:t>s</w:t>
      </w:r>
      <w:r w:rsidR="003C64A0">
        <w:rPr>
          <w:lang w:val="fr-FR"/>
        </w:rPr>
        <w:t>’</w:t>
      </w:r>
      <w:r w:rsidR="00E746C2" w:rsidRPr="00562699">
        <w:rPr>
          <w:lang w:val="fr-FR"/>
        </w:rPr>
        <w:t>étaient</w:t>
      </w:r>
      <w:r w:rsidR="00981FAA" w:rsidRPr="00562699">
        <w:rPr>
          <w:lang w:val="fr-FR"/>
        </w:rPr>
        <w:t xml:space="preserve"> posées en raison </w:t>
      </w:r>
      <w:r w:rsidRPr="00562699">
        <w:rPr>
          <w:lang w:val="fr-FR"/>
        </w:rPr>
        <w:t>des différences par rapport au traitement standard</w:t>
      </w:r>
      <w:r w:rsidR="00494680" w:rsidRPr="00562699">
        <w:rPr>
          <w:lang w:val="fr-FR"/>
        </w:rPr>
        <w:t xml:space="preserve"> et</w:t>
      </w:r>
      <w:r w:rsidRPr="00562699">
        <w:rPr>
          <w:lang w:val="fr-FR"/>
        </w:rPr>
        <w:t xml:space="preserve"> </w:t>
      </w:r>
      <w:r w:rsidR="00E746C2" w:rsidRPr="00562699">
        <w:rPr>
          <w:lang w:val="fr-FR"/>
        </w:rPr>
        <w:t xml:space="preserve">avaient </w:t>
      </w:r>
      <w:r w:rsidR="00981FAA" w:rsidRPr="00562699">
        <w:rPr>
          <w:lang w:val="fr-FR"/>
        </w:rPr>
        <w:t>exigé l</w:t>
      </w:r>
      <w:r w:rsidR="003C64A0">
        <w:rPr>
          <w:lang w:val="fr-FR"/>
        </w:rPr>
        <w:t>’</w:t>
      </w:r>
      <w:r w:rsidR="00981FAA" w:rsidRPr="00562699">
        <w:rPr>
          <w:lang w:val="fr-FR"/>
        </w:rPr>
        <w:t xml:space="preserve">adoption de dispositions spéciales </w:t>
      </w:r>
      <w:r w:rsidRPr="00562699">
        <w:rPr>
          <w:lang w:val="fr-FR"/>
        </w:rPr>
        <w:t xml:space="preserve">en dehors des systèmes informatiques locaux normaux, mais cela avait été prévu et le projet pilote </w:t>
      </w:r>
      <w:r w:rsidR="00981FAA" w:rsidRPr="00562699">
        <w:rPr>
          <w:lang w:val="fr-FR"/>
        </w:rPr>
        <w:t>a</w:t>
      </w:r>
      <w:r w:rsidR="00494680" w:rsidRPr="00562699">
        <w:rPr>
          <w:lang w:val="fr-FR"/>
        </w:rPr>
        <w:t>vait</w:t>
      </w:r>
      <w:r w:rsidR="00981FAA" w:rsidRPr="00562699">
        <w:rPr>
          <w:lang w:val="fr-FR"/>
        </w:rPr>
        <w:t xml:space="preserve"> bien avancé.</w:t>
      </w:r>
    </w:p>
    <w:p w14:paraId="779519D5" w14:textId="0098FD69" w:rsidR="009246D2" w:rsidRPr="00562699" w:rsidRDefault="00CB23D2" w:rsidP="00141A5E">
      <w:pPr>
        <w:pStyle w:val="ONUMFS"/>
        <w:rPr>
          <w:lang w:val="fr-FR"/>
        </w:rPr>
      </w:pPr>
      <w:r w:rsidRPr="00562699">
        <w:rPr>
          <w:lang w:val="fr-FR"/>
        </w:rPr>
        <w:t>Ce processus axé sur les déposants a</w:t>
      </w:r>
      <w:r w:rsidR="00E746C2" w:rsidRPr="00562699">
        <w:rPr>
          <w:lang w:val="fr-FR"/>
        </w:rPr>
        <w:t>vait</w:t>
      </w:r>
      <w:r w:rsidRPr="00562699">
        <w:rPr>
          <w:lang w:val="fr-FR"/>
        </w:rPr>
        <w:t xml:space="preserve"> suscité un intérêt considérable.</w:t>
      </w:r>
      <w:r w:rsidR="008D1E3B" w:rsidRPr="00562699">
        <w:rPr>
          <w:lang w:val="fr-FR"/>
        </w:rPr>
        <w:t xml:space="preserve">  </w:t>
      </w:r>
      <w:r w:rsidRPr="00562699">
        <w:rPr>
          <w:lang w:val="fr-FR"/>
        </w:rPr>
        <w:t>L</w:t>
      </w:r>
      <w:r w:rsidR="003C64A0">
        <w:rPr>
          <w:lang w:val="fr-FR"/>
        </w:rPr>
        <w:t>’</w:t>
      </w:r>
      <w:r w:rsidRPr="00562699">
        <w:rPr>
          <w:lang w:val="fr-FR"/>
        </w:rPr>
        <w:t>Office des brevets et des marques des États</w:t>
      </w:r>
      <w:r w:rsidR="001B4A2C">
        <w:rPr>
          <w:lang w:val="fr-FR"/>
        </w:rPr>
        <w:noBreakHyphen/>
      </w:r>
      <w:r w:rsidRPr="00562699">
        <w:rPr>
          <w:lang w:val="fr-FR"/>
        </w:rPr>
        <w:t>Unis d</w:t>
      </w:r>
      <w:r w:rsidR="003C64A0">
        <w:rPr>
          <w:lang w:val="fr-FR"/>
        </w:rPr>
        <w:t>’</w:t>
      </w:r>
      <w:r w:rsidRPr="00562699">
        <w:rPr>
          <w:lang w:val="fr-FR"/>
        </w:rPr>
        <w:t>Amérique avait déjà atteint la limite de</w:t>
      </w:r>
      <w:r w:rsidR="00390F75" w:rsidRPr="00562699">
        <w:rPr>
          <w:lang w:val="fr-FR"/>
        </w:rPr>
        <w:t>s</w:t>
      </w:r>
      <w:r w:rsidRPr="00562699">
        <w:rPr>
          <w:lang w:val="fr-FR"/>
        </w:rPr>
        <w:t xml:space="preserve"> 50</w:t>
      </w:r>
      <w:r w:rsidR="009D49D9">
        <w:rPr>
          <w:lang w:val="fr-FR"/>
        </w:rPr>
        <w:t> </w:t>
      </w:r>
      <w:r w:rsidRPr="00562699">
        <w:rPr>
          <w:lang w:val="fr-FR"/>
        </w:rPr>
        <w:t>demandes acceptées dans le projet pilote pour la première année.</w:t>
      </w:r>
      <w:r w:rsidR="008D1E3B" w:rsidRPr="00562699">
        <w:rPr>
          <w:lang w:val="fr-FR"/>
        </w:rPr>
        <w:t xml:space="preserve">  </w:t>
      </w:r>
      <w:r w:rsidRPr="00562699">
        <w:rPr>
          <w:lang w:val="fr-FR"/>
        </w:rPr>
        <w:t>L</w:t>
      </w:r>
      <w:r w:rsidR="003C64A0">
        <w:rPr>
          <w:lang w:val="fr-FR"/>
        </w:rPr>
        <w:t>’</w:t>
      </w:r>
      <w:r w:rsidRPr="00562699">
        <w:rPr>
          <w:lang w:val="fr-FR"/>
        </w:rPr>
        <w:t>Office européen des brevets et l</w:t>
      </w:r>
      <w:r w:rsidR="003C64A0">
        <w:rPr>
          <w:lang w:val="fr-FR"/>
        </w:rPr>
        <w:t>’</w:t>
      </w:r>
      <w:r w:rsidRPr="00562699">
        <w:rPr>
          <w:lang w:val="fr-FR"/>
        </w:rPr>
        <w:t xml:space="preserve">Administration nationale chinoise de la propriété intellectuelle </w:t>
      </w:r>
      <w:r w:rsidR="00390F75" w:rsidRPr="00562699">
        <w:rPr>
          <w:lang w:val="fr-FR"/>
        </w:rPr>
        <w:t xml:space="preserve">avaient </w:t>
      </w:r>
      <w:r w:rsidRPr="00562699">
        <w:rPr>
          <w:lang w:val="fr-FR"/>
        </w:rPr>
        <w:t>atteint leurs quotas pour les demandes en anglais.</w:t>
      </w:r>
      <w:r w:rsidR="008D1E3B" w:rsidRPr="00562699">
        <w:rPr>
          <w:lang w:val="fr-FR"/>
        </w:rPr>
        <w:t xml:space="preserve">  </w:t>
      </w:r>
      <w:r w:rsidRPr="00562699">
        <w:rPr>
          <w:lang w:val="fr-FR"/>
        </w:rPr>
        <w:t>L</w:t>
      </w:r>
      <w:r w:rsidR="003C64A0">
        <w:rPr>
          <w:lang w:val="fr-FR"/>
        </w:rPr>
        <w:t>’</w:t>
      </w:r>
      <w:r w:rsidRPr="00562699">
        <w:rPr>
          <w:lang w:val="fr-FR"/>
        </w:rPr>
        <w:t xml:space="preserve">Office européen des brevets avait commencé à accepter les demandes déposées en français et </w:t>
      </w:r>
      <w:r w:rsidR="00390F75" w:rsidRPr="00562699">
        <w:rPr>
          <w:lang w:val="fr-FR"/>
        </w:rPr>
        <w:t xml:space="preserve">en </w:t>
      </w:r>
      <w:r w:rsidRPr="00562699">
        <w:rPr>
          <w:lang w:val="fr-FR"/>
        </w:rPr>
        <w:t xml:space="preserve">allemand dans le projet pilote </w:t>
      </w:r>
      <w:r w:rsidR="00494680" w:rsidRPr="00562699">
        <w:rPr>
          <w:lang w:val="fr-FR"/>
        </w:rPr>
        <w:t>à compter du</w:t>
      </w:r>
      <w:r w:rsidR="003C64A0">
        <w:rPr>
          <w:lang w:val="fr-FR"/>
        </w:rPr>
        <w:t xml:space="preserve"> 1</w:t>
      </w:r>
      <w:r w:rsidR="003C64A0" w:rsidRPr="003C64A0">
        <w:rPr>
          <w:vertAlign w:val="superscript"/>
          <w:lang w:val="fr-FR"/>
        </w:rPr>
        <w:t>er</w:t>
      </w:r>
      <w:r w:rsidR="003C64A0">
        <w:rPr>
          <w:lang w:val="fr-FR"/>
        </w:rPr>
        <w:t> </w:t>
      </w:r>
      <w:r w:rsidRPr="00562699">
        <w:rPr>
          <w:lang w:val="fr-FR"/>
        </w:rPr>
        <w:t>janvier</w:t>
      </w:r>
      <w:r w:rsidR="00390F75" w:rsidRPr="00562699">
        <w:rPr>
          <w:lang w:val="fr-FR"/>
        </w:rPr>
        <w:t> </w:t>
      </w:r>
      <w:r w:rsidRPr="00562699">
        <w:rPr>
          <w:lang w:val="fr-FR"/>
        </w:rPr>
        <w:t>2019.</w:t>
      </w:r>
      <w:r w:rsidR="008D1E3B" w:rsidRPr="00562699">
        <w:rPr>
          <w:lang w:val="fr-FR"/>
        </w:rPr>
        <w:t xml:space="preserve">  </w:t>
      </w:r>
      <w:r w:rsidRPr="00562699">
        <w:rPr>
          <w:lang w:val="fr-FR"/>
        </w:rPr>
        <w:t>L</w:t>
      </w:r>
      <w:r w:rsidR="003C64A0">
        <w:rPr>
          <w:lang w:val="fr-FR"/>
        </w:rPr>
        <w:t>’</w:t>
      </w:r>
      <w:r w:rsidRPr="00562699">
        <w:rPr>
          <w:lang w:val="fr-FR"/>
        </w:rPr>
        <w:t xml:space="preserve">Administration nationale chinoise de la propriété intellectuelle </w:t>
      </w:r>
      <w:r w:rsidR="00390F75" w:rsidRPr="00562699">
        <w:rPr>
          <w:lang w:val="fr-FR"/>
        </w:rPr>
        <w:t xml:space="preserve">allait commencer </w:t>
      </w:r>
      <w:r w:rsidRPr="00562699">
        <w:rPr>
          <w:lang w:val="fr-FR"/>
        </w:rPr>
        <w:t xml:space="preserve">à accepter les demandes en chinois à </w:t>
      </w:r>
      <w:r w:rsidR="00390F75" w:rsidRPr="00562699">
        <w:rPr>
          <w:lang w:val="fr-FR"/>
        </w:rPr>
        <w:t>partir</w:t>
      </w:r>
      <w:r w:rsidRPr="00562699">
        <w:rPr>
          <w:lang w:val="fr-FR"/>
        </w:rPr>
        <w:t xml:space="preserve"> du</w:t>
      </w:r>
      <w:r w:rsidR="003C64A0">
        <w:rPr>
          <w:lang w:val="fr-FR"/>
        </w:rPr>
        <w:t xml:space="preserve"> 1</w:t>
      </w:r>
      <w:r w:rsidR="003C64A0" w:rsidRPr="003C64A0">
        <w:rPr>
          <w:vertAlign w:val="superscript"/>
          <w:lang w:val="fr-FR"/>
        </w:rPr>
        <w:t>er</w:t>
      </w:r>
      <w:r w:rsidR="003C64A0">
        <w:rPr>
          <w:lang w:val="fr-FR"/>
        </w:rPr>
        <w:t> </w:t>
      </w:r>
      <w:r w:rsidR="003C64A0" w:rsidRPr="00562699">
        <w:rPr>
          <w:lang w:val="fr-FR"/>
        </w:rPr>
        <w:t>mars</w:t>
      </w:r>
      <w:r w:rsidR="003C64A0">
        <w:rPr>
          <w:lang w:val="fr-FR"/>
        </w:rPr>
        <w:t> </w:t>
      </w:r>
      <w:r w:rsidR="003C64A0" w:rsidRPr="00562699">
        <w:rPr>
          <w:lang w:val="fr-FR"/>
        </w:rPr>
        <w:t>20</w:t>
      </w:r>
      <w:r w:rsidRPr="00562699">
        <w:rPr>
          <w:lang w:val="fr-FR"/>
        </w:rPr>
        <w:t>19.</w:t>
      </w:r>
      <w:r w:rsidR="008D1E3B" w:rsidRPr="00562699">
        <w:rPr>
          <w:lang w:val="fr-FR"/>
        </w:rPr>
        <w:t xml:space="preserve">  </w:t>
      </w:r>
      <w:r w:rsidRPr="00562699">
        <w:rPr>
          <w:lang w:val="fr-FR"/>
        </w:rPr>
        <w:t>L</w:t>
      </w:r>
      <w:r w:rsidR="003C64A0">
        <w:rPr>
          <w:lang w:val="fr-FR"/>
        </w:rPr>
        <w:t>’</w:t>
      </w:r>
      <w:r w:rsidRPr="00562699">
        <w:rPr>
          <w:lang w:val="fr-FR"/>
        </w:rPr>
        <w:t>Office des brevets du Japon et l</w:t>
      </w:r>
      <w:r w:rsidR="003C64A0">
        <w:rPr>
          <w:lang w:val="fr-FR"/>
        </w:rPr>
        <w:t>’</w:t>
      </w:r>
      <w:r w:rsidRPr="00562699">
        <w:rPr>
          <w:lang w:val="fr-FR"/>
        </w:rPr>
        <w:t xml:space="preserve">Office coréen de la propriété intellectuelle </w:t>
      </w:r>
      <w:r w:rsidR="00390F75" w:rsidRPr="00562699">
        <w:rPr>
          <w:lang w:val="fr-FR"/>
        </w:rPr>
        <w:t>pensaient</w:t>
      </w:r>
      <w:r w:rsidRPr="00562699">
        <w:rPr>
          <w:lang w:val="fr-FR"/>
        </w:rPr>
        <w:t xml:space="preserve"> commencer à accepter les demandes dans leur langue nationale sous p</w:t>
      </w:r>
      <w:r w:rsidR="00B85EF1" w:rsidRPr="00562699">
        <w:rPr>
          <w:lang w:val="fr-FR"/>
        </w:rPr>
        <w:t>eu</w:t>
      </w:r>
      <w:r w:rsidR="00B85EF1">
        <w:rPr>
          <w:lang w:val="fr-FR"/>
        </w:rPr>
        <w:t xml:space="preserve">.  </w:t>
      </w:r>
      <w:r w:rsidR="00B85EF1" w:rsidRPr="00562699">
        <w:rPr>
          <w:lang w:val="fr-FR"/>
        </w:rPr>
        <w:t>Le</w:t>
      </w:r>
      <w:r w:rsidRPr="00562699">
        <w:rPr>
          <w:lang w:val="fr-FR"/>
        </w:rPr>
        <w:t xml:space="preserve">s administrations participantes ont </w:t>
      </w:r>
      <w:r w:rsidR="00390F75" w:rsidRPr="00562699">
        <w:rPr>
          <w:lang w:val="fr-FR"/>
        </w:rPr>
        <w:t xml:space="preserve">constaté des </w:t>
      </w:r>
      <w:r w:rsidRPr="00562699">
        <w:rPr>
          <w:lang w:val="fr-FR"/>
        </w:rPr>
        <w:t>avantages potentiels considérables en termes de qualité et d</w:t>
      </w:r>
      <w:r w:rsidR="003C64A0">
        <w:rPr>
          <w:lang w:val="fr-FR"/>
        </w:rPr>
        <w:t>’</w:t>
      </w:r>
      <w:r w:rsidR="00390F75" w:rsidRPr="00562699">
        <w:rPr>
          <w:lang w:val="fr-FR"/>
        </w:rPr>
        <w:t xml:space="preserve">économie de </w:t>
      </w:r>
      <w:r w:rsidRPr="00562699">
        <w:rPr>
          <w:lang w:val="fr-FR"/>
        </w:rPr>
        <w:t xml:space="preserve">temps pour les processus </w:t>
      </w:r>
      <w:r w:rsidR="00390F75" w:rsidRPr="00562699">
        <w:rPr>
          <w:lang w:val="fr-FR"/>
        </w:rPr>
        <w:t xml:space="preserve">liés à </w:t>
      </w:r>
      <w:r w:rsidRPr="00562699">
        <w:rPr>
          <w:lang w:val="fr-FR"/>
        </w:rPr>
        <w:t>la phase nationale, mais des difficultés ont été rencontrées en ce qui concerne les processus et les coûts probables.</w:t>
      </w:r>
    </w:p>
    <w:p w14:paraId="2E0CFB6A" w14:textId="54EF992C" w:rsidR="009246D2" w:rsidRPr="00562699" w:rsidRDefault="00CB23D2" w:rsidP="00141A5E">
      <w:pPr>
        <w:pStyle w:val="ONUMFS"/>
        <w:rPr>
          <w:lang w:val="fr-FR"/>
        </w:rPr>
      </w:pPr>
      <w:r w:rsidRPr="00562699">
        <w:rPr>
          <w:lang w:val="fr-FR"/>
        </w:rPr>
        <w:lastRenderedPageBreak/>
        <w:t xml:space="preserve">En réponse à </w:t>
      </w:r>
      <w:r w:rsidR="00487E18" w:rsidRPr="00562699">
        <w:rPr>
          <w:lang w:val="fr-FR"/>
        </w:rPr>
        <w:t>la</w:t>
      </w:r>
      <w:r w:rsidRPr="00562699">
        <w:rPr>
          <w:lang w:val="fr-FR"/>
        </w:rPr>
        <w:t xml:space="preserve"> question d</w:t>
      </w:r>
      <w:r w:rsidR="003C64A0">
        <w:rPr>
          <w:lang w:val="fr-FR"/>
        </w:rPr>
        <w:t>’</w:t>
      </w:r>
      <w:r w:rsidRPr="00562699">
        <w:rPr>
          <w:lang w:val="fr-FR"/>
        </w:rPr>
        <w:t xml:space="preserve">une administration, le Bureau </w:t>
      </w:r>
      <w:r w:rsidR="00390F75" w:rsidRPr="00562699">
        <w:rPr>
          <w:lang w:val="fr-FR"/>
        </w:rPr>
        <w:t>i</w:t>
      </w:r>
      <w:r w:rsidRPr="00562699">
        <w:rPr>
          <w:lang w:val="fr-FR"/>
        </w:rPr>
        <w:t xml:space="preserve">nternational a précisé que ce projet pilote avait été conçu spécifiquement comme un projet entre les </w:t>
      </w:r>
      <w:r w:rsidR="00390F75" w:rsidRPr="00562699">
        <w:rPr>
          <w:lang w:val="fr-FR"/>
        </w:rPr>
        <w:t>o</w:t>
      </w:r>
      <w:r w:rsidRPr="00562699">
        <w:rPr>
          <w:lang w:val="fr-FR"/>
        </w:rPr>
        <w:t xml:space="preserve">ffices </w:t>
      </w:r>
      <w:r w:rsidR="00E746C2" w:rsidRPr="00562699">
        <w:rPr>
          <w:lang w:val="fr-FR"/>
        </w:rPr>
        <w:t>de l</w:t>
      </w:r>
      <w:r w:rsidR="003C64A0">
        <w:rPr>
          <w:lang w:val="fr-FR"/>
        </w:rPr>
        <w:t>’</w:t>
      </w:r>
      <w:r w:rsidRPr="00562699">
        <w:rPr>
          <w:lang w:val="fr-FR"/>
        </w:rPr>
        <w:t>IP5</w:t>
      </w:r>
      <w:r w:rsidR="00390F75" w:rsidRPr="00562699">
        <w:rPr>
          <w:lang w:val="fr-FR"/>
        </w:rPr>
        <w:t xml:space="preserve"> et qu</w:t>
      </w:r>
      <w:r w:rsidR="003C64A0">
        <w:rPr>
          <w:lang w:val="fr-FR"/>
        </w:rPr>
        <w:t>’</w:t>
      </w:r>
      <w:r w:rsidR="00390F75" w:rsidRPr="00562699">
        <w:rPr>
          <w:lang w:val="fr-FR"/>
        </w:rPr>
        <w:t xml:space="preserve">il </w:t>
      </w:r>
      <w:r w:rsidRPr="00562699">
        <w:rPr>
          <w:lang w:val="fr-FR"/>
        </w:rPr>
        <w:t>ne serait pas étendu à d</w:t>
      </w:r>
      <w:r w:rsidR="003C64A0">
        <w:rPr>
          <w:lang w:val="fr-FR"/>
        </w:rPr>
        <w:t>’</w:t>
      </w:r>
      <w:r w:rsidRPr="00562699">
        <w:rPr>
          <w:lang w:val="fr-FR"/>
        </w:rPr>
        <w:t>autres administrations international</w:t>
      </w:r>
      <w:r w:rsidR="00B85EF1" w:rsidRPr="00562699">
        <w:rPr>
          <w:lang w:val="fr-FR"/>
        </w:rPr>
        <w:t>es</w:t>
      </w:r>
      <w:r w:rsidR="00B85EF1">
        <w:rPr>
          <w:lang w:val="fr-FR"/>
        </w:rPr>
        <w:t xml:space="preserve">.  </w:t>
      </w:r>
      <w:r w:rsidR="00B85EF1" w:rsidRPr="00562699">
        <w:rPr>
          <w:lang w:val="fr-FR"/>
        </w:rPr>
        <w:t>D</w:t>
      </w:r>
      <w:r w:rsidR="00B85EF1">
        <w:rPr>
          <w:lang w:val="fr-FR"/>
        </w:rPr>
        <w:t>’</w:t>
      </w:r>
      <w:r w:rsidR="00B85EF1" w:rsidRPr="00562699">
        <w:rPr>
          <w:lang w:val="fr-FR"/>
        </w:rPr>
        <w:t>a</w:t>
      </w:r>
      <w:r w:rsidRPr="00562699">
        <w:rPr>
          <w:lang w:val="fr-FR"/>
        </w:rPr>
        <w:t xml:space="preserve">utres administrations </w:t>
      </w:r>
      <w:r w:rsidR="00390F75" w:rsidRPr="00562699">
        <w:rPr>
          <w:lang w:val="fr-FR"/>
        </w:rPr>
        <w:t xml:space="preserve">seraient libres </w:t>
      </w:r>
      <w:r w:rsidRPr="00562699">
        <w:rPr>
          <w:lang w:val="fr-FR"/>
        </w:rPr>
        <w:t xml:space="preserve">de </w:t>
      </w:r>
      <w:r w:rsidR="00DE3A00" w:rsidRPr="00562699">
        <w:rPr>
          <w:lang w:val="fr-FR"/>
        </w:rPr>
        <w:t xml:space="preserve">mener à bien </w:t>
      </w:r>
      <w:r w:rsidRPr="00562699">
        <w:rPr>
          <w:lang w:val="fr-FR"/>
        </w:rPr>
        <w:t>des projets pilotes similaires s</w:t>
      </w:r>
      <w:r w:rsidR="00DE3A00" w:rsidRPr="00562699">
        <w:rPr>
          <w:lang w:val="fr-FR"/>
        </w:rPr>
        <w:t xml:space="preserve">i elles </w:t>
      </w:r>
      <w:r w:rsidRPr="00562699">
        <w:rPr>
          <w:lang w:val="fr-FR"/>
        </w:rPr>
        <w:t xml:space="preserve">le souhaitaient </w:t>
      </w:r>
      <w:r w:rsidR="00487E18" w:rsidRPr="00562699">
        <w:rPr>
          <w:lang w:val="fr-FR"/>
        </w:rPr>
        <w:t xml:space="preserve">et </w:t>
      </w:r>
      <w:r w:rsidR="00494680" w:rsidRPr="00562699">
        <w:rPr>
          <w:lang w:val="fr-FR"/>
        </w:rPr>
        <w:t xml:space="preserve">si </w:t>
      </w:r>
      <w:r w:rsidRPr="00562699">
        <w:rPr>
          <w:lang w:val="fr-FR"/>
        </w:rPr>
        <w:t xml:space="preserve">le logiciel mis au point par le Bureau </w:t>
      </w:r>
      <w:r w:rsidR="00DE3A00" w:rsidRPr="00562699">
        <w:rPr>
          <w:lang w:val="fr-FR"/>
        </w:rPr>
        <w:t>i</w:t>
      </w:r>
      <w:r w:rsidRPr="00562699">
        <w:rPr>
          <w:lang w:val="fr-FR"/>
        </w:rPr>
        <w:t xml:space="preserve">nternational </w:t>
      </w:r>
      <w:r w:rsidR="00494680" w:rsidRPr="00562699">
        <w:rPr>
          <w:lang w:val="fr-FR"/>
        </w:rPr>
        <w:t>était</w:t>
      </w:r>
      <w:r w:rsidR="00DE3A00" w:rsidRPr="00562699">
        <w:rPr>
          <w:lang w:val="fr-FR"/>
        </w:rPr>
        <w:t xml:space="preserve"> </w:t>
      </w:r>
      <w:r w:rsidRPr="00562699">
        <w:rPr>
          <w:lang w:val="fr-FR"/>
        </w:rPr>
        <w:t xml:space="preserve">suffisamment </w:t>
      </w:r>
      <w:r w:rsidR="00DE3A00" w:rsidRPr="00562699">
        <w:rPr>
          <w:lang w:val="fr-FR"/>
        </w:rPr>
        <w:t xml:space="preserve">flexible pour permettre </w:t>
      </w:r>
      <w:r w:rsidR="00494680" w:rsidRPr="00562699">
        <w:rPr>
          <w:lang w:val="fr-FR"/>
        </w:rPr>
        <w:t xml:space="preserve">de soutenir </w:t>
      </w:r>
      <w:r w:rsidR="00487E18" w:rsidRPr="00562699">
        <w:rPr>
          <w:lang w:val="fr-FR"/>
        </w:rPr>
        <w:t>un tel disposit</w:t>
      </w:r>
      <w:r w:rsidR="00B85EF1" w:rsidRPr="00562699">
        <w:rPr>
          <w:lang w:val="fr-FR"/>
        </w:rPr>
        <w:t>if</w:t>
      </w:r>
      <w:r w:rsidR="00B85EF1">
        <w:rPr>
          <w:lang w:val="fr-FR"/>
        </w:rPr>
        <w:t xml:space="preserve">.  </w:t>
      </w:r>
      <w:r w:rsidR="00B85EF1" w:rsidRPr="00562699">
        <w:rPr>
          <w:lang w:val="fr-FR"/>
        </w:rPr>
        <w:t>Ce</w:t>
      </w:r>
      <w:r w:rsidRPr="00562699">
        <w:rPr>
          <w:lang w:val="fr-FR"/>
        </w:rPr>
        <w:t xml:space="preserve">pendant, les questions </w:t>
      </w:r>
      <w:r w:rsidR="00487E18" w:rsidRPr="00562699">
        <w:rPr>
          <w:lang w:val="fr-FR"/>
        </w:rPr>
        <w:t>à</w:t>
      </w:r>
      <w:r w:rsidRPr="00562699">
        <w:rPr>
          <w:lang w:val="fr-FR"/>
        </w:rPr>
        <w:t xml:space="preserve"> approuv</w:t>
      </w:r>
      <w:r w:rsidR="00487E18" w:rsidRPr="00562699">
        <w:rPr>
          <w:lang w:val="fr-FR"/>
        </w:rPr>
        <w:t xml:space="preserve">er et à mettre en œuvre </w:t>
      </w:r>
      <w:r w:rsidRPr="00562699">
        <w:rPr>
          <w:lang w:val="fr-FR"/>
        </w:rPr>
        <w:t xml:space="preserve">par les </w:t>
      </w:r>
      <w:r w:rsidR="00487E18" w:rsidRPr="00562699">
        <w:rPr>
          <w:lang w:val="fr-FR"/>
        </w:rPr>
        <w:t>o</w:t>
      </w:r>
      <w:r w:rsidRPr="00562699">
        <w:rPr>
          <w:lang w:val="fr-FR"/>
        </w:rPr>
        <w:t xml:space="preserve">ffices participants étaient suffisamment complexes pour </w:t>
      </w:r>
      <w:r w:rsidR="00487E18" w:rsidRPr="00562699">
        <w:rPr>
          <w:lang w:val="fr-FR"/>
        </w:rPr>
        <w:t xml:space="preserve">considérer </w:t>
      </w:r>
      <w:r w:rsidRPr="00562699">
        <w:rPr>
          <w:lang w:val="fr-FR"/>
        </w:rPr>
        <w:t>qu</w:t>
      </w:r>
      <w:r w:rsidR="003C64A0">
        <w:rPr>
          <w:lang w:val="fr-FR"/>
        </w:rPr>
        <w:t>’</w:t>
      </w:r>
      <w:r w:rsidRPr="00562699">
        <w:rPr>
          <w:lang w:val="fr-FR"/>
        </w:rPr>
        <w:t>il s</w:t>
      </w:r>
      <w:r w:rsidR="003C64A0">
        <w:rPr>
          <w:lang w:val="fr-FR"/>
        </w:rPr>
        <w:t>’</w:t>
      </w:r>
      <w:r w:rsidRPr="00562699">
        <w:rPr>
          <w:lang w:val="fr-FR"/>
        </w:rPr>
        <w:t>agi</w:t>
      </w:r>
      <w:r w:rsidR="00487E18" w:rsidRPr="00562699">
        <w:rPr>
          <w:lang w:val="fr-FR"/>
        </w:rPr>
        <w:t xml:space="preserve">rait </w:t>
      </w:r>
      <w:r w:rsidRPr="00562699">
        <w:rPr>
          <w:lang w:val="fr-FR"/>
        </w:rPr>
        <w:t>d</w:t>
      </w:r>
      <w:r w:rsidR="003C64A0">
        <w:rPr>
          <w:lang w:val="fr-FR"/>
        </w:rPr>
        <w:t>’</w:t>
      </w:r>
      <w:r w:rsidRPr="00562699">
        <w:rPr>
          <w:lang w:val="fr-FR"/>
        </w:rPr>
        <w:t>une tâche chronophage qui ne devait pas être prise à la légère.</w:t>
      </w:r>
    </w:p>
    <w:p w14:paraId="4315CEE0" w14:textId="7CADDCF4" w:rsidR="009246D2" w:rsidRPr="00562699" w:rsidRDefault="00CB23D2" w:rsidP="00141A5E">
      <w:pPr>
        <w:pStyle w:val="ONUMFS"/>
        <w:ind w:left="567"/>
        <w:rPr>
          <w:szCs w:val="22"/>
          <w:lang w:val="fr-FR"/>
        </w:rPr>
      </w:pPr>
      <w:r w:rsidRPr="00562699">
        <w:rPr>
          <w:szCs w:val="22"/>
          <w:lang w:val="fr-FR"/>
        </w:rPr>
        <w:t xml:space="preserve">La </w:t>
      </w:r>
      <w:r w:rsidR="00487E18" w:rsidRPr="00562699">
        <w:rPr>
          <w:szCs w:val="22"/>
          <w:lang w:val="fr-FR"/>
        </w:rPr>
        <w:t>R</w:t>
      </w:r>
      <w:r w:rsidRPr="00562699">
        <w:rPr>
          <w:szCs w:val="22"/>
          <w:lang w:val="fr-FR"/>
        </w:rPr>
        <w:t>éunion a pris note du rapport sur l</w:t>
      </w:r>
      <w:r w:rsidR="003C64A0">
        <w:rPr>
          <w:szCs w:val="22"/>
          <w:lang w:val="fr-FR"/>
        </w:rPr>
        <w:t>’</w:t>
      </w:r>
      <w:r w:rsidRPr="00562699">
        <w:rPr>
          <w:szCs w:val="22"/>
          <w:lang w:val="fr-FR"/>
        </w:rPr>
        <w:t>état d</w:t>
      </w:r>
      <w:r w:rsidR="003C64A0">
        <w:rPr>
          <w:szCs w:val="22"/>
          <w:lang w:val="fr-FR"/>
        </w:rPr>
        <w:t>’</w:t>
      </w:r>
      <w:r w:rsidRPr="00562699">
        <w:rPr>
          <w:szCs w:val="22"/>
          <w:lang w:val="fr-FR"/>
        </w:rPr>
        <w:t xml:space="preserve">avancement </w:t>
      </w:r>
      <w:r w:rsidR="00C520E9" w:rsidRPr="00562699">
        <w:rPr>
          <w:szCs w:val="22"/>
          <w:lang w:val="fr-FR"/>
        </w:rPr>
        <w:t>des travaux figurant dans le</w:t>
      </w:r>
      <w:r w:rsidRPr="00562699">
        <w:rPr>
          <w:szCs w:val="22"/>
          <w:lang w:val="fr-FR"/>
        </w:rPr>
        <w:t xml:space="preserve"> document PCT/MIA/26/4.</w:t>
      </w:r>
    </w:p>
    <w:p w14:paraId="36AE3826" w14:textId="6BD7EC51" w:rsidR="009246D2" w:rsidRPr="00562699" w:rsidRDefault="00CB23D2" w:rsidP="00562699">
      <w:pPr>
        <w:pStyle w:val="Heading1"/>
        <w:rPr>
          <w:lang w:val="fr-FR"/>
        </w:rPr>
      </w:pPr>
      <w:r w:rsidRPr="00562699">
        <w:rPr>
          <w:lang w:val="fr-FR"/>
        </w:rPr>
        <w:t>Point</w:t>
      </w:r>
      <w:r w:rsidR="004E4E83" w:rsidRPr="00562699">
        <w:rPr>
          <w:lang w:val="fr-FR"/>
        </w:rPr>
        <w:t> </w:t>
      </w:r>
      <w:r w:rsidRPr="00562699">
        <w:rPr>
          <w:lang w:val="fr-FR"/>
        </w:rPr>
        <w:t>15 de l</w:t>
      </w:r>
      <w:r w:rsidR="003C64A0">
        <w:rPr>
          <w:lang w:val="fr-FR"/>
        </w:rPr>
        <w:t>’</w:t>
      </w:r>
      <w:r w:rsidRPr="00562699">
        <w:rPr>
          <w:lang w:val="fr-FR"/>
        </w:rPr>
        <w:t>ordre du jour</w:t>
      </w:r>
      <w:r w:rsidR="003C64A0">
        <w:rPr>
          <w:lang w:val="fr-FR"/>
        </w:rPr>
        <w:t> :</w:t>
      </w:r>
      <w:r w:rsidRPr="00562699">
        <w:rPr>
          <w:lang w:val="fr-FR"/>
        </w:rPr>
        <w:t xml:space="preserve"> </w:t>
      </w:r>
      <w:r w:rsidR="00562699" w:rsidRPr="00562699">
        <w:rPr>
          <w:lang w:val="fr-FR"/>
        </w:rPr>
        <w:t>Équipe d</w:t>
      </w:r>
      <w:r w:rsidR="003C64A0">
        <w:rPr>
          <w:lang w:val="fr-FR"/>
        </w:rPr>
        <w:t>’</w:t>
      </w:r>
      <w:r w:rsidR="00562699" w:rsidRPr="00562699">
        <w:rPr>
          <w:lang w:val="fr-FR"/>
        </w:rPr>
        <w:t>experts chargée de la documentation minimale</w:t>
      </w:r>
      <w:r w:rsidR="003C64A0" w:rsidRPr="00562699">
        <w:rPr>
          <w:lang w:val="fr-FR"/>
        </w:rPr>
        <w:t xml:space="preserve"> du</w:t>
      </w:r>
      <w:r w:rsidR="003C64A0">
        <w:rPr>
          <w:lang w:val="fr-FR"/>
        </w:rPr>
        <w:t> </w:t>
      </w:r>
      <w:r w:rsidR="003C64A0" w:rsidRPr="00562699">
        <w:rPr>
          <w:lang w:val="fr-FR"/>
        </w:rPr>
        <w:t>PCT</w:t>
      </w:r>
    </w:p>
    <w:p w14:paraId="3F1C1A74" w14:textId="77777777" w:rsidR="00141A5E" w:rsidRPr="00562699" w:rsidRDefault="00141A5E" w:rsidP="00141A5E">
      <w:pPr>
        <w:rPr>
          <w:lang w:val="fr-FR"/>
        </w:rPr>
      </w:pPr>
    </w:p>
    <w:p w14:paraId="54ACDC4D" w14:textId="77777777" w:rsidR="009246D2" w:rsidRPr="00562699" w:rsidRDefault="00CB23D2" w:rsidP="00562699">
      <w:pPr>
        <w:pStyle w:val="ONUMFS"/>
        <w:rPr>
          <w:lang w:val="fr-FR"/>
        </w:rPr>
      </w:pPr>
      <w:r w:rsidRPr="00562699">
        <w:rPr>
          <w:lang w:val="fr-FR"/>
        </w:rPr>
        <w:t>Les délibérations ont eu lieu sur la base du document PCT/MIA/26/8.</w:t>
      </w:r>
    </w:p>
    <w:p w14:paraId="068C4F4A" w14:textId="3D9262CC" w:rsidR="009246D2" w:rsidRPr="00562699" w:rsidRDefault="00CB23D2" w:rsidP="00562699">
      <w:pPr>
        <w:pStyle w:val="ONUMFS"/>
        <w:rPr>
          <w:lang w:val="fr-FR"/>
        </w:rPr>
      </w:pPr>
      <w:r w:rsidRPr="00562699">
        <w:rPr>
          <w:lang w:val="fr-FR"/>
        </w:rPr>
        <w:t>L</w:t>
      </w:r>
      <w:r w:rsidR="003C64A0">
        <w:rPr>
          <w:lang w:val="fr-FR"/>
        </w:rPr>
        <w:t>’</w:t>
      </w:r>
      <w:r w:rsidRPr="00562699">
        <w:rPr>
          <w:lang w:val="fr-FR"/>
        </w:rPr>
        <w:t>Office européen des brevets a souligné les progrès accomplis par l</w:t>
      </w:r>
      <w:r w:rsidR="003C64A0">
        <w:rPr>
          <w:lang w:val="fr-FR"/>
        </w:rPr>
        <w:t>’</w:t>
      </w:r>
      <w:r w:rsidRPr="00562699">
        <w:rPr>
          <w:lang w:val="fr-FR"/>
        </w:rPr>
        <w:t>équipe d</w:t>
      </w:r>
      <w:r w:rsidR="003C64A0">
        <w:rPr>
          <w:lang w:val="fr-FR"/>
        </w:rPr>
        <w:t>’</w:t>
      </w:r>
      <w:r w:rsidRPr="00562699">
        <w:rPr>
          <w:lang w:val="fr-FR"/>
        </w:rPr>
        <w:t>experts moyen</w:t>
      </w:r>
      <w:r w:rsidR="00C520E9" w:rsidRPr="00562699">
        <w:rPr>
          <w:lang w:val="fr-FR"/>
        </w:rPr>
        <w:t>nant</w:t>
      </w:r>
      <w:r w:rsidRPr="00562699">
        <w:rPr>
          <w:lang w:val="fr-FR"/>
        </w:rPr>
        <w:t xml:space="preserve"> plusieurs séries de discussions </w:t>
      </w:r>
      <w:r w:rsidR="00487E18" w:rsidRPr="00562699">
        <w:rPr>
          <w:lang w:val="fr-FR"/>
        </w:rPr>
        <w:t>sur</w:t>
      </w:r>
      <w:r w:rsidRPr="00562699">
        <w:rPr>
          <w:lang w:val="fr-FR"/>
        </w:rPr>
        <w:t xml:space="preserve"> le forum électronique et a encouragé les </w:t>
      </w:r>
      <w:r w:rsidR="00487E18" w:rsidRPr="00562699">
        <w:rPr>
          <w:lang w:val="fr-FR"/>
        </w:rPr>
        <w:t>of</w:t>
      </w:r>
      <w:r w:rsidRPr="00562699">
        <w:rPr>
          <w:lang w:val="fr-FR"/>
        </w:rPr>
        <w:t>fices à participer activement à ces discussio</w:t>
      </w:r>
      <w:r w:rsidR="00B85EF1" w:rsidRPr="00562699">
        <w:rPr>
          <w:lang w:val="fr-FR"/>
        </w:rPr>
        <w:t>ns</w:t>
      </w:r>
      <w:r w:rsidR="00B85EF1">
        <w:rPr>
          <w:lang w:val="fr-FR"/>
        </w:rPr>
        <w:t xml:space="preserve">.  </w:t>
      </w:r>
      <w:r w:rsidR="00B85EF1" w:rsidRPr="00562699">
        <w:rPr>
          <w:lang w:val="fr-FR"/>
        </w:rPr>
        <w:t>S</w:t>
      </w:r>
      <w:r w:rsidR="00B85EF1">
        <w:rPr>
          <w:lang w:val="fr-FR"/>
        </w:rPr>
        <w:t>’</w:t>
      </w:r>
      <w:r w:rsidR="00B85EF1" w:rsidRPr="00562699">
        <w:rPr>
          <w:lang w:val="fr-FR"/>
        </w:rPr>
        <w:t>a</w:t>
      </w:r>
      <w:r w:rsidRPr="00562699">
        <w:rPr>
          <w:lang w:val="fr-FR"/>
        </w:rPr>
        <w:t>gissant de l</w:t>
      </w:r>
      <w:r w:rsidR="003C64A0">
        <w:rPr>
          <w:lang w:val="fr-FR"/>
        </w:rPr>
        <w:t>’</w:t>
      </w:r>
      <w:r w:rsidRPr="00562699">
        <w:rPr>
          <w:lang w:val="fr-FR"/>
        </w:rPr>
        <w:t>objectif A, les inventaires de la documentation minimale existante avaient été achevés et la mise à jour de la documentation officielle pourrait commencer sous p</w:t>
      </w:r>
      <w:r w:rsidR="00B85EF1" w:rsidRPr="00562699">
        <w:rPr>
          <w:lang w:val="fr-FR"/>
        </w:rPr>
        <w:t>eu</w:t>
      </w:r>
      <w:r w:rsidR="00B85EF1">
        <w:rPr>
          <w:lang w:val="fr-FR"/>
        </w:rPr>
        <w:t xml:space="preserve">.  </w:t>
      </w:r>
      <w:r w:rsidR="00B85EF1" w:rsidRPr="00562699">
        <w:rPr>
          <w:lang w:val="fr-FR"/>
        </w:rPr>
        <w:t>S</w:t>
      </w:r>
      <w:r w:rsidR="00B85EF1">
        <w:rPr>
          <w:lang w:val="fr-FR"/>
        </w:rPr>
        <w:t>’</w:t>
      </w:r>
      <w:r w:rsidR="00B85EF1" w:rsidRPr="00562699">
        <w:rPr>
          <w:lang w:val="fr-FR"/>
        </w:rPr>
        <w:t>a</w:t>
      </w:r>
      <w:r w:rsidRPr="00562699">
        <w:rPr>
          <w:lang w:val="fr-FR"/>
        </w:rPr>
        <w:t>gissant de l</w:t>
      </w:r>
      <w:r w:rsidR="003C64A0">
        <w:rPr>
          <w:lang w:val="fr-FR"/>
        </w:rPr>
        <w:t>’</w:t>
      </w:r>
      <w:r w:rsidRPr="00562699">
        <w:rPr>
          <w:lang w:val="fr-FR"/>
        </w:rPr>
        <w:t xml:space="preserve">objectif B, des progrès considérables avaient été accomplis sur les objectifs à atteindre </w:t>
      </w:r>
      <w:r w:rsidR="00494680" w:rsidRPr="00562699">
        <w:rPr>
          <w:lang w:val="fr-FR"/>
        </w:rPr>
        <w:t>en ce qui concerne</w:t>
      </w:r>
      <w:r w:rsidRPr="00562699">
        <w:rPr>
          <w:lang w:val="fr-FR"/>
        </w:rPr>
        <w:t xml:space="preserve"> les </w:t>
      </w:r>
      <w:r w:rsidR="00CF43CB" w:rsidRPr="00562699">
        <w:rPr>
          <w:lang w:val="fr-FR"/>
        </w:rPr>
        <w:t>conditions</w:t>
      </w:r>
      <w:r w:rsidRPr="00562699">
        <w:rPr>
          <w:lang w:val="fr-FR"/>
        </w:rPr>
        <w:t xml:space="preserve"> et les normes </w:t>
      </w:r>
      <w:r w:rsidR="00CF43CB" w:rsidRPr="00562699">
        <w:rPr>
          <w:lang w:val="fr-FR"/>
        </w:rPr>
        <w:t xml:space="preserve">requises pour </w:t>
      </w:r>
      <w:r w:rsidRPr="00562699">
        <w:rPr>
          <w:lang w:val="fr-FR"/>
        </w:rPr>
        <w:t>l</w:t>
      </w:r>
      <w:r w:rsidR="003C64A0">
        <w:rPr>
          <w:lang w:val="fr-FR"/>
        </w:rPr>
        <w:t>’</w:t>
      </w:r>
      <w:r w:rsidRPr="00562699">
        <w:rPr>
          <w:lang w:val="fr-FR"/>
        </w:rPr>
        <w:t>inclusion d</w:t>
      </w:r>
      <w:r w:rsidR="003C64A0">
        <w:rPr>
          <w:lang w:val="fr-FR"/>
        </w:rPr>
        <w:t>’</w:t>
      </w:r>
      <w:r w:rsidRPr="00562699">
        <w:rPr>
          <w:lang w:val="fr-FR"/>
        </w:rPr>
        <w:t>une collection de brevets dans la documentation minimale</w:t>
      </w:r>
      <w:r w:rsidR="003C64A0" w:rsidRPr="00562699">
        <w:rPr>
          <w:lang w:val="fr-FR"/>
        </w:rPr>
        <w:t xml:space="preserve"> du</w:t>
      </w:r>
      <w:r w:rsidR="003C64A0">
        <w:rPr>
          <w:lang w:val="fr-FR"/>
        </w:rPr>
        <w:t> </w:t>
      </w:r>
      <w:r w:rsidR="00B85EF1" w:rsidRPr="00562699">
        <w:rPr>
          <w:lang w:val="fr-FR"/>
        </w:rPr>
        <w:t>PCT</w:t>
      </w:r>
      <w:r w:rsidR="00B85EF1">
        <w:rPr>
          <w:lang w:val="fr-FR"/>
        </w:rPr>
        <w:t xml:space="preserve">.  </w:t>
      </w:r>
      <w:r w:rsidR="00B85EF1" w:rsidRPr="00562699">
        <w:rPr>
          <w:lang w:val="fr-FR"/>
        </w:rPr>
        <w:t>En</w:t>
      </w:r>
      <w:r w:rsidRPr="00562699">
        <w:rPr>
          <w:lang w:val="fr-FR"/>
        </w:rPr>
        <w:t xml:space="preserve"> particulier, un </w:t>
      </w:r>
      <w:r w:rsidR="00CF43CB" w:rsidRPr="00562699">
        <w:rPr>
          <w:lang w:val="fr-FR"/>
        </w:rPr>
        <w:t>large</w:t>
      </w:r>
      <w:r w:rsidRPr="00562699">
        <w:rPr>
          <w:lang w:val="fr-FR"/>
        </w:rPr>
        <w:t xml:space="preserve"> soutien </w:t>
      </w:r>
      <w:r w:rsidR="00CF43CB" w:rsidRPr="00562699">
        <w:rPr>
          <w:lang w:val="fr-FR"/>
        </w:rPr>
        <w:t>semblait se dégager en faveur de</w:t>
      </w:r>
      <w:r w:rsidRPr="00562699">
        <w:rPr>
          <w:lang w:val="fr-FR"/>
        </w:rPr>
        <w:t xml:space="preserve"> </w:t>
      </w:r>
      <w:r w:rsidR="00CF43CB" w:rsidRPr="00562699">
        <w:rPr>
          <w:lang w:val="fr-FR"/>
        </w:rPr>
        <w:t>l</w:t>
      </w:r>
      <w:r w:rsidR="003C64A0">
        <w:rPr>
          <w:lang w:val="fr-FR"/>
        </w:rPr>
        <w:t>’</w:t>
      </w:r>
      <w:r w:rsidR="00CF43CB" w:rsidRPr="00562699">
        <w:rPr>
          <w:lang w:val="fr-FR"/>
        </w:rPr>
        <w:t>extension</w:t>
      </w:r>
      <w:r w:rsidRPr="00562699">
        <w:rPr>
          <w:lang w:val="fr-FR"/>
        </w:rPr>
        <w:t xml:space="preserve"> de la possibilité d</w:t>
      </w:r>
      <w:r w:rsidR="003C64A0">
        <w:rPr>
          <w:lang w:val="fr-FR"/>
        </w:rPr>
        <w:t>’</w:t>
      </w:r>
      <w:r w:rsidRPr="00562699">
        <w:rPr>
          <w:lang w:val="fr-FR"/>
        </w:rPr>
        <w:t>inclure les collections dans n</w:t>
      </w:r>
      <w:r w:rsidR="003C64A0">
        <w:rPr>
          <w:lang w:val="fr-FR"/>
        </w:rPr>
        <w:t>’</w:t>
      </w:r>
      <w:r w:rsidRPr="00562699">
        <w:rPr>
          <w:lang w:val="fr-FR"/>
        </w:rPr>
        <w:t xml:space="preserve">importe quelle langue, à condition que des </w:t>
      </w:r>
      <w:r w:rsidR="00CF43CB" w:rsidRPr="00562699">
        <w:rPr>
          <w:lang w:val="fr-FR"/>
        </w:rPr>
        <w:t>critères</w:t>
      </w:r>
      <w:r w:rsidRPr="00562699">
        <w:rPr>
          <w:lang w:val="fr-FR"/>
        </w:rPr>
        <w:t xml:space="preserve"> techniques appropriés soient rempl</w:t>
      </w:r>
      <w:r w:rsidR="00B85EF1" w:rsidRPr="00562699">
        <w:rPr>
          <w:lang w:val="fr-FR"/>
        </w:rPr>
        <w:t>is</w:t>
      </w:r>
      <w:r w:rsidR="00B85EF1">
        <w:rPr>
          <w:lang w:val="fr-FR"/>
        </w:rPr>
        <w:t xml:space="preserve">.  </w:t>
      </w:r>
      <w:r w:rsidR="00B85EF1" w:rsidRPr="00562699">
        <w:rPr>
          <w:lang w:val="fr-FR"/>
        </w:rPr>
        <w:t>Il</w:t>
      </w:r>
      <w:r w:rsidRPr="00562699">
        <w:rPr>
          <w:lang w:val="fr-FR"/>
        </w:rPr>
        <w:t xml:space="preserve"> serait désormais nécessaire d</w:t>
      </w:r>
      <w:r w:rsidR="003C64A0">
        <w:rPr>
          <w:lang w:val="fr-FR"/>
        </w:rPr>
        <w:t>’</w:t>
      </w:r>
      <w:r w:rsidRPr="00562699">
        <w:rPr>
          <w:lang w:val="fr-FR"/>
        </w:rPr>
        <w:t>assurer le suivi de certains détails et d</w:t>
      </w:r>
      <w:r w:rsidR="003C64A0">
        <w:rPr>
          <w:lang w:val="fr-FR"/>
        </w:rPr>
        <w:t>’</w:t>
      </w:r>
      <w:r w:rsidRPr="00562699">
        <w:rPr>
          <w:lang w:val="fr-FR"/>
        </w:rPr>
        <w:t>é</w:t>
      </w:r>
      <w:r w:rsidR="00CF43CB" w:rsidRPr="00562699">
        <w:rPr>
          <w:lang w:val="fr-FR"/>
        </w:rPr>
        <w:t xml:space="preserve">tablir </w:t>
      </w:r>
      <w:r w:rsidRPr="00562699">
        <w:rPr>
          <w:lang w:val="fr-FR"/>
        </w:rPr>
        <w:t xml:space="preserve">un </w:t>
      </w:r>
      <w:r w:rsidR="00C520E9" w:rsidRPr="00562699">
        <w:rPr>
          <w:lang w:val="fr-FR"/>
        </w:rPr>
        <w:t xml:space="preserve">texte </w:t>
      </w:r>
      <w:r w:rsidR="00CF43CB" w:rsidRPr="00562699">
        <w:rPr>
          <w:lang w:val="fr-FR"/>
        </w:rPr>
        <w:t xml:space="preserve">spécifique </w:t>
      </w:r>
      <w:r w:rsidRPr="00562699">
        <w:rPr>
          <w:lang w:val="fr-FR"/>
        </w:rPr>
        <w:t xml:space="preserve">pour </w:t>
      </w:r>
      <w:r w:rsidR="00CF43CB" w:rsidRPr="00562699">
        <w:rPr>
          <w:lang w:val="fr-FR"/>
        </w:rPr>
        <w:t>exposer</w:t>
      </w:r>
      <w:r w:rsidRPr="00562699">
        <w:rPr>
          <w:lang w:val="fr-FR"/>
        </w:rPr>
        <w:t xml:space="preserve"> les princip</w:t>
      </w:r>
      <w:r w:rsidR="00B85EF1" w:rsidRPr="00562699">
        <w:rPr>
          <w:lang w:val="fr-FR"/>
        </w:rPr>
        <w:t>es</w:t>
      </w:r>
      <w:r w:rsidR="00B85EF1">
        <w:rPr>
          <w:lang w:val="fr-FR"/>
        </w:rPr>
        <w:t xml:space="preserve">.  </w:t>
      </w:r>
      <w:r w:rsidR="00B85EF1" w:rsidRPr="00562699">
        <w:rPr>
          <w:lang w:val="fr-FR"/>
        </w:rPr>
        <w:t>La</w:t>
      </w:r>
      <w:r w:rsidR="00CF43CB" w:rsidRPr="00562699">
        <w:rPr>
          <w:lang w:val="fr-FR"/>
        </w:rPr>
        <w:t xml:space="preserve"> Réunion a manifesté </w:t>
      </w:r>
      <w:r w:rsidRPr="00562699">
        <w:rPr>
          <w:lang w:val="fr-FR"/>
        </w:rPr>
        <w:t xml:space="preserve">un </w:t>
      </w:r>
      <w:r w:rsidR="00C520E9" w:rsidRPr="00562699">
        <w:rPr>
          <w:lang w:val="fr-FR"/>
        </w:rPr>
        <w:t xml:space="preserve">vif </w:t>
      </w:r>
      <w:r w:rsidRPr="00562699">
        <w:rPr>
          <w:lang w:val="fr-FR"/>
        </w:rPr>
        <w:t xml:space="preserve">intérêt </w:t>
      </w:r>
      <w:r w:rsidR="00C520E9" w:rsidRPr="00562699">
        <w:rPr>
          <w:lang w:val="fr-FR"/>
        </w:rPr>
        <w:t>po</w:t>
      </w:r>
      <w:r w:rsidR="004722D4">
        <w:rPr>
          <w:lang w:val="fr-FR"/>
        </w:rPr>
        <w:t>ur</w:t>
      </w:r>
      <w:r w:rsidR="00C520E9" w:rsidRPr="00562699">
        <w:rPr>
          <w:lang w:val="fr-FR"/>
        </w:rPr>
        <w:t xml:space="preserve"> l</w:t>
      </w:r>
      <w:r w:rsidR="003C64A0">
        <w:rPr>
          <w:lang w:val="fr-FR"/>
        </w:rPr>
        <w:t>’</w:t>
      </w:r>
      <w:r w:rsidR="00C520E9" w:rsidRPr="00562699">
        <w:rPr>
          <w:lang w:val="fr-FR"/>
        </w:rPr>
        <w:t xml:space="preserve">extension de ces </w:t>
      </w:r>
      <w:r w:rsidRPr="00562699">
        <w:rPr>
          <w:lang w:val="fr-FR"/>
        </w:rPr>
        <w:t>mêmes notions aux modèles d</w:t>
      </w:r>
      <w:r w:rsidR="003C64A0">
        <w:rPr>
          <w:lang w:val="fr-FR"/>
        </w:rPr>
        <w:t>’</w:t>
      </w:r>
      <w:r w:rsidRPr="00562699">
        <w:rPr>
          <w:lang w:val="fr-FR"/>
        </w:rPr>
        <w:t xml:space="preserve">utilité et aux brevets, </w:t>
      </w:r>
      <w:r w:rsidR="00CF43CB" w:rsidRPr="00562699">
        <w:rPr>
          <w:lang w:val="fr-FR"/>
        </w:rPr>
        <w:t xml:space="preserve">en dépit de la persistance de </w:t>
      </w:r>
      <w:r w:rsidRPr="00562699">
        <w:rPr>
          <w:lang w:val="fr-FR"/>
        </w:rPr>
        <w:t xml:space="preserve">préoccupations plus </w:t>
      </w:r>
      <w:r w:rsidR="00CF43CB" w:rsidRPr="00562699">
        <w:rPr>
          <w:lang w:val="fr-FR"/>
        </w:rPr>
        <w:t>général</w:t>
      </w:r>
      <w:r w:rsidR="00B85EF1" w:rsidRPr="00562699">
        <w:rPr>
          <w:lang w:val="fr-FR"/>
        </w:rPr>
        <w:t>es</w:t>
      </w:r>
      <w:r w:rsidR="00B85EF1">
        <w:rPr>
          <w:lang w:val="fr-FR"/>
        </w:rPr>
        <w:t xml:space="preserve">.  </w:t>
      </w:r>
      <w:r w:rsidR="00B85EF1" w:rsidRPr="00562699">
        <w:rPr>
          <w:lang w:val="fr-FR"/>
        </w:rPr>
        <w:t>De</w:t>
      </w:r>
      <w:r w:rsidRPr="00562699">
        <w:rPr>
          <w:lang w:val="fr-FR"/>
        </w:rPr>
        <w:t xml:space="preserve">s progrès considérables avaient également été accomplis </w:t>
      </w:r>
      <w:r w:rsidR="00C520E9" w:rsidRPr="00562699">
        <w:rPr>
          <w:lang w:val="fr-FR"/>
        </w:rPr>
        <w:t>concernant</w:t>
      </w:r>
      <w:r w:rsidRPr="00562699">
        <w:rPr>
          <w:lang w:val="fr-FR"/>
        </w:rPr>
        <w:t xml:space="preserve"> l</w:t>
      </w:r>
      <w:r w:rsidR="003C64A0">
        <w:rPr>
          <w:lang w:val="fr-FR"/>
        </w:rPr>
        <w:t>’</w:t>
      </w:r>
      <w:r w:rsidRPr="00562699">
        <w:rPr>
          <w:lang w:val="fr-FR"/>
        </w:rPr>
        <w:t>objectif C</w:t>
      </w:r>
      <w:r w:rsidR="00CF43CB" w:rsidRPr="00562699">
        <w:rPr>
          <w:lang w:val="fr-FR"/>
        </w:rPr>
        <w:t xml:space="preserve"> relatif aux </w:t>
      </w:r>
      <w:r w:rsidRPr="00562699">
        <w:rPr>
          <w:lang w:val="fr-FR"/>
        </w:rPr>
        <w:t xml:space="preserve">données bibliographiques et </w:t>
      </w:r>
      <w:r w:rsidR="00CF43CB" w:rsidRPr="00562699">
        <w:rPr>
          <w:lang w:val="fr-FR"/>
        </w:rPr>
        <w:t xml:space="preserve">aux </w:t>
      </w:r>
      <w:r w:rsidRPr="00562699">
        <w:rPr>
          <w:lang w:val="fr-FR"/>
        </w:rPr>
        <w:t>éléments text</w:t>
      </w:r>
      <w:r w:rsidR="00C520E9" w:rsidRPr="00562699">
        <w:rPr>
          <w:lang w:val="fr-FR"/>
        </w:rPr>
        <w:t>u</w:t>
      </w:r>
      <w:r w:rsidRPr="00562699">
        <w:rPr>
          <w:lang w:val="fr-FR"/>
        </w:rPr>
        <w:t>e</w:t>
      </w:r>
      <w:r w:rsidR="00C520E9" w:rsidRPr="00562699">
        <w:rPr>
          <w:lang w:val="fr-FR"/>
        </w:rPr>
        <w:t>ls</w:t>
      </w:r>
      <w:r w:rsidRPr="00562699">
        <w:rPr>
          <w:lang w:val="fr-FR"/>
        </w:rPr>
        <w:t xml:space="preserve"> des données </w:t>
      </w:r>
      <w:r w:rsidR="00C520E9" w:rsidRPr="00562699">
        <w:rPr>
          <w:lang w:val="fr-FR"/>
        </w:rPr>
        <w:t xml:space="preserve">de </w:t>
      </w:r>
      <w:r w:rsidRPr="00562699">
        <w:rPr>
          <w:lang w:val="fr-FR"/>
        </w:rPr>
        <w:t>brevet qui devaient être fournis pour les collections faisant partie de la documentation minimale.</w:t>
      </w:r>
      <w:r w:rsidR="008D1E3B" w:rsidRPr="00562699">
        <w:rPr>
          <w:lang w:val="fr-FR"/>
        </w:rPr>
        <w:t xml:space="preserve">  </w:t>
      </w:r>
      <w:r w:rsidRPr="00562699">
        <w:rPr>
          <w:lang w:val="fr-FR"/>
        </w:rPr>
        <w:t>L</w:t>
      </w:r>
      <w:r w:rsidR="003C64A0">
        <w:rPr>
          <w:lang w:val="fr-FR"/>
        </w:rPr>
        <w:t>’</w:t>
      </w:r>
      <w:r w:rsidR="00CF43CB" w:rsidRPr="00562699">
        <w:rPr>
          <w:lang w:val="fr-FR"/>
        </w:rPr>
        <w:t>OEB</w:t>
      </w:r>
      <w:r w:rsidRPr="00562699">
        <w:rPr>
          <w:lang w:val="fr-FR"/>
        </w:rPr>
        <w:t xml:space="preserve"> a </w:t>
      </w:r>
      <w:r w:rsidR="00CF43CB" w:rsidRPr="00562699">
        <w:rPr>
          <w:lang w:val="fr-FR"/>
        </w:rPr>
        <w:t>indiqué</w:t>
      </w:r>
      <w:r w:rsidRPr="00562699">
        <w:rPr>
          <w:lang w:val="fr-FR"/>
        </w:rPr>
        <w:t xml:space="preserve"> que les détails </w:t>
      </w:r>
      <w:r w:rsidR="00CF43CB" w:rsidRPr="00562699">
        <w:rPr>
          <w:lang w:val="fr-FR"/>
        </w:rPr>
        <w:t xml:space="preserve">restants étaient </w:t>
      </w:r>
      <w:r w:rsidRPr="00562699">
        <w:rPr>
          <w:lang w:val="fr-FR"/>
        </w:rPr>
        <w:t xml:space="preserve">complexes et que </w:t>
      </w:r>
      <w:r w:rsidR="00CF43CB" w:rsidRPr="00562699">
        <w:rPr>
          <w:lang w:val="fr-FR"/>
        </w:rPr>
        <w:t xml:space="preserve">le recours au </w:t>
      </w:r>
      <w:r w:rsidRPr="00562699">
        <w:rPr>
          <w:lang w:val="fr-FR"/>
        </w:rPr>
        <w:t>forum électronique pour</w:t>
      </w:r>
      <w:r w:rsidR="00CF43CB" w:rsidRPr="00562699">
        <w:rPr>
          <w:lang w:val="fr-FR"/>
        </w:rPr>
        <w:t xml:space="preserve"> les finaliser pourrait être un processus </w:t>
      </w:r>
      <w:r w:rsidRPr="00562699">
        <w:rPr>
          <w:lang w:val="fr-FR"/>
        </w:rPr>
        <w:t>lent et diffici</w:t>
      </w:r>
      <w:r w:rsidR="00B85EF1" w:rsidRPr="00562699">
        <w:rPr>
          <w:lang w:val="fr-FR"/>
        </w:rPr>
        <w:t>le</w:t>
      </w:r>
      <w:r w:rsidR="00B85EF1">
        <w:rPr>
          <w:lang w:val="fr-FR"/>
        </w:rPr>
        <w:t xml:space="preserve">.  </w:t>
      </w:r>
      <w:r w:rsidR="00B85EF1" w:rsidRPr="00562699">
        <w:rPr>
          <w:lang w:val="fr-FR"/>
        </w:rPr>
        <w:t>Il</w:t>
      </w:r>
      <w:r w:rsidRPr="00562699">
        <w:rPr>
          <w:lang w:val="fr-FR"/>
        </w:rPr>
        <w:t xml:space="preserve"> pourrait donc être souhaitable d</w:t>
      </w:r>
      <w:r w:rsidR="003C64A0">
        <w:rPr>
          <w:lang w:val="fr-FR"/>
        </w:rPr>
        <w:t>’</w:t>
      </w:r>
      <w:r w:rsidR="00494680" w:rsidRPr="00562699">
        <w:rPr>
          <w:lang w:val="fr-FR"/>
        </w:rPr>
        <w:t>organiser</w:t>
      </w:r>
      <w:r w:rsidRPr="00562699">
        <w:rPr>
          <w:lang w:val="fr-FR"/>
        </w:rPr>
        <w:t xml:space="preserve"> une réunion physique de l</w:t>
      </w:r>
      <w:r w:rsidR="003C64A0">
        <w:rPr>
          <w:lang w:val="fr-FR"/>
        </w:rPr>
        <w:t>’</w:t>
      </w:r>
      <w:r w:rsidRPr="00562699">
        <w:rPr>
          <w:lang w:val="fr-FR"/>
        </w:rPr>
        <w:t>équipe d</w:t>
      </w:r>
      <w:r w:rsidR="003C64A0">
        <w:rPr>
          <w:lang w:val="fr-FR"/>
        </w:rPr>
        <w:t>’</w:t>
      </w:r>
      <w:r w:rsidRPr="00562699">
        <w:rPr>
          <w:lang w:val="fr-FR"/>
        </w:rPr>
        <w:t>experts au cours de laquelle les experts pourraient se rencontr</w:t>
      </w:r>
      <w:r w:rsidR="00B85EF1" w:rsidRPr="00562699">
        <w:rPr>
          <w:lang w:val="fr-FR"/>
        </w:rPr>
        <w:t>er</w:t>
      </w:r>
      <w:r w:rsidR="00B85EF1">
        <w:rPr>
          <w:lang w:val="fr-FR"/>
        </w:rPr>
        <w:t xml:space="preserve">.  </w:t>
      </w:r>
      <w:r w:rsidR="00B85EF1" w:rsidRPr="00562699">
        <w:rPr>
          <w:lang w:val="fr-FR"/>
        </w:rPr>
        <w:t>De</w:t>
      </w:r>
      <w:r w:rsidRPr="00562699">
        <w:rPr>
          <w:lang w:val="fr-FR"/>
        </w:rPr>
        <w:t>ux</w:t>
      </w:r>
      <w:r w:rsidR="00953186">
        <w:rPr>
          <w:lang w:val="fr-FR"/>
        </w:rPr>
        <w:t> </w:t>
      </w:r>
      <w:r w:rsidRPr="00562699">
        <w:rPr>
          <w:lang w:val="fr-FR"/>
        </w:rPr>
        <w:t>jours seraient probablement nécessaires.</w:t>
      </w:r>
    </w:p>
    <w:p w14:paraId="4FCA9124" w14:textId="4CEB1994" w:rsidR="009246D2" w:rsidRPr="00562699" w:rsidRDefault="00CB23D2" w:rsidP="00562699">
      <w:pPr>
        <w:pStyle w:val="ONUMFS"/>
        <w:rPr>
          <w:lang w:val="fr-FR"/>
        </w:rPr>
      </w:pPr>
      <w:r w:rsidRPr="00562699">
        <w:rPr>
          <w:lang w:val="fr-FR"/>
        </w:rPr>
        <w:t>L</w:t>
      </w:r>
      <w:r w:rsidR="003C64A0">
        <w:rPr>
          <w:lang w:val="fr-FR"/>
        </w:rPr>
        <w:t>’</w:t>
      </w:r>
      <w:r w:rsidRPr="00562699">
        <w:rPr>
          <w:lang w:val="fr-FR"/>
        </w:rPr>
        <w:t>Office des brevets et des marques des États</w:t>
      </w:r>
      <w:r w:rsidR="001B4A2C">
        <w:rPr>
          <w:lang w:val="fr-FR"/>
        </w:rPr>
        <w:noBreakHyphen/>
      </w:r>
      <w:r w:rsidRPr="00562699">
        <w:rPr>
          <w:lang w:val="fr-FR"/>
        </w:rPr>
        <w:t xml:space="preserve">Unis </w:t>
      </w:r>
      <w:r w:rsidR="00CF43CB" w:rsidRPr="00562699">
        <w:rPr>
          <w:lang w:val="fr-FR"/>
        </w:rPr>
        <w:t>d</w:t>
      </w:r>
      <w:r w:rsidR="003C64A0">
        <w:rPr>
          <w:lang w:val="fr-FR"/>
        </w:rPr>
        <w:t>’</w:t>
      </w:r>
      <w:r w:rsidRPr="00562699">
        <w:rPr>
          <w:lang w:val="fr-FR"/>
        </w:rPr>
        <w:t>Amérique a indiqué que 15</w:t>
      </w:r>
      <w:r w:rsidR="00CF43CB" w:rsidRPr="00562699">
        <w:rPr>
          <w:lang w:val="fr-FR"/>
        </w:rPr>
        <w:t> </w:t>
      </w:r>
      <w:r w:rsidRPr="00562699">
        <w:rPr>
          <w:lang w:val="fr-FR"/>
        </w:rPr>
        <w:t>administrations internationales avaient répondu à la circulaire C</w:t>
      </w:r>
      <w:r w:rsidR="00CF43CB" w:rsidRPr="00562699">
        <w:rPr>
          <w:lang w:val="fr-FR"/>
        </w:rPr>
        <w:t>.</w:t>
      </w:r>
      <w:r w:rsidR="00953186">
        <w:rPr>
          <w:lang w:val="fr-FR"/>
        </w:rPr>
        <w:t> </w:t>
      </w:r>
      <w:r w:rsidRPr="00562699">
        <w:rPr>
          <w:lang w:val="fr-FR"/>
        </w:rPr>
        <w:t>PCT</w:t>
      </w:r>
      <w:r w:rsidR="009D49D9">
        <w:rPr>
          <w:lang w:val="fr-FR"/>
        </w:rPr>
        <w:t> </w:t>
      </w:r>
      <w:r w:rsidRPr="00562699">
        <w:rPr>
          <w:lang w:val="fr-FR"/>
        </w:rPr>
        <w:t xml:space="preserve">1544, </w:t>
      </w:r>
      <w:r w:rsidR="00CF43CB" w:rsidRPr="00562699">
        <w:rPr>
          <w:lang w:val="fr-FR"/>
        </w:rPr>
        <w:t xml:space="preserve">dans le prolongement des questions relatives à </w:t>
      </w:r>
      <w:r w:rsidRPr="00562699">
        <w:rPr>
          <w:lang w:val="fr-FR"/>
        </w:rPr>
        <w:t>l</w:t>
      </w:r>
      <w:r w:rsidR="003C64A0">
        <w:rPr>
          <w:lang w:val="fr-FR"/>
        </w:rPr>
        <w:t>’</w:t>
      </w:r>
      <w:r w:rsidRPr="00562699">
        <w:rPr>
          <w:lang w:val="fr-FR"/>
        </w:rPr>
        <w:t>objectif D concernant l</w:t>
      </w:r>
      <w:r w:rsidR="003C64A0">
        <w:rPr>
          <w:lang w:val="fr-FR"/>
        </w:rPr>
        <w:t>’</w:t>
      </w:r>
      <w:r w:rsidRPr="00562699">
        <w:rPr>
          <w:lang w:val="fr-FR"/>
        </w:rPr>
        <w:t>utilisation de la littérature non</w:t>
      </w:r>
      <w:r w:rsidR="001B4A2C">
        <w:rPr>
          <w:lang w:val="fr-FR"/>
        </w:rPr>
        <w:noBreakHyphen/>
      </w:r>
      <w:r w:rsidRPr="00562699">
        <w:rPr>
          <w:lang w:val="fr-FR"/>
        </w:rPr>
        <w:t xml:space="preserve">brevet et des sources </w:t>
      </w:r>
      <w:r w:rsidR="00C520E9" w:rsidRPr="00562699">
        <w:rPr>
          <w:lang w:val="fr-FR"/>
        </w:rPr>
        <w:t>relatives à</w:t>
      </w:r>
      <w:r w:rsidR="00CF43CB" w:rsidRPr="00562699">
        <w:rPr>
          <w:lang w:val="fr-FR"/>
        </w:rPr>
        <w:t xml:space="preserve"> </w:t>
      </w:r>
      <w:r w:rsidRPr="00562699">
        <w:rPr>
          <w:lang w:val="fr-FR"/>
        </w:rPr>
        <w:t>l</w:t>
      </w:r>
      <w:r w:rsidR="003C64A0">
        <w:rPr>
          <w:lang w:val="fr-FR"/>
        </w:rPr>
        <w:t>’</w:t>
      </w:r>
      <w:r w:rsidRPr="00562699">
        <w:rPr>
          <w:lang w:val="fr-FR"/>
        </w:rPr>
        <w:t xml:space="preserve">état </w:t>
      </w:r>
      <w:proofErr w:type="gramStart"/>
      <w:r w:rsidRPr="00562699">
        <w:rPr>
          <w:lang w:val="fr-FR"/>
        </w:rPr>
        <w:t>de la technique</w:t>
      </w:r>
      <w:r w:rsidR="00C520E9" w:rsidRPr="00562699">
        <w:rPr>
          <w:lang w:val="fr-FR"/>
        </w:rPr>
        <w:t xml:space="preserve"> fondé</w:t>
      </w:r>
      <w:proofErr w:type="gramEnd"/>
      <w:r w:rsidR="00C520E9" w:rsidRPr="00562699">
        <w:rPr>
          <w:lang w:val="fr-FR"/>
        </w:rPr>
        <w:t xml:space="preserve"> sur des savoirs traditionne</w:t>
      </w:r>
      <w:r w:rsidR="00B85EF1" w:rsidRPr="00562699">
        <w:rPr>
          <w:lang w:val="fr-FR"/>
        </w:rPr>
        <w:t>ls</w:t>
      </w:r>
      <w:r w:rsidR="00B85EF1">
        <w:rPr>
          <w:lang w:val="fr-FR"/>
        </w:rPr>
        <w:t xml:space="preserve">.  </w:t>
      </w:r>
      <w:r w:rsidR="00B85EF1" w:rsidRPr="00562699">
        <w:rPr>
          <w:lang w:val="fr-FR"/>
        </w:rPr>
        <w:t>Un</w:t>
      </w:r>
      <w:r w:rsidRPr="00562699">
        <w:rPr>
          <w:lang w:val="fr-FR"/>
        </w:rPr>
        <w:t xml:space="preserve">e analyse complète serait </w:t>
      </w:r>
      <w:r w:rsidR="00C520E9" w:rsidRPr="00562699">
        <w:rPr>
          <w:lang w:val="fr-FR"/>
        </w:rPr>
        <w:t xml:space="preserve">publiée </w:t>
      </w:r>
      <w:r w:rsidRPr="00562699">
        <w:rPr>
          <w:lang w:val="fr-FR"/>
        </w:rPr>
        <w:t xml:space="preserve">sur le </w:t>
      </w:r>
      <w:r w:rsidR="00C520E9" w:rsidRPr="00562699">
        <w:rPr>
          <w:lang w:val="fr-FR"/>
        </w:rPr>
        <w:t xml:space="preserve">site </w:t>
      </w:r>
      <w:r w:rsidRPr="00562699">
        <w:rPr>
          <w:lang w:val="fr-FR"/>
        </w:rPr>
        <w:t>wiki de l</w:t>
      </w:r>
      <w:r w:rsidR="003C64A0">
        <w:rPr>
          <w:lang w:val="fr-FR"/>
        </w:rPr>
        <w:t>’</w:t>
      </w:r>
      <w:r w:rsidRPr="00562699">
        <w:rPr>
          <w:lang w:val="fr-FR"/>
        </w:rPr>
        <w:t>équipe d</w:t>
      </w:r>
      <w:r w:rsidR="003C64A0">
        <w:rPr>
          <w:lang w:val="fr-FR"/>
        </w:rPr>
        <w:t>’</w:t>
      </w:r>
      <w:r w:rsidRPr="00562699">
        <w:rPr>
          <w:lang w:val="fr-FR"/>
        </w:rPr>
        <w:t xml:space="preserve">experts et </w:t>
      </w:r>
      <w:r w:rsidR="00C520E9" w:rsidRPr="00562699">
        <w:rPr>
          <w:lang w:val="fr-FR"/>
        </w:rPr>
        <w:t xml:space="preserve">communiquée </w:t>
      </w:r>
      <w:r w:rsidR="007F604B" w:rsidRPr="00562699">
        <w:rPr>
          <w:lang w:val="fr-FR"/>
        </w:rPr>
        <w:t>au</w:t>
      </w:r>
      <w:r w:rsidRPr="00562699">
        <w:rPr>
          <w:lang w:val="fr-FR"/>
        </w:rPr>
        <w:t xml:space="preserve"> Groupe de travail</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7F604B" w:rsidRPr="00562699">
        <w:rPr>
          <w:lang w:val="fr-FR"/>
        </w:rPr>
        <w:t xml:space="preserve">afin de servir de </w:t>
      </w:r>
      <w:r w:rsidRPr="00562699">
        <w:rPr>
          <w:lang w:val="fr-FR"/>
        </w:rPr>
        <w:t xml:space="preserve">base </w:t>
      </w:r>
      <w:r w:rsidR="007F604B" w:rsidRPr="00562699">
        <w:rPr>
          <w:lang w:val="fr-FR"/>
        </w:rPr>
        <w:t xml:space="preserve">à </w:t>
      </w:r>
      <w:r w:rsidRPr="00562699">
        <w:rPr>
          <w:lang w:val="fr-FR"/>
        </w:rPr>
        <w:t>de nouvelles discussio</w:t>
      </w:r>
      <w:r w:rsidR="00B85EF1" w:rsidRPr="00562699">
        <w:rPr>
          <w:lang w:val="fr-FR"/>
        </w:rPr>
        <w:t>ns</w:t>
      </w:r>
      <w:r w:rsidR="00B85EF1">
        <w:rPr>
          <w:lang w:val="fr-FR"/>
        </w:rPr>
        <w:t xml:space="preserve">.  </w:t>
      </w:r>
      <w:r w:rsidR="00B85EF1" w:rsidRPr="00562699">
        <w:rPr>
          <w:lang w:val="fr-FR"/>
        </w:rPr>
        <w:t>Un</w:t>
      </w:r>
      <w:r w:rsidRPr="00562699">
        <w:rPr>
          <w:lang w:val="fr-FR"/>
        </w:rPr>
        <w:t xml:space="preserve"> examen </w:t>
      </w:r>
      <w:r w:rsidR="00C520E9" w:rsidRPr="00562699">
        <w:rPr>
          <w:lang w:val="fr-FR"/>
        </w:rPr>
        <w:t xml:space="preserve">préliminaire suggérait </w:t>
      </w:r>
      <w:r w:rsidRPr="00562699">
        <w:rPr>
          <w:lang w:val="fr-FR"/>
        </w:rPr>
        <w:t xml:space="preserve">que certaines des préoccupations </w:t>
      </w:r>
      <w:r w:rsidR="00C520E9" w:rsidRPr="00562699">
        <w:rPr>
          <w:lang w:val="fr-FR"/>
        </w:rPr>
        <w:t xml:space="preserve">majeures </w:t>
      </w:r>
      <w:r w:rsidR="00494680" w:rsidRPr="00562699">
        <w:rPr>
          <w:lang w:val="fr-FR"/>
        </w:rPr>
        <w:t xml:space="preserve">étaient </w:t>
      </w:r>
      <w:r w:rsidRPr="00562699">
        <w:rPr>
          <w:lang w:val="fr-FR"/>
        </w:rPr>
        <w:t>liées au fait que les meilleures sources de littérature non</w:t>
      </w:r>
      <w:r w:rsidR="001B4A2C">
        <w:rPr>
          <w:lang w:val="fr-FR"/>
        </w:rPr>
        <w:noBreakHyphen/>
      </w:r>
      <w:r w:rsidRPr="00562699">
        <w:rPr>
          <w:lang w:val="fr-FR"/>
        </w:rPr>
        <w:t xml:space="preserve">brevet étaient en constante évolution et difficiles à </w:t>
      </w:r>
      <w:r w:rsidR="00C520E9" w:rsidRPr="00562699">
        <w:rPr>
          <w:lang w:val="fr-FR"/>
        </w:rPr>
        <w:t>cern</w:t>
      </w:r>
      <w:r w:rsidR="00B85EF1" w:rsidRPr="00562699">
        <w:rPr>
          <w:lang w:val="fr-FR"/>
        </w:rPr>
        <w:t>er</w:t>
      </w:r>
      <w:r w:rsidR="00B85EF1">
        <w:rPr>
          <w:lang w:val="fr-FR"/>
        </w:rPr>
        <w:t xml:space="preserve">.  </w:t>
      </w:r>
      <w:r w:rsidR="00B85EF1" w:rsidRPr="00562699">
        <w:rPr>
          <w:lang w:val="fr-FR"/>
        </w:rPr>
        <w:t>De</w:t>
      </w:r>
      <w:r w:rsidRPr="00562699">
        <w:rPr>
          <w:lang w:val="fr-FR"/>
        </w:rPr>
        <w:t xml:space="preserve"> nombreuses recherches </w:t>
      </w:r>
      <w:r w:rsidR="00C520E9" w:rsidRPr="00562699">
        <w:rPr>
          <w:lang w:val="fr-FR"/>
        </w:rPr>
        <w:t>faisaient appel à</w:t>
      </w:r>
      <w:r w:rsidRPr="00562699">
        <w:rPr>
          <w:lang w:val="fr-FR"/>
        </w:rPr>
        <w:t xml:space="preserve"> des sources </w:t>
      </w:r>
      <w:r w:rsidR="00C520E9" w:rsidRPr="00562699">
        <w:rPr>
          <w:lang w:val="fr-FR"/>
        </w:rPr>
        <w:t xml:space="preserve">non comprises dans </w:t>
      </w:r>
      <w:r w:rsidRPr="00562699">
        <w:rPr>
          <w:lang w:val="fr-FR"/>
        </w:rPr>
        <w:t>la documentation minima</w:t>
      </w:r>
      <w:r w:rsidR="00B85EF1" w:rsidRPr="00562699">
        <w:rPr>
          <w:lang w:val="fr-FR"/>
        </w:rPr>
        <w:t>le</w:t>
      </w:r>
      <w:r w:rsidR="00B85EF1">
        <w:rPr>
          <w:lang w:val="fr-FR"/>
        </w:rPr>
        <w:t xml:space="preserve">.  </w:t>
      </w:r>
      <w:r w:rsidR="00B85EF1" w:rsidRPr="00562699">
        <w:rPr>
          <w:lang w:val="fr-FR"/>
        </w:rPr>
        <w:t>L</w:t>
      </w:r>
      <w:r w:rsidR="00B85EF1">
        <w:rPr>
          <w:lang w:val="fr-FR"/>
        </w:rPr>
        <w:t>’</w:t>
      </w:r>
      <w:r w:rsidR="00B85EF1" w:rsidRPr="00562699">
        <w:rPr>
          <w:lang w:val="fr-FR"/>
        </w:rPr>
        <w:t>a</w:t>
      </w:r>
      <w:r w:rsidRPr="00562699">
        <w:rPr>
          <w:lang w:val="fr-FR"/>
        </w:rPr>
        <w:t>ccès à la littérature non</w:t>
      </w:r>
      <w:r w:rsidR="001B4A2C">
        <w:rPr>
          <w:lang w:val="fr-FR"/>
        </w:rPr>
        <w:noBreakHyphen/>
      </w:r>
      <w:r w:rsidRPr="00562699">
        <w:rPr>
          <w:lang w:val="fr-FR"/>
        </w:rPr>
        <w:t xml:space="preserve">brevet était parfois difficile et des préoccupations </w:t>
      </w:r>
      <w:r w:rsidR="007F604B" w:rsidRPr="00562699">
        <w:rPr>
          <w:lang w:val="fr-FR"/>
        </w:rPr>
        <w:t xml:space="preserve">ont été </w:t>
      </w:r>
      <w:r w:rsidR="00C520E9" w:rsidRPr="00562699">
        <w:rPr>
          <w:lang w:val="fr-FR"/>
        </w:rPr>
        <w:t xml:space="preserve">exprimées </w:t>
      </w:r>
      <w:r w:rsidRPr="00562699">
        <w:rPr>
          <w:lang w:val="fr-FR"/>
        </w:rPr>
        <w:t xml:space="preserve">quant aux restrictions </w:t>
      </w:r>
      <w:r w:rsidR="00C520E9" w:rsidRPr="00562699">
        <w:rPr>
          <w:lang w:val="fr-FR"/>
        </w:rPr>
        <w:t xml:space="preserve">en termes </w:t>
      </w:r>
      <w:r w:rsidRPr="00562699">
        <w:rPr>
          <w:lang w:val="fr-FR"/>
        </w:rPr>
        <w:t xml:space="preserve">de confidentialité qui pourraient limiter la capacité des examinateurs, des déposants et des tiers </w:t>
      </w:r>
      <w:r w:rsidR="00C520E9" w:rsidRPr="00562699">
        <w:rPr>
          <w:lang w:val="fr-FR"/>
        </w:rPr>
        <w:t>s</w:t>
      </w:r>
      <w:r w:rsidR="003C64A0">
        <w:rPr>
          <w:lang w:val="fr-FR"/>
        </w:rPr>
        <w:t>’</w:t>
      </w:r>
      <w:r w:rsidR="00C520E9" w:rsidRPr="00562699">
        <w:rPr>
          <w:lang w:val="fr-FR"/>
        </w:rPr>
        <w:t>agissant d</w:t>
      </w:r>
      <w:r w:rsidR="003C64A0">
        <w:rPr>
          <w:lang w:val="fr-FR"/>
        </w:rPr>
        <w:t>’</w:t>
      </w:r>
      <w:r w:rsidRPr="00562699">
        <w:rPr>
          <w:lang w:val="fr-FR"/>
        </w:rPr>
        <w:t>évaluer correctement les références à l</w:t>
      </w:r>
      <w:r w:rsidR="003C64A0">
        <w:rPr>
          <w:lang w:val="fr-FR"/>
        </w:rPr>
        <w:t>’</w:t>
      </w:r>
      <w:r w:rsidRPr="00562699">
        <w:rPr>
          <w:lang w:val="fr-FR"/>
        </w:rPr>
        <w:t>état de la technique.</w:t>
      </w:r>
    </w:p>
    <w:p w14:paraId="292EE1F4" w14:textId="111DBB85" w:rsidR="009246D2" w:rsidRPr="00562699" w:rsidRDefault="00CB23D2" w:rsidP="00562699">
      <w:pPr>
        <w:pStyle w:val="ONUMFS"/>
        <w:rPr>
          <w:lang w:val="fr-FR"/>
        </w:rPr>
      </w:pPr>
      <w:r w:rsidRPr="00562699">
        <w:rPr>
          <w:lang w:val="fr-FR"/>
        </w:rPr>
        <w:t>Les administrations ont salué les progrès accomplis dans tous les domain</w:t>
      </w:r>
      <w:r w:rsidR="00B85EF1" w:rsidRPr="00562699">
        <w:rPr>
          <w:lang w:val="fr-FR"/>
        </w:rPr>
        <w:t>es</w:t>
      </w:r>
      <w:r w:rsidR="00B85EF1">
        <w:rPr>
          <w:lang w:val="fr-FR"/>
        </w:rPr>
        <w:t xml:space="preserve">.  </w:t>
      </w:r>
      <w:r w:rsidR="00B85EF1" w:rsidRPr="00562699">
        <w:rPr>
          <w:lang w:val="fr-FR"/>
        </w:rPr>
        <w:t>Un</w:t>
      </w:r>
      <w:r w:rsidRPr="00562699">
        <w:rPr>
          <w:lang w:val="fr-FR"/>
        </w:rPr>
        <w:t>e utilisation efficace des divulgations dans un grand nombre de langues était importan</w:t>
      </w:r>
      <w:r w:rsidR="00B85EF1" w:rsidRPr="00562699">
        <w:rPr>
          <w:lang w:val="fr-FR"/>
        </w:rPr>
        <w:t>te</w:t>
      </w:r>
      <w:r w:rsidR="00B85EF1">
        <w:rPr>
          <w:lang w:val="fr-FR"/>
        </w:rPr>
        <w:t xml:space="preserve">.  </w:t>
      </w:r>
      <w:r w:rsidR="00B85EF1" w:rsidRPr="00562699">
        <w:rPr>
          <w:lang w:val="fr-FR"/>
        </w:rPr>
        <w:lastRenderedPageBreak/>
        <w:t>Pl</w:t>
      </w:r>
      <w:r w:rsidRPr="00562699">
        <w:rPr>
          <w:lang w:val="fr-FR"/>
        </w:rPr>
        <w:t>usieurs administrations ont indiqué qu</w:t>
      </w:r>
      <w:r w:rsidR="003C64A0">
        <w:rPr>
          <w:lang w:val="fr-FR"/>
        </w:rPr>
        <w:t>’</w:t>
      </w:r>
      <w:r w:rsidRPr="00562699">
        <w:rPr>
          <w:lang w:val="fr-FR"/>
        </w:rPr>
        <w:t>elles pourraient envisager l</w:t>
      </w:r>
      <w:r w:rsidR="003C64A0">
        <w:rPr>
          <w:lang w:val="fr-FR"/>
        </w:rPr>
        <w:t>’</w:t>
      </w:r>
      <w:r w:rsidRPr="00562699">
        <w:rPr>
          <w:lang w:val="fr-FR"/>
        </w:rPr>
        <w:t xml:space="preserve">idée de modifier la </w:t>
      </w:r>
      <w:r w:rsidR="003C64A0" w:rsidRPr="00562699">
        <w:rPr>
          <w:lang w:val="fr-FR"/>
        </w:rPr>
        <w:t>règle</w:t>
      </w:r>
      <w:r w:rsidR="003C64A0">
        <w:rPr>
          <w:lang w:val="fr-FR"/>
        </w:rPr>
        <w:t> </w:t>
      </w:r>
      <w:r w:rsidR="003C64A0" w:rsidRPr="00562699">
        <w:rPr>
          <w:lang w:val="fr-FR"/>
        </w:rPr>
        <w:t>3</w:t>
      </w:r>
      <w:r w:rsidRPr="00562699">
        <w:rPr>
          <w:lang w:val="fr-FR"/>
        </w:rPr>
        <w:t xml:space="preserve">6 pour </w:t>
      </w:r>
      <w:r w:rsidR="00146D4A" w:rsidRPr="00562699">
        <w:rPr>
          <w:lang w:val="fr-FR"/>
        </w:rPr>
        <w:t>obliger l</w:t>
      </w:r>
      <w:r w:rsidR="003C64A0">
        <w:rPr>
          <w:lang w:val="fr-FR"/>
        </w:rPr>
        <w:t>’</w:t>
      </w:r>
      <w:r w:rsidRPr="00562699">
        <w:rPr>
          <w:lang w:val="fr-FR"/>
        </w:rPr>
        <w:t>administration chargée de la recherche internationale</w:t>
      </w:r>
      <w:r w:rsidR="00146D4A" w:rsidRPr="00562699">
        <w:rPr>
          <w:lang w:val="fr-FR"/>
        </w:rPr>
        <w:t xml:space="preserve"> à fournir les informations nationales sur les breve</w:t>
      </w:r>
      <w:r w:rsidR="00B85EF1" w:rsidRPr="00562699">
        <w:rPr>
          <w:lang w:val="fr-FR"/>
        </w:rPr>
        <w:t>ts</w:t>
      </w:r>
      <w:r w:rsidR="00B85EF1">
        <w:rPr>
          <w:lang w:val="fr-FR"/>
        </w:rPr>
        <w:t xml:space="preserve">.  </w:t>
      </w:r>
      <w:r w:rsidR="00B85EF1" w:rsidRPr="00562699">
        <w:rPr>
          <w:lang w:val="fr-FR"/>
        </w:rPr>
        <w:t>Un</w:t>
      </w:r>
      <w:r w:rsidRPr="00562699">
        <w:rPr>
          <w:lang w:val="fr-FR"/>
        </w:rPr>
        <w:t xml:space="preserve">e administration a fait observer </w:t>
      </w:r>
      <w:r w:rsidR="00146D4A" w:rsidRPr="00562699">
        <w:rPr>
          <w:lang w:val="fr-FR"/>
        </w:rPr>
        <w:t xml:space="preserve">que la mesure dans laquelle </w:t>
      </w:r>
      <w:r w:rsidRPr="00562699">
        <w:rPr>
          <w:lang w:val="fr-FR"/>
        </w:rPr>
        <w:t xml:space="preserve">les propositions </w:t>
      </w:r>
      <w:r w:rsidR="00146D4A" w:rsidRPr="00562699">
        <w:rPr>
          <w:lang w:val="fr-FR"/>
        </w:rPr>
        <w:t>concernaient</w:t>
      </w:r>
      <w:r w:rsidRPr="00562699">
        <w:rPr>
          <w:lang w:val="fr-FR"/>
        </w:rPr>
        <w:t xml:space="preserve"> des collections de brevets des États contractants</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ne faisant pas partie de la documentation minimale en vigueur ni </w:t>
      </w:r>
      <w:r w:rsidR="00146D4A" w:rsidRPr="00562699">
        <w:rPr>
          <w:lang w:val="fr-FR"/>
        </w:rPr>
        <w:t xml:space="preserve">de </w:t>
      </w:r>
      <w:r w:rsidRPr="00562699">
        <w:rPr>
          <w:lang w:val="fr-FR"/>
        </w:rPr>
        <w:t>celles des administrations chargées de la recherche internationale</w:t>
      </w:r>
      <w:r w:rsidR="00146D4A" w:rsidRPr="00562699">
        <w:rPr>
          <w:lang w:val="fr-FR"/>
        </w:rPr>
        <w:t xml:space="preserve"> n</w:t>
      </w:r>
      <w:r w:rsidR="003C64A0">
        <w:rPr>
          <w:lang w:val="fr-FR"/>
        </w:rPr>
        <w:t>’</w:t>
      </w:r>
      <w:r w:rsidR="00146D4A" w:rsidRPr="00562699">
        <w:rPr>
          <w:lang w:val="fr-FR"/>
        </w:rPr>
        <w:t>était pas claire</w:t>
      </w:r>
      <w:r w:rsidRPr="00562699">
        <w:rPr>
          <w:lang w:val="fr-FR"/>
        </w:rPr>
        <w:t>.</w:t>
      </w:r>
    </w:p>
    <w:p w14:paraId="21B9A72E" w14:textId="186151EB" w:rsidR="003C64A0" w:rsidRDefault="00E621C3" w:rsidP="00562699">
      <w:pPr>
        <w:pStyle w:val="ONUMFS"/>
        <w:rPr>
          <w:lang w:val="fr-FR"/>
        </w:rPr>
      </w:pPr>
      <w:r w:rsidRPr="00562699">
        <w:rPr>
          <w:lang w:val="fr-FR"/>
        </w:rPr>
        <w:t>Il conviendrait d</w:t>
      </w:r>
      <w:r w:rsidR="003C64A0">
        <w:rPr>
          <w:lang w:val="fr-FR"/>
        </w:rPr>
        <w:t>’</w:t>
      </w:r>
      <w:r w:rsidRPr="00562699">
        <w:rPr>
          <w:lang w:val="fr-FR"/>
        </w:rPr>
        <w:t xml:space="preserve">examiner les </w:t>
      </w:r>
      <w:r w:rsidR="00FB09FD" w:rsidRPr="00562699">
        <w:rPr>
          <w:lang w:val="fr-FR"/>
        </w:rPr>
        <w:t xml:space="preserve">modalités </w:t>
      </w:r>
      <w:r w:rsidR="00CB23D2" w:rsidRPr="00562699">
        <w:rPr>
          <w:lang w:val="fr-FR"/>
        </w:rPr>
        <w:t>de</w:t>
      </w:r>
      <w:r w:rsidR="00935875" w:rsidRPr="00562699">
        <w:rPr>
          <w:lang w:val="fr-FR"/>
        </w:rPr>
        <w:t xml:space="preserve">s informations </w:t>
      </w:r>
      <w:r w:rsidR="00CB23D2" w:rsidRPr="00562699">
        <w:rPr>
          <w:lang w:val="fr-FR"/>
        </w:rPr>
        <w:t xml:space="preserve">que les </w:t>
      </w:r>
      <w:r w:rsidR="00935875" w:rsidRPr="00562699">
        <w:rPr>
          <w:lang w:val="fr-FR"/>
        </w:rPr>
        <w:t>o</w:t>
      </w:r>
      <w:r w:rsidR="00CB23D2" w:rsidRPr="00562699">
        <w:rPr>
          <w:lang w:val="fr-FR"/>
        </w:rPr>
        <w:t xml:space="preserve">ffices </w:t>
      </w:r>
      <w:r w:rsidR="00FB09FD" w:rsidRPr="00562699">
        <w:rPr>
          <w:lang w:val="fr-FR"/>
        </w:rPr>
        <w:t>seraient</w:t>
      </w:r>
      <w:r w:rsidR="00CB23D2" w:rsidRPr="00562699">
        <w:rPr>
          <w:lang w:val="fr-FR"/>
        </w:rPr>
        <w:t xml:space="preserve"> censés fourn</w:t>
      </w:r>
      <w:r w:rsidR="00B85EF1" w:rsidRPr="00562699">
        <w:rPr>
          <w:lang w:val="fr-FR"/>
        </w:rPr>
        <w:t>ir</w:t>
      </w:r>
      <w:r w:rsidR="00B85EF1">
        <w:rPr>
          <w:lang w:val="fr-FR"/>
        </w:rPr>
        <w:t xml:space="preserve">.  </w:t>
      </w:r>
      <w:r w:rsidR="00B85EF1" w:rsidRPr="00562699">
        <w:rPr>
          <w:lang w:val="fr-FR"/>
        </w:rPr>
        <w:t>Un</w:t>
      </w:r>
      <w:r w:rsidR="00CB23D2" w:rsidRPr="00562699">
        <w:rPr>
          <w:lang w:val="fr-FR"/>
        </w:rPr>
        <w:t>e administration a indiqué que des versions intégral</w:t>
      </w:r>
      <w:r w:rsidRPr="00562699">
        <w:rPr>
          <w:lang w:val="fr-FR"/>
        </w:rPr>
        <w:t>es</w:t>
      </w:r>
      <w:r w:rsidR="00CB23D2" w:rsidRPr="00562699">
        <w:rPr>
          <w:lang w:val="fr-FR"/>
        </w:rPr>
        <w:t xml:space="preserve"> de sa collection de documents de brevet avaient été établies </w:t>
      </w:r>
      <w:r w:rsidRPr="00562699">
        <w:rPr>
          <w:lang w:val="fr-FR"/>
        </w:rPr>
        <w:t xml:space="preserve">et remontaient </w:t>
      </w:r>
      <w:r w:rsidR="00494680" w:rsidRPr="00562699">
        <w:rPr>
          <w:lang w:val="fr-FR"/>
        </w:rPr>
        <w:t>jusqu</w:t>
      </w:r>
      <w:r w:rsidR="003C64A0">
        <w:rPr>
          <w:lang w:val="fr-FR"/>
        </w:rPr>
        <w:t>’</w:t>
      </w:r>
      <w:r w:rsidRPr="00562699">
        <w:rPr>
          <w:lang w:val="fr-FR"/>
        </w:rPr>
        <w:t xml:space="preserve">à </w:t>
      </w:r>
      <w:r w:rsidR="00CB23D2" w:rsidRPr="00562699">
        <w:rPr>
          <w:lang w:val="fr-FR"/>
        </w:rPr>
        <w:t>1940 et que des travaux étaient en cours pour préparer les informations pour les années précédentes.</w:t>
      </w:r>
    </w:p>
    <w:p w14:paraId="209843EE" w14:textId="7D409E87" w:rsidR="009246D2" w:rsidRPr="00562699" w:rsidRDefault="00CB23D2" w:rsidP="00562699">
      <w:pPr>
        <w:pStyle w:val="ONUMFS"/>
        <w:rPr>
          <w:lang w:val="fr-FR"/>
        </w:rPr>
      </w:pPr>
      <w:r w:rsidRPr="00562699">
        <w:rPr>
          <w:lang w:val="fr-FR"/>
        </w:rPr>
        <w:t>Plusieurs administrations ont manifesté un vif intérêt pour l</w:t>
      </w:r>
      <w:r w:rsidR="003C64A0">
        <w:rPr>
          <w:lang w:val="fr-FR"/>
        </w:rPr>
        <w:t>’</w:t>
      </w:r>
      <w:r w:rsidRPr="00562699">
        <w:rPr>
          <w:lang w:val="fr-FR"/>
        </w:rPr>
        <w:t>extension de la documentation minimale aux modèles d</w:t>
      </w:r>
      <w:r w:rsidR="003C64A0">
        <w:rPr>
          <w:lang w:val="fr-FR"/>
        </w:rPr>
        <w:t>’</w:t>
      </w:r>
      <w:r w:rsidRPr="00562699">
        <w:rPr>
          <w:lang w:val="fr-FR"/>
        </w:rPr>
        <w:t xml:space="preserve">utilité sur </w:t>
      </w:r>
      <w:r w:rsidR="00E621C3" w:rsidRPr="00562699">
        <w:rPr>
          <w:lang w:val="fr-FR"/>
        </w:rPr>
        <w:t xml:space="preserve">une </w:t>
      </w:r>
      <w:r w:rsidRPr="00562699">
        <w:rPr>
          <w:lang w:val="fr-FR"/>
        </w:rPr>
        <w:t xml:space="preserve">base </w:t>
      </w:r>
      <w:r w:rsidR="00E621C3" w:rsidRPr="00562699">
        <w:rPr>
          <w:lang w:val="fr-FR"/>
        </w:rPr>
        <w:t>équivalent</w:t>
      </w:r>
      <w:r w:rsidR="004E4E83" w:rsidRPr="00562699">
        <w:rPr>
          <w:lang w:val="fr-FR"/>
        </w:rPr>
        <w:t>e</w:t>
      </w:r>
      <w:r w:rsidR="00E621C3" w:rsidRPr="00562699">
        <w:rPr>
          <w:lang w:val="fr-FR"/>
        </w:rPr>
        <w:t xml:space="preserve"> à celle des </w:t>
      </w:r>
      <w:r w:rsidRPr="00562699">
        <w:rPr>
          <w:lang w:val="fr-FR"/>
        </w:rPr>
        <w:t>documents de brev</w:t>
      </w:r>
      <w:r w:rsidR="00B85EF1" w:rsidRPr="00562699">
        <w:rPr>
          <w:lang w:val="fr-FR"/>
        </w:rPr>
        <w:t>et</w:t>
      </w:r>
      <w:r w:rsidR="00B85EF1">
        <w:rPr>
          <w:lang w:val="fr-FR"/>
        </w:rPr>
        <w:t xml:space="preserve">.  </w:t>
      </w:r>
      <w:r w:rsidR="00B85EF1" w:rsidRPr="00562699">
        <w:rPr>
          <w:lang w:val="fr-FR"/>
        </w:rPr>
        <w:t>Mê</w:t>
      </w:r>
      <w:r w:rsidRPr="00562699">
        <w:rPr>
          <w:lang w:val="fr-FR"/>
        </w:rPr>
        <w:t>me si les modèles d</w:t>
      </w:r>
      <w:r w:rsidR="003C64A0">
        <w:rPr>
          <w:lang w:val="fr-FR"/>
        </w:rPr>
        <w:t>’</w:t>
      </w:r>
      <w:r w:rsidRPr="00562699">
        <w:rPr>
          <w:lang w:val="fr-FR"/>
        </w:rPr>
        <w:t>utilité n</w:t>
      </w:r>
      <w:r w:rsidR="003C64A0">
        <w:rPr>
          <w:lang w:val="fr-FR"/>
        </w:rPr>
        <w:t>’</w:t>
      </w:r>
      <w:r w:rsidRPr="00562699">
        <w:rPr>
          <w:lang w:val="fr-FR"/>
        </w:rPr>
        <w:t>étaient pas aussi harmonisés que les documents de brevet, ils constituaient une source importante d</w:t>
      </w:r>
      <w:r w:rsidR="003C64A0">
        <w:rPr>
          <w:lang w:val="fr-FR"/>
        </w:rPr>
        <w:t>’</w:t>
      </w:r>
      <w:r w:rsidRPr="00562699">
        <w:rPr>
          <w:lang w:val="fr-FR"/>
        </w:rPr>
        <w:t>information sur l</w:t>
      </w:r>
      <w:r w:rsidR="003C64A0">
        <w:rPr>
          <w:lang w:val="fr-FR"/>
        </w:rPr>
        <w:t>’</w:t>
      </w:r>
      <w:r w:rsidRPr="00562699">
        <w:rPr>
          <w:lang w:val="fr-FR"/>
        </w:rPr>
        <w:t>état de la techniq</w:t>
      </w:r>
      <w:r w:rsidR="00B85EF1" w:rsidRPr="00562699">
        <w:rPr>
          <w:lang w:val="fr-FR"/>
        </w:rPr>
        <w:t>ue</w:t>
      </w:r>
      <w:r w:rsidR="00B85EF1">
        <w:rPr>
          <w:lang w:val="fr-FR"/>
        </w:rPr>
        <w:t xml:space="preserve">.  </w:t>
      </w:r>
      <w:r w:rsidR="00B85EF1" w:rsidRPr="00562699">
        <w:rPr>
          <w:lang w:val="fr-FR"/>
        </w:rPr>
        <w:t>Ce</w:t>
      </w:r>
      <w:r w:rsidRPr="00562699">
        <w:rPr>
          <w:lang w:val="fr-FR"/>
        </w:rPr>
        <w:t xml:space="preserve">pendant, le volume des documents était </w:t>
      </w:r>
      <w:r w:rsidR="00E621C3" w:rsidRPr="00562699">
        <w:rPr>
          <w:lang w:val="fr-FR"/>
        </w:rPr>
        <w:t xml:space="preserve">considérable, alors que </w:t>
      </w:r>
      <w:r w:rsidRPr="00562699">
        <w:rPr>
          <w:lang w:val="fr-FR"/>
        </w:rPr>
        <w:t xml:space="preserve">la disponibilité des abrégés en anglais était </w:t>
      </w:r>
      <w:r w:rsidR="00E621C3" w:rsidRPr="00562699">
        <w:rPr>
          <w:lang w:val="fr-FR"/>
        </w:rPr>
        <w:t>nettement</w:t>
      </w:r>
      <w:r w:rsidRPr="00562699">
        <w:rPr>
          <w:lang w:val="fr-FR"/>
        </w:rPr>
        <w:t xml:space="preserve"> plus faib</w:t>
      </w:r>
      <w:r w:rsidR="00B85EF1" w:rsidRPr="00562699">
        <w:rPr>
          <w:lang w:val="fr-FR"/>
        </w:rPr>
        <w:t>le</w:t>
      </w:r>
      <w:r w:rsidR="00B85EF1">
        <w:rPr>
          <w:lang w:val="fr-FR"/>
        </w:rPr>
        <w:t xml:space="preserve">.  </w:t>
      </w:r>
      <w:r w:rsidR="00B85EF1" w:rsidRPr="00562699">
        <w:rPr>
          <w:lang w:val="fr-FR"/>
        </w:rPr>
        <w:t>Di</w:t>
      </w:r>
      <w:r w:rsidR="00E621C3" w:rsidRPr="00562699">
        <w:rPr>
          <w:lang w:val="fr-FR"/>
        </w:rPr>
        <w:t xml:space="preserve">verses </w:t>
      </w:r>
      <w:r w:rsidRPr="00562699">
        <w:rPr>
          <w:lang w:val="fr-FR"/>
        </w:rPr>
        <w:t xml:space="preserve">questions techniques et </w:t>
      </w:r>
      <w:r w:rsidR="00FB09FD" w:rsidRPr="00562699">
        <w:rPr>
          <w:lang w:val="fr-FR"/>
        </w:rPr>
        <w:t>économiques</w:t>
      </w:r>
      <w:r w:rsidR="00E621C3" w:rsidRPr="00562699">
        <w:rPr>
          <w:lang w:val="fr-FR"/>
        </w:rPr>
        <w:t xml:space="preserve"> </w:t>
      </w:r>
      <w:r w:rsidRPr="00562699">
        <w:rPr>
          <w:lang w:val="fr-FR"/>
        </w:rPr>
        <w:t>devraient être abordées, en ce qui concerne à la fois l</w:t>
      </w:r>
      <w:r w:rsidR="003C64A0">
        <w:rPr>
          <w:lang w:val="fr-FR"/>
        </w:rPr>
        <w:t>’</w:t>
      </w:r>
      <w:r w:rsidRPr="00562699">
        <w:rPr>
          <w:lang w:val="fr-FR"/>
        </w:rPr>
        <w:t xml:space="preserve">inclusion de séries de documents dans les bases de données et les </w:t>
      </w:r>
      <w:r w:rsidR="00E621C3" w:rsidRPr="00562699">
        <w:rPr>
          <w:lang w:val="fr-FR"/>
        </w:rPr>
        <w:t xml:space="preserve">conséquences </w:t>
      </w:r>
      <w:r w:rsidRPr="00562699">
        <w:rPr>
          <w:lang w:val="fr-FR"/>
        </w:rPr>
        <w:t xml:space="preserve">sur le temps </w:t>
      </w:r>
      <w:r w:rsidR="00E621C3" w:rsidRPr="00562699">
        <w:rPr>
          <w:lang w:val="fr-FR"/>
        </w:rPr>
        <w:t xml:space="preserve">que passent les </w:t>
      </w:r>
      <w:r w:rsidRPr="00562699">
        <w:rPr>
          <w:lang w:val="fr-FR"/>
        </w:rPr>
        <w:t xml:space="preserve">examinateurs </w:t>
      </w:r>
      <w:r w:rsidR="00E621C3" w:rsidRPr="00562699">
        <w:rPr>
          <w:lang w:val="fr-FR"/>
        </w:rPr>
        <w:t xml:space="preserve">à </w:t>
      </w:r>
      <w:r w:rsidRPr="00562699">
        <w:rPr>
          <w:lang w:val="fr-FR"/>
        </w:rPr>
        <w:t>effectuer des recherches sur le</w:t>
      </w:r>
      <w:r w:rsidR="00E621C3" w:rsidRPr="00562699">
        <w:rPr>
          <w:lang w:val="fr-FR"/>
        </w:rPr>
        <w:t>s documents supplémentair</w:t>
      </w:r>
      <w:r w:rsidR="00B85EF1" w:rsidRPr="00562699">
        <w:rPr>
          <w:lang w:val="fr-FR"/>
        </w:rPr>
        <w:t>es</w:t>
      </w:r>
      <w:r w:rsidR="00B85EF1">
        <w:rPr>
          <w:lang w:val="fr-FR"/>
        </w:rPr>
        <w:t xml:space="preserve">.  </w:t>
      </w:r>
      <w:r w:rsidR="00B85EF1" w:rsidRPr="00562699">
        <w:rPr>
          <w:lang w:val="fr-FR"/>
        </w:rPr>
        <w:t>Ce</w:t>
      </w:r>
      <w:r w:rsidR="00494680" w:rsidRPr="00562699">
        <w:rPr>
          <w:lang w:val="fr-FR"/>
        </w:rPr>
        <w:t>rtaines</w:t>
      </w:r>
      <w:r w:rsidRPr="00562699">
        <w:rPr>
          <w:lang w:val="fr-FR"/>
        </w:rPr>
        <w:t xml:space="preserve"> questions similaires auraient également des </w:t>
      </w:r>
      <w:r w:rsidR="00E621C3" w:rsidRPr="00562699">
        <w:rPr>
          <w:lang w:val="fr-FR"/>
        </w:rPr>
        <w:t>répercussions</w:t>
      </w:r>
      <w:r w:rsidRPr="00562699">
        <w:rPr>
          <w:lang w:val="fr-FR"/>
        </w:rPr>
        <w:t xml:space="preserve"> sur les </w:t>
      </w:r>
      <w:r w:rsidR="00F7357B" w:rsidRPr="00562699">
        <w:rPr>
          <w:lang w:val="fr-FR"/>
        </w:rPr>
        <w:t xml:space="preserve">descriptions </w:t>
      </w:r>
      <w:r w:rsidR="00E621C3" w:rsidRPr="00562699">
        <w:rPr>
          <w:lang w:val="fr-FR"/>
        </w:rPr>
        <w:t>de</w:t>
      </w:r>
      <w:r w:rsidRPr="00562699">
        <w:rPr>
          <w:lang w:val="fr-FR"/>
        </w:rPr>
        <w:t xml:space="preserve"> brevet, où </w:t>
      </w:r>
      <w:r w:rsidR="00E621C3" w:rsidRPr="00562699">
        <w:rPr>
          <w:lang w:val="fr-FR"/>
        </w:rPr>
        <w:t xml:space="preserve">de grandes parties </w:t>
      </w:r>
      <w:r w:rsidRPr="00562699">
        <w:rPr>
          <w:lang w:val="fr-FR"/>
        </w:rPr>
        <w:t>de nombreuses collections seraient essentiellement des copies d</w:t>
      </w:r>
      <w:r w:rsidR="003C64A0">
        <w:rPr>
          <w:lang w:val="fr-FR"/>
        </w:rPr>
        <w:t>’</w:t>
      </w:r>
      <w:r w:rsidR="00E621C3" w:rsidRPr="00562699">
        <w:rPr>
          <w:lang w:val="fr-FR"/>
        </w:rPr>
        <w:t xml:space="preserve">informations </w:t>
      </w:r>
      <w:r w:rsidRPr="00562699">
        <w:rPr>
          <w:lang w:val="fr-FR"/>
        </w:rPr>
        <w:t>figurant déjà dans la documentation minimale.</w:t>
      </w:r>
    </w:p>
    <w:p w14:paraId="78961A47" w14:textId="5D65F309" w:rsidR="003C64A0" w:rsidRDefault="00494680" w:rsidP="00562699">
      <w:pPr>
        <w:pStyle w:val="ONUMFS"/>
        <w:rPr>
          <w:lang w:val="fr-FR"/>
        </w:rPr>
      </w:pPr>
      <w:r w:rsidRPr="00562699">
        <w:rPr>
          <w:lang w:val="fr-FR"/>
        </w:rPr>
        <w:t xml:space="preserve">Quelques </w:t>
      </w:r>
      <w:r w:rsidR="00CB23D2" w:rsidRPr="00562699">
        <w:rPr>
          <w:lang w:val="fr-FR"/>
        </w:rPr>
        <w:t xml:space="preserve">administrations ont </w:t>
      </w:r>
      <w:r w:rsidRPr="00562699">
        <w:rPr>
          <w:lang w:val="fr-FR"/>
        </w:rPr>
        <w:t>relevé</w:t>
      </w:r>
      <w:r w:rsidR="00CB23D2" w:rsidRPr="00562699">
        <w:rPr>
          <w:lang w:val="fr-FR"/>
        </w:rPr>
        <w:t xml:space="preserve"> l</w:t>
      </w:r>
      <w:r w:rsidR="003C64A0">
        <w:rPr>
          <w:lang w:val="fr-FR"/>
        </w:rPr>
        <w:t>’</w:t>
      </w:r>
      <w:r w:rsidR="00CB23D2" w:rsidRPr="00562699">
        <w:rPr>
          <w:lang w:val="fr-FR"/>
        </w:rPr>
        <w:t>importance culturelle des bibliothèques numériques sur les savoirs traditionnels et des questions de propriété et de confidentialité et ont souligné qu</w:t>
      </w:r>
      <w:r w:rsidR="003C64A0">
        <w:rPr>
          <w:lang w:val="fr-FR"/>
        </w:rPr>
        <w:t>’</w:t>
      </w:r>
      <w:r w:rsidR="00CB23D2" w:rsidRPr="00562699">
        <w:rPr>
          <w:lang w:val="fr-FR"/>
        </w:rPr>
        <w:t xml:space="preserve">il importait de trouver une solution efficace qui tienne compte de la nécessité de garantir la disponibilité des informations nécessaires à la détermination </w:t>
      </w:r>
      <w:r w:rsidR="00E621C3" w:rsidRPr="00562699">
        <w:rPr>
          <w:lang w:val="fr-FR"/>
        </w:rPr>
        <w:t xml:space="preserve">correcte </w:t>
      </w:r>
      <w:r w:rsidR="00CB23D2" w:rsidRPr="00562699">
        <w:rPr>
          <w:lang w:val="fr-FR"/>
        </w:rPr>
        <w:t>de la nouveauté et de l</w:t>
      </w:r>
      <w:r w:rsidR="003C64A0">
        <w:rPr>
          <w:lang w:val="fr-FR"/>
        </w:rPr>
        <w:t>’</w:t>
      </w:r>
      <w:r w:rsidR="00CB23D2" w:rsidRPr="00562699">
        <w:rPr>
          <w:lang w:val="fr-FR"/>
        </w:rPr>
        <w:t>activité inventive.</w:t>
      </w:r>
    </w:p>
    <w:p w14:paraId="29DE927B" w14:textId="6B1376C3" w:rsidR="009246D2" w:rsidRPr="00562699" w:rsidRDefault="00CB23D2" w:rsidP="00562699">
      <w:pPr>
        <w:pStyle w:val="ONUMFS"/>
        <w:rPr>
          <w:lang w:val="fr-FR"/>
        </w:rPr>
      </w:pPr>
      <w:r w:rsidRPr="00562699">
        <w:rPr>
          <w:lang w:val="fr-FR"/>
        </w:rPr>
        <w:t>Une administration a fait observer qu</w:t>
      </w:r>
      <w:r w:rsidR="003C64A0">
        <w:rPr>
          <w:lang w:val="fr-FR"/>
        </w:rPr>
        <w:t>’</w:t>
      </w:r>
      <w:r w:rsidRPr="00562699">
        <w:rPr>
          <w:lang w:val="fr-FR"/>
        </w:rPr>
        <w:t>il existait déjà d</w:t>
      </w:r>
      <w:r w:rsidR="003C64A0">
        <w:rPr>
          <w:lang w:val="fr-FR"/>
        </w:rPr>
        <w:t>’</w:t>
      </w:r>
      <w:r w:rsidRPr="00562699">
        <w:rPr>
          <w:lang w:val="fr-FR"/>
        </w:rPr>
        <w:t>importantes différences dans la capacité des administrations internationales de fournir des copies de</w:t>
      </w:r>
      <w:r w:rsidR="00F7357B" w:rsidRPr="00562699">
        <w:rPr>
          <w:lang w:val="fr-FR"/>
        </w:rPr>
        <w:t>s</w:t>
      </w:r>
      <w:r w:rsidRPr="00562699">
        <w:rPr>
          <w:lang w:val="fr-FR"/>
        </w:rPr>
        <w:t xml:space="preserve"> </w:t>
      </w:r>
      <w:r w:rsidR="00F7357B" w:rsidRPr="00562699">
        <w:rPr>
          <w:lang w:val="fr-FR"/>
        </w:rPr>
        <w:t>documents</w:t>
      </w:r>
      <w:r w:rsidRPr="00562699">
        <w:rPr>
          <w:lang w:val="fr-FR"/>
        </w:rPr>
        <w:t xml:space="preserve"> non</w:t>
      </w:r>
      <w:r w:rsidR="001B4A2C">
        <w:rPr>
          <w:lang w:val="fr-FR"/>
        </w:rPr>
        <w:noBreakHyphen/>
      </w:r>
      <w:r w:rsidRPr="00562699">
        <w:rPr>
          <w:lang w:val="fr-FR"/>
        </w:rPr>
        <w:t>brev</w:t>
      </w:r>
      <w:r w:rsidR="00B85EF1" w:rsidRPr="00562699">
        <w:rPr>
          <w:lang w:val="fr-FR"/>
        </w:rPr>
        <w:t>et</w:t>
      </w:r>
      <w:r w:rsidR="00B85EF1">
        <w:rPr>
          <w:lang w:val="fr-FR"/>
        </w:rPr>
        <w:t xml:space="preserve">.  </w:t>
      </w:r>
      <w:r w:rsidR="00B85EF1" w:rsidRPr="00562699">
        <w:rPr>
          <w:lang w:val="fr-FR"/>
        </w:rPr>
        <w:t>Ce</w:t>
      </w:r>
      <w:r w:rsidRPr="00562699">
        <w:rPr>
          <w:lang w:val="fr-FR"/>
        </w:rPr>
        <w:t>rtain</w:t>
      </w:r>
      <w:r w:rsidR="00E621C3" w:rsidRPr="00562699">
        <w:rPr>
          <w:lang w:val="fr-FR"/>
        </w:rPr>
        <w:t>e</w:t>
      </w:r>
      <w:r w:rsidRPr="00562699">
        <w:rPr>
          <w:lang w:val="fr-FR"/>
        </w:rPr>
        <w:t xml:space="preserve">s </w:t>
      </w:r>
      <w:r w:rsidR="00E621C3" w:rsidRPr="00562699">
        <w:rPr>
          <w:lang w:val="fr-FR"/>
        </w:rPr>
        <w:t>d</w:t>
      </w:r>
      <w:r w:rsidR="003C64A0">
        <w:rPr>
          <w:lang w:val="fr-FR"/>
        </w:rPr>
        <w:t>’</w:t>
      </w:r>
      <w:r w:rsidR="00E621C3" w:rsidRPr="00562699">
        <w:rPr>
          <w:lang w:val="fr-FR"/>
        </w:rPr>
        <w:t xml:space="preserve">entre elles </w:t>
      </w:r>
      <w:r w:rsidRPr="00562699">
        <w:rPr>
          <w:lang w:val="fr-FR"/>
        </w:rPr>
        <w:t xml:space="preserve">envoyaient le texte intégral </w:t>
      </w:r>
      <w:r w:rsidR="00E621C3" w:rsidRPr="00562699">
        <w:rPr>
          <w:lang w:val="fr-FR"/>
        </w:rPr>
        <w:t>a</w:t>
      </w:r>
      <w:r w:rsidRPr="00562699">
        <w:rPr>
          <w:lang w:val="fr-FR"/>
        </w:rPr>
        <w:t>u déposant</w:t>
      </w:r>
      <w:r w:rsidR="00494680" w:rsidRPr="00562699">
        <w:rPr>
          <w:lang w:val="fr-FR"/>
        </w:rPr>
        <w:t xml:space="preserve">, tandis que </w:t>
      </w:r>
      <w:r w:rsidRPr="00562699">
        <w:rPr>
          <w:lang w:val="fr-FR"/>
        </w:rPr>
        <w:t>d</w:t>
      </w:r>
      <w:r w:rsidR="003C64A0">
        <w:rPr>
          <w:lang w:val="fr-FR"/>
        </w:rPr>
        <w:t>’</w:t>
      </w:r>
      <w:r w:rsidRPr="00562699">
        <w:rPr>
          <w:lang w:val="fr-FR"/>
        </w:rPr>
        <w:t xml:space="preserve">autres ne </w:t>
      </w:r>
      <w:r w:rsidR="00E621C3" w:rsidRPr="00562699">
        <w:rPr>
          <w:lang w:val="fr-FR"/>
        </w:rPr>
        <w:t xml:space="preserve">fournissaient </w:t>
      </w:r>
      <w:r w:rsidRPr="00562699">
        <w:rPr>
          <w:lang w:val="fr-FR"/>
        </w:rPr>
        <w:t>qu</w:t>
      </w:r>
      <w:r w:rsidR="003C64A0">
        <w:rPr>
          <w:lang w:val="fr-FR"/>
        </w:rPr>
        <w:t>’</w:t>
      </w:r>
      <w:r w:rsidRPr="00562699">
        <w:rPr>
          <w:lang w:val="fr-FR"/>
        </w:rPr>
        <w:t>un résumé ou une référen</w:t>
      </w:r>
      <w:r w:rsidR="00B85EF1" w:rsidRPr="00562699">
        <w:rPr>
          <w:lang w:val="fr-FR"/>
        </w:rPr>
        <w:t>ce</w:t>
      </w:r>
      <w:r w:rsidR="00B85EF1">
        <w:rPr>
          <w:lang w:val="fr-FR"/>
        </w:rPr>
        <w:t xml:space="preserve">.  </w:t>
      </w:r>
      <w:r w:rsidR="00B85EF1" w:rsidRPr="00562699">
        <w:rPr>
          <w:lang w:val="fr-FR"/>
        </w:rPr>
        <w:t>Ce</w:t>
      </w:r>
      <w:r w:rsidRPr="00562699">
        <w:rPr>
          <w:lang w:val="fr-FR"/>
        </w:rPr>
        <w:t xml:space="preserve">tte administration a </w:t>
      </w:r>
      <w:r w:rsidR="00F7357B" w:rsidRPr="00562699">
        <w:rPr>
          <w:lang w:val="fr-FR"/>
        </w:rPr>
        <w:t xml:space="preserve">fait </w:t>
      </w:r>
      <w:r w:rsidR="00494680" w:rsidRPr="00562699">
        <w:rPr>
          <w:lang w:val="fr-FR"/>
        </w:rPr>
        <w:t>observ</w:t>
      </w:r>
      <w:r w:rsidR="00F7357B" w:rsidRPr="00562699">
        <w:rPr>
          <w:lang w:val="fr-FR"/>
        </w:rPr>
        <w:t>er</w:t>
      </w:r>
      <w:r w:rsidRPr="00562699">
        <w:rPr>
          <w:lang w:val="fr-FR"/>
        </w:rPr>
        <w:t xml:space="preserve"> que les administrations internationales avaient</w:t>
      </w:r>
      <w:r w:rsidR="00E621C3" w:rsidRPr="00562699">
        <w:rPr>
          <w:lang w:val="fr-FR"/>
        </w:rPr>
        <w:t xml:space="preserve"> indiqué</w:t>
      </w:r>
      <w:r w:rsidRPr="00562699">
        <w:rPr>
          <w:lang w:val="fr-FR"/>
        </w:rPr>
        <w:t>, dans le cadre de l</w:t>
      </w:r>
      <w:r w:rsidR="003C64A0">
        <w:rPr>
          <w:lang w:val="fr-FR"/>
        </w:rPr>
        <w:t>’</w:t>
      </w:r>
      <w:r w:rsidRPr="00562699">
        <w:rPr>
          <w:lang w:val="fr-FR"/>
        </w:rPr>
        <w:t>objectif D, qu</w:t>
      </w:r>
      <w:r w:rsidR="003C64A0">
        <w:rPr>
          <w:lang w:val="fr-FR"/>
        </w:rPr>
        <w:t>’</w:t>
      </w:r>
      <w:r w:rsidRPr="00562699">
        <w:rPr>
          <w:lang w:val="fr-FR"/>
        </w:rPr>
        <w:t xml:space="preserve">il </w:t>
      </w:r>
      <w:r w:rsidR="00E621C3" w:rsidRPr="00562699">
        <w:rPr>
          <w:lang w:val="fr-FR"/>
        </w:rPr>
        <w:t xml:space="preserve">fallait </w:t>
      </w:r>
      <w:r w:rsidRPr="00562699">
        <w:rPr>
          <w:lang w:val="fr-FR"/>
        </w:rPr>
        <w:t>fournir des références à l</w:t>
      </w:r>
      <w:r w:rsidR="003C64A0">
        <w:rPr>
          <w:lang w:val="fr-FR"/>
        </w:rPr>
        <w:t>’</w:t>
      </w:r>
      <w:r w:rsidRPr="00562699">
        <w:rPr>
          <w:lang w:val="fr-FR"/>
        </w:rPr>
        <w:t>état de la technique au déposant, aux tiers et au grand publ</w:t>
      </w:r>
      <w:r w:rsidR="00B85EF1" w:rsidRPr="00562699">
        <w:rPr>
          <w:lang w:val="fr-FR"/>
        </w:rPr>
        <w:t>ic</w:t>
      </w:r>
      <w:r w:rsidR="00B85EF1">
        <w:rPr>
          <w:lang w:val="fr-FR"/>
        </w:rPr>
        <w:t xml:space="preserve">.  </w:t>
      </w:r>
      <w:r w:rsidR="00B85EF1" w:rsidRPr="00562699">
        <w:rPr>
          <w:lang w:val="fr-FR"/>
        </w:rPr>
        <w:t>To</w:t>
      </w:r>
      <w:r w:rsidRPr="00562699">
        <w:rPr>
          <w:lang w:val="fr-FR"/>
        </w:rPr>
        <w:t>utefois, cette administration a déclaré qu</w:t>
      </w:r>
      <w:r w:rsidR="003C64A0">
        <w:rPr>
          <w:lang w:val="fr-FR"/>
        </w:rPr>
        <w:t>’</w:t>
      </w:r>
      <w:r w:rsidR="00E621C3" w:rsidRPr="00562699">
        <w:rPr>
          <w:lang w:val="fr-FR"/>
        </w:rPr>
        <w:t xml:space="preserve">en ce qui concerne </w:t>
      </w:r>
      <w:r w:rsidRPr="00562699">
        <w:rPr>
          <w:lang w:val="fr-FR"/>
        </w:rPr>
        <w:t xml:space="preserve">les éléments déjà inclus dans la documentation minimale il existait déjà des différences en termes de disponibilité </w:t>
      </w:r>
      <w:r w:rsidR="00494680" w:rsidRPr="00562699">
        <w:rPr>
          <w:lang w:val="fr-FR"/>
        </w:rPr>
        <w:t xml:space="preserve">du fait des </w:t>
      </w:r>
      <w:r w:rsidRPr="00562699">
        <w:rPr>
          <w:lang w:val="fr-FR"/>
        </w:rPr>
        <w:t>différences d</w:t>
      </w:r>
      <w:r w:rsidR="003C64A0">
        <w:rPr>
          <w:lang w:val="fr-FR"/>
        </w:rPr>
        <w:t>’</w:t>
      </w:r>
      <w:r w:rsidRPr="00562699">
        <w:rPr>
          <w:lang w:val="fr-FR"/>
        </w:rPr>
        <w:t xml:space="preserve">accès aux documents </w:t>
      </w:r>
      <w:r w:rsidR="00E621C3" w:rsidRPr="00562699">
        <w:rPr>
          <w:lang w:val="fr-FR"/>
        </w:rPr>
        <w:t>qu</w:t>
      </w:r>
      <w:r w:rsidR="003C64A0">
        <w:rPr>
          <w:lang w:val="fr-FR"/>
        </w:rPr>
        <w:t>’</w:t>
      </w:r>
      <w:r w:rsidR="00E621C3" w:rsidRPr="00562699">
        <w:rPr>
          <w:lang w:val="fr-FR"/>
        </w:rPr>
        <w:t>accord</w:t>
      </w:r>
      <w:r w:rsidR="002E0FA9" w:rsidRPr="00562699">
        <w:rPr>
          <w:lang w:val="fr-FR"/>
        </w:rPr>
        <w:t>ai</w:t>
      </w:r>
      <w:r w:rsidR="00E621C3" w:rsidRPr="00562699">
        <w:rPr>
          <w:lang w:val="fr-FR"/>
        </w:rPr>
        <w:t xml:space="preserve">ent </w:t>
      </w:r>
      <w:r w:rsidRPr="00562699">
        <w:rPr>
          <w:lang w:val="fr-FR"/>
        </w:rPr>
        <w:t>les administrations chargées de la recherche internationale et de leurs droits de fournir des copies en fonction de leurs accords avec les éditeu</w:t>
      </w:r>
      <w:r w:rsidR="00B85EF1" w:rsidRPr="00562699">
        <w:rPr>
          <w:lang w:val="fr-FR"/>
        </w:rPr>
        <w:t>rs</w:t>
      </w:r>
      <w:r w:rsidR="00B85EF1">
        <w:rPr>
          <w:lang w:val="fr-FR"/>
        </w:rPr>
        <w:t xml:space="preserve">.  </w:t>
      </w:r>
      <w:r w:rsidR="00B85EF1" w:rsidRPr="00562699">
        <w:rPr>
          <w:lang w:val="fr-FR"/>
        </w:rPr>
        <w:t>Le</w:t>
      </w:r>
      <w:r w:rsidRPr="00562699">
        <w:rPr>
          <w:lang w:val="fr-FR"/>
        </w:rPr>
        <w:t>s administrations chargées de la recherche internationale n</w:t>
      </w:r>
      <w:r w:rsidR="00E621C3" w:rsidRPr="00562699">
        <w:rPr>
          <w:lang w:val="fr-FR"/>
        </w:rPr>
        <w:t>e dispos</w:t>
      </w:r>
      <w:r w:rsidR="002E0FA9" w:rsidRPr="00562699">
        <w:rPr>
          <w:lang w:val="fr-FR"/>
        </w:rPr>
        <w:t>ai</w:t>
      </w:r>
      <w:r w:rsidR="00E621C3" w:rsidRPr="00562699">
        <w:rPr>
          <w:lang w:val="fr-FR"/>
        </w:rPr>
        <w:t xml:space="preserve">ent </w:t>
      </w:r>
      <w:r w:rsidRPr="00562699">
        <w:rPr>
          <w:lang w:val="fr-FR"/>
        </w:rPr>
        <w:t>donc pas tou</w:t>
      </w:r>
      <w:r w:rsidR="00E621C3" w:rsidRPr="00562699">
        <w:rPr>
          <w:lang w:val="fr-FR"/>
        </w:rPr>
        <w:t>te</w:t>
      </w:r>
      <w:r w:rsidRPr="00562699">
        <w:rPr>
          <w:lang w:val="fr-FR"/>
        </w:rPr>
        <w:t xml:space="preserve">s </w:t>
      </w:r>
      <w:r w:rsidR="00E621C3" w:rsidRPr="00562699">
        <w:rPr>
          <w:lang w:val="fr-FR"/>
        </w:rPr>
        <w:t>du</w:t>
      </w:r>
      <w:r w:rsidRPr="00562699">
        <w:rPr>
          <w:lang w:val="fr-FR"/>
        </w:rPr>
        <w:t xml:space="preserve"> même niveau d</w:t>
      </w:r>
      <w:r w:rsidR="003C64A0">
        <w:rPr>
          <w:lang w:val="fr-FR"/>
        </w:rPr>
        <w:t>’</w:t>
      </w:r>
      <w:r w:rsidRPr="00562699">
        <w:rPr>
          <w:lang w:val="fr-FR"/>
        </w:rPr>
        <w:t>accès à la littérature non</w:t>
      </w:r>
      <w:r w:rsidR="001B4A2C">
        <w:rPr>
          <w:lang w:val="fr-FR"/>
        </w:rPr>
        <w:noBreakHyphen/>
      </w:r>
      <w:r w:rsidRPr="00562699">
        <w:rPr>
          <w:lang w:val="fr-FR"/>
        </w:rPr>
        <w:t>brevet dans la documentation minima</w:t>
      </w:r>
      <w:r w:rsidR="00B85EF1" w:rsidRPr="00562699">
        <w:rPr>
          <w:lang w:val="fr-FR"/>
        </w:rPr>
        <w:t>le</w:t>
      </w:r>
      <w:r w:rsidR="00B85EF1">
        <w:rPr>
          <w:lang w:val="fr-FR"/>
        </w:rPr>
        <w:t xml:space="preserve">.  </w:t>
      </w:r>
      <w:r w:rsidR="00B85EF1" w:rsidRPr="00562699">
        <w:rPr>
          <w:lang w:val="fr-FR"/>
        </w:rPr>
        <w:t>L</w:t>
      </w:r>
      <w:r w:rsidR="00B85EF1">
        <w:rPr>
          <w:lang w:val="fr-FR"/>
        </w:rPr>
        <w:t>’</w:t>
      </w:r>
      <w:r w:rsidR="00B85EF1" w:rsidRPr="00562699">
        <w:rPr>
          <w:lang w:val="fr-FR"/>
        </w:rPr>
        <w:t>a</w:t>
      </w:r>
      <w:r w:rsidRPr="00562699">
        <w:rPr>
          <w:lang w:val="fr-FR"/>
        </w:rPr>
        <w:t xml:space="preserve">ccès effectif aux copies des documents </w:t>
      </w:r>
      <w:r w:rsidR="00E621C3" w:rsidRPr="00562699">
        <w:rPr>
          <w:lang w:val="fr-FR"/>
        </w:rPr>
        <w:t>sur</w:t>
      </w:r>
      <w:r w:rsidRPr="00562699">
        <w:rPr>
          <w:lang w:val="fr-FR"/>
        </w:rPr>
        <w:t xml:space="preserve"> l</w:t>
      </w:r>
      <w:r w:rsidR="003C64A0">
        <w:rPr>
          <w:lang w:val="fr-FR"/>
        </w:rPr>
        <w:t>’</w:t>
      </w:r>
      <w:r w:rsidRPr="00562699">
        <w:rPr>
          <w:lang w:val="fr-FR"/>
        </w:rPr>
        <w:t xml:space="preserve">état de la technique </w:t>
      </w:r>
      <w:r w:rsidR="00E621C3" w:rsidRPr="00562699">
        <w:rPr>
          <w:lang w:val="fr-FR"/>
        </w:rPr>
        <w:t>constituait</w:t>
      </w:r>
      <w:r w:rsidRPr="00562699">
        <w:rPr>
          <w:lang w:val="fr-FR"/>
        </w:rPr>
        <w:t xml:space="preserve"> également un sujet de préoccupation pour la littérature non</w:t>
      </w:r>
      <w:r w:rsidR="001B4A2C">
        <w:rPr>
          <w:lang w:val="fr-FR"/>
        </w:rPr>
        <w:noBreakHyphen/>
      </w:r>
      <w:r w:rsidRPr="00562699">
        <w:rPr>
          <w:lang w:val="fr-FR"/>
        </w:rPr>
        <w:t>brevet plus largement, couvrant à la fois le droit d</w:t>
      </w:r>
      <w:r w:rsidR="003C64A0">
        <w:rPr>
          <w:lang w:val="fr-FR"/>
        </w:rPr>
        <w:t>’</w:t>
      </w:r>
      <w:r w:rsidRPr="00562699">
        <w:rPr>
          <w:lang w:val="fr-FR"/>
        </w:rPr>
        <w:t>accès aux collections et le coût de cette utilisati</w:t>
      </w:r>
      <w:r w:rsidR="00B85EF1" w:rsidRPr="00562699">
        <w:rPr>
          <w:lang w:val="fr-FR"/>
        </w:rPr>
        <w:t>on</w:t>
      </w:r>
      <w:r w:rsidR="00B85EF1">
        <w:rPr>
          <w:lang w:val="fr-FR"/>
        </w:rPr>
        <w:t xml:space="preserve">.  </w:t>
      </w:r>
      <w:r w:rsidR="00B85EF1" w:rsidRPr="00562699">
        <w:rPr>
          <w:lang w:val="fr-FR"/>
        </w:rPr>
        <w:t>Ce</w:t>
      </w:r>
      <w:r w:rsidRPr="00562699">
        <w:rPr>
          <w:lang w:val="fr-FR"/>
        </w:rPr>
        <w:t xml:space="preserve">tte administration a suggéré de chercher </w:t>
      </w:r>
      <w:r w:rsidR="002E0FA9" w:rsidRPr="00562699">
        <w:rPr>
          <w:lang w:val="fr-FR"/>
        </w:rPr>
        <w:t xml:space="preserve">à conclure </w:t>
      </w:r>
      <w:r w:rsidRPr="00562699">
        <w:rPr>
          <w:lang w:val="fr-FR"/>
        </w:rPr>
        <w:t xml:space="preserve">des accords </w:t>
      </w:r>
      <w:r w:rsidR="00F7357B" w:rsidRPr="00562699">
        <w:rPr>
          <w:lang w:val="fr-FR"/>
        </w:rPr>
        <w:t xml:space="preserve">types </w:t>
      </w:r>
      <w:r w:rsidRPr="00562699">
        <w:rPr>
          <w:lang w:val="fr-FR"/>
        </w:rPr>
        <w:t xml:space="preserve">pour permettre à toutes les administrations </w:t>
      </w:r>
      <w:r w:rsidR="00E621C3" w:rsidRPr="00562699">
        <w:rPr>
          <w:lang w:val="fr-FR"/>
        </w:rPr>
        <w:t>d</w:t>
      </w:r>
      <w:r w:rsidR="003C64A0">
        <w:rPr>
          <w:lang w:val="fr-FR"/>
        </w:rPr>
        <w:t>’</w:t>
      </w:r>
      <w:r w:rsidR="00E621C3" w:rsidRPr="00562699">
        <w:rPr>
          <w:lang w:val="fr-FR"/>
        </w:rPr>
        <w:t xml:space="preserve">avoir le même </w:t>
      </w:r>
      <w:r w:rsidRPr="00562699">
        <w:rPr>
          <w:lang w:val="fr-FR"/>
        </w:rPr>
        <w:t>accès à la littérature non</w:t>
      </w:r>
      <w:r w:rsidR="001B4A2C">
        <w:rPr>
          <w:lang w:val="fr-FR"/>
        </w:rPr>
        <w:noBreakHyphen/>
      </w:r>
      <w:r w:rsidRPr="00562699">
        <w:rPr>
          <w:lang w:val="fr-FR"/>
        </w:rPr>
        <w:t xml:space="preserve">brevet de la documentation minimale </w:t>
      </w:r>
      <w:r w:rsidR="00D0340F" w:rsidRPr="00562699">
        <w:rPr>
          <w:lang w:val="fr-FR"/>
        </w:rPr>
        <w:t xml:space="preserve">à </w:t>
      </w:r>
      <w:r w:rsidRPr="00562699">
        <w:rPr>
          <w:lang w:val="fr-FR"/>
        </w:rPr>
        <w:t xml:space="preserve">des prix proportionnels à la taille des </w:t>
      </w:r>
      <w:r w:rsidR="00D0340F" w:rsidRPr="00562699">
        <w:rPr>
          <w:lang w:val="fr-FR"/>
        </w:rPr>
        <w:t>o</w:t>
      </w:r>
      <w:r w:rsidRPr="00562699">
        <w:rPr>
          <w:lang w:val="fr-FR"/>
        </w:rPr>
        <w:t>ffic</w:t>
      </w:r>
      <w:r w:rsidR="00B85EF1" w:rsidRPr="00562699">
        <w:rPr>
          <w:lang w:val="fr-FR"/>
        </w:rPr>
        <w:t>es</w:t>
      </w:r>
      <w:r w:rsidR="00B85EF1">
        <w:rPr>
          <w:lang w:val="fr-FR"/>
        </w:rPr>
        <w:t xml:space="preserve">.  </w:t>
      </w:r>
      <w:r w:rsidR="00B85EF1" w:rsidRPr="00562699">
        <w:rPr>
          <w:lang w:val="fr-FR"/>
        </w:rPr>
        <w:t>Un</w:t>
      </w:r>
      <w:r w:rsidRPr="00562699">
        <w:rPr>
          <w:lang w:val="fr-FR"/>
        </w:rPr>
        <w:t>e administration a fait valoir qu</w:t>
      </w:r>
      <w:r w:rsidR="003C64A0">
        <w:rPr>
          <w:lang w:val="fr-FR"/>
        </w:rPr>
        <w:t>’</w:t>
      </w:r>
      <w:r w:rsidRPr="00562699">
        <w:rPr>
          <w:lang w:val="fr-FR"/>
        </w:rPr>
        <w:t>il pourrait être nécessaire d</w:t>
      </w:r>
      <w:r w:rsidR="003C64A0">
        <w:rPr>
          <w:lang w:val="fr-FR"/>
        </w:rPr>
        <w:t>’</w:t>
      </w:r>
      <w:r w:rsidRPr="00562699">
        <w:rPr>
          <w:lang w:val="fr-FR"/>
        </w:rPr>
        <w:t>évaluer de manière plus approfondie certains points</w:t>
      </w:r>
      <w:r w:rsidR="002E0FA9" w:rsidRPr="00562699">
        <w:rPr>
          <w:lang w:val="fr-FR"/>
        </w:rPr>
        <w:t>,</w:t>
      </w:r>
      <w:r w:rsidRPr="00562699">
        <w:rPr>
          <w:lang w:val="fr-FR"/>
        </w:rPr>
        <w:t xml:space="preserve"> étant donné qu</w:t>
      </w:r>
      <w:r w:rsidR="003C64A0">
        <w:rPr>
          <w:lang w:val="fr-FR"/>
        </w:rPr>
        <w:t>’</w:t>
      </w:r>
      <w:r w:rsidRPr="00562699">
        <w:rPr>
          <w:lang w:val="fr-FR"/>
        </w:rPr>
        <w:t>elle n</w:t>
      </w:r>
      <w:r w:rsidR="003C64A0">
        <w:rPr>
          <w:lang w:val="fr-FR"/>
        </w:rPr>
        <w:t>’</w:t>
      </w:r>
      <w:r w:rsidRPr="00562699">
        <w:rPr>
          <w:lang w:val="fr-FR"/>
        </w:rPr>
        <w:t>avait pas été en mesure de fournir un retour d</w:t>
      </w:r>
      <w:r w:rsidR="003C64A0">
        <w:rPr>
          <w:lang w:val="fr-FR"/>
        </w:rPr>
        <w:t>’</w:t>
      </w:r>
      <w:r w:rsidRPr="00562699">
        <w:rPr>
          <w:lang w:val="fr-FR"/>
        </w:rPr>
        <w:t xml:space="preserve">information complet </w:t>
      </w:r>
      <w:r w:rsidR="00F7357B" w:rsidRPr="00562699">
        <w:rPr>
          <w:lang w:val="fr-FR"/>
        </w:rPr>
        <w:t>dans les</w:t>
      </w:r>
      <w:r w:rsidR="00D0340F" w:rsidRPr="00562699">
        <w:rPr>
          <w:lang w:val="fr-FR"/>
        </w:rPr>
        <w:t xml:space="preserve"> délais impartis</w:t>
      </w:r>
      <w:r w:rsidRPr="00562699">
        <w:rPr>
          <w:lang w:val="fr-FR"/>
        </w:rPr>
        <w:t>.</w:t>
      </w:r>
    </w:p>
    <w:p w14:paraId="5AA62F01" w14:textId="20FE699A" w:rsidR="009246D2" w:rsidRPr="00562699" w:rsidRDefault="00CB23D2" w:rsidP="00562699">
      <w:pPr>
        <w:pStyle w:val="ONUMFS"/>
        <w:rPr>
          <w:lang w:val="fr-FR"/>
        </w:rPr>
      </w:pPr>
      <w:r w:rsidRPr="00562699">
        <w:rPr>
          <w:lang w:val="fr-FR"/>
        </w:rPr>
        <w:t xml:space="preserve">Le Bureau </w:t>
      </w:r>
      <w:r w:rsidR="00D0340F" w:rsidRPr="00562699">
        <w:rPr>
          <w:lang w:val="fr-FR"/>
        </w:rPr>
        <w:t>i</w:t>
      </w:r>
      <w:r w:rsidRPr="00562699">
        <w:rPr>
          <w:lang w:val="fr-FR"/>
        </w:rPr>
        <w:t>nternational a fait observer que 11</w:t>
      </w:r>
      <w:r w:rsidR="009D49D9">
        <w:rPr>
          <w:lang w:val="fr-FR"/>
        </w:rPr>
        <w:t> </w:t>
      </w:r>
      <w:r w:rsidRPr="00562699">
        <w:rPr>
          <w:lang w:val="fr-FR"/>
        </w:rPr>
        <w:t xml:space="preserve">administrations internationales avaient soumis des fichiers </w:t>
      </w:r>
      <w:r w:rsidR="00920A33" w:rsidRPr="00562699">
        <w:rPr>
          <w:lang w:val="fr-FR"/>
        </w:rPr>
        <w:t>d</w:t>
      </w:r>
      <w:r w:rsidR="003C64A0">
        <w:rPr>
          <w:lang w:val="fr-FR"/>
        </w:rPr>
        <w:t>’</w:t>
      </w:r>
      <w:r w:rsidR="00920A33" w:rsidRPr="00562699">
        <w:rPr>
          <w:lang w:val="fr-FR"/>
        </w:rPr>
        <w:t xml:space="preserve">autorité </w:t>
      </w:r>
      <w:r w:rsidRPr="00562699">
        <w:rPr>
          <w:lang w:val="fr-FR"/>
        </w:rPr>
        <w:t>conformément à la norme</w:t>
      </w:r>
      <w:r w:rsidR="00953186">
        <w:rPr>
          <w:lang w:val="fr-FR"/>
        </w:rPr>
        <w:t> </w:t>
      </w:r>
      <w:r w:rsidRPr="00562699">
        <w:rPr>
          <w:lang w:val="fr-FR"/>
        </w:rPr>
        <w:t>ST.37 de l</w:t>
      </w:r>
      <w:r w:rsidR="003C64A0">
        <w:rPr>
          <w:lang w:val="fr-FR"/>
        </w:rPr>
        <w:t>’</w:t>
      </w:r>
      <w:r w:rsidRPr="00562699">
        <w:rPr>
          <w:lang w:val="fr-FR"/>
        </w:rPr>
        <w:t>OMPI dans le délai demandé</w:t>
      </w:r>
      <w:r w:rsidR="002E0FA9" w:rsidRPr="00562699">
        <w:rPr>
          <w:lang w:val="fr-FR"/>
        </w:rPr>
        <w:t>,</w:t>
      </w:r>
      <w:r w:rsidRPr="00562699">
        <w:rPr>
          <w:lang w:val="fr-FR"/>
        </w:rPr>
        <w:t xml:space="preserve"> dans le cadre des travaux de l</w:t>
      </w:r>
      <w:r w:rsidR="003C64A0">
        <w:rPr>
          <w:lang w:val="fr-FR"/>
        </w:rPr>
        <w:t>’</w:t>
      </w:r>
      <w:r w:rsidRPr="00562699">
        <w:rPr>
          <w:lang w:val="fr-FR"/>
        </w:rPr>
        <w:t>équipe d</w:t>
      </w:r>
      <w:r w:rsidR="003C64A0">
        <w:rPr>
          <w:lang w:val="fr-FR"/>
        </w:rPr>
        <w:t>’</w:t>
      </w:r>
      <w:r w:rsidRPr="00562699">
        <w:rPr>
          <w:lang w:val="fr-FR"/>
        </w:rPr>
        <w:t xml:space="preserve">experts </w:t>
      </w:r>
      <w:r w:rsidR="00D0340F" w:rsidRPr="00562699">
        <w:rPr>
          <w:lang w:val="fr-FR"/>
        </w:rPr>
        <w:t>compétente</w:t>
      </w:r>
      <w:r w:rsidRPr="00562699">
        <w:rPr>
          <w:lang w:val="fr-FR"/>
        </w:rPr>
        <w:t xml:space="preserve"> du Comité des normes </w:t>
      </w:r>
      <w:r w:rsidRPr="00562699">
        <w:rPr>
          <w:lang w:val="fr-FR"/>
        </w:rPr>
        <w:lastRenderedPageBreak/>
        <w:t>de l</w:t>
      </w:r>
      <w:r w:rsidR="003C64A0">
        <w:rPr>
          <w:lang w:val="fr-FR"/>
        </w:rPr>
        <w:t>’</w:t>
      </w:r>
      <w:r w:rsidRPr="00562699">
        <w:rPr>
          <w:lang w:val="fr-FR"/>
        </w:rPr>
        <w:t>OMPI</w:t>
      </w:r>
      <w:r w:rsidR="002E0FA9" w:rsidRPr="00562699">
        <w:rPr>
          <w:lang w:val="fr-FR"/>
        </w:rPr>
        <w:t>,</w:t>
      </w:r>
      <w:r w:rsidRPr="00562699">
        <w:rPr>
          <w:lang w:val="fr-FR"/>
        </w:rPr>
        <w:t xml:space="preserve"> et qu</w:t>
      </w:r>
      <w:r w:rsidR="003C64A0">
        <w:rPr>
          <w:lang w:val="fr-FR"/>
        </w:rPr>
        <w:t>’</w:t>
      </w:r>
      <w:r w:rsidRPr="00562699">
        <w:rPr>
          <w:lang w:val="fr-FR"/>
        </w:rPr>
        <w:t>un certain nombre d</w:t>
      </w:r>
      <w:r w:rsidR="003C64A0">
        <w:rPr>
          <w:lang w:val="fr-FR"/>
        </w:rPr>
        <w:t>’</w:t>
      </w:r>
      <w:r w:rsidRPr="00562699">
        <w:rPr>
          <w:lang w:val="fr-FR"/>
        </w:rPr>
        <w:t>autres avaient indiqué qu</w:t>
      </w:r>
      <w:r w:rsidR="003C64A0">
        <w:rPr>
          <w:lang w:val="fr-FR"/>
        </w:rPr>
        <w:t>’</w:t>
      </w:r>
      <w:r w:rsidR="002E0FA9" w:rsidRPr="00562699">
        <w:rPr>
          <w:lang w:val="fr-FR"/>
        </w:rPr>
        <w:t xml:space="preserve">elles </w:t>
      </w:r>
      <w:r w:rsidR="00D0340F" w:rsidRPr="00562699">
        <w:rPr>
          <w:lang w:val="fr-FR"/>
        </w:rPr>
        <w:t>pensaient</w:t>
      </w:r>
      <w:r w:rsidRPr="00562699">
        <w:rPr>
          <w:lang w:val="fr-FR"/>
        </w:rPr>
        <w:t xml:space="preserve"> </w:t>
      </w:r>
      <w:r w:rsidR="002E0FA9" w:rsidRPr="00562699">
        <w:rPr>
          <w:lang w:val="fr-FR"/>
        </w:rPr>
        <w:t xml:space="preserve">pouvoir </w:t>
      </w:r>
      <w:r w:rsidR="00920A33" w:rsidRPr="00562699">
        <w:rPr>
          <w:lang w:val="fr-FR"/>
        </w:rPr>
        <w:t xml:space="preserve">les communiquer </w:t>
      </w:r>
      <w:r w:rsidRPr="00562699">
        <w:rPr>
          <w:lang w:val="fr-FR"/>
        </w:rPr>
        <w:t>rapideme</w:t>
      </w:r>
      <w:r w:rsidR="00B85EF1" w:rsidRPr="00562699">
        <w:rPr>
          <w:lang w:val="fr-FR"/>
        </w:rPr>
        <w:t>nt</w:t>
      </w:r>
      <w:r w:rsidR="00B85EF1">
        <w:rPr>
          <w:lang w:val="fr-FR"/>
        </w:rPr>
        <w:t xml:space="preserve">.  </w:t>
      </w:r>
      <w:r w:rsidR="00B85EF1" w:rsidRPr="00562699">
        <w:rPr>
          <w:lang w:val="fr-FR"/>
        </w:rPr>
        <w:t>Le</w:t>
      </w:r>
      <w:r w:rsidR="00D0340F" w:rsidRPr="00562699">
        <w:rPr>
          <w:lang w:val="fr-FR"/>
        </w:rPr>
        <w:t xml:space="preserve"> Bureau i</w:t>
      </w:r>
      <w:r w:rsidRPr="00562699">
        <w:rPr>
          <w:lang w:val="fr-FR"/>
        </w:rPr>
        <w:t xml:space="preserve">nternational a invité les administrations internationales à </w:t>
      </w:r>
      <w:r w:rsidR="00D0340F" w:rsidRPr="00562699">
        <w:rPr>
          <w:lang w:val="fr-FR"/>
        </w:rPr>
        <w:t xml:space="preserve">discuter des </w:t>
      </w:r>
      <w:r w:rsidRPr="00562699">
        <w:rPr>
          <w:lang w:val="fr-FR"/>
        </w:rPr>
        <w:t xml:space="preserve">problèmes rencontrés avec les experts compétents </w:t>
      </w:r>
      <w:r w:rsidR="00D0340F" w:rsidRPr="00562699">
        <w:rPr>
          <w:lang w:val="fr-FR"/>
        </w:rPr>
        <w:t xml:space="preserve">afin </w:t>
      </w:r>
      <w:r w:rsidRPr="00562699">
        <w:rPr>
          <w:lang w:val="fr-FR"/>
        </w:rPr>
        <w:t>de trouver des solutions appropriées.</w:t>
      </w:r>
    </w:p>
    <w:p w14:paraId="34662DA7" w14:textId="7E866FFA" w:rsidR="009246D2" w:rsidRPr="00562699" w:rsidRDefault="00CB23D2" w:rsidP="00562699">
      <w:pPr>
        <w:pStyle w:val="ONUMFS"/>
        <w:ind w:left="567"/>
        <w:rPr>
          <w:szCs w:val="22"/>
          <w:lang w:val="fr-FR"/>
        </w:rPr>
      </w:pPr>
      <w:r w:rsidRPr="00562699">
        <w:rPr>
          <w:szCs w:val="22"/>
          <w:lang w:val="fr-FR"/>
        </w:rPr>
        <w:t xml:space="preserve">La </w:t>
      </w:r>
      <w:r w:rsidR="00D0340F" w:rsidRPr="00562699">
        <w:rPr>
          <w:szCs w:val="22"/>
          <w:lang w:val="fr-FR"/>
        </w:rPr>
        <w:t>R</w:t>
      </w:r>
      <w:r w:rsidRPr="00562699">
        <w:rPr>
          <w:szCs w:val="22"/>
          <w:lang w:val="fr-FR"/>
        </w:rPr>
        <w:t>éunion a pris note du rapport sur l</w:t>
      </w:r>
      <w:r w:rsidR="003C64A0">
        <w:rPr>
          <w:szCs w:val="22"/>
          <w:lang w:val="fr-FR"/>
        </w:rPr>
        <w:t>’</w:t>
      </w:r>
      <w:r w:rsidRPr="00562699">
        <w:rPr>
          <w:szCs w:val="22"/>
          <w:lang w:val="fr-FR"/>
        </w:rPr>
        <w:t>état d</w:t>
      </w:r>
      <w:r w:rsidR="003C64A0">
        <w:rPr>
          <w:szCs w:val="22"/>
          <w:lang w:val="fr-FR"/>
        </w:rPr>
        <w:t>’</w:t>
      </w:r>
      <w:r w:rsidRPr="00562699">
        <w:rPr>
          <w:szCs w:val="22"/>
          <w:lang w:val="fr-FR"/>
        </w:rPr>
        <w:t xml:space="preserve">avancement </w:t>
      </w:r>
      <w:r w:rsidR="00920A33" w:rsidRPr="00562699">
        <w:rPr>
          <w:szCs w:val="22"/>
          <w:lang w:val="fr-FR"/>
        </w:rPr>
        <w:t>des travaux figurant dans le</w:t>
      </w:r>
      <w:r w:rsidRPr="00562699">
        <w:rPr>
          <w:szCs w:val="22"/>
          <w:lang w:val="fr-FR"/>
        </w:rPr>
        <w:t xml:space="preserve"> document PCT/MIA/26/8 et est convenu</w:t>
      </w:r>
      <w:r w:rsidR="00D0340F" w:rsidRPr="00562699">
        <w:rPr>
          <w:szCs w:val="22"/>
          <w:lang w:val="fr-FR"/>
        </w:rPr>
        <w:t>e</w:t>
      </w:r>
      <w:r w:rsidRPr="00562699">
        <w:rPr>
          <w:szCs w:val="22"/>
          <w:lang w:val="fr-FR"/>
        </w:rPr>
        <w:t xml:space="preserve"> </w:t>
      </w:r>
      <w:r w:rsidR="00D0340F" w:rsidRPr="00562699">
        <w:rPr>
          <w:szCs w:val="22"/>
          <w:lang w:val="fr-FR"/>
        </w:rPr>
        <w:t>d</w:t>
      </w:r>
      <w:r w:rsidR="003C64A0">
        <w:rPr>
          <w:szCs w:val="22"/>
          <w:lang w:val="fr-FR"/>
        </w:rPr>
        <w:t>’</w:t>
      </w:r>
      <w:r w:rsidR="00D0340F" w:rsidRPr="00562699">
        <w:rPr>
          <w:szCs w:val="22"/>
          <w:lang w:val="fr-FR"/>
        </w:rPr>
        <w:t xml:space="preserve">examiner </w:t>
      </w:r>
      <w:r w:rsidRPr="00562699">
        <w:rPr>
          <w:szCs w:val="22"/>
          <w:lang w:val="fr-FR"/>
        </w:rPr>
        <w:t xml:space="preserve">la possibilité </w:t>
      </w:r>
      <w:r w:rsidR="00D0340F" w:rsidRPr="00562699">
        <w:rPr>
          <w:szCs w:val="22"/>
          <w:lang w:val="fr-FR"/>
        </w:rPr>
        <w:t>d</w:t>
      </w:r>
      <w:r w:rsidR="003C64A0">
        <w:rPr>
          <w:szCs w:val="22"/>
          <w:lang w:val="fr-FR"/>
        </w:rPr>
        <w:t>’</w:t>
      </w:r>
      <w:r w:rsidR="00D0340F" w:rsidRPr="00562699">
        <w:rPr>
          <w:szCs w:val="22"/>
          <w:lang w:val="fr-FR"/>
        </w:rPr>
        <w:t>organiser</w:t>
      </w:r>
      <w:r w:rsidRPr="00562699">
        <w:rPr>
          <w:szCs w:val="22"/>
          <w:lang w:val="fr-FR"/>
        </w:rPr>
        <w:t xml:space="preserve"> une réunion physique de l</w:t>
      </w:r>
      <w:r w:rsidR="003C64A0">
        <w:rPr>
          <w:szCs w:val="22"/>
          <w:lang w:val="fr-FR"/>
        </w:rPr>
        <w:t>’</w:t>
      </w:r>
      <w:r w:rsidRPr="00562699">
        <w:rPr>
          <w:szCs w:val="22"/>
          <w:lang w:val="fr-FR"/>
        </w:rPr>
        <w:t>équipe d</w:t>
      </w:r>
      <w:r w:rsidR="003C64A0">
        <w:rPr>
          <w:szCs w:val="22"/>
          <w:lang w:val="fr-FR"/>
        </w:rPr>
        <w:t>’</w:t>
      </w:r>
      <w:r w:rsidRPr="00562699">
        <w:rPr>
          <w:szCs w:val="22"/>
          <w:lang w:val="fr-FR"/>
        </w:rPr>
        <w:t>experts par l</w:t>
      </w:r>
      <w:r w:rsidR="003C64A0">
        <w:rPr>
          <w:szCs w:val="22"/>
          <w:lang w:val="fr-FR"/>
        </w:rPr>
        <w:t>’</w:t>
      </w:r>
      <w:r w:rsidRPr="00562699">
        <w:rPr>
          <w:szCs w:val="22"/>
          <w:lang w:val="fr-FR"/>
        </w:rPr>
        <w:t>intermédiaire du forum électronique de l</w:t>
      </w:r>
      <w:r w:rsidR="003C64A0">
        <w:rPr>
          <w:szCs w:val="22"/>
          <w:lang w:val="fr-FR"/>
        </w:rPr>
        <w:t>’</w:t>
      </w:r>
      <w:r w:rsidRPr="00562699">
        <w:rPr>
          <w:szCs w:val="22"/>
          <w:lang w:val="fr-FR"/>
        </w:rPr>
        <w:t>équipe d</w:t>
      </w:r>
      <w:r w:rsidR="003C64A0">
        <w:rPr>
          <w:szCs w:val="22"/>
          <w:lang w:val="fr-FR"/>
        </w:rPr>
        <w:t>’</w:t>
      </w:r>
      <w:r w:rsidRPr="00562699">
        <w:rPr>
          <w:szCs w:val="22"/>
          <w:lang w:val="fr-FR"/>
        </w:rPr>
        <w:t>experts.</w:t>
      </w:r>
    </w:p>
    <w:p w14:paraId="4EF235E9" w14:textId="6475C3F0" w:rsidR="009246D2" w:rsidRDefault="00CB23D2" w:rsidP="00562699">
      <w:pPr>
        <w:pStyle w:val="Heading1"/>
        <w:rPr>
          <w:lang w:val="fr-FR"/>
        </w:rPr>
      </w:pPr>
      <w:r w:rsidRPr="00562699">
        <w:rPr>
          <w:lang w:val="fr-FR"/>
        </w:rPr>
        <w:t>Point</w:t>
      </w:r>
      <w:r w:rsidR="004E4E83" w:rsidRPr="00562699">
        <w:rPr>
          <w:lang w:val="fr-FR"/>
        </w:rPr>
        <w:t> </w:t>
      </w:r>
      <w:r w:rsidRPr="00562699">
        <w:rPr>
          <w:lang w:val="fr-FR"/>
        </w:rPr>
        <w:t>16</w:t>
      </w:r>
      <w:r w:rsidR="00562699">
        <w:rPr>
          <w:lang w:val="fr-FR"/>
        </w:rPr>
        <w:t xml:space="preserve"> de l</w:t>
      </w:r>
      <w:r w:rsidR="003C64A0">
        <w:rPr>
          <w:lang w:val="fr-FR"/>
        </w:rPr>
        <w:t>’</w:t>
      </w:r>
      <w:r w:rsidR="00562699">
        <w:rPr>
          <w:lang w:val="fr-FR"/>
        </w:rPr>
        <w:t>ordre du jour</w:t>
      </w:r>
      <w:r w:rsidR="003C64A0">
        <w:rPr>
          <w:lang w:val="fr-FR"/>
        </w:rPr>
        <w:t> :</w:t>
      </w:r>
      <w:r w:rsidRPr="00562699">
        <w:rPr>
          <w:lang w:val="fr-FR"/>
        </w:rPr>
        <w:t xml:space="preserve"> norme relative aux listages des séquences </w:t>
      </w:r>
      <w:r w:rsidR="00562699" w:rsidRPr="00562699">
        <w:rPr>
          <w:lang w:val="fr-FR"/>
        </w:rPr>
        <w:t xml:space="preserve">selon </w:t>
      </w:r>
      <w:r w:rsidR="00562699">
        <w:rPr>
          <w:lang w:val="fr-FR"/>
        </w:rPr>
        <w:t>le PCT</w:t>
      </w:r>
    </w:p>
    <w:p w14:paraId="695580EB" w14:textId="77777777" w:rsidR="00562699" w:rsidRPr="00562699" w:rsidRDefault="00562699" w:rsidP="00562699">
      <w:pPr>
        <w:rPr>
          <w:lang w:val="fr-FR"/>
        </w:rPr>
      </w:pPr>
    </w:p>
    <w:p w14:paraId="3D0B081B" w14:textId="77777777" w:rsidR="009246D2" w:rsidRPr="00562699" w:rsidRDefault="00CB23D2" w:rsidP="00562699">
      <w:pPr>
        <w:pStyle w:val="ONUMFS"/>
        <w:rPr>
          <w:lang w:val="fr-FR"/>
        </w:rPr>
      </w:pPr>
      <w:r w:rsidRPr="00562699">
        <w:rPr>
          <w:lang w:val="fr-FR"/>
        </w:rPr>
        <w:t>Les délibérations ont eu lieu sur la base du document PCT/MIA/26/2.</w:t>
      </w:r>
    </w:p>
    <w:p w14:paraId="6B42D331" w14:textId="063B9533" w:rsidR="009246D2" w:rsidRPr="00562699" w:rsidRDefault="00CB23D2" w:rsidP="00562699">
      <w:pPr>
        <w:pStyle w:val="ONUMFS"/>
        <w:rPr>
          <w:lang w:val="fr-FR"/>
        </w:rPr>
      </w:pPr>
      <w:r w:rsidRPr="00562699">
        <w:rPr>
          <w:lang w:val="fr-FR"/>
        </w:rPr>
        <w:t>L</w:t>
      </w:r>
      <w:r w:rsidR="003C64A0">
        <w:rPr>
          <w:lang w:val="fr-FR"/>
        </w:rPr>
        <w:t>’</w:t>
      </w:r>
      <w:r w:rsidRPr="00562699">
        <w:rPr>
          <w:lang w:val="fr-FR"/>
        </w:rPr>
        <w:t xml:space="preserve">Office européen des brevets a présenté le document en remerciant le Bureau </w:t>
      </w:r>
      <w:r w:rsidR="00D0340F" w:rsidRPr="00562699">
        <w:rPr>
          <w:lang w:val="fr-FR"/>
        </w:rPr>
        <w:t>i</w:t>
      </w:r>
      <w:r w:rsidRPr="00562699">
        <w:rPr>
          <w:lang w:val="fr-FR"/>
        </w:rPr>
        <w:t xml:space="preserve">nternational </w:t>
      </w:r>
      <w:r w:rsidR="00920A33" w:rsidRPr="00562699">
        <w:rPr>
          <w:lang w:val="fr-FR"/>
        </w:rPr>
        <w:t>d</w:t>
      </w:r>
      <w:r w:rsidR="003C64A0">
        <w:rPr>
          <w:lang w:val="fr-FR"/>
        </w:rPr>
        <w:t>’</w:t>
      </w:r>
      <w:r w:rsidR="00D0340F" w:rsidRPr="00562699">
        <w:rPr>
          <w:lang w:val="fr-FR"/>
        </w:rPr>
        <w:t xml:space="preserve">avoir élaboré </w:t>
      </w:r>
      <w:r w:rsidRPr="00562699">
        <w:rPr>
          <w:lang w:val="fr-FR"/>
        </w:rPr>
        <w:t>l</w:t>
      </w:r>
      <w:r w:rsidR="003C64A0">
        <w:rPr>
          <w:lang w:val="fr-FR"/>
        </w:rPr>
        <w:t>’</w:t>
      </w:r>
      <w:r w:rsidRPr="00562699">
        <w:rPr>
          <w:lang w:val="fr-FR"/>
        </w:rPr>
        <w:t>outil d</w:t>
      </w:r>
      <w:r w:rsidR="003C64A0">
        <w:rPr>
          <w:lang w:val="fr-FR"/>
        </w:rPr>
        <w:t>’</w:t>
      </w:r>
      <w:r w:rsidRPr="00562699">
        <w:rPr>
          <w:lang w:val="fr-FR"/>
        </w:rPr>
        <w:t xml:space="preserve">édition et de validation </w:t>
      </w:r>
      <w:r w:rsidR="00920A33" w:rsidRPr="00562699">
        <w:rPr>
          <w:lang w:val="fr-FR"/>
        </w:rPr>
        <w:t xml:space="preserve">selon </w:t>
      </w:r>
      <w:r w:rsidRPr="00562699">
        <w:rPr>
          <w:lang w:val="fr-FR"/>
        </w:rPr>
        <w:t>la norme</w:t>
      </w:r>
      <w:r w:rsidR="00953186">
        <w:rPr>
          <w:lang w:val="fr-FR"/>
        </w:rPr>
        <w:t> </w:t>
      </w:r>
      <w:r w:rsidRPr="00562699">
        <w:rPr>
          <w:lang w:val="fr-FR"/>
        </w:rPr>
        <w:t>ST.26.</w:t>
      </w:r>
      <w:r w:rsidR="008D1E3B" w:rsidRPr="00562699">
        <w:rPr>
          <w:lang w:val="fr-FR"/>
        </w:rPr>
        <w:t xml:space="preserve">  </w:t>
      </w:r>
      <w:r w:rsidR="00920A33" w:rsidRPr="00562699">
        <w:rPr>
          <w:lang w:val="fr-FR"/>
        </w:rPr>
        <w:t>Il</w:t>
      </w:r>
      <w:r w:rsidRPr="00562699">
        <w:rPr>
          <w:lang w:val="fr-FR"/>
        </w:rPr>
        <w:t xml:space="preserve"> a encouragé les autres </w:t>
      </w:r>
      <w:r w:rsidR="00D0340F" w:rsidRPr="00562699">
        <w:rPr>
          <w:lang w:val="fr-FR"/>
        </w:rPr>
        <w:t>o</w:t>
      </w:r>
      <w:r w:rsidRPr="00562699">
        <w:rPr>
          <w:lang w:val="fr-FR"/>
        </w:rPr>
        <w:t>ffices à participer aux essais de l</w:t>
      </w:r>
      <w:r w:rsidR="003C64A0">
        <w:rPr>
          <w:lang w:val="fr-FR"/>
        </w:rPr>
        <w:t>’</w:t>
      </w:r>
      <w:r w:rsidRPr="00562699">
        <w:rPr>
          <w:lang w:val="fr-FR"/>
        </w:rPr>
        <w:t xml:space="preserve">outil et a souligné </w:t>
      </w:r>
      <w:r w:rsidR="00920A33" w:rsidRPr="00562699">
        <w:rPr>
          <w:lang w:val="fr-FR"/>
        </w:rPr>
        <w:t>qu</w:t>
      </w:r>
      <w:r w:rsidR="003C64A0">
        <w:rPr>
          <w:lang w:val="fr-FR"/>
        </w:rPr>
        <w:t>’</w:t>
      </w:r>
      <w:r w:rsidR="00920A33" w:rsidRPr="00562699">
        <w:rPr>
          <w:lang w:val="fr-FR"/>
        </w:rPr>
        <w:t xml:space="preserve">il importait </w:t>
      </w:r>
      <w:r w:rsidRPr="00562699">
        <w:rPr>
          <w:lang w:val="fr-FR"/>
        </w:rPr>
        <w:t xml:space="preserve">de </w:t>
      </w:r>
      <w:r w:rsidR="00D0340F" w:rsidRPr="00562699">
        <w:rPr>
          <w:lang w:val="fr-FR"/>
        </w:rPr>
        <w:t xml:space="preserve">prendre part </w:t>
      </w:r>
      <w:r w:rsidRPr="00562699">
        <w:rPr>
          <w:lang w:val="fr-FR"/>
        </w:rPr>
        <w:t xml:space="preserve">aux travaux </w:t>
      </w:r>
      <w:r w:rsidR="00D0340F" w:rsidRPr="00562699">
        <w:rPr>
          <w:lang w:val="fr-FR"/>
        </w:rPr>
        <w:t xml:space="preserve">que </w:t>
      </w:r>
      <w:r w:rsidR="002E0FA9" w:rsidRPr="00562699">
        <w:rPr>
          <w:lang w:val="fr-FR"/>
        </w:rPr>
        <w:t>devra</w:t>
      </w:r>
      <w:r w:rsidR="00D0340F" w:rsidRPr="00562699">
        <w:rPr>
          <w:lang w:val="fr-FR"/>
        </w:rPr>
        <w:t xml:space="preserve"> mener l</w:t>
      </w:r>
      <w:r w:rsidR="003C64A0">
        <w:rPr>
          <w:lang w:val="fr-FR"/>
        </w:rPr>
        <w:t>’</w:t>
      </w:r>
      <w:r w:rsidRPr="00562699">
        <w:rPr>
          <w:lang w:val="fr-FR"/>
        </w:rPr>
        <w:t>équipe d</w:t>
      </w:r>
      <w:r w:rsidR="003C64A0">
        <w:rPr>
          <w:lang w:val="fr-FR"/>
        </w:rPr>
        <w:t>’</w:t>
      </w:r>
      <w:r w:rsidRPr="00562699">
        <w:rPr>
          <w:lang w:val="fr-FR"/>
        </w:rPr>
        <w:t xml:space="preserve">experts dans son ensemble au cours de la période </w:t>
      </w:r>
      <w:r w:rsidR="00D0340F" w:rsidRPr="00562699">
        <w:rPr>
          <w:lang w:val="fr-FR"/>
        </w:rPr>
        <w:t xml:space="preserve">précédant le passage à </w:t>
      </w:r>
      <w:r w:rsidRPr="00562699">
        <w:rPr>
          <w:lang w:val="fr-FR"/>
        </w:rPr>
        <w:t>la norme</w:t>
      </w:r>
      <w:r w:rsidR="00D0340F" w:rsidRPr="00562699">
        <w:rPr>
          <w:lang w:val="fr-FR"/>
        </w:rPr>
        <w:t> ST.</w:t>
      </w:r>
      <w:r w:rsidRPr="00562699">
        <w:rPr>
          <w:lang w:val="fr-FR"/>
        </w:rPr>
        <w:t>26, le</w:t>
      </w:r>
      <w:r w:rsidR="003C64A0">
        <w:rPr>
          <w:lang w:val="fr-FR"/>
        </w:rPr>
        <w:t xml:space="preserve"> 1</w:t>
      </w:r>
      <w:r w:rsidR="003C64A0" w:rsidRPr="003C64A0">
        <w:rPr>
          <w:vertAlign w:val="superscript"/>
          <w:lang w:val="fr-FR"/>
        </w:rPr>
        <w:t>er</w:t>
      </w:r>
      <w:r w:rsidR="003C64A0">
        <w:rPr>
          <w:lang w:val="fr-FR"/>
        </w:rPr>
        <w:t> </w:t>
      </w:r>
      <w:r w:rsidRPr="00562699">
        <w:rPr>
          <w:lang w:val="fr-FR"/>
        </w:rPr>
        <w:t>janvier</w:t>
      </w:r>
      <w:r w:rsidR="00D0340F" w:rsidRPr="00562699">
        <w:rPr>
          <w:lang w:val="fr-FR"/>
        </w:rPr>
        <w:t> </w:t>
      </w:r>
      <w:r w:rsidRPr="00562699">
        <w:rPr>
          <w:lang w:val="fr-FR"/>
        </w:rPr>
        <w:t>2022.</w:t>
      </w:r>
    </w:p>
    <w:p w14:paraId="7DACE167" w14:textId="2C668103" w:rsidR="009246D2" w:rsidRPr="00562699" w:rsidRDefault="00CB23D2" w:rsidP="00562699">
      <w:pPr>
        <w:pStyle w:val="ONUMFS"/>
        <w:rPr>
          <w:lang w:val="fr-FR"/>
        </w:rPr>
      </w:pPr>
      <w:r w:rsidRPr="00562699">
        <w:rPr>
          <w:lang w:val="fr-FR"/>
        </w:rPr>
        <w:t xml:space="preserve">Une administration a </w:t>
      </w:r>
      <w:r w:rsidR="00920A33" w:rsidRPr="00562699">
        <w:rPr>
          <w:lang w:val="fr-FR"/>
        </w:rPr>
        <w:t>évoqué</w:t>
      </w:r>
      <w:r w:rsidRPr="00562699">
        <w:rPr>
          <w:lang w:val="fr-FR"/>
        </w:rPr>
        <w:t xml:space="preserve"> les questions en suspens au paragraphe</w:t>
      </w:r>
      <w:r w:rsidR="004E4E83" w:rsidRPr="00562699">
        <w:rPr>
          <w:lang w:val="fr-FR"/>
        </w:rPr>
        <w:t> </w:t>
      </w:r>
      <w:r w:rsidRPr="00562699">
        <w:rPr>
          <w:lang w:val="fr-FR"/>
        </w:rPr>
        <w:t>9 du docume</w:t>
      </w:r>
      <w:r w:rsidR="00B85EF1" w:rsidRPr="00562699">
        <w:rPr>
          <w:lang w:val="fr-FR"/>
        </w:rPr>
        <w:t>nt</w:t>
      </w:r>
      <w:r w:rsidR="00B85EF1">
        <w:rPr>
          <w:lang w:val="fr-FR"/>
        </w:rPr>
        <w:t xml:space="preserve">.  </w:t>
      </w:r>
      <w:r w:rsidR="00B85EF1" w:rsidRPr="00562699">
        <w:rPr>
          <w:lang w:val="fr-FR"/>
        </w:rPr>
        <w:t>El</w:t>
      </w:r>
      <w:r w:rsidR="00920A33" w:rsidRPr="00562699">
        <w:rPr>
          <w:lang w:val="fr-FR"/>
        </w:rPr>
        <w:t>le</w:t>
      </w:r>
      <w:r w:rsidRPr="00562699">
        <w:rPr>
          <w:lang w:val="fr-FR"/>
        </w:rPr>
        <w:t xml:space="preserve"> a souligné que les qualificateurs d</w:t>
      </w:r>
      <w:r w:rsidR="00D0340F" w:rsidRPr="00562699">
        <w:rPr>
          <w:lang w:val="fr-FR"/>
        </w:rPr>
        <w:t>e</w:t>
      </w:r>
      <w:r w:rsidRPr="00562699">
        <w:rPr>
          <w:lang w:val="fr-FR"/>
        </w:rPr>
        <w:t xml:space="preserve"> texte libre dans la norme</w:t>
      </w:r>
      <w:r w:rsidR="00953186">
        <w:rPr>
          <w:lang w:val="fr-FR"/>
        </w:rPr>
        <w:t> </w:t>
      </w:r>
      <w:r w:rsidRPr="00562699">
        <w:rPr>
          <w:lang w:val="fr-FR"/>
        </w:rPr>
        <w:t>ST.26 étaient limités aux caractères imprimables du tableau de codes de caractères latins de base de la norme Unico</w:t>
      </w:r>
      <w:r w:rsidR="00B85EF1" w:rsidRPr="00562699">
        <w:rPr>
          <w:lang w:val="fr-FR"/>
        </w:rPr>
        <w:t>de</w:t>
      </w:r>
      <w:r w:rsidR="00B85EF1">
        <w:rPr>
          <w:lang w:val="fr-FR"/>
        </w:rPr>
        <w:t xml:space="preserve">.  </w:t>
      </w:r>
      <w:r w:rsidR="00B85EF1" w:rsidRPr="00562699">
        <w:rPr>
          <w:lang w:val="fr-FR"/>
        </w:rPr>
        <w:t>Ce</w:t>
      </w:r>
      <w:r w:rsidRPr="00562699">
        <w:rPr>
          <w:lang w:val="fr-FR"/>
        </w:rPr>
        <w:t>la empêchait l</w:t>
      </w:r>
      <w:r w:rsidR="003C64A0">
        <w:rPr>
          <w:lang w:val="fr-FR"/>
        </w:rPr>
        <w:t>’</w:t>
      </w:r>
      <w:r w:rsidRPr="00562699">
        <w:rPr>
          <w:lang w:val="fr-FR"/>
        </w:rPr>
        <w:t xml:space="preserve">utilisation de langues </w:t>
      </w:r>
      <w:r w:rsidR="002E0FA9" w:rsidRPr="00562699">
        <w:rPr>
          <w:lang w:val="fr-FR"/>
        </w:rPr>
        <w:t>contenant</w:t>
      </w:r>
      <w:r w:rsidRPr="00562699">
        <w:rPr>
          <w:lang w:val="fr-FR"/>
        </w:rPr>
        <w:t xml:space="preserve"> </w:t>
      </w:r>
      <w:r w:rsidR="00D0340F" w:rsidRPr="00562699">
        <w:rPr>
          <w:lang w:val="fr-FR"/>
        </w:rPr>
        <w:t>d</w:t>
      </w:r>
      <w:r w:rsidRPr="00562699">
        <w:rPr>
          <w:lang w:val="fr-FR"/>
        </w:rPr>
        <w:t>es caractères autres que latins, ainsi que les caractères accentués d</w:t>
      </w:r>
      <w:r w:rsidR="003C64A0">
        <w:rPr>
          <w:lang w:val="fr-FR"/>
        </w:rPr>
        <w:t>’</w:t>
      </w:r>
      <w:r w:rsidRPr="00562699">
        <w:rPr>
          <w:lang w:val="fr-FR"/>
        </w:rPr>
        <w:t>autres langues de dépôt couramment utilisées dans le cadre</w:t>
      </w:r>
      <w:r w:rsidR="003C64A0" w:rsidRPr="00562699">
        <w:rPr>
          <w:lang w:val="fr-FR"/>
        </w:rPr>
        <w:t xml:space="preserve"> du</w:t>
      </w:r>
      <w:r w:rsidR="003C64A0">
        <w:rPr>
          <w:lang w:val="fr-FR"/>
        </w:rPr>
        <w:t> </w:t>
      </w:r>
      <w:r w:rsidR="00B85EF1" w:rsidRPr="00562699">
        <w:rPr>
          <w:lang w:val="fr-FR"/>
        </w:rPr>
        <w:t>PCT</w:t>
      </w:r>
      <w:r w:rsidR="00B85EF1">
        <w:rPr>
          <w:lang w:val="fr-FR"/>
        </w:rPr>
        <w:t xml:space="preserve">.  </w:t>
      </w:r>
      <w:r w:rsidR="00B85EF1" w:rsidRPr="00562699">
        <w:rPr>
          <w:lang w:val="fr-FR"/>
        </w:rPr>
        <w:t>Un</w:t>
      </w:r>
      <w:r w:rsidRPr="00562699">
        <w:rPr>
          <w:lang w:val="fr-FR"/>
        </w:rPr>
        <w:t xml:space="preserve">e administration a </w:t>
      </w:r>
      <w:r w:rsidR="00D0340F" w:rsidRPr="00562699">
        <w:rPr>
          <w:lang w:val="fr-FR"/>
        </w:rPr>
        <w:t>mis l</w:t>
      </w:r>
      <w:r w:rsidR="003C64A0">
        <w:rPr>
          <w:lang w:val="fr-FR"/>
        </w:rPr>
        <w:t>’</w:t>
      </w:r>
      <w:r w:rsidR="00D0340F" w:rsidRPr="00562699">
        <w:rPr>
          <w:lang w:val="fr-FR"/>
        </w:rPr>
        <w:t>accent sur l</w:t>
      </w:r>
      <w:r w:rsidRPr="00562699">
        <w:rPr>
          <w:lang w:val="fr-FR"/>
        </w:rPr>
        <w:t xml:space="preserve">es </w:t>
      </w:r>
      <w:r w:rsidR="00D0340F" w:rsidRPr="00562699">
        <w:rPr>
          <w:lang w:val="fr-FR"/>
        </w:rPr>
        <w:t xml:space="preserve">obligations </w:t>
      </w:r>
      <w:r w:rsidRPr="00562699">
        <w:rPr>
          <w:lang w:val="fr-FR"/>
        </w:rPr>
        <w:t>constitutionnelles visant à assurer l</w:t>
      </w:r>
      <w:r w:rsidR="003C64A0">
        <w:rPr>
          <w:lang w:val="fr-FR"/>
        </w:rPr>
        <w:t>’</w:t>
      </w:r>
      <w:r w:rsidRPr="00562699">
        <w:rPr>
          <w:lang w:val="fr-FR"/>
        </w:rPr>
        <w:t xml:space="preserve">égalité de traitement de ses langues nationales et a exprimé le souhait que </w:t>
      </w:r>
      <w:r w:rsidR="00D0340F" w:rsidRPr="00562699">
        <w:rPr>
          <w:lang w:val="fr-FR"/>
        </w:rPr>
        <w:t>le programme informatique</w:t>
      </w:r>
      <w:r w:rsidRPr="00562699">
        <w:rPr>
          <w:lang w:val="fr-FR"/>
        </w:rPr>
        <w:t xml:space="preserve"> permette aux déposants de </w:t>
      </w:r>
      <w:r w:rsidR="00D0340F" w:rsidRPr="00562699">
        <w:rPr>
          <w:lang w:val="fr-FR"/>
        </w:rPr>
        <w:t xml:space="preserve">soumettre leur demande </w:t>
      </w:r>
      <w:r w:rsidRPr="00562699">
        <w:rPr>
          <w:lang w:val="fr-FR"/>
        </w:rPr>
        <w:t xml:space="preserve">sans devoir </w:t>
      </w:r>
      <w:r w:rsidR="002E0FA9" w:rsidRPr="00562699">
        <w:rPr>
          <w:lang w:val="fr-FR"/>
        </w:rPr>
        <w:t>présenter</w:t>
      </w:r>
      <w:r w:rsidRPr="00562699">
        <w:rPr>
          <w:lang w:val="fr-FR"/>
        </w:rPr>
        <w:t xml:space="preserve"> une traduction en anglais.</w:t>
      </w:r>
    </w:p>
    <w:p w14:paraId="6C502E1E" w14:textId="7FED4BB6" w:rsidR="009246D2" w:rsidRPr="00562699" w:rsidRDefault="00CB23D2" w:rsidP="00562699">
      <w:pPr>
        <w:pStyle w:val="ONUMFS"/>
        <w:rPr>
          <w:lang w:val="fr-FR"/>
        </w:rPr>
      </w:pPr>
      <w:r w:rsidRPr="00562699">
        <w:rPr>
          <w:lang w:val="fr-FR"/>
        </w:rPr>
        <w:t>En réponse à une question sur les modifications qu</w:t>
      </w:r>
      <w:r w:rsidR="003C64A0">
        <w:rPr>
          <w:lang w:val="fr-FR"/>
        </w:rPr>
        <w:t>’</w:t>
      </w:r>
      <w:r w:rsidRPr="00562699">
        <w:rPr>
          <w:lang w:val="fr-FR"/>
        </w:rPr>
        <w:t xml:space="preserve">il </w:t>
      </w:r>
      <w:r w:rsidR="00D0340F" w:rsidRPr="00562699">
        <w:rPr>
          <w:lang w:val="fr-FR"/>
        </w:rPr>
        <w:t>conviendrait</w:t>
      </w:r>
      <w:r w:rsidRPr="00562699">
        <w:rPr>
          <w:lang w:val="fr-FR"/>
        </w:rPr>
        <w:t xml:space="preserve"> d</w:t>
      </w:r>
      <w:r w:rsidR="003C64A0">
        <w:rPr>
          <w:lang w:val="fr-FR"/>
        </w:rPr>
        <w:t>’</w:t>
      </w:r>
      <w:r w:rsidRPr="00562699">
        <w:rPr>
          <w:lang w:val="fr-FR"/>
        </w:rPr>
        <w:t>apporter au règlement d</w:t>
      </w:r>
      <w:r w:rsidR="003C64A0">
        <w:rPr>
          <w:lang w:val="fr-FR"/>
        </w:rPr>
        <w:t>’</w:t>
      </w:r>
      <w:r w:rsidRPr="00562699">
        <w:rPr>
          <w:lang w:val="fr-FR"/>
        </w:rPr>
        <w:t>exécution et aux Instructions administratives</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le Bureau </w:t>
      </w:r>
      <w:r w:rsidR="00D0340F" w:rsidRPr="00562699">
        <w:rPr>
          <w:lang w:val="fr-FR"/>
        </w:rPr>
        <w:t>i</w:t>
      </w:r>
      <w:r w:rsidRPr="00562699">
        <w:rPr>
          <w:lang w:val="fr-FR"/>
        </w:rPr>
        <w:t>nternational a précisé qu</w:t>
      </w:r>
      <w:r w:rsidR="003C64A0">
        <w:rPr>
          <w:lang w:val="fr-FR"/>
        </w:rPr>
        <w:t>’</w:t>
      </w:r>
      <w:r w:rsidRPr="00562699">
        <w:rPr>
          <w:lang w:val="fr-FR"/>
        </w:rPr>
        <w:t>il établirait un document pour la douz</w:t>
      </w:r>
      <w:r w:rsidR="003C64A0">
        <w:rPr>
          <w:lang w:val="fr-FR"/>
        </w:rPr>
        <w:t>ième session</w:t>
      </w:r>
      <w:r w:rsidRPr="00562699">
        <w:rPr>
          <w:lang w:val="fr-FR"/>
        </w:rPr>
        <w:t xml:space="preserve"> du Groupe de travail</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920A33" w:rsidRPr="00562699">
        <w:rPr>
          <w:lang w:val="fr-FR"/>
        </w:rPr>
        <w:t>prévue pour</w:t>
      </w:r>
      <w:r w:rsidRPr="00562699">
        <w:rPr>
          <w:lang w:val="fr-FR"/>
        </w:rPr>
        <w:t xml:space="preserve"> juin</w:t>
      </w:r>
      <w:r w:rsidR="004E4E83" w:rsidRPr="00562699">
        <w:rPr>
          <w:lang w:val="fr-FR"/>
        </w:rPr>
        <w:t> </w:t>
      </w:r>
      <w:r w:rsidRPr="00562699">
        <w:rPr>
          <w:lang w:val="fr-FR"/>
        </w:rPr>
        <w:t>2019.</w:t>
      </w:r>
      <w:r w:rsidR="008D1E3B" w:rsidRPr="00562699">
        <w:rPr>
          <w:lang w:val="fr-FR"/>
        </w:rPr>
        <w:t xml:space="preserve">  </w:t>
      </w:r>
      <w:r w:rsidRPr="00562699">
        <w:rPr>
          <w:lang w:val="fr-FR"/>
        </w:rPr>
        <w:t>L</w:t>
      </w:r>
      <w:r w:rsidR="003C64A0">
        <w:rPr>
          <w:lang w:val="fr-FR"/>
        </w:rPr>
        <w:t>’</w:t>
      </w:r>
      <w:r w:rsidRPr="00562699">
        <w:rPr>
          <w:lang w:val="fr-FR"/>
        </w:rPr>
        <w:t>Assemblée de l</w:t>
      </w:r>
      <w:r w:rsidR="003C64A0">
        <w:rPr>
          <w:lang w:val="fr-FR"/>
        </w:rPr>
        <w:t>’</w:t>
      </w:r>
      <w:r w:rsidRPr="00562699">
        <w:rPr>
          <w:lang w:val="fr-FR"/>
        </w:rPr>
        <w:t>Union</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devrait adopter toute modification du règlement d</w:t>
      </w:r>
      <w:r w:rsidR="003C64A0">
        <w:rPr>
          <w:lang w:val="fr-FR"/>
        </w:rPr>
        <w:t>’</w:t>
      </w:r>
      <w:r w:rsidRPr="00562699">
        <w:rPr>
          <w:lang w:val="fr-FR"/>
        </w:rPr>
        <w:t>exécution</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au plus tard à sa session </w:t>
      </w:r>
      <w:r w:rsidR="003C64A0" w:rsidRPr="00562699">
        <w:rPr>
          <w:lang w:val="fr-FR"/>
        </w:rPr>
        <w:t>de</w:t>
      </w:r>
      <w:r w:rsidR="003C64A0">
        <w:rPr>
          <w:lang w:val="fr-FR"/>
        </w:rPr>
        <w:t> </w:t>
      </w:r>
      <w:r w:rsidR="003C64A0" w:rsidRPr="00562699">
        <w:rPr>
          <w:lang w:val="fr-FR"/>
        </w:rPr>
        <w:t>2020</w:t>
      </w:r>
      <w:r w:rsidRPr="00562699">
        <w:rPr>
          <w:lang w:val="fr-FR"/>
        </w:rPr>
        <w:t xml:space="preserve"> en vue de sa mise en </w:t>
      </w:r>
      <w:r w:rsidR="00D0340F" w:rsidRPr="00562699">
        <w:rPr>
          <w:lang w:val="fr-FR"/>
        </w:rPr>
        <w:t>œuvre</w:t>
      </w:r>
      <w:r w:rsidR="004E4E83" w:rsidRPr="00562699">
        <w:rPr>
          <w:lang w:val="fr-FR"/>
        </w:rPr>
        <w:t xml:space="preserve"> </w:t>
      </w:r>
      <w:r w:rsidR="00031D83" w:rsidRPr="00562699">
        <w:rPr>
          <w:lang w:val="fr-FR"/>
        </w:rPr>
        <w:t xml:space="preserve">à temps pour le passage de </w:t>
      </w:r>
      <w:r w:rsidRPr="00562699">
        <w:rPr>
          <w:lang w:val="fr-FR"/>
        </w:rPr>
        <w:t>la norme</w:t>
      </w:r>
      <w:r w:rsidR="00953186">
        <w:rPr>
          <w:lang w:val="fr-FR"/>
        </w:rPr>
        <w:t> </w:t>
      </w:r>
      <w:r w:rsidRPr="00562699">
        <w:rPr>
          <w:lang w:val="fr-FR"/>
        </w:rPr>
        <w:t>ST.25 à la norme</w:t>
      </w:r>
      <w:r w:rsidR="00953186">
        <w:rPr>
          <w:lang w:val="fr-FR"/>
        </w:rPr>
        <w:t> </w:t>
      </w:r>
      <w:r w:rsidRPr="00562699">
        <w:rPr>
          <w:lang w:val="fr-FR"/>
        </w:rPr>
        <w:t>ST.26 le</w:t>
      </w:r>
      <w:r w:rsidR="003C64A0">
        <w:rPr>
          <w:lang w:val="fr-FR"/>
        </w:rPr>
        <w:t xml:space="preserve"> 1</w:t>
      </w:r>
      <w:r w:rsidR="003C64A0" w:rsidRPr="003C64A0">
        <w:rPr>
          <w:vertAlign w:val="superscript"/>
          <w:lang w:val="fr-FR"/>
        </w:rPr>
        <w:t>er</w:t>
      </w:r>
      <w:r w:rsidR="003C64A0">
        <w:rPr>
          <w:lang w:val="fr-FR"/>
        </w:rPr>
        <w:t> </w:t>
      </w:r>
      <w:r w:rsidRPr="00562699">
        <w:rPr>
          <w:lang w:val="fr-FR"/>
        </w:rPr>
        <w:t>janvier</w:t>
      </w:r>
      <w:r w:rsidR="00031D83" w:rsidRPr="00562699">
        <w:rPr>
          <w:lang w:val="fr-FR"/>
        </w:rPr>
        <w:t> </w:t>
      </w:r>
      <w:r w:rsidRPr="00562699">
        <w:rPr>
          <w:lang w:val="fr-FR"/>
        </w:rPr>
        <w:t>2022.</w:t>
      </w:r>
      <w:r w:rsidR="008D1E3B" w:rsidRPr="00562699">
        <w:rPr>
          <w:lang w:val="fr-FR"/>
        </w:rPr>
        <w:t xml:space="preserve">  </w:t>
      </w:r>
      <w:r w:rsidRPr="00562699">
        <w:rPr>
          <w:lang w:val="fr-FR"/>
        </w:rPr>
        <w:t xml:space="preserve">Le Bureau </w:t>
      </w:r>
      <w:r w:rsidR="00031D83" w:rsidRPr="00562699">
        <w:rPr>
          <w:lang w:val="fr-FR"/>
        </w:rPr>
        <w:t>i</w:t>
      </w:r>
      <w:r w:rsidRPr="00562699">
        <w:rPr>
          <w:lang w:val="fr-FR"/>
        </w:rPr>
        <w:t>nternational a également encouragé les experts des administrations internationales à tester les logiciels d</w:t>
      </w:r>
      <w:r w:rsidR="003C64A0">
        <w:rPr>
          <w:lang w:val="fr-FR"/>
        </w:rPr>
        <w:t>’</w:t>
      </w:r>
      <w:r w:rsidRPr="00562699">
        <w:rPr>
          <w:lang w:val="fr-FR"/>
        </w:rPr>
        <w:t>édition et de validation et à faire part de leurs observatio</w:t>
      </w:r>
      <w:r w:rsidR="00B85EF1" w:rsidRPr="00562699">
        <w:rPr>
          <w:lang w:val="fr-FR"/>
        </w:rPr>
        <w:t>ns</w:t>
      </w:r>
      <w:r w:rsidR="00B85EF1">
        <w:rPr>
          <w:lang w:val="fr-FR"/>
        </w:rPr>
        <w:t xml:space="preserve">.  </w:t>
      </w:r>
      <w:r w:rsidR="00B85EF1" w:rsidRPr="00562699">
        <w:rPr>
          <w:lang w:val="fr-FR"/>
        </w:rPr>
        <w:t>S</w:t>
      </w:r>
      <w:r w:rsidR="00B85EF1">
        <w:rPr>
          <w:lang w:val="fr-FR"/>
        </w:rPr>
        <w:t>’</w:t>
      </w:r>
      <w:r w:rsidR="00B85EF1" w:rsidRPr="00562699">
        <w:rPr>
          <w:lang w:val="fr-FR"/>
        </w:rPr>
        <w:t>a</w:t>
      </w:r>
      <w:r w:rsidRPr="00562699">
        <w:rPr>
          <w:lang w:val="fr-FR"/>
        </w:rPr>
        <w:t xml:space="preserve">gissant du texte libre, le Bureau </w:t>
      </w:r>
      <w:r w:rsidR="00031D83" w:rsidRPr="00562699">
        <w:rPr>
          <w:lang w:val="fr-FR"/>
        </w:rPr>
        <w:t>i</w:t>
      </w:r>
      <w:r w:rsidRPr="00562699">
        <w:rPr>
          <w:lang w:val="fr-FR"/>
        </w:rPr>
        <w:t>nternational a souligné que la limitation de</w:t>
      </w:r>
      <w:r w:rsidR="002E0FA9" w:rsidRPr="00562699">
        <w:rPr>
          <w:lang w:val="fr-FR"/>
        </w:rPr>
        <w:t>s</w:t>
      </w:r>
      <w:r w:rsidRPr="00562699">
        <w:rPr>
          <w:lang w:val="fr-FR"/>
        </w:rPr>
        <w:t xml:space="preserve"> caractères avait été adoptée dans la norme</w:t>
      </w:r>
      <w:r w:rsidR="00953186">
        <w:rPr>
          <w:lang w:val="fr-FR"/>
        </w:rPr>
        <w:t> </w:t>
      </w:r>
      <w:r w:rsidRPr="00562699">
        <w:rPr>
          <w:lang w:val="fr-FR"/>
        </w:rPr>
        <w:t xml:space="preserve">ST.26 afin que les listages des séquences dans les demandes de brevet soient présentés </w:t>
      </w:r>
      <w:r w:rsidR="00031D83" w:rsidRPr="00562699">
        <w:rPr>
          <w:lang w:val="fr-FR"/>
        </w:rPr>
        <w:t>dans le</w:t>
      </w:r>
      <w:r w:rsidRPr="00562699">
        <w:rPr>
          <w:lang w:val="fr-FR"/>
        </w:rPr>
        <w:t xml:space="preserve"> même format que </w:t>
      </w:r>
      <w:r w:rsidR="00031D83" w:rsidRPr="00562699">
        <w:rPr>
          <w:lang w:val="fr-FR"/>
        </w:rPr>
        <w:t xml:space="preserve">celui utilisé par </w:t>
      </w:r>
      <w:r w:rsidRPr="00562699">
        <w:rPr>
          <w:lang w:val="fr-FR"/>
        </w:rPr>
        <w:t xml:space="preserve">les fournisseurs de bases de données commerciales et a encouragé les administrations à envisager des solutions techniques </w:t>
      </w:r>
      <w:r w:rsidR="00031D83" w:rsidRPr="00562699">
        <w:rPr>
          <w:lang w:val="fr-FR"/>
        </w:rPr>
        <w:t xml:space="preserve">permettant de satisfaire </w:t>
      </w:r>
      <w:r w:rsidRPr="00562699">
        <w:rPr>
          <w:lang w:val="fr-FR"/>
        </w:rPr>
        <w:t>cette exigence.</w:t>
      </w:r>
    </w:p>
    <w:p w14:paraId="5B061EEC" w14:textId="77777777" w:rsidR="009246D2" w:rsidRPr="00562699" w:rsidRDefault="00CB23D2" w:rsidP="00562699">
      <w:pPr>
        <w:pStyle w:val="ONUMFS"/>
        <w:ind w:left="567"/>
        <w:rPr>
          <w:lang w:val="fr-FR"/>
        </w:rPr>
      </w:pPr>
      <w:r w:rsidRPr="00562699">
        <w:rPr>
          <w:lang w:val="fr-FR"/>
        </w:rPr>
        <w:t>La Réunion a pris note du contenu du document PCT/MIA/26/2.</w:t>
      </w:r>
    </w:p>
    <w:p w14:paraId="14DD1E7A" w14:textId="001E2605" w:rsidR="009246D2" w:rsidRPr="00562699" w:rsidRDefault="00CB23D2" w:rsidP="00562699">
      <w:pPr>
        <w:pStyle w:val="Heading1"/>
        <w:rPr>
          <w:lang w:val="fr-FR"/>
        </w:rPr>
      </w:pPr>
      <w:r w:rsidRPr="00562699">
        <w:rPr>
          <w:lang w:val="fr-FR"/>
        </w:rPr>
        <w:t>Point</w:t>
      </w:r>
      <w:r w:rsidR="004E4E83" w:rsidRPr="00562699">
        <w:rPr>
          <w:lang w:val="fr-FR"/>
        </w:rPr>
        <w:t> </w:t>
      </w:r>
      <w:r w:rsidRPr="00562699">
        <w:rPr>
          <w:lang w:val="fr-FR"/>
        </w:rPr>
        <w:t>17</w:t>
      </w:r>
      <w:r w:rsidR="00562699" w:rsidRPr="00562699">
        <w:rPr>
          <w:lang w:val="fr-FR"/>
        </w:rPr>
        <w:t xml:space="preserve"> de l</w:t>
      </w:r>
      <w:r w:rsidR="003C64A0">
        <w:rPr>
          <w:lang w:val="fr-FR"/>
        </w:rPr>
        <w:t>’</w:t>
      </w:r>
      <w:r w:rsidR="00562699" w:rsidRPr="00562699">
        <w:rPr>
          <w:lang w:val="fr-FR"/>
        </w:rPr>
        <w:t>ordre du jour</w:t>
      </w:r>
      <w:r w:rsidR="003C64A0">
        <w:rPr>
          <w:lang w:val="fr-FR"/>
        </w:rPr>
        <w:t> :</w:t>
      </w:r>
      <w:r w:rsidRPr="00562699">
        <w:rPr>
          <w:lang w:val="fr-FR"/>
        </w:rPr>
        <w:t xml:space="preserve"> travaux futurs</w:t>
      </w:r>
    </w:p>
    <w:p w14:paraId="10EC36E2" w14:textId="77777777" w:rsidR="00562699" w:rsidRPr="00562699" w:rsidRDefault="00562699" w:rsidP="00562699">
      <w:pPr>
        <w:rPr>
          <w:lang w:val="fr-FR"/>
        </w:rPr>
      </w:pPr>
    </w:p>
    <w:p w14:paraId="01E6E087" w14:textId="610E19CF" w:rsidR="009246D2" w:rsidRPr="00562699" w:rsidRDefault="00CB23D2" w:rsidP="00562699">
      <w:pPr>
        <w:pStyle w:val="ONUMFS"/>
        <w:rPr>
          <w:lang w:val="fr-FR"/>
        </w:rPr>
      </w:pPr>
      <w:r w:rsidRPr="00562699">
        <w:rPr>
          <w:lang w:val="fr-FR"/>
        </w:rPr>
        <w:t>L</w:t>
      </w:r>
      <w:r w:rsidR="003C64A0">
        <w:rPr>
          <w:lang w:val="fr-FR"/>
        </w:rPr>
        <w:t>’</w:t>
      </w:r>
      <w:r w:rsidRPr="00562699">
        <w:rPr>
          <w:lang w:val="fr-FR"/>
        </w:rPr>
        <w:t>Office égyptien des brevets a indiqué qu</w:t>
      </w:r>
      <w:r w:rsidR="003C64A0">
        <w:rPr>
          <w:lang w:val="fr-FR"/>
        </w:rPr>
        <w:t>’</w:t>
      </w:r>
      <w:r w:rsidRPr="00562699">
        <w:rPr>
          <w:lang w:val="fr-FR"/>
        </w:rPr>
        <w:t xml:space="preserve">il pourrait présenter une proposition de révision des options disponibles dans le formulaire PCT/ISA/203, </w:t>
      </w:r>
      <w:r w:rsidR="002E0FA9" w:rsidRPr="00562699">
        <w:rPr>
          <w:lang w:val="fr-FR"/>
        </w:rPr>
        <w:t>laquelle</w:t>
      </w:r>
      <w:r w:rsidRPr="00562699">
        <w:rPr>
          <w:lang w:val="fr-FR"/>
        </w:rPr>
        <w:t xml:space="preserve"> pourrait nécessiter une modification de la </w:t>
      </w:r>
      <w:r w:rsidR="003C64A0" w:rsidRPr="00562699">
        <w:rPr>
          <w:lang w:val="fr-FR"/>
        </w:rPr>
        <w:t>règle</w:t>
      </w:r>
      <w:r w:rsidR="003C64A0">
        <w:rPr>
          <w:lang w:val="fr-FR"/>
        </w:rPr>
        <w:t> </w:t>
      </w:r>
      <w:r w:rsidR="003C64A0" w:rsidRPr="00562699">
        <w:rPr>
          <w:lang w:val="fr-FR"/>
        </w:rPr>
        <w:t>3</w:t>
      </w:r>
      <w:r w:rsidRPr="00562699">
        <w:rPr>
          <w:lang w:val="fr-FR"/>
        </w:rPr>
        <w:t>9 du règlement d</w:t>
      </w:r>
      <w:r w:rsidR="003C64A0">
        <w:rPr>
          <w:lang w:val="fr-FR"/>
        </w:rPr>
        <w:t>’</w:t>
      </w:r>
      <w:r w:rsidRPr="00562699">
        <w:rPr>
          <w:lang w:val="fr-FR"/>
        </w:rPr>
        <w:t>exécution</w:t>
      </w:r>
      <w:r w:rsidR="003C64A0" w:rsidRPr="00562699">
        <w:rPr>
          <w:lang w:val="fr-FR"/>
        </w:rPr>
        <w:t xml:space="preserve"> du</w:t>
      </w:r>
      <w:r w:rsidR="003C64A0">
        <w:rPr>
          <w:lang w:val="fr-FR"/>
        </w:rPr>
        <w:t> </w:t>
      </w:r>
      <w:r w:rsidR="003C64A0" w:rsidRPr="00562699">
        <w:rPr>
          <w:lang w:val="fr-FR"/>
        </w:rPr>
        <w:t>PCT</w:t>
      </w:r>
      <w:r w:rsidRPr="00562699">
        <w:rPr>
          <w:lang w:val="fr-FR"/>
        </w:rPr>
        <w:t>.</w:t>
      </w:r>
    </w:p>
    <w:p w14:paraId="114042FC" w14:textId="380E84F8" w:rsidR="009246D2" w:rsidRPr="00562699" w:rsidRDefault="00CB23D2" w:rsidP="00562699">
      <w:pPr>
        <w:pStyle w:val="ONUMFS"/>
        <w:rPr>
          <w:lang w:val="fr-FR"/>
        </w:rPr>
      </w:pPr>
      <w:r w:rsidRPr="00562699">
        <w:rPr>
          <w:lang w:val="fr-FR"/>
        </w:rPr>
        <w:lastRenderedPageBreak/>
        <w:t xml:space="preserve">La Réunion a noté que sa prochaine session devrait être convoquée au cours du premier trimestre </w:t>
      </w:r>
      <w:r w:rsidR="003C64A0" w:rsidRPr="00562699">
        <w:rPr>
          <w:lang w:val="fr-FR"/>
        </w:rPr>
        <w:t>de</w:t>
      </w:r>
      <w:r w:rsidR="003C64A0">
        <w:rPr>
          <w:lang w:val="fr-FR"/>
        </w:rPr>
        <w:t> </w:t>
      </w:r>
      <w:r w:rsidR="003C64A0" w:rsidRPr="00562699">
        <w:rPr>
          <w:lang w:val="fr-FR"/>
        </w:rPr>
        <w:t>2020</w:t>
      </w:r>
      <w:r w:rsidRPr="00562699">
        <w:rPr>
          <w:lang w:val="fr-FR"/>
        </w:rPr>
        <w:t>, immédiatement après une réunion du Sous</w:t>
      </w:r>
      <w:r w:rsidR="001B4A2C">
        <w:rPr>
          <w:lang w:val="fr-FR"/>
        </w:rPr>
        <w:noBreakHyphen/>
      </w:r>
      <w:r w:rsidRPr="00562699">
        <w:rPr>
          <w:lang w:val="fr-FR"/>
        </w:rPr>
        <w:t>groupe chargé de la qualité.</w:t>
      </w:r>
    </w:p>
    <w:p w14:paraId="695669E8" w14:textId="055777A7" w:rsidR="009246D2" w:rsidRPr="00562699" w:rsidRDefault="00CB23D2" w:rsidP="00562699">
      <w:pPr>
        <w:pStyle w:val="ONUMFS"/>
        <w:numPr>
          <w:ilvl w:val="0"/>
          <w:numId w:val="0"/>
        </w:numPr>
        <w:rPr>
          <w:lang w:val="fr-FR"/>
        </w:rPr>
      </w:pPr>
      <w:r w:rsidRPr="00562699">
        <w:rPr>
          <w:lang w:val="fr-FR"/>
        </w:rPr>
        <w:t>[L</w:t>
      </w:r>
      <w:r w:rsidR="003C64A0">
        <w:rPr>
          <w:lang w:val="fr-FR"/>
        </w:rPr>
        <w:t>’</w:t>
      </w:r>
      <w:r w:rsidR="003C64A0" w:rsidRPr="00562699">
        <w:rPr>
          <w:lang w:val="fr-FR"/>
        </w:rPr>
        <w:t>annexe</w:t>
      </w:r>
      <w:r w:rsidR="003C64A0">
        <w:rPr>
          <w:lang w:val="fr-FR"/>
        </w:rPr>
        <w:t> </w:t>
      </w:r>
      <w:r w:rsidR="003C64A0" w:rsidRPr="00562699">
        <w:rPr>
          <w:lang w:val="fr-FR"/>
        </w:rPr>
        <w:t>I</w:t>
      </w:r>
      <w:r w:rsidRPr="00562699">
        <w:rPr>
          <w:lang w:val="fr-FR"/>
        </w:rPr>
        <w:t xml:space="preserve"> du document PCT/MIA/26/13, qui contient la liste des participants, n</w:t>
      </w:r>
      <w:r w:rsidR="003C64A0">
        <w:rPr>
          <w:lang w:val="fr-FR"/>
        </w:rPr>
        <w:t>’</w:t>
      </w:r>
      <w:r w:rsidRPr="00562699">
        <w:rPr>
          <w:lang w:val="fr-FR"/>
        </w:rPr>
        <w:t>est pas reproduite ici]</w:t>
      </w:r>
    </w:p>
    <w:p w14:paraId="3329C824" w14:textId="27EB9F8E" w:rsidR="009246D2" w:rsidRDefault="009246D2" w:rsidP="00562699">
      <w:pPr>
        <w:rPr>
          <w:lang w:val="fr-FR"/>
        </w:rPr>
      </w:pPr>
    </w:p>
    <w:p w14:paraId="1554E5DA" w14:textId="77777777" w:rsidR="00562699" w:rsidRPr="00562699" w:rsidRDefault="00562699" w:rsidP="00562699">
      <w:pPr>
        <w:rPr>
          <w:lang w:val="fr-FR"/>
        </w:rPr>
      </w:pPr>
    </w:p>
    <w:p w14:paraId="32267565" w14:textId="1D802E69" w:rsidR="00562699" w:rsidRDefault="00CB23D2" w:rsidP="00562699">
      <w:pPr>
        <w:pStyle w:val="Endofdocument-Annex"/>
        <w:rPr>
          <w:lang w:val="fr-FR"/>
        </w:rPr>
      </w:pPr>
      <w:r w:rsidRPr="00562699">
        <w:rPr>
          <w:lang w:val="fr-FR"/>
        </w:rPr>
        <w:t>[L</w:t>
      </w:r>
      <w:r w:rsidR="003C64A0">
        <w:rPr>
          <w:lang w:val="fr-FR"/>
        </w:rPr>
        <w:t>’</w:t>
      </w:r>
      <w:r w:rsidR="003C64A0" w:rsidRPr="00562699">
        <w:rPr>
          <w:lang w:val="fr-FR"/>
        </w:rPr>
        <w:t>annexe</w:t>
      </w:r>
      <w:r w:rsidR="003C64A0">
        <w:rPr>
          <w:lang w:val="fr-FR"/>
        </w:rPr>
        <w:t> </w:t>
      </w:r>
      <w:r w:rsidR="003C64A0" w:rsidRPr="00562699">
        <w:rPr>
          <w:lang w:val="fr-FR"/>
        </w:rPr>
        <w:t>I</w:t>
      </w:r>
      <w:r w:rsidRPr="00562699">
        <w:rPr>
          <w:lang w:val="fr-FR"/>
        </w:rPr>
        <w:t>I (du document PCT/MIA/26/13) suit]</w:t>
      </w:r>
    </w:p>
    <w:p w14:paraId="64EFE544" w14:textId="1924C1AB" w:rsidR="009246D2" w:rsidRPr="00562699" w:rsidRDefault="008D1E3B" w:rsidP="00562699">
      <w:pPr>
        <w:rPr>
          <w:lang w:val="fr-FR"/>
        </w:rPr>
      </w:pPr>
      <w:r w:rsidRPr="00562699">
        <w:rPr>
          <w:lang w:val="fr-FR"/>
        </w:rPr>
        <w:br w:type="page"/>
      </w:r>
    </w:p>
    <w:p w14:paraId="623B59E3" w14:textId="3D98A328" w:rsidR="009246D2" w:rsidRDefault="00CB23D2" w:rsidP="00562699">
      <w:pPr>
        <w:rPr>
          <w:lang w:val="fr-FR"/>
        </w:rPr>
      </w:pPr>
      <w:r w:rsidRPr="00562699">
        <w:rPr>
          <w:lang w:val="fr-FR"/>
        </w:rPr>
        <w:lastRenderedPageBreak/>
        <w:t>ANNEXE</w:t>
      </w:r>
      <w:r w:rsidR="004E4E83" w:rsidRPr="00562699">
        <w:rPr>
          <w:lang w:val="fr-FR"/>
        </w:rPr>
        <w:t> </w:t>
      </w:r>
      <w:r w:rsidRPr="00562699">
        <w:rPr>
          <w:lang w:val="fr-FR"/>
        </w:rPr>
        <w:t>II (</w:t>
      </w:r>
      <w:r w:rsidR="002E0FA9" w:rsidRPr="00562699">
        <w:rPr>
          <w:lang w:val="fr-FR"/>
        </w:rPr>
        <w:t>du document</w:t>
      </w:r>
      <w:r w:rsidRPr="00562699">
        <w:rPr>
          <w:lang w:val="fr-FR"/>
        </w:rPr>
        <w:t xml:space="preserve"> PCT/MIA/25/13)</w:t>
      </w:r>
    </w:p>
    <w:p w14:paraId="23B80B40" w14:textId="77777777" w:rsidR="00562699" w:rsidRPr="00562699" w:rsidRDefault="00562699" w:rsidP="00562699">
      <w:pPr>
        <w:rPr>
          <w:lang w:val="fr-FR"/>
        </w:rPr>
      </w:pPr>
    </w:p>
    <w:p w14:paraId="19F440CB" w14:textId="1F6B0037" w:rsidR="009246D2" w:rsidRPr="00562699" w:rsidRDefault="00CB23D2" w:rsidP="00562699">
      <w:pPr>
        <w:rPr>
          <w:caps/>
          <w:lang w:val="fr-FR"/>
        </w:rPr>
      </w:pPr>
      <w:r w:rsidRPr="00562699">
        <w:rPr>
          <w:caps/>
          <w:lang w:val="fr-FR"/>
        </w:rPr>
        <w:t>Sous</w:t>
      </w:r>
      <w:r w:rsidR="001B4A2C">
        <w:rPr>
          <w:caps/>
          <w:lang w:val="fr-FR"/>
        </w:rPr>
        <w:noBreakHyphen/>
      </w:r>
      <w:r w:rsidRPr="00562699">
        <w:rPr>
          <w:caps/>
          <w:lang w:val="fr-FR"/>
        </w:rPr>
        <w:t>groupe de la qualité</w:t>
      </w:r>
      <w:r w:rsidR="003C64A0" w:rsidRPr="00562699">
        <w:rPr>
          <w:caps/>
          <w:lang w:val="fr-FR"/>
        </w:rPr>
        <w:t xml:space="preserve"> du</w:t>
      </w:r>
      <w:r w:rsidR="003C64A0">
        <w:rPr>
          <w:caps/>
          <w:lang w:val="fr-FR"/>
        </w:rPr>
        <w:t> </w:t>
      </w:r>
      <w:r w:rsidR="003C64A0" w:rsidRPr="00562699">
        <w:rPr>
          <w:caps/>
          <w:lang w:val="fr-FR"/>
        </w:rPr>
        <w:t>PCT</w:t>
      </w:r>
      <w:r w:rsidRPr="00562699">
        <w:rPr>
          <w:caps/>
          <w:lang w:val="fr-FR"/>
        </w:rPr>
        <w:t>/MIA, neuvième réunion informelle (</w:t>
      </w:r>
      <w:r w:rsidR="00562699" w:rsidRPr="00562699">
        <w:rPr>
          <w:caps/>
          <w:lang w:val="fr-FR"/>
        </w:rPr>
        <w:t>Égypte</w:t>
      </w:r>
      <w:r w:rsidRPr="00562699">
        <w:rPr>
          <w:caps/>
          <w:lang w:val="fr-FR"/>
        </w:rPr>
        <w:t>), 11 et 12</w:t>
      </w:r>
      <w:r w:rsidR="004E4E83" w:rsidRPr="00562699">
        <w:rPr>
          <w:caps/>
          <w:lang w:val="fr-FR"/>
        </w:rPr>
        <w:t> </w:t>
      </w:r>
      <w:r w:rsidRPr="00562699">
        <w:rPr>
          <w:caps/>
          <w:lang w:val="fr-FR"/>
        </w:rPr>
        <w:t>février</w:t>
      </w:r>
      <w:r w:rsidR="004E4E83" w:rsidRPr="00562699">
        <w:rPr>
          <w:caps/>
          <w:lang w:val="fr-FR"/>
        </w:rPr>
        <w:t> </w:t>
      </w:r>
      <w:r w:rsidRPr="00562699">
        <w:rPr>
          <w:caps/>
          <w:lang w:val="fr-FR"/>
        </w:rPr>
        <w:t>2019</w:t>
      </w:r>
    </w:p>
    <w:p w14:paraId="35E7D7C3" w14:textId="1003918B" w:rsidR="00562699" w:rsidRDefault="00562699" w:rsidP="00562699">
      <w:pPr>
        <w:rPr>
          <w:caps/>
          <w:lang w:val="fr-FR"/>
        </w:rPr>
      </w:pPr>
    </w:p>
    <w:p w14:paraId="73F33D23" w14:textId="77777777" w:rsidR="00562699" w:rsidRPr="00562699" w:rsidRDefault="00562699" w:rsidP="00562699">
      <w:pPr>
        <w:rPr>
          <w:caps/>
          <w:lang w:val="fr-FR"/>
        </w:rPr>
      </w:pPr>
    </w:p>
    <w:p w14:paraId="4A6671BB" w14:textId="0F09B0F4" w:rsidR="009246D2" w:rsidRDefault="00562699" w:rsidP="00562699">
      <w:pPr>
        <w:rPr>
          <w:caps/>
          <w:lang w:val="fr-FR"/>
        </w:rPr>
      </w:pPr>
      <w:r w:rsidRPr="00562699">
        <w:rPr>
          <w:caps/>
          <w:lang w:val="fr-FR"/>
        </w:rPr>
        <w:t>Résumé présenté par la présidente</w:t>
      </w:r>
    </w:p>
    <w:p w14:paraId="01D63D7D" w14:textId="77777777" w:rsidR="00562699" w:rsidRPr="00562699" w:rsidRDefault="00562699" w:rsidP="00562699">
      <w:pPr>
        <w:rPr>
          <w:caps/>
          <w:lang w:val="fr-FR"/>
        </w:rPr>
      </w:pPr>
    </w:p>
    <w:p w14:paraId="5725DF6F" w14:textId="634DF712" w:rsidR="009246D2" w:rsidRDefault="00562699" w:rsidP="00562699">
      <w:pPr>
        <w:pStyle w:val="Heading1"/>
        <w:rPr>
          <w:lang w:val="fr-FR"/>
        </w:rPr>
      </w:pPr>
      <w:r w:rsidRPr="00562699">
        <w:rPr>
          <w:lang w:val="fr-FR"/>
        </w:rPr>
        <w:t>Introduction</w:t>
      </w:r>
    </w:p>
    <w:p w14:paraId="410C4DF9" w14:textId="77777777" w:rsidR="00562699" w:rsidRPr="00562699" w:rsidRDefault="00562699" w:rsidP="00562699">
      <w:pPr>
        <w:rPr>
          <w:lang w:val="fr-FR"/>
        </w:rPr>
      </w:pPr>
    </w:p>
    <w:p w14:paraId="62F9909F" w14:textId="0946843C" w:rsidR="009246D2" w:rsidRPr="00562699" w:rsidRDefault="00D362ED" w:rsidP="00562699">
      <w:pPr>
        <w:pStyle w:val="ONUMFS"/>
        <w:numPr>
          <w:ilvl w:val="0"/>
          <w:numId w:val="17"/>
        </w:numPr>
        <w:rPr>
          <w:lang w:val="fr-FR"/>
        </w:rPr>
      </w:pPr>
      <w:r w:rsidRPr="00562699">
        <w:rPr>
          <w:lang w:val="fr-FR"/>
        </w:rPr>
        <w:t>M.</w:t>
      </w:r>
      <w:r w:rsidR="00953186">
        <w:rPr>
          <w:lang w:val="fr-FR"/>
        </w:rPr>
        <w:t> </w:t>
      </w:r>
      <w:r w:rsidR="00DE483F" w:rsidRPr="00562699">
        <w:rPr>
          <w:lang w:val="fr-FR"/>
        </w:rPr>
        <w:t>Mahmoud M. </w:t>
      </w:r>
      <w:proofErr w:type="spellStart"/>
      <w:r w:rsidR="00DE483F" w:rsidRPr="00562699">
        <w:rPr>
          <w:lang w:val="fr-FR"/>
        </w:rPr>
        <w:t>Sakr</w:t>
      </w:r>
      <w:proofErr w:type="spellEnd"/>
      <w:r w:rsidR="009246D2" w:rsidRPr="00562699">
        <w:rPr>
          <w:lang w:val="fr-FR"/>
        </w:rPr>
        <w:t>, président de l</w:t>
      </w:r>
      <w:r w:rsidR="003C64A0">
        <w:rPr>
          <w:lang w:val="fr-FR"/>
        </w:rPr>
        <w:t>’</w:t>
      </w:r>
      <w:r w:rsidR="009246D2" w:rsidRPr="00562699">
        <w:rPr>
          <w:lang w:val="fr-FR"/>
        </w:rPr>
        <w:t xml:space="preserve">Académie </w:t>
      </w:r>
      <w:r w:rsidR="002E0FA9" w:rsidRPr="00562699">
        <w:rPr>
          <w:lang w:val="fr-FR"/>
        </w:rPr>
        <w:t>pour</w:t>
      </w:r>
      <w:r w:rsidR="009246D2" w:rsidRPr="00562699">
        <w:rPr>
          <w:lang w:val="fr-FR"/>
        </w:rPr>
        <w:t xml:space="preserve"> la recherche scientifique et la technologie (ASRT), a souhaité la bienvenue aux participants à la session et s</w:t>
      </w:r>
      <w:r w:rsidR="003C64A0">
        <w:rPr>
          <w:lang w:val="fr-FR"/>
        </w:rPr>
        <w:t>’</w:t>
      </w:r>
      <w:r w:rsidR="009246D2" w:rsidRPr="00562699">
        <w:rPr>
          <w:lang w:val="fr-FR"/>
        </w:rPr>
        <w:t>est félicité que l</w:t>
      </w:r>
      <w:r w:rsidR="003C64A0">
        <w:rPr>
          <w:lang w:val="fr-FR"/>
        </w:rPr>
        <w:t>’</w:t>
      </w:r>
      <w:r w:rsidR="009246D2" w:rsidRPr="00562699">
        <w:rPr>
          <w:lang w:val="fr-FR"/>
        </w:rPr>
        <w:t xml:space="preserve">Égypte accueille </w:t>
      </w:r>
      <w:r w:rsidR="00DE483F" w:rsidRPr="00562699">
        <w:rPr>
          <w:lang w:val="fr-FR"/>
        </w:rPr>
        <w:t xml:space="preserve">pour la première fois </w:t>
      </w:r>
      <w:r w:rsidR="009246D2" w:rsidRPr="00562699">
        <w:rPr>
          <w:lang w:val="fr-FR"/>
        </w:rPr>
        <w:t>le Sous</w:t>
      </w:r>
      <w:r w:rsidR="001B4A2C">
        <w:rPr>
          <w:lang w:val="fr-FR"/>
        </w:rPr>
        <w:noBreakHyphen/>
      </w:r>
      <w:r w:rsidR="009246D2" w:rsidRPr="00562699">
        <w:rPr>
          <w:lang w:val="fr-FR"/>
        </w:rPr>
        <w:t>groupe chargé de la qualité.</w:t>
      </w:r>
      <w:r w:rsidR="00743A53" w:rsidRPr="00562699">
        <w:rPr>
          <w:lang w:val="fr-FR"/>
        </w:rPr>
        <w:t xml:space="preserve">  </w:t>
      </w:r>
      <w:r w:rsidR="009246D2" w:rsidRPr="00562699">
        <w:rPr>
          <w:lang w:val="fr-FR"/>
        </w:rPr>
        <w:t>M.</w:t>
      </w:r>
      <w:r w:rsidR="00DE483F" w:rsidRPr="00562699">
        <w:rPr>
          <w:lang w:val="fr-FR"/>
        </w:rPr>
        <w:t> </w:t>
      </w:r>
      <w:proofErr w:type="spellStart"/>
      <w:r w:rsidR="009246D2" w:rsidRPr="00562699">
        <w:rPr>
          <w:lang w:val="fr-FR"/>
        </w:rPr>
        <w:t>Sakr</w:t>
      </w:r>
      <w:proofErr w:type="spellEnd"/>
      <w:r w:rsidR="009246D2" w:rsidRPr="00562699">
        <w:rPr>
          <w:lang w:val="fr-FR"/>
        </w:rPr>
        <w:t xml:space="preserve"> a souligné que le secteur de la propriété intellectuelle était devenu un élément cl</w:t>
      </w:r>
      <w:r w:rsidR="004722D4">
        <w:rPr>
          <w:lang w:val="fr-FR"/>
        </w:rPr>
        <w:t>é</w:t>
      </w:r>
      <w:r w:rsidR="009246D2" w:rsidRPr="00562699">
        <w:rPr>
          <w:lang w:val="fr-FR"/>
        </w:rPr>
        <w:t xml:space="preserve"> de l</w:t>
      </w:r>
      <w:r w:rsidR="003C64A0">
        <w:rPr>
          <w:lang w:val="fr-FR"/>
        </w:rPr>
        <w:t>’</w:t>
      </w:r>
      <w:r w:rsidR="009246D2" w:rsidRPr="00562699">
        <w:rPr>
          <w:lang w:val="fr-FR"/>
        </w:rPr>
        <w:t>appui aux plans de développement dans un pays donné et qu</w:t>
      </w:r>
      <w:r w:rsidR="003C64A0">
        <w:rPr>
          <w:lang w:val="fr-FR"/>
        </w:rPr>
        <w:t>’</w:t>
      </w:r>
      <w:r w:rsidR="009246D2" w:rsidRPr="00562699">
        <w:rPr>
          <w:lang w:val="fr-FR"/>
        </w:rPr>
        <w:t xml:space="preserve">il constituait un élément moteur </w:t>
      </w:r>
      <w:r w:rsidR="00DE483F" w:rsidRPr="00562699">
        <w:rPr>
          <w:lang w:val="fr-FR"/>
        </w:rPr>
        <w:t xml:space="preserve">des </w:t>
      </w:r>
      <w:r w:rsidR="009246D2" w:rsidRPr="00562699">
        <w:rPr>
          <w:lang w:val="fr-FR"/>
        </w:rPr>
        <w:t>efforts visant à édifier une économie compétitive et diversifiée fondée sur l</w:t>
      </w:r>
      <w:r w:rsidR="003C64A0">
        <w:rPr>
          <w:lang w:val="fr-FR"/>
        </w:rPr>
        <w:t>’</w:t>
      </w:r>
      <w:r w:rsidR="009246D2" w:rsidRPr="00562699">
        <w:rPr>
          <w:lang w:val="fr-FR"/>
        </w:rPr>
        <w:t>innovation et l</w:t>
      </w:r>
      <w:r w:rsidR="00DE483F" w:rsidRPr="00562699">
        <w:rPr>
          <w:lang w:val="fr-FR"/>
        </w:rPr>
        <w:t>a connaissance</w:t>
      </w:r>
      <w:r w:rsidR="009246D2" w:rsidRPr="00562699">
        <w:rPr>
          <w:lang w:val="fr-FR"/>
        </w:rPr>
        <w:t>.</w:t>
      </w:r>
      <w:r w:rsidR="00743A53" w:rsidRPr="00562699">
        <w:rPr>
          <w:lang w:val="fr-FR"/>
        </w:rPr>
        <w:t xml:space="preserve">  </w:t>
      </w:r>
      <w:r w:rsidR="009246D2" w:rsidRPr="00562699">
        <w:rPr>
          <w:lang w:val="fr-FR"/>
        </w:rPr>
        <w:t>M.</w:t>
      </w:r>
      <w:r w:rsidR="004E4E83" w:rsidRPr="00562699">
        <w:rPr>
          <w:lang w:val="fr-FR"/>
        </w:rPr>
        <w:t> </w:t>
      </w:r>
      <w:proofErr w:type="spellStart"/>
      <w:r w:rsidR="009246D2" w:rsidRPr="00562699">
        <w:rPr>
          <w:lang w:val="fr-FR"/>
        </w:rPr>
        <w:t>Sakr</w:t>
      </w:r>
      <w:proofErr w:type="spellEnd"/>
      <w:r w:rsidR="009246D2" w:rsidRPr="00562699">
        <w:rPr>
          <w:lang w:val="fr-FR"/>
        </w:rPr>
        <w:t xml:space="preserve"> </w:t>
      </w:r>
      <w:r w:rsidR="00DE483F" w:rsidRPr="00562699">
        <w:rPr>
          <w:lang w:val="fr-FR"/>
        </w:rPr>
        <w:t xml:space="preserve">a </w:t>
      </w:r>
      <w:r w:rsidR="009246D2" w:rsidRPr="00562699">
        <w:rPr>
          <w:lang w:val="fr-FR"/>
        </w:rPr>
        <w:t>remerci</w:t>
      </w:r>
      <w:r w:rsidR="00DE483F" w:rsidRPr="00562699">
        <w:rPr>
          <w:lang w:val="fr-FR"/>
        </w:rPr>
        <w:t>é</w:t>
      </w:r>
      <w:r w:rsidR="009246D2" w:rsidRPr="00562699">
        <w:rPr>
          <w:lang w:val="fr-FR"/>
        </w:rPr>
        <w:t xml:space="preserve"> l</w:t>
      </w:r>
      <w:r w:rsidR="003C64A0">
        <w:rPr>
          <w:lang w:val="fr-FR"/>
        </w:rPr>
        <w:t>’</w:t>
      </w:r>
      <w:r w:rsidR="009246D2" w:rsidRPr="00562699">
        <w:rPr>
          <w:lang w:val="fr-FR"/>
        </w:rPr>
        <w:t xml:space="preserve">OMPI pour </w:t>
      </w:r>
      <w:r w:rsidR="00DE483F" w:rsidRPr="00562699">
        <w:rPr>
          <w:lang w:val="fr-FR"/>
        </w:rPr>
        <w:t xml:space="preserve">sa coopération et </w:t>
      </w:r>
      <w:r w:rsidR="009246D2" w:rsidRPr="00562699">
        <w:rPr>
          <w:lang w:val="fr-FR"/>
        </w:rPr>
        <w:t>son soutien continus en vue d</w:t>
      </w:r>
      <w:r w:rsidR="003C64A0">
        <w:rPr>
          <w:lang w:val="fr-FR"/>
        </w:rPr>
        <w:t>’</w:t>
      </w:r>
      <w:r w:rsidR="009246D2" w:rsidRPr="00562699">
        <w:rPr>
          <w:lang w:val="fr-FR"/>
        </w:rPr>
        <w:t>élabor</w:t>
      </w:r>
      <w:r w:rsidR="00DE483F" w:rsidRPr="00562699">
        <w:rPr>
          <w:lang w:val="fr-FR"/>
        </w:rPr>
        <w:t>er</w:t>
      </w:r>
      <w:r w:rsidR="009246D2" w:rsidRPr="00562699">
        <w:rPr>
          <w:lang w:val="fr-FR"/>
        </w:rPr>
        <w:t xml:space="preserve"> un système international de propriété intellectuelle équilibré et efficace qui favorise l</w:t>
      </w:r>
      <w:r w:rsidR="003C64A0">
        <w:rPr>
          <w:lang w:val="fr-FR"/>
        </w:rPr>
        <w:t>’</w:t>
      </w:r>
      <w:r w:rsidR="009246D2" w:rsidRPr="00562699">
        <w:rPr>
          <w:lang w:val="fr-FR"/>
        </w:rPr>
        <w:t>innovation et la créativité dans l</w:t>
      </w:r>
      <w:r w:rsidR="003C64A0">
        <w:rPr>
          <w:lang w:val="fr-FR"/>
        </w:rPr>
        <w:t>’</w:t>
      </w:r>
      <w:r w:rsidR="009246D2" w:rsidRPr="00562699">
        <w:rPr>
          <w:lang w:val="fr-FR"/>
        </w:rPr>
        <w:t>intérêt de to</w:t>
      </w:r>
      <w:r w:rsidR="00B85EF1" w:rsidRPr="00562699">
        <w:rPr>
          <w:lang w:val="fr-FR"/>
        </w:rPr>
        <w:t>us</w:t>
      </w:r>
      <w:r w:rsidR="00B85EF1">
        <w:rPr>
          <w:lang w:val="fr-FR"/>
        </w:rPr>
        <w:t xml:space="preserve">.  </w:t>
      </w:r>
      <w:r w:rsidR="00B85EF1" w:rsidRPr="00562699">
        <w:rPr>
          <w:lang w:val="fr-FR"/>
        </w:rPr>
        <w:t>La</w:t>
      </w:r>
      <w:r w:rsidR="009246D2" w:rsidRPr="00562699">
        <w:rPr>
          <w:lang w:val="fr-FR"/>
        </w:rPr>
        <w:t xml:space="preserve"> qualité </w:t>
      </w:r>
      <w:r w:rsidR="002E0FA9" w:rsidRPr="00562699">
        <w:rPr>
          <w:lang w:val="fr-FR"/>
        </w:rPr>
        <w:t>était</w:t>
      </w:r>
      <w:r w:rsidR="009246D2" w:rsidRPr="00562699">
        <w:rPr>
          <w:lang w:val="fr-FR"/>
        </w:rPr>
        <w:t xml:space="preserve"> un aspect essentiel du système des brevets </w:t>
      </w:r>
      <w:r w:rsidR="00DE483F" w:rsidRPr="00562699">
        <w:rPr>
          <w:lang w:val="fr-FR"/>
        </w:rPr>
        <w:t>permet</w:t>
      </w:r>
      <w:r w:rsidR="002E0FA9" w:rsidRPr="00562699">
        <w:rPr>
          <w:lang w:val="fr-FR"/>
        </w:rPr>
        <w:t>tant</w:t>
      </w:r>
      <w:r w:rsidR="00DE483F" w:rsidRPr="00562699">
        <w:rPr>
          <w:lang w:val="fr-FR"/>
        </w:rPr>
        <w:t xml:space="preserve"> de s</w:t>
      </w:r>
      <w:r w:rsidR="003C64A0">
        <w:rPr>
          <w:lang w:val="fr-FR"/>
        </w:rPr>
        <w:t>’</w:t>
      </w:r>
      <w:r w:rsidR="00DE483F" w:rsidRPr="00562699">
        <w:rPr>
          <w:lang w:val="fr-FR"/>
        </w:rPr>
        <w:t xml:space="preserve">assurer </w:t>
      </w:r>
      <w:r w:rsidR="009246D2" w:rsidRPr="00562699">
        <w:rPr>
          <w:lang w:val="fr-FR"/>
        </w:rPr>
        <w:t>qu</w:t>
      </w:r>
      <w:r w:rsidR="003C64A0">
        <w:rPr>
          <w:lang w:val="fr-FR"/>
        </w:rPr>
        <w:t>’</w:t>
      </w:r>
      <w:r w:rsidR="002E0FA9" w:rsidRPr="00562699">
        <w:rPr>
          <w:lang w:val="fr-FR"/>
        </w:rPr>
        <w:t xml:space="preserve">il </w:t>
      </w:r>
      <w:r w:rsidR="009246D2" w:rsidRPr="00562699">
        <w:rPr>
          <w:lang w:val="fr-FR"/>
        </w:rPr>
        <w:t>ser</w:t>
      </w:r>
      <w:r w:rsidR="002E0FA9" w:rsidRPr="00562699">
        <w:rPr>
          <w:lang w:val="fr-FR"/>
        </w:rPr>
        <w:t>vait</w:t>
      </w:r>
      <w:r w:rsidR="009246D2" w:rsidRPr="00562699">
        <w:rPr>
          <w:lang w:val="fr-FR"/>
        </w:rPr>
        <w:t xml:space="preserve"> l</w:t>
      </w:r>
      <w:r w:rsidR="003C64A0">
        <w:rPr>
          <w:lang w:val="fr-FR"/>
        </w:rPr>
        <w:t>’</w:t>
      </w:r>
      <w:r w:rsidR="009246D2" w:rsidRPr="00562699">
        <w:rPr>
          <w:lang w:val="fr-FR"/>
        </w:rPr>
        <w:t>objectif de promouvoir l</w:t>
      </w:r>
      <w:r w:rsidR="003C64A0">
        <w:rPr>
          <w:lang w:val="fr-FR"/>
        </w:rPr>
        <w:t>’</w:t>
      </w:r>
      <w:r w:rsidR="009246D2" w:rsidRPr="00562699">
        <w:rPr>
          <w:lang w:val="fr-FR"/>
        </w:rPr>
        <w:t xml:space="preserve">innovation, de contribuer à la diffusion et au transfert de </w:t>
      </w:r>
      <w:r w:rsidR="00DE483F" w:rsidRPr="00562699">
        <w:rPr>
          <w:lang w:val="fr-FR"/>
        </w:rPr>
        <w:t xml:space="preserve">la </w:t>
      </w:r>
      <w:r w:rsidR="009246D2" w:rsidRPr="00562699">
        <w:rPr>
          <w:lang w:val="fr-FR"/>
        </w:rPr>
        <w:t>technologie et de favoriser le développement technologique, social et économique du pays concer</w:t>
      </w:r>
      <w:r w:rsidR="00B85EF1" w:rsidRPr="00562699">
        <w:rPr>
          <w:lang w:val="fr-FR"/>
        </w:rPr>
        <w:t>né</w:t>
      </w:r>
      <w:r w:rsidR="00B85EF1">
        <w:rPr>
          <w:lang w:val="fr-FR"/>
        </w:rPr>
        <w:t xml:space="preserve">.  </w:t>
      </w:r>
      <w:r w:rsidR="00B85EF1" w:rsidRPr="00562699">
        <w:rPr>
          <w:lang w:val="fr-FR"/>
        </w:rPr>
        <w:t>De</w:t>
      </w:r>
      <w:r w:rsidR="009246D2" w:rsidRPr="00562699">
        <w:rPr>
          <w:lang w:val="fr-FR"/>
        </w:rPr>
        <w:t>s erreurs dans les procédures de délivrance et d</w:t>
      </w:r>
      <w:r w:rsidR="003C64A0">
        <w:rPr>
          <w:lang w:val="fr-FR"/>
        </w:rPr>
        <w:t>’</w:t>
      </w:r>
      <w:r w:rsidR="009246D2" w:rsidRPr="00562699">
        <w:rPr>
          <w:lang w:val="fr-FR"/>
        </w:rPr>
        <w:t>administration des brevets pourraient entraîner une in</w:t>
      </w:r>
      <w:r w:rsidR="00DE483F" w:rsidRPr="00562699">
        <w:rPr>
          <w:lang w:val="fr-FR"/>
        </w:rPr>
        <w:t xml:space="preserve">sécurité </w:t>
      </w:r>
      <w:r w:rsidR="009246D2" w:rsidRPr="00562699">
        <w:rPr>
          <w:lang w:val="fr-FR"/>
        </w:rPr>
        <w:t>juridique et accroître les coûts pour tous les utilisateurs du système des brevets</w:t>
      </w:r>
      <w:r w:rsidR="003C64A0">
        <w:rPr>
          <w:lang w:val="fr-FR"/>
        </w:rPr>
        <w:t> :</w:t>
      </w:r>
      <w:r w:rsidR="009246D2" w:rsidRPr="00562699">
        <w:rPr>
          <w:lang w:val="fr-FR"/>
        </w:rPr>
        <w:t xml:space="preserve"> titulaires de droits, concurrents, utilisateurs de l</w:t>
      </w:r>
      <w:r w:rsidR="003C64A0">
        <w:rPr>
          <w:lang w:val="fr-FR"/>
        </w:rPr>
        <w:t>’</w:t>
      </w:r>
      <w:r w:rsidR="009246D2" w:rsidRPr="00562699">
        <w:rPr>
          <w:lang w:val="fr-FR"/>
        </w:rPr>
        <w:t xml:space="preserve">information en matière de brevets et </w:t>
      </w:r>
      <w:r w:rsidR="00DE483F" w:rsidRPr="00562699">
        <w:rPr>
          <w:lang w:val="fr-FR"/>
        </w:rPr>
        <w:t>o</w:t>
      </w:r>
      <w:r w:rsidR="009246D2" w:rsidRPr="00562699">
        <w:rPr>
          <w:lang w:val="fr-FR"/>
        </w:rPr>
        <w:t>ffices de</w:t>
      </w:r>
      <w:r w:rsidR="00DE483F" w:rsidRPr="00562699">
        <w:rPr>
          <w:lang w:val="fr-FR"/>
        </w:rPr>
        <w:t>s</w:t>
      </w:r>
      <w:r w:rsidR="009246D2" w:rsidRPr="00562699">
        <w:rPr>
          <w:lang w:val="fr-FR"/>
        </w:rPr>
        <w:t xml:space="preserve"> breve</w:t>
      </w:r>
      <w:r w:rsidR="00B85EF1" w:rsidRPr="00562699">
        <w:rPr>
          <w:lang w:val="fr-FR"/>
        </w:rPr>
        <w:t>ts</w:t>
      </w:r>
      <w:r w:rsidR="00B85EF1">
        <w:rPr>
          <w:lang w:val="fr-FR"/>
        </w:rPr>
        <w:t xml:space="preserve">.  </w:t>
      </w:r>
      <w:r w:rsidR="00B85EF1" w:rsidRPr="00562699">
        <w:rPr>
          <w:lang w:val="fr-FR"/>
        </w:rPr>
        <w:t>Le</w:t>
      </w:r>
      <w:r w:rsidR="009246D2" w:rsidRPr="00562699">
        <w:rPr>
          <w:lang w:val="fr-FR"/>
        </w:rPr>
        <w:t xml:space="preserve"> </w:t>
      </w:r>
      <w:r w:rsidR="002E0FA9" w:rsidRPr="00562699">
        <w:rPr>
          <w:lang w:val="fr-FR"/>
        </w:rPr>
        <w:t>S</w:t>
      </w:r>
      <w:r w:rsidR="009246D2" w:rsidRPr="00562699">
        <w:rPr>
          <w:lang w:val="fr-FR"/>
        </w:rPr>
        <w:t>ous</w:t>
      </w:r>
      <w:r w:rsidR="001B4A2C">
        <w:rPr>
          <w:lang w:val="fr-FR"/>
        </w:rPr>
        <w:noBreakHyphen/>
      </w:r>
      <w:r w:rsidR="009246D2" w:rsidRPr="00562699">
        <w:rPr>
          <w:lang w:val="fr-FR"/>
        </w:rPr>
        <w:t xml:space="preserve">groupe chargé de la qualité a </w:t>
      </w:r>
      <w:r w:rsidR="002E0FA9" w:rsidRPr="00562699">
        <w:rPr>
          <w:lang w:val="fr-FR"/>
        </w:rPr>
        <w:t xml:space="preserve">offert une </w:t>
      </w:r>
      <w:r w:rsidR="009246D2" w:rsidRPr="00562699">
        <w:rPr>
          <w:lang w:val="fr-FR"/>
        </w:rPr>
        <w:t>occasion d</w:t>
      </w:r>
      <w:r w:rsidR="003C64A0">
        <w:rPr>
          <w:lang w:val="fr-FR"/>
        </w:rPr>
        <w:t>’</w:t>
      </w:r>
      <w:r w:rsidR="009246D2" w:rsidRPr="00562699">
        <w:rPr>
          <w:lang w:val="fr-FR"/>
        </w:rPr>
        <w:t xml:space="preserve">échanger des idées et de mener des discussions fructueuses sur les systèmes de gestion de la qualité </w:t>
      </w:r>
      <w:r w:rsidR="00DE483F" w:rsidRPr="00562699">
        <w:rPr>
          <w:lang w:val="fr-FR"/>
        </w:rPr>
        <w:t xml:space="preserve">et a permis aux </w:t>
      </w:r>
      <w:r w:rsidR="009246D2" w:rsidRPr="00562699">
        <w:rPr>
          <w:lang w:val="fr-FR"/>
        </w:rPr>
        <w:t xml:space="preserve">différentes administrations internationales de mieux comprendre les travaux des autres </w:t>
      </w:r>
      <w:r w:rsidR="002E0FA9" w:rsidRPr="00562699">
        <w:rPr>
          <w:lang w:val="fr-FR"/>
        </w:rPr>
        <w:t>o</w:t>
      </w:r>
      <w:r w:rsidR="009246D2" w:rsidRPr="00562699">
        <w:rPr>
          <w:lang w:val="fr-FR"/>
        </w:rPr>
        <w:t>ffices, en particulier en ce qui concerne les stratégies de recherche et les clauses normalisé</w:t>
      </w:r>
      <w:r w:rsidR="00B85EF1" w:rsidRPr="00562699">
        <w:rPr>
          <w:lang w:val="fr-FR"/>
        </w:rPr>
        <w:t>es</w:t>
      </w:r>
      <w:r w:rsidR="00B85EF1">
        <w:rPr>
          <w:lang w:val="fr-FR"/>
        </w:rPr>
        <w:t xml:space="preserve">.  </w:t>
      </w:r>
      <w:r w:rsidR="00B85EF1" w:rsidRPr="00562699">
        <w:rPr>
          <w:lang w:val="fr-FR"/>
        </w:rPr>
        <w:t>Le</w:t>
      </w:r>
      <w:r w:rsidR="009246D2" w:rsidRPr="00562699">
        <w:rPr>
          <w:lang w:val="fr-FR"/>
        </w:rPr>
        <w:t xml:space="preserve">s délégués </w:t>
      </w:r>
      <w:r w:rsidR="00DE483F" w:rsidRPr="00562699">
        <w:rPr>
          <w:lang w:val="fr-FR"/>
        </w:rPr>
        <w:t>ont</w:t>
      </w:r>
      <w:r w:rsidR="009246D2" w:rsidRPr="00562699">
        <w:rPr>
          <w:lang w:val="fr-FR"/>
        </w:rPr>
        <w:t xml:space="preserve"> également </w:t>
      </w:r>
      <w:r w:rsidR="00DE483F" w:rsidRPr="00562699">
        <w:rPr>
          <w:lang w:val="fr-FR"/>
        </w:rPr>
        <w:t xml:space="preserve">pu </w:t>
      </w:r>
      <w:r w:rsidR="009246D2" w:rsidRPr="00562699">
        <w:rPr>
          <w:lang w:val="fr-FR"/>
        </w:rPr>
        <w:t>échanger leurs points de vue sur les idées d</w:t>
      </w:r>
      <w:r w:rsidR="003C64A0">
        <w:rPr>
          <w:lang w:val="fr-FR"/>
        </w:rPr>
        <w:t>’</w:t>
      </w:r>
      <w:r w:rsidR="009246D2" w:rsidRPr="00562699">
        <w:rPr>
          <w:lang w:val="fr-FR"/>
        </w:rPr>
        <w:t>amélioration de la qualité afin de mettre en place un système international de propriété intellectuelle optimal et efficace répond</w:t>
      </w:r>
      <w:r w:rsidR="002E0FA9" w:rsidRPr="00562699">
        <w:rPr>
          <w:lang w:val="fr-FR"/>
        </w:rPr>
        <w:t>ant</w:t>
      </w:r>
      <w:r w:rsidR="009246D2" w:rsidRPr="00562699">
        <w:rPr>
          <w:lang w:val="fr-FR"/>
        </w:rPr>
        <w:t xml:space="preserve"> aux besoins des utilisateurs, ce qui revêt</w:t>
      </w:r>
      <w:r w:rsidR="00DE483F" w:rsidRPr="00562699">
        <w:rPr>
          <w:lang w:val="fr-FR"/>
        </w:rPr>
        <w:t>ait</w:t>
      </w:r>
      <w:r w:rsidR="009246D2" w:rsidRPr="00562699">
        <w:rPr>
          <w:lang w:val="fr-FR"/>
        </w:rPr>
        <w:t xml:space="preserve"> une importance capitale pour le développement économique.</w:t>
      </w:r>
      <w:r w:rsidR="00743A53" w:rsidRPr="00562699">
        <w:rPr>
          <w:lang w:val="fr-FR"/>
        </w:rPr>
        <w:t xml:space="preserve">  </w:t>
      </w:r>
      <w:r w:rsidR="009246D2" w:rsidRPr="00562699">
        <w:rPr>
          <w:lang w:val="fr-FR"/>
        </w:rPr>
        <w:t>L</w:t>
      </w:r>
      <w:r w:rsidR="003C64A0">
        <w:rPr>
          <w:lang w:val="fr-FR"/>
        </w:rPr>
        <w:t>’</w:t>
      </w:r>
      <w:r w:rsidR="009246D2" w:rsidRPr="00562699">
        <w:rPr>
          <w:lang w:val="fr-FR"/>
        </w:rPr>
        <w:t>Égypte avait dûment prêté attention au secteur de la propriété intellectuelle et l</w:t>
      </w:r>
      <w:r w:rsidR="003C64A0">
        <w:rPr>
          <w:lang w:val="fr-FR"/>
        </w:rPr>
        <w:t>’</w:t>
      </w:r>
      <w:r w:rsidR="009246D2" w:rsidRPr="00562699">
        <w:rPr>
          <w:lang w:val="fr-FR"/>
        </w:rPr>
        <w:t xml:space="preserve">Office égyptien des brevets </w:t>
      </w:r>
      <w:r w:rsidR="00DE483F" w:rsidRPr="00562699">
        <w:rPr>
          <w:lang w:val="fr-FR"/>
        </w:rPr>
        <w:t>a tenu</w:t>
      </w:r>
      <w:r w:rsidR="009246D2" w:rsidRPr="00562699">
        <w:rPr>
          <w:lang w:val="fr-FR"/>
        </w:rPr>
        <w:t xml:space="preserve"> à développer et moderniser son infrastructure, à mettre en place des systèmes d</w:t>
      </w:r>
      <w:r w:rsidR="003C64A0">
        <w:rPr>
          <w:lang w:val="fr-FR"/>
        </w:rPr>
        <w:t>’</w:t>
      </w:r>
      <w:r w:rsidR="009246D2" w:rsidRPr="00562699">
        <w:rPr>
          <w:lang w:val="fr-FR"/>
        </w:rPr>
        <w:t>information intelligents et à sensibilis</w:t>
      </w:r>
      <w:r w:rsidR="00B94A85" w:rsidRPr="00562699">
        <w:rPr>
          <w:lang w:val="fr-FR"/>
        </w:rPr>
        <w:t xml:space="preserve">er la </w:t>
      </w:r>
      <w:r w:rsidR="009246D2" w:rsidRPr="00562699">
        <w:rPr>
          <w:lang w:val="fr-FR"/>
        </w:rPr>
        <w:t xml:space="preserve">communauté des droits de propriété intellectuelle, </w:t>
      </w:r>
      <w:r w:rsidR="00B94A85" w:rsidRPr="00562699">
        <w:rPr>
          <w:lang w:val="fr-FR"/>
        </w:rPr>
        <w:t xml:space="preserve">contribuant ainsi </w:t>
      </w:r>
      <w:r w:rsidR="009246D2" w:rsidRPr="00562699">
        <w:rPr>
          <w:lang w:val="fr-FR"/>
        </w:rPr>
        <w:t xml:space="preserve">à un saut qualitatif </w:t>
      </w:r>
      <w:r w:rsidR="00B94A85" w:rsidRPr="00562699">
        <w:rPr>
          <w:lang w:val="fr-FR"/>
        </w:rPr>
        <w:t xml:space="preserve">au sein de </w:t>
      </w:r>
      <w:r w:rsidR="009246D2" w:rsidRPr="00562699">
        <w:rPr>
          <w:lang w:val="fr-FR"/>
        </w:rPr>
        <w:t>la société égyptienne grâce à l</w:t>
      </w:r>
      <w:r w:rsidR="003C64A0">
        <w:rPr>
          <w:lang w:val="fr-FR"/>
        </w:rPr>
        <w:t>’</w:t>
      </w:r>
      <w:r w:rsidR="009246D2" w:rsidRPr="00562699">
        <w:rPr>
          <w:lang w:val="fr-FR"/>
        </w:rPr>
        <w:t>incubation de technologies et à la création d</w:t>
      </w:r>
      <w:r w:rsidR="003C64A0">
        <w:rPr>
          <w:lang w:val="fr-FR"/>
        </w:rPr>
        <w:t>’</w:t>
      </w:r>
      <w:r w:rsidR="009246D2" w:rsidRPr="00562699">
        <w:rPr>
          <w:lang w:val="fr-FR"/>
        </w:rPr>
        <w:t>un environnement propice au renforcement des capacités des jeunes et à la promotion de l</w:t>
      </w:r>
      <w:r w:rsidR="003C64A0">
        <w:rPr>
          <w:lang w:val="fr-FR"/>
        </w:rPr>
        <w:t>’</w:t>
      </w:r>
      <w:r w:rsidR="009246D2" w:rsidRPr="00562699">
        <w:rPr>
          <w:lang w:val="fr-FR"/>
        </w:rPr>
        <w:t>innovation et de la créativité.</w:t>
      </w:r>
      <w:r w:rsidR="00743A53" w:rsidRPr="00562699">
        <w:rPr>
          <w:lang w:val="fr-FR"/>
        </w:rPr>
        <w:t xml:space="preserve">  </w:t>
      </w:r>
      <w:r w:rsidR="009246D2" w:rsidRPr="00562699">
        <w:rPr>
          <w:lang w:val="fr-FR"/>
        </w:rPr>
        <w:t>L</w:t>
      </w:r>
      <w:r w:rsidR="003C64A0">
        <w:rPr>
          <w:lang w:val="fr-FR"/>
        </w:rPr>
        <w:t>’</w:t>
      </w:r>
      <w:r w:rsidR="009246D2" w:rsidRPr="00562699">
        <w:rPr>
          <w:lang w:val="fr-FR"/>
        </w:rPr>
        <w:t>Office égyptien des brevets s</w:t>
      </w:r>
      <w:r w:rsidR="003C64A0">
        <w:rPr>
          <w:lang w:val="fr-FR"/>
        </w:rPr>
        <w:t>’</w:t>
      </w:r>
      <w:r w:rsidR="009246D2" w:rsidRPr="00562699">
        <w:rPr>
          <w:lang w:val="fr-FR"/>
        </w:rPr>
        <w:t xml:space="preserve">est engagé à proposer des procédures et des pratiques de </w:t>
      </w:r>
      <w:r w:rsidR="004D6D6F" w:rsidRPr="00562699">
        <w:rPr>
          <w:lang w:val="fr-FR"/>
        </w:rPr>
        <w:t xml:space="preserve">grande </w:t>
      </w:r>
      <w:r w:rsidR="009246D2" w:rsidRPr="00562699">
        <w:rPr>
          <w:lang w:val="fr-FR"/>
        </w:rPr>
        <w:t>qualité et a reconnu l</w:t>
      </w:r>
      <w:r w:rsidR="003C64A0">
        <w:rPr>
          <w:lang w:val="fr-FR"/>
        </w:rPr>
        <w:t>’</w:t>
      </w:r>
      <w:r w:rsidR="009246D2" w:rsidRPr="00562699">
        <w:rPr>
          <w:lang w:val="fr-FR"/>
        </w:rPr>
        <w:t>importance d</w:t>
      </w:r>
      <w:r w:rsidR="003C64A0">
        <w:rPr>
          <w:lang w:val="fr-FR"/>
        </w:rPr>
        <w:t>’</w:t>
      </w:r>
      <w:r w:rsidR="009246D2" w:rsidRPr="00562699">
        <w:rPr>
          <w:lang w:val="fr-FR"/>
        </w:rPr>
        <w:t xml:space="preserve">un système de gestion de la qualité </w:t>
      </w:r>
      <w:r w:rsidR="00B94A85" w:rsidRPr="00562699">
        <w:rPr>
          <w:lang w:val="fr-FR"/>
        </w:rPr>
        <w:t>afin de s</w:t>
      </w:r>
      <w:r w:rsidR="003C64A0">
        <w:rPr>
          <w:lang w:val="fr-FR"/>
        </w:rPr>
        <w:t>’</w:t>
      </w:r>
      <w:r w:rsidR="00B94A85" w:rsidRPr="00562699">
        <w:rPr>
          <w:lang w:val="fr-FR"/>
        </w:rPr>
        <w:t xml:space="preserve">assurer </w:t>
      </w:r>
      <w:r w:rsidR="009246D2" w:rsidRPr="00562699">
        <w:rPr>
          <w:lang w:val="fr-FR"/>
        </w:rPr>
        <w:t xml:space="preserve">que toutes les étapes du traitement des demandes de brevet puissent être menées à bien en temps voulu et de </w:t>
      </w:r>
      <w:r w:rsidR="00B94A85" w:rsidRPr="00562699">
        <w:rPr>
          <w:lang w:val="fr-FR"/>
        </w:rPr>
        <w:t>façon professionnelle</w:t>
      </w:r>
      <w:r w:rsidR="009246D2" w:rsidRPr="00562699">
        <w:rPr>
          <w:lang w:val="fr-FR"/>
        </w:rPr>
        <w:t>.</w:t>
      </w:r>
      <w:r w:rsidR="00743A53" w:rsidRPr="00562699">
        <w:rPr>
          <w:lang w:val="fr-FR"/>
        </w:rPr>
        <w:t xml:space="preserve">  </w:t>
      </w:r>
      <w:r w:rsidR="009246D2" w:rsidRPr="00562699">
        <w:rPr>
          <w:lang w:val="fr-FR"/>
        </w:rPr>
        <w:t>M.</w:t>
      </w:r>
      <w:r w:rsidR="004E4E83" w:rsidRPr="00562699">
        <w:rPr>
          <w:lang w:val="fr-FR"/>
        </w:rPr>
        <w:t> </w:t>
      </w:r>
      <w:proofErr w:type="spellStart"/>
      <w:r w:rsidR="009246D2" w:rsidRPr="00562699">
        <w:rPr>
          <w:lang w:val="fr-FR"/>
        </w:rPr>
        <w:t>Sakr</w:t>
      </w:r>
      <w:proofErr w:type="spellEnd"/>
      <w:r w:rsidR="009246D2" w:rsidRPr="00562699">
        <w:rPr>
          <w:lang w:val="fr-FR"/>
        </w:rPr>
        <w:t xml:space="preserve"> a conclu en souhaitant que les idées et les expériences des experts de la qualité représent</w:t>
      </w:r>
      <w:r w:rsidR="002E0FA9" w:rsidRPr="00562699">
        <w:rPr>
          <w:lang w:val="fr-FR"/>
        </w:rPr>
        <w:t>a</w:t>
      </w:r>
      <w:r w:rsidR="009246D2" w:rsidRPr="00562699">
        <w:rPr>
          <w:lang w:val="fr-FR"/>
        </w:rPr>
        <w:t xml:space="preserve">nt les administrations internationales </w:t>
      </w:r>
      <w:r w:rsidR="002E0FA9" w:rsidRPr="00562699">
        <w:rPr>
          <w:lang w:val="fr-FR"/>
        </w:rPr>
        <w:t xml:space="preserve">puissent </w:t>
      </w:r>
      <w:r w:rsidR="009246D2" w:rsidRPr="00562699">
        <w:rPr>
          <w:lang w:val="fr-FR"/>
        </w:rPr>
        <w:t>contribue</w:t>
      </w:r>
      <w:r w:rsidR="002E0FA9" w:rsidRPr="00562699">
        <w:rPr>
          <w:lang w:val="fr-FR"/>
        </w:rPr>
        <w:t>r</w:t>
      </w:r>
      <w:r w:rsidR="009246D2" w:rsidRPr="00562699">
        <w:rPr>
          <w:lang w:val="fr-FR"/>
        </w:rPr>
        <w:t xml:space="preserve"> au succès de la réunion et aboutissent à des résultats positifs</w:t>
      </w:r>
      <w:r w:rsidR="00B94A85" w:rsidRPr="00562699">
        <w:rPr>
          <w:lang w:val="fr-FR"/>
        </w:rPr>
        <w:t>,</w:t>
      </w:r>
      <w:r w:rsidR="009246D2" w:rsidRPr="00562699">
        <w:rPr>
          <w:lang w:val="fr-FR"/>
        </w:rPr>
        <w:t xml:space="preserve"> </w:t>
      </w:r>
      <w:r w:rsidR="002E0FA9" w:rsidRPr="00562699">
        <w:rPr>
          <w:lang w:val="fr-FR"/>
        </w:rPr>
        <w:t xml:space="preserve">de sorte </w:t>
      </w:r>
      <w:r w:rsidR="009246D2" w:rsidRPr="00562699">
        <w:rPr>
          <w:lang w:val="fr-FR"/>
        </w:rPr>
        <w:t xml:space="preserve">que les administrations </w:t>
      </w:r>
      <w:r w:rsidR="00B94A85" w:rsidRPr="00562699">
        <w:rPr>
          <w:lang w:val="fr-FR"/>
        </w:rPr>
        <w:t xml:space="preserve">puissent en </w:t>
      </w:r>
      <w:r w:rsidR="009246D2" w:rsidRPr="00562699">
        <w:rPr>
          <w:lang w:val="fr-FR"/>
        </w:rPr>
        <w:t>tirer le meilleur parti possible.</w:t>
      </w:r>
    </w:p>
    <w:p w14:paraId="1B2E01CD" w14:textId="7578B4CD" w:rsidR="009246D2" w:rsidRPr="00562699" w:rsidRDefault="00CB23D2" w:rsidP="00562699">
      <w:pPr>
        <w:pStyle w:val="ONUMFS"/>
        <w:rPr>
          <w:lang w:val="fr-FR"/>
        </w:rPr>
      </w:pPr>
      <w:r w:rsidRPr="00562699">
        <w:rPr>
          <w:lang w:val="fr-FR"/>
        </w:rPr>
        <w:t>M</w:t>
      </w:r>
      <w:r w:rsidR="009246D2" w:rsidRPr="00562699">
        <w:rPr>
          <w:lang w:val="fr-FR"/>
        </w:rPr>
        <w:t>me</w:t>
      </w:r>
      <w:r w:rsidR="004E4E83" w:rsidRPr="00562699">
        <w:rPr>
          <w:lang w:val="fr-FR"/>
        </w:rPr>
        <w:t> </w:t>
      </w:r>
      <w:r w:rsidRPr="00562699">
        <w:rPr>
          <w:lang w:val="fr-FR"/>
        </w:rPr>
        <w:t>Mona Yahia, président</w:t>
      </w:r>
      <w:r w:rsidR="009246D2" w:rsidRPr="00562699">
        <w:rPr>
          <w:lang w:val="fr-FR"/>
        </w:rPr>
        <w:t>e</w:t>
      </w:r>
      <w:r w:rsidRPr="00562699">
        <w:rPr>
          <w:lang w:val="fr-FR"/>
        </w:rPr>
        <w:t xml:space="preserve"> par intérim de l</w:t>
      </w:r>
      <w:r w:rsidR="003C64A0">
        <w:rPr>
          <w:lang w:val="fr-FR"/>
        </w:rPr>
        <w:t>’</w:t>
      </w:r>
      <w:r w:rsidRPr="00562699">
        <w:rPr>
          <w:lang w:val="fr-FR"/>
        </w:rPr>
        <w:t xml:space="preserve">Office égyptien des brevets, a présidé la </w:t>
      </w:r>
      <w:r w:rsidR="00D362ED" w:rsidRPr="00562699">
        <w:rPr>
          <w:lang w:val="fr-FR"/>
        </w:rPr>
        <w:t>réunion</w:t>
      </w:r>
      <w:r w:rsidRPr="00562699">
        <w:rPr>
          <w:lang w:val="fr-FR"/>
        </w:rPr>
        <w:t>.</w:t>
      </w:r>
    </w:p>
    <w:p w14:paraId="4F07C760" w14:textId="77777777" w:rsidR="009246D2" w:rsidRPr="00562699" w:rsidRDefault="00CB23D2" w:rsidP="00562699">
      <w:pPr>
        <w:pStyle w:val="Heading1"/>
        <w:rPr>
          <w:lang w:val="fr-FR"/>
        </w:rPr>
      </w:pPr>
      <w:r w:rsidRPr="00562699">
        <w:rPr>
          <w:lang w:val="fr-FR"/>
        </w:rPr>
        <w:lastRenderedPageBreak/>
        <w:t>1.</w:t>
      </w:r>
      <w:r w:rsidRPr="00562699">
        <w:rPr>
          <w:lang w:val="fr-FR"/>
        </w:rPr>
        <w:tab/>
        <w:t>Systèmes de gestion de la qualité</w:t>
      </w:r>
    </w:p>
    <w:p w14:paraId="787886A9" w14:textId="5FD67177" w:rsidR="009246D2" w:rsidRPr="00562699" w:rsidRDefault="00CB23D2" w:rsidP="00562699">
      <w:pPr>
        <w:pStyle w:val="Heading2"/>
        <w:rPr>
          <w:lang w:val="fr-FR"/>
        </w:rPr>
      </w:pPr>
      <w:r w:rsidRPr="00562699">
        <w:rPr>
          <w:lang w:val="fr-FR"/>
        </w:rPr>
        <w:t xml:space="preserve">A) </w:t>
      </w:r>
      <w:r w:rsidR="00E15B8E" w:rsidRPr="00562699">
        <w:rPr>
          <w:lang w:val="fr-FR"/>
        </w:rPr>
        <w:tab/>
      </w:r>
      <w:r w:rsidR="00562699" w:rsidRPr="00562699">
        <w:rPr>
          <w:lang w:val="fr-FR"/>
        </w:rPr>
        <w:t xml:space="preserve">Rapports </w:t>
      </w:r>
      <w:r w:rsidRPr="00562699">
        <w:rPr>
          <w:lang w:val="fr-FR"/>
        </w:rPr>
        <w:t xml:space="preserve">sur les systèmes de gestion de la qualité </w:t>
      </w:r>
      <w:r w:rsidR="00562699" w:rsidRPr="00562699">
        <w:rPr>
          <w:lang w:val="fr-FR"/>
        </w:rPr>
        <w:t>au titre du chapitre </w:t>
      </w:r>
      <w:r w:rsidRPr="00562699">
        <w:rPr>
          <w:lang w:val="fr-FR"/>
        </w:rPr>
        <w:t xml:space="preserve">21 des directives concernant la recherche internationale et </w:t>
      </w:r>
      <w:r w:rsidR="00562699" w:rsidRPr="00562699">
        <w:rPr>
          <w:lang w:val="fr-FR"/>
        </w:rPr>
        <w:t>l</w:t>
      </w:r>
      <w:r w:rsidR="003C64A0">
        <w:rPr>
          <w:lang w:val="fr-FR"/>
        </w:rPr>
        <w:t>’</w:t>
      </w:r>
      <w:r w:rsidR="00562699" w:rsidRPr="00562699">
        <w:rPr>
          <w:lang w:val="fr-FR"/>
        </w:rPr>
        <w:t>examen préliminaire international selon</w:t>
      </w:r>
      <w:r w:rsidR="003C64A0" w:rsidRPr="00562699">
        <w:rPr>
          <w:lang w:val="fr-FR"/>
        </w:rPr>
        <w:t xml:space="preserve"> le</w:t>
      </w:r>
      <w:r w:rsidR="003C64A0">
        <w:rPr>
          <w:lang w:val="fr-FR"/>
        </w:rPr>
        <w:t> </w:t>
      </w:r>
      <w:r w:rsidR="003C64A0" w:rsidRPr="00562699">
        <w:rPr>
          <w:lang w:val="fr-FR"/>
        </w:rPr>
        <w:t>PCT</w:t>
      </w:r>
    </w:p>
    <w:p w14:paraId="42D30AF7" w14:textId="5496178A" w:rsidR="009246D2" w:rsidRDefault="00CB23D2" w:rsidP="00562699">
      <w:pPr>
        <w:pStyle w:val="Heading2"/>
        <w:rPr>
          <w:lang w:val="fr-FR"/>
        </w:rPr>
      </w:pPr>
      <w:r w:rsidRPr="00562699">
        <w:rPr>
          <w:lang w:val="fr-FR"/>
        </w:rPr>
        <w:t>B)</w:t>
      </w:r>
      <w:r w:rsidRPr="00562699">
        <w:rPr>
          <w:lang w:val="fr-FR"/>
        </w:rPr>
        <w:tab/>
        <w:t>Systèmes de gestion de la qualité des administrations internationales</w:t>
      </w:r>
    </w:p>
    <w:p w14:paraId="1D11F2C9" w14:textId="77777777" w:rsidR="00562699" w:rsidRPr="00562699" w:rsidRDefault="00562699" w:rsidP="00562699">
      <w:pPr>
        <w:rPr>
          <w:lang w:val="fr-FR"/>
        </w:rPr>
      </w:pPr>
    </w:p>
    <w:p w14:paraId="0135730F" w14:textId="7EF9159F" w:rsidR="003C64A0" w:rsidRDefault="00CB23D2" w:rsidP="00562699">
      <w:pPr>
        <w:pStyle w:val="ONUMFS"/>
        <w:rPr>
          <w:lang w:val="fr-FR"/>
        </w:rPr>
      </w:pPr>
      <w:r w:rsidRPr="00562699">
        <w:rPr>
          <w:lang w:val="fr-FR"/>
        </w:rPr>
        <w:t>Les administrations sont convenues que le système de rapports sur les systèmes de gestion de la qualité était utile et</w:t>
      </w:r>
      <w:r w:rsidR="007778C7" w:rsidRPr="00562699">
        <w:rPr>
          <w:lang w:val="fr-FR"/>
        </w:rPr>
        <w:t xml:space="preserve"> </w:t>
      </w:r>
      <w:r w:rsidR="00B94A85" w:rsidRPr="00562699">
        <w:rPr>
          <w:lang w:val="fr-FR"/>
        </w:rPr>
        <w:t xml:space="preserve">se sont </w:t>
      </w:r>
      <w:r w:rsidR="002E0FA9" w:rsidRPr="00562699">
        <w:rPr>
          <w:lang w:val="fr-FR"/>
        </w:rPr>
        <w:t>félicitées</w:t>
      </w:r>
      <w:r w:rsidR="00B94A85" w:rsidRPr="00562699">
        <w:rPr>
          <w:lang w:val="fr-FR"/>
        </w:rPr>
        <w:t xml:space="preserve"> du </w:t>
      </w:r>
      <w:r w:rsidRPr="00562699">
        <w:rPr>
          <w:lang w:val="fr-FR"/>
        </w:rPr>
        <w:t xml:space="preserve">résumé présenté par le Bureau </w:t>
      </w:r>
      <w:r w:rsidR="007778C7" w:rsidRPr="00562699">
        <w:rPr>
          <w:lang w:val="fr-FR"/>
        </w:rPr>
        <w:t>i</w:t>
      </w:r>
      <w:r w:rsidRPr="00562699">
        <w:rPr>
          <w:lang w:val="fr-FR"/>
        </w:rPr>
        <w:t>nternation</w:t>
      </w:r>
      <w:r w:rsidR="00B85EF1" w:rsidRPr="00562699">
        <w:rPr>
          <w:lang w:val="fr-FR"/>
        </w:rPr>
        <w:t>al</w:t>
      </w:r>
      <w:r w:rsidR="00B85EF1">
        <w:rPr>
          <w:lang w:val="fr-FR"/>
        </w:rPr>
        <w:t xml:space="preserve">.  </w:t>
      </w:r>
      <w:r w:rsidR="00B85EF1" w:rsidRPr="00562699">
        <w:rPr>
          <w:lang w:val="fr-FR"/>
        </w:rPr>
        <w:t>Ou</w:t>
      </w:r>
      <w:r w:rsidRPr="00562699">
        <w:rPr>
          <w:lang w:val="fr-FR"/>
        </w:rPr>
        <w:t xml:space="preserve">tre les rapports </w:t>
      </w:r>
      <w:r w:rsidR="007778C7" w:rsidRPr="00562699">
        <w:rPr>
          <w:lang w:val="fr-FR"/>
        </w:rPr>
        <w:t>sur l</w:t>
      </w:r>
      <w:r w:rsidRPr="00562699">
        <w:rPr>
          <w:lang w:val="fr-FR"/>
        </w:rPr>
        <w:t xml:space="preserve">es systèmes de gestion de la qualité des autres administrations, le </w:t>
      </w:r>
      <w:r w:rsidR="002E0FA9" w:rsidRPr="00562699">
        <w:rPr>
          <w:lang w:val="fr-FR"/>
        </w:rPr>
        <w:t>s</w:t>
      </w:r>
      <w:r w:rsidRPr="00562699">
        <w:rPr>
          <w:lang w:val="fr-FR"/>
        </w:rPr>
        <w:t>ous</w:t>
      </w:r>
      <w:r w:rsidR="001B4A2C">
        <w:rPr>
          <w:lang w:val="fr-FR"/>
        </w:rPr>
        <w:noBreakHyphen/>
      </w:r>
      <w:r w:rsidRPr="00562699">
        <w:rPr>
          <w:lang w:val="fr-FR"/>
        </w:rPr>
        <w:t xml:space="preserve">groupe a </w:t>
      </w:r>
      <w:r w:rsidR="007778C7" w:rsidRPr="00562699">
        <w:rPr>
          <w:lang w:val="fr-FR"/>
        </w:rPr>
        <w:t>jugé utiles</w:t>
      </w:r>
      <w:r w:rsidRPr="00562699">
        <w:rPr>
          <w:lang w:val="fr-FR"/>
        </w:rPr>
        <w:t xml:space="preserve"> les exposés présentés par l</w:t>
      </w:r>
      <w:r w:rsidR="003C64A0">
        <w:rPr>
          <w:lang w:val="fr-FR"/>
        </w:rPr>
        <w:t>’</w:t>
      </w:r>
      <w:r w:rsidRPr="00562699">
        <w:rPr>
          <w:lang w:val="fr-FR"/>
        </w:rPr>
        <w:t>Administration nationale chinoise de la propriété intellectuelle (CNIPA), l</w:t>
      </w:r>
      <w:r w:rsidR="003C64A0">
        <w:rPr>
          <w:lang w:val="fr-FR"/>
        </w:rPr>
        <w:t>’</w:t>
      </w:r>
      <w:r w:rsidRPr="00562699">
        <w:rPr>
          <w:lang w:val="fr-FR"/>
        </w:rPr>
        <w:t xml:space="preserve">Office européen des brevets (OEB) </w:t>
      </w:r>
      <w:r w:rsidR="007778C7" w:rsidRPr="00562699">
        <w:rPr>
          <w:lang w:val="fr-FR"/>
        </w:rPr>
        <w:t>l</w:t>
      </w:r>
      <w:r w:rsidR="003C64A0">
        <w:rPr>
          <w:lang w:val="fr-FR"/>
        </w:rPr>
        <w:t>’</w:t>
      </w:r>
      <w:r w:rsidRPr="00562699">
        <w:rPr>
          <w:lang w:val="fr-FR"/>
        </w:rPr>
        <w:t>Office des brevets du Japon (JPO) et l</w:t>
      </w:r>
      <w:r w:rsidR="003C64A0">
        <w:rPr>
          <w:lang w:val="fr-FR"/>
        </w:rPr>
        <w:t>’</w:t>
      </w:r>
      <w:r w:rsidRPr="00562699">
        <w:rPr>
          <w:lang w:val="fr-FR"/>
        </w:rPr>
        <w:t xml:space="preserve">Institut </w:t>
      </w:r>
      <w:r w:rsidR="007778C7" w:rsidRPr="00562699">
        <w:rPr>
          <w:lang w:val="fr-FR"/>
        </w:rPr>
        <w:t>n</w:t>
      </w:r>
      <w:r w:rsidRPr="00562699">
        <w:rPr>
          <w:lang w:val="fr-FR"/>
        </w:rPr>
        <w:t>ational de la propriété industrielle du Chili (INAPI)</w:t>
      </w:r>
      <w:r w:rsidR="007778C7" w:rsidRPr="00562699">
        <w:rPr>
          <w:vertAlign w:val="superscript"/>
          <w:lang w:val="fr-FR"/>
        </w:rPr>
        <w:footnoteReference w:id="3"/>
      </w:r>
      <w:r w:rsidRPr="00562699">
        <w:rPr>
          <w:lang w:val="fr-FR"/>
        </w:rPr>
        <w:t xml:space="preserve"> </w:t>
      </w:r>
      <w:r w:rsidR="007778C7" w:rsidRPr="00562699">
        <w:rPr>
          <w:lang w:val="fr-FR"/>
        </w:rPr>
        <w:t>pour</w:t>
      </w:r>
      <w:r w:rsidRPr="00562699">
        <w:rPr>
          <w:lang w:val="fr-FR"/>
        </w:rPr>
        <w:t xml:space="preserve"> mieux comprendre les pratiques en matière de gestion de la qualité.</w:t>
      </w:r>
    </w:p>
    <w:p w14:paraId="1C377757" w14:textId="7AF5DA3F" w:rsidR="009246D2" w:rsidRPr="00562699" w:rsidRDefault="00CB23D2" w:rsidP="00562699">
      <w:pPr>
        <w:pStyle w:val="ONUMFS"/>
        <w:rPr>
          <w:lang w:val="fr-FR"/>
        </w:rPr>
      </w:pPr>
      <w:r w:rsidRPr="00562699">
        <w:rPr>
          <w:lang w:val="fr-FR"/>
        </w:rPr>
        <w:t xml:space="preserve">En réponse à une question </w:t>
      </w:r>
      <w:r w:rsidR="007778C7" w:rsidRPr="00562699">
        <w:rPr>
          <w:lang w:val="fr-FR"/>
        </w:rPr>
        <w:t xml:space="preserve">concernant </w:t>
      </w:r>
      <w:r w:rsidRPr="00562699">
        <w:rPr>
          <w:lang w:val="fr-FR"/>
        </w:rPr>
        <w:t>sa présentation, l</w:t>
      </w:r>
      <w:r w:rsidR="003C64A0">
        <w:rPr>
          <w:lang w:val="fr-FR"/>
        </w:rPr>
        <w:t>’</w:t>
      </w:r>
      <w:r w:rsidRPr="00562699">
        <w:rPr>
          <w:lang w:val="fr-FR"/>
        </w:rPr>
        <w:t>OEB a confirmé que les demandes d</w:t>
      </w:r>
      <w:r w:rsidR="003C64A0">
        <w:rPr>
          <w:lang w:val="fr-FR"/>
        </w:rPr>
        <w:t>’</w:t>
      </w:r>
      <w:r w:rsidRPr="00562699">
        <w:rPr>
          <w:lang w:val="fr-FR"/>
        </w:rPr>
        <w:t xml:space="preserve">examen accéléré </w:t>
      </w:r>
      <w:r w:rsidR="002E0FA9" w:rsidRPr="00562699">
        <w:rPr>
          <w:lang w:val="fr-FR"/>
        </w:rPr>
        <w:t xml:space="preserve">dans le cadre du </w:t>
      </w:r>
      <w:r w:rsidRPr="00562699">
        <w:rPr>
          <w:lang w:val="fr-FR"/>
        </w:rPr>
        <w:t xml:space="preserve">programme de traitement accéléré des demandes (PACE) et </w:t>
      </w:r>
      <w:r w:rsidR="002E0FA9" w:rsidRPr="00562699">
        <w:rPr>
          <w:lang w:val="fr-FR"/>
        </w:rPr>
        <w:t>de</w:t>
      </w:r>
      <w:r w:rsidRPr="00562699">
        <w:rPr>
          <w:lang w:val="fr-FR"/>
        </w:rPr>
        <w:t xml:space="preserve"> la procédure accélérée d</w:t>
      </w:r>
      <w:r w:rsidR="003C64A0">
        <w:rPr>
          <w:lang w:val="fr-FR"/>
        </w:rPr>
        <w:t>’</w:t>
      </w:r>
      <w:r w:rsidRPr="00562699">
        <w:rPr>
          <w:lang w:val="fr-FR"/>
        </w:rPr>
        <w:t>examen des demandes de brevet (PPH) ont été proposées sans frais supplémentaires pour le déposa</w:t>
      </w:r>
      <w:r w:rsidR="00B85EF1" w:rsidRPr="00562699">
        <w:rPr>
          <w:lang w:val="fr-FR"/>
        </w:rPr>
        <w:t>nt</w:t>
      </w:r>
      <w:r w:rsidR="00B85EF1">
        <w:rPr>
          <w:lang w:val="fr-FR"/>
        </w:rPr>
        <w:t xml:space="preserve">.  </w:t>
      </w:r>
      <w:r w:rsidR="00B85EF1" w:rsidRPr="00562699">
        <w:rPr>
          <w:lang w:val="fr-FR"/>
        </w:rPr>
        <w:t>De</w:t>
      </w:r>
      <w:r w:rsidRPr="00562699">
        <w:rPr>
          <w:lang w:val="fr-FR"/>
        </w:rPr>
        <w:t>puis l</w:t>
      </w:r>
      <w:r w:rsidR="003C64A0">
        <w:rPr>
          <w:lang w:val="fr-FR"/>
        </w:rPr>
        <w:t>’</w:t>
      </w:r>
      <w:r w:rsidRPr="00562699">
        <w:rPr>
          <w:lang w:val="fr-FR"/>
        </w:rPr>
        <w:t>adoption par l</w:t>
      </w:r>
      <w:r w:rsidR="003C64A0">
        <w:rPr>
          <w:lang w:val="fr-FR"/>
        </w:rPr>
        <w:t>’</w:t>
      </w:r>
      <w:r w:rsidRPr="00562699">
        <w:rPr>
          <w:lang w:val="fr-FR"/>
        </w:rPr>
        <w:t>OEB d</w:t>
      </w:r>
      <w:r w:rsidR="003C64A0">
        <w:rPr>
          <w:lang w:val="fr-FR"/>
        </w:rPr>
        <w:t>’</w:t>
      </w:r>
      <w:r w:rsidRPr="00562699">
        <w:rPr>
          <w:lang w:val="fr-FR"/>
        </w:rPr>
        <w:t xml:space="preserve">un délai </w:t>
      </w:r>
      <w:r w:rsidR="007778C7" w:rsidRPr="00562699">
        <w:rPr>
          <w:lang w:val="fr-FR"/>
        </w:rPr>
        <w:t xml:space="preserve">maximal </w:t>
      </w:r>
      <w:r w:rsidRPr="00562699">
        <w:rPr>
          <w:lang w:val="fr-FR"/>
        </w:rPr>
        <w:t>de six</w:t>
      </w:r>
      <w:r w:rsidR="00953186">
        <w:rPr>
          <w:lang w:val="fr-FR"/>
        </w:rPr>
        <w:t> </w:t>
      </w:r>
      <w:r w:rsidRPr="00562699">
        <w:rPr>
          <w:lang w:val="fr-FR"/>
        </w:rPr>
        <w:t xml:space="preserve">mois pour la fourniture de rapports de recherche dans </w:t>
      </w:r>
      <w:r w:rsidR="007778C7" w:rsidRPr="00562699">
        <w:rPr>
          <w:lang w:val="fr-FR"/>
        </w:rPr>
        <w:t xml:space="preserve">le cadre de </w:t>
      </w:r>
      <w:r w:rsidRPr="00562699">
        <w:rPr>
          <w:lang w:val="fr-FR"/>
        </w:rPr>
        <w:t xml:space="preserve">son initiative </w:t>
      </w:r>
      <w:r w:rsidR="003C64A0">
        <w:rPr>
          <w:lang w:val="fr-FR"/>
        </w:rPr>
        <w:t>“</w:t>
      </w:r>
      <w:proofErr w:type="spellStart"/>
      <w:r w:rsidR="003C64A0" w:rsidRPr="00562699">
        <w:rPr>
          <w:lang w:val="fr-FR"/>
        </w:rPr>
        <w:t>E</w:t>
      </w:r>
      <w:r w:rsidR="007778C7" w:rsidRPr="00562699">
        <w:rPr>
          <w:lang w:val="fr-FR"/>
        </w:rPr>
        <w:t>arly</w:t>
      </w:r>
      <w:proofErr w:type="spellEnd"/>
      <w:r w:rsidR="007778C7" w:rsidRPr="00562699">
        <w:rPr>
          <w:lang w:val="fr-FR"/>
        </w:rPr>
        <w:t xml:space="preserve"> </w:t>
      </w:r>
      <w:proofErr w:type="spellStart"/>
      <w:r w:rsidR="007778C7" w:rsidRPr="00562699">
        <w:rPr>
          <w:lang w:val="fr-FR"/>
        </w:rPr>
        <w:t>Certainty</w:t>
      </w:r>
      <w:proofErr w:type="spellEnd"/>
      <w:r w:rsidR="007778C7" w:rsidRPr="00562699">
        <w:rPr>
          <w:lang w:val="fr-FR"/>
        </w:rPr>
        <w:t xml:space="preserve"> </w:t>
      </w:r>
      <w:proofErr w:type="spellStart"/>
      <w:r w:rsidR="007778C7" w:rsidRPr="00562699">
        <w:rPr>
          <w:lang w:val="fr-FR"/>
        </w:rPr>
        <w:t>from</w:t>
      </w:r>
      <w:proofErr w:type="spellEnd"/>
      <w:r w:rsidR="007778C7" w:rsidRPr="00562699">
        <w:rPr>
          <w:lang w:val="fr-FR"/>
        </w:rPr>
        <w:t xml:space="preserve"> </w:t>
      </w:r>
      <w:proofErr w:type="spellStart"/>
      <w:r w:rsidR="007778C7" w:rsidRPr="00562699">
        <w:rPr>
          <w:lang w:val="fr-FR"/>
        </w:rPr>
        <w:t>Searc</w:t>
      </w:r>
      <w:r w:rsidR="003C64A0" w:rsidRPr="00562699">
        <w:rPr>
          <w:lang w:val="fr-FR"/>
        </w:rPr>
        <w:t>h</w:t>
      </w:r>
      <w:proofErr w:type="spellEnd"/>
      <w:r w:rsidR="003C64A0">
        <w:rPr>
          <w:lang w:val="fr-FR"/>
        </w:rPr>
        <w:t>”</w:t>
      </w:r>
      <w:r w:rsidRPr="00562699">
        <w:rPr>
          <w:lang w:val="fr-FR"/>
        </w:rPr>
        <w:t xml:space="preserve"> </w:t>
      </w:r>
      <w:r w:rsidR="003C64A0" w:rsidRPr="00562699">
        <w:rPr>
          <w:lang w:val="fr-FR"/>
        </w:rPr>
        <w:t>en</w:t>
      </w:r>
      <w:r w:rsidR="003C64A0">
        <w:rPr>
          <w:lang w:val="fr-FR"/>
        </w:rPr>
        <w:t> </w:t>
      </w:r>
      <w:r w:rsidR="003C64A0" w:rsidRPr="00562699">
        <w:rPr>
          <w:lang w:val="fr-FR"/>
        </w:rPr>
        <w:t>2014</w:t>
      </w:r>
      <w:r w:rsidRPr="00562699">
        <w:rPr>
          <w:lang w:val="fr-FR"/>
        </w:rPr>
        <w:t xml:space="preserve">, le nombre de demandes de recherche </w:t>
      </w:r>
      <w:r w:rsidR="007778C7" w:rsidRPr="00562699">
        <w:rPr>
          <w:lang w:val="fr-FR"/>
        </w:rPr>
        <w:t>PACE</w:t>
      </w:r>
      <w:r w:rsidRPr="00562699">
        <w:rPr>
          <w:lang w:val="fr-FR"/>
        </w:rPr>
        <w:t xml:space="preserve"> </w:t>
      </w:r>
      <w:r w:rsidR="002E0FA9" w:rsidRPr="00562699">
        <w:rPr>
          <w:lang w:val="fr-FR"/>
        </w:rPr>
        <w:t xml:space="preserve">était quasiment tombé à </w:t>
      </w:r>
      <w:proofErr w:type="gramStart"/>
      <w:r w:rsidRPr="00562699">
        <w:rPr>
          <w:lang w:val="fr-FR"/>
        </w:rPr>
        <w:t>zéro;</w:t>
      </w:r>
      <w:r w:rsidR="007778C7" w:rsidRPr="00562699">
        <w:rPr>
          <w:lang w:val="fr-FR"/>
        </w:rPr>
        <w:t xml:space="preserve"> </w:t>
      </w:r>
      <w:r w:rsidR="00953186">
        <w:rPr>
          <w:lang w:val="fr-FR"/>
        </w:rPr>
        <w:t xml:space="preserve"> </w:t>
      </w:r>
      <w:r w:rsidR="007778C7" w:rsidRPr="00562699">
        <w:rPr>
          <w:lang w:val="fr-FR"/>
        </w:rPr>
        <w:t>en</w:t>
      </w:r>
      <w:proofErr w:type="gramEnd"/>
      <w:r w:rsidR="007778C7" w:rsidRPr="00562699">
        <w:rPr>
          <w:lang w:val="fr-FR"/>
        </w:rPr>
        <w:t xml:space="preserve"> ce qui concerne l</w:t>
      </w:r>
      <w:r w:rsidR="003C64A0">
        <w:rPr>
          <w:lang w:val="fr-FR"/>
        </w:rPr>
        <w:t>’</w:t>
      </w:r>
      <w:r w:rsidRPr="00562699">
        <w:rPr>
          <w:lang w:val="fr-FR"/>
        </w:rPr>
        <w:t>examen,</w:t>
      </w:r>
      <w:r w:rsidR="007778C7" w:rsidRPr="00562699">
        <w:rPr>
          <w:lang w:val="fr-FR"/>
        </w:rPr>
        <w:t xml:space="preserve"> des</w:t>
      </w:r>
      <w:r w:rsidRPr="00562699">
        <w:rPr>
          <w:lang w:val="fr-FR"/>
        </w:rPr>
        <w:t xml:space="preserve"> demandes</w:t>
      </w:r>
      <w:r w:rsidR="007778C7" w:rsidRPr="00562699">
        <w:rPr>
          <w:lang w:val="fr-FR"/>
        </w:rPr>
        <w:t xml:space="preserve"> PACE</w:t>
      </w:r>
      <w:r w:rsidRPr="00562699">
        <w:rPr>
          <w:lang w:val="fr-FR"/>
        </w:rPr>
        <w:t xml:space="preserve"> </w:t>
      </w:r>
      <w:r w:rsidR="007778C7" w:rsidRPr="00562699">
        <w:rPr>
          <w:lang w:val="fr-FR"/>
        </w:rPr>
        <w:t xml:space="preserve">ont été introduites dans </w:t>
      </w:r>
      <w:r w:rsidRPr="00562699">
        <w:rPr>
          <w:lang w:val="fr-FR"/>
        </w:rPr>
        <w:t>environ 5 à 6% des cas.</w:t>
      </w:r>
    </w:p>
    <w:p w14:paraId="16E9F4F0" w14:textId="18C16C2A" w:rsidR="009246D2" w:rsidRPr="00562699" w:rsidRDefault="00CB23D2" w:rsidP="00562699">
      <w:pPr>
        <w:pStyle w:val="ONUMFS"/>
        <w:rPr>
          <w:lang w:val="fr-FR"/>
        </w:rPr>
      </w:pPr>
      <w:bookmarkStart w:id="6" w:name="_Ref1464722"/>
      <w:r w:rsidRPr="00562699">
        <w:rPr>
          <w:lang w:val="fr-FR"/>
        </w:rPr>
        <w:t>L</w:t>
      </w:r>
      <w:r w:rsidR="003C64A0">
        <w:rPr>
          <w:lang w:val="fr-FR"/>
        </w:rPr>
        <w:t>’</w:t>
      </w:r>
      <w:r w:rsidRPr="00562699">
        <w:rPr>
          <w:lang w:val="fr-FR"/>
        </w:rPr>
        <w:t>exposé présenté par</w:t>
      </w:r>
      <w:r w:rsidR="003C64A0" w:rsidRPr="00562699">
        <w:rPr>
          <w:lang w:val="fr-FR"/>
        </w:rPr>
        <w:t xml:space="preserve"> le</w:t>
      </w:r>
      <w:r w:rsidR="003C64A0">
        <w:rPr>
          <w:lang w:val="fr-FR"/>
        </w:rPr>
        <w:t> </w:t>
      </w:r>
      <w:r w:rsidR="003C64A0" w:rsidRPr="00562699">
        <w:rPr>
          <w:lang w:val="fr-FR"/>
        </w:rPr>
        <w:t>JPO</w:t>
      </w:r>
      <w:r w:rsidRPr="00562699">
        <w:rPr>
          <w:lang w:val="fr-FR"/>
        </w:rPr>
        <w:t xml:space="preserve"> comprenait une proposition visant à améliorer encore le système de gestion de la qualité des administrations international</w:t>
      </w:r>
      <w:r w:rsidR="00B85EF1" w:rsidRPr="00562699">
        <w:rPr>
          <w:lang w:val="fr-FR"/>
        </w:rPr>
        <w:t>es</w:t>
      </w:r>
      <w:r w:rsidR="00B85EF1">
        <w:rPr>
          <w:lang w:val="fr-FR"/>
        </w:rPr>
        <w:t xml:space="preserve">.  </w:t>
      </w:r>
      <w:r w:rsidR="00B85EF1" w:rsidRPr="00562699">
        <w:rPr>
          <w:lang w:val="fr-FR"/>
        </w:rPr>
        <w:t>Le</w:t>
      </w:r>
      <w:r w:rsidRPr="00562699">
        <w:rPr>
          <w:lang w:val="fr-FR"/>
        </w:rPr>
        <w:t xml:space="preserve"> nombre croissant d</w:t>
      </w:r>
      <w:r w:rsidR="003C64A0">
        <w:rPr>
          <w:lang w:val="fr-FR"/>
        </w:rPr>
        <w:t>’</w:t>
      </w:r>
      <w:r w:rsidRPr="00562699">
        <w:rPr>
          <w:lang w:val="fr-FR"/>
        </w:rPr>
        <w:t xml:space="preserve">administrations a rendu difficile </w:t>
      </w:r>
      <w:r w:rsidR="007778C7" w:rsidRPr="00562699">
        <w:rPr>
          <w:lang w:val="fr-FR"/>
        </w:rPr>
        <w:t>l</w:t>
      </w:r>
      <w:r w:rsidR="003C64A0">
        <w:rPr>
          <w:lang w:val="fr-FR"/>
        </w:rPr>
        <w:t>’</w:t>
      </w:r>
      <w:r w:rsidR="007778C7" w:rsidRPr="00562699">
        <w:rPr>
          <w:lang w:val="fr-FR"/>
        </w:rPr>
        <w:t xml:space="preserve">examen de </w:t>
      </w:r>
      <w:r w:rsidRPr="00562699">
        <w:rPr>
          <w:lang w:val="fr-FR"/>
        </w:rPr>
        <w:t>tous les rapports sur le système de gestion de la qualité</w:t>
      </w:r>
      <w:r w:rsidR="002E0FA9" w:rsidRPr="00562699">
        <w:rPr>
          <w:lang w:val="fr-FR"/>
        </w:rPr>
        <w:t xml:space="preserve"> présentés </w:t>
      </w:r>
      <w:r w:rsidR="007778C7" w:rsidRPr="00562699">
        <w:rPr>
          <w:lang w:val="fr-FR"/>
        </w:rPr>
        <w:t xml:space="preserve">par les administrations internationales </w:t>
      </w:r>
      <w:r w:rsidRPr="00562699">
        <w:rPr>
          <w:lang w:val="fr-FR"/>
        </w:rPr>
        <w:t xml:space="preserve">et </w:t>
      </w:r>
      <w:r w:rsidR="007778C7" w:rsidRPr="00562699">
        <w:rPr>
          <w:lang w:val="fr-FR"/>
        </w:rPr>
        <w:t xml:space="preserve">ces dernières </w:t>
      </w:r>
      <w:r w:rsidRPr="00562699">
        <w:rPr>
          <w:lang w:val="fr-FR"/>
        </w:rPr>
        <w:t>n</w:t>
      </w:r>
      <w:r w:rsidR="003C64A0">
        <w:rPr>
          <w:lang w:val="fr-FR"/>
        </w:rPr>
        <w:t>’</w:t>
      </w:r>
      <w:r w:rsidRPr="00562699">
        <w:rPr>
          <w:lang w:val="fr-FR"/>
        </w:rPr>
        <w:t xml:space="preserve">ont pas toujours été en mesure de </w:t>
      </w:r>
      <w:r w:rsidR="007778C7" w:rsidRPr="00562699">
        <w:rPr>
          <w:lang w:val="fr-FR"/>
        </w:rPr>
        <w:t xml:space="preserve">réfléchir aux </w:t>
      </w:r>
      <w:r w:rsidR="00A02B08" w:rsidRPr="00562699">
        <w:rPr>
          <w:lang w:val="fr-FR"/>
        </w:rPr>
        <w:t>opinions</w:t>
      </w:r>
      <w:r w:rsidR="007778C7" w:rsidRPr="00562699">
        <w:rPr>
          <w:lang w:val="fr-FR"/>
        </w:rPr>
        <w:t xml:space="preserve"> </w:t>
      </w:r>
      <w:r w:rsidRPr="00562699">
        <w:rPr>
          <w:lang w:val="fr-FR"/>
        </w:rPr>
        <w:t xml:space="preserve">des utilisateurs </w:t>
      </w:r>
      <w:r w:rsidR="007778C7" w:rsidRPr="00562699">
        <w:rPr>
          <w:lang w:val="fr-FR"/>
        </w:rPr>
        <w:t xml:space="preserve">durant </w:t>
      </w:r>
      <w:r w:rsidRPr="00562699">
        <w:rPr>
          <w:lang w:val="fr-FR"/>
        </w:rPr>
        <w:t>les délibérations du sous</w:t>
      </w:r>
      <w:r w:rsidR="001B4A2C">
        <w:rPr>
          <w:lang w:val="fr-FR"/>
        </w:rPr>
        <w:noBreakHyphen/>
      </w:r>
      <w:r w:rsidRPr="00562699">
        <w:rPr>
          <w:lang w:val="fr-FR"/>
        </w:rPr>
        <w:t>groupe.</w:t>
      </w:r>
      <w:r w:rsidR="00743A53" w:rsidRPr="00562699">
        <w:rPr>
          <w:lang w:val="fr-FR"/>
        </w:rPr>
        <w:t xml:space="preserve">  </w:t>
      </w:r>
      <w:r w:rsidRPr="00562699">
        <w:rPr>
          <w:lang w:val="fr-FR"/>
        </w:rPr>
        <w:t>L</w:t>
      </w:r>
      <w:r w:rsidR="003C64A0">
        <w:rPr>
          <w:lang w:val="fr-FR"/>
        </w:rPr>
        <w:t>’</w:t>
      </w:r>
      <w:r w:rsidRPr="00562699">
        <w:rPr>
          <w:lang w:val="fr-FR"/>
        </w:rPr>
        <w:t>Office des brevets du Japon a donc suggéré que le Sous</w:t>
      </w:r>
      <w:r w:rsidR="001B4A2C">
        <w:rPr>
          <w:lang w:val="fr-FR"/>
        </w:rPr>
        <w:noBreakHyphen/>
      </w:r>
      <w:r w:rsidRPr="00562699">
        <w:rPr>
          <w:lang w:val="fr-FR"/>
        </w:rPr>
        <w:t xml:space="preserve">groupe chargé de la qualité </w:t>
      </w:r>
      <w:r w:rsidR="00A02B08" w:rsidRPr="00562699">
        <w:rPr>
          <w:lang w:val="fr-FR"/>
        </w:rPr>
        <w:t xml:space="preserve">pourrait mener </w:t>
      </w:r>
      <w:r w:rsidRPr="00562699">
        <w:rPr>
          <w:lang w:val="fr-FR"/>
        </w:rPr>
        <w:t>des discussions plus approfondies sur la manière d</w:t>
      </w:r>
      <w:r w:rsidR="003C64A0">
        <w:rPr>
          <w:lang w:val="fr-FR"/>
        </w:rPr>
        <w:t>’</w:t>
      </w:r>
      <w:r w:rsidRPr="00562699">
        <w:rPr>
          <w:lang w:val="fr-FR"/>
        </w:rPr>
        <w:t xml:space="preserve">améliorer le système de gestion de la qualité des administrations internationales et </w:t>
      </w:r>
      <w:r w:rsidR="002E0FA9" w:rsidRPr="00562699">
        <w:rPr>
          <w:lang w:val="fr-FR"/>
        </w:rPr>
        <w:t xml:space="preserve">sur </w:t>
      </w:r>
      <w:r w:rsidRPr="00562699">
        <w:rPr>
          <w:lang w:val="fr-FR"/>
        </w:rPr>
        <w:t>les moyens d</w:t>
      </w:r>
      <w:r w:rsidR="003C64A0">
        <w:rPr>
          <w:lang w:val="fr-FR"/>
        </w:rPr>
        <w:t>’</w:t>
      </w:r>
      <w:r w:rsidRPr="00562699">
        <w:rPr>
          <w:lang w:val="fr-FR"/>
        </w:rPr>
        <w:t>échange</w:t>
      </w:r>
      <w:r w:rsidR="00A02B08" w:rsidRPr="00562699">
        <w:rPr>
          <w:lang w:val="fr-FR"/>
        </w:rPr>
        <w:t>r</w:t>
      </w:r>
      <w:r w:rsidRPr="00562699">
        <w:rPr>
          <w:lang w:val="fr-FR"/>
        </w:rPr>
        <w:t xml:space="preserve"> d</w:t>
      </w:r>
      <w:r w:rsidR="00A02B08" w:rsidRPr="00562699">
        <w:rPr>
          <w:lang w:val="fr-FR"/>
        </w:rPr>
        <w:t xml:space="preserve">es </w:t>
      </w:r>
      <w:r w:rsidRPr="00562699">
        <w:rPr>
          <w:lang w:val="fr-FR"/>
        </w:rPr>
        <w:t xml:space="preserve">informations, </w:t>
      </w:r>
      <w:r w:rsidR="00A02B08" w:rsidRPr="00562699">
        <w:rPr>
          <w:lang w:val="fr-FR"/>
        </w:rPr>
        <w:t xml:space="preserve">ainsi que </w:t>
      </w:r>
      <w:r w:rsidRPr="00562699">
        <w:rPr>
          <w:lang w:val="fr-FR"/>
        </w:rPr>
        <w:t xml:space="preserve">sur la </w:t>
      </w:r>
      <w:r w:rsidR="00A02B08" w:rsidRPr="00562699">
        <w:rPr>
          <w:lang w:val="fr-FR"/>
        </w:rPr>
        <w:t>façon</w:t>
      </w:r>
      <w:r w:rsidRPr="00562699">
        <w:rPr>
          <w:lang w:val="fr-FR"/>
        </w:rPr>
        <w:t xml:space="preserve"> d</w:t>
      </w:r>
      <w:r w:rsidR="003C64A0">
        <w:rPr>
          <w:lang w:val="fr-FR"/>
        </w:rPr>
        <w:t>’</w:t>
      </w:r>
      <w:r w:rsidRPr="00562699">
        <w:rPr>
          <w:lang w:val="fr-FR"/>
        </w:rPr>
        <w:t xml:space="preserve">améliorer </w:t>
      </w:r>
      <w:r w:rsidR="00A02B08" w:rsidRPr="00562699">
        <w:rPr>
          <w:lang w:val="fr-FR"/>
        </w:rPr>
        <w:t xml:space="preserve">la </w:t>
      </w:r>
      <w:r w:rsidR="002E0FA9" w:rsidRPr="00562699">
        <w:rPr>
          <w:lang w:val="fr-FR"/>
        </w:rPr>
        <w:t xml:space="preserve">prise en compte des </w:t>
      </w:r>
      <w:r w:rsidRPr="00562699">
        <w:rPr>
          <w:lang w:val="fr-FR"/>
        </w:rPr>
        <w:t xml:space="preserve">opinions des utilisateurs dans ces discussions, tout en respectant les initiatives mises en </w:t>
      </w:r>
      <w:r w:rsidR="00E15B8E" w:rsidRPr="00562699">
        <w:rPr>
          <w:lang w:val="fr-FR"/>
        </w:rPr>
        <w:t>œuvre</w:t>
      </w:r>
      <w:r w:rsidRPr="00562699">
        <w:rPr>
          <w:lang w:val="fr-FR"/>
        </w:rPr>
        <w:t xml:space="preserve"> par les administrations internationales </w:t>
      </w:r>
      <w:r w:rsidR="002E0FA9" w:rsidRPr="00562699">
        <w:rPr>
          <w:lang w:val="fr-FR"/>
        </w:rPr>
        <w:t>en vue d</w:t>
      </w:r>
      <w:r w:rsidR="003C64A0">
        <w:rPr>
          <w:lang w:val="fr-FR"/>
        </w:rPr>
        <w:t>’</w:t>
      </w:r>
      <w:r w:rsidRPr="00562699">
        <w:rPr>
          <w:lang w:val="fr-FR"/>
        </w:rPr>
        <w:t xml:space="preserve">améliorer le système de gestion de la qualité et en </w:t>
      </w:r>
      <w:r w:rsidR="00A02B08" w:rsidRPr="00562699">
        <w:rPr>
          <w:lang w:val="fr-FR"/>
        </w:rPr>
        <w:t xml:space="preserve">tenant compte des </w:t>
      </w:r>
      <w:r w:rsidRPr="00562699">
        <w:rPr>
          <w:lang w:val="fr-FR"/>
        </w:rPr>
        <w:t>ressources disponibles au sein de chaque administration internationa</w:t>
      </w:r>
      <w:r w:rsidR="00B85EF1" w:rsidRPr="00562699">
        <w:rPr>
          <w:lang w:val="fr-FR"/>
        </w:rPr>
        <w:t>le</w:t>
      </w:r>
      <w:r w:rsidR="00B85EF1">
        <w:rPr>
          <w:lang w:val="fr-FR"/>
        </w:rPr>
        <w:t xml:space="preserve">.  </w:t>
      </w:r>
      <w:r w:rsidR="00B85EF1" w:rsidRPr="00562699">
        <w:rPr>
          <w:lang w:val="fr-FR"/>
        </w:rPr>
        <w:t>Le</w:t>
      </w:r>
      <w:r w:rsidRPr="00562699">
        <w:rPr>
          <w:lang w:val="fr-FR"/>
        </w:rPr>
        <w:t xml:space="preserve"> Sous</w:t>
      </w:r>
      <w:r w:rsidR="001B4A2C">
        <w:rPr>
          <w:lang w:val="fr-FR"/>
        </w:rPr>
        <w:noBreakHyphen/>
      </w:r>
      <w:r w:rsidRPr="00562699">
        <w:rPr>
          <w:lang w:val="fr-FR"/>
        </w:rPr>
        <w:t>groupe chargé de la qualité pourrait</w:t>
      </w:r>
      <w:r w:rsidR="00A02B08" w:rsidRPr="00562699">
        <w:rPr>
          <w:lang w:val="fr-FR"/>
        </w:rPr>
        <w:t>, par exemple,</w:t>
      </w:r>
      <w:r w:rsidRPr="00562699">
        <w:rPr>
          <w:lang w:val="fr-FR"/>
        </w:rPr>
        <w:t xml:space="preserve"> choisir d</w:t>
      </w:r>
      <w:r w:rsidR="003C64A0">
        <w:rPr>
          <w:lang w:val="fr-FR"/>
        </w:rPr>
        <w:t>’</w:t>
      </w:r>
      <w:r w:rsidRPr="00562699">
        <w:rPr>
          <w:lang w:val="fr-FR"/>
        </w:rPr>
        <w:t>examiner le système de gestion de la qualité d</w:t>
      </w:r>
      <w:r w:rsidR="003C64A0">
        <w:rPr>
          <w:lang w:val="fr-FR"/>
        </w:rPr>
        <w:t>’</w:t>
      </w:r>
      <w:r w:rsidRPr="00562699">
        <w:rPr>
          <w:lang w:val="fr-FR"/>
        </w:rPr>
        <w:t>une seule administration</w:t>
      </w:r>
      <w:r w:rsidR="00A02B08" w:rsidRPr="00562699">
        <w:rPr>
          <w:lang w:val="fr-FR"/>
        </w:rPr>
        <w:t>,</w:t>
      </w:r>
      <w:r w:rsidRPr="00562699">
        <w:rPr>
          <w:lang w:val="fr-FR"/>
        </w:rPr>
        <w:t xml:space="preserve"> écouter les opinions de certains utilisateurs de cette administration et partager les résulta</w:t>
      </w:r>
      <w:bookmarkEnd w:id="6"/>
      <w:r w:rsidR="00B85EF1" w:rsidRPr="00562699">
        <w:rPr>
          <w:lang w:val="fr-FR"/>
        </w:rPr>
        <w:t>ts</w:t>
      </w:r>
      <w:r w:rsidR="00B85EF1">
        <w:rPr>
          <w:lang w:val="fr-FR"/>
        </w:rPr>
        <w:t xml:space="preserve">.  </w:t>
      </w:r>
      <w:r w:rsidR="00B85EF1" w:rsidRPr="00562699">
        <w:rPr>
          <w:lang w:val="fr-FR"/>
        </w:rPr>
        <w:t>Le</w:t>
      </w:r>
      <w:r w:rsidRPr="00562699">
        <w:rPr>
          <w:lang w:val="fr-FR"/>
        </w:rPr>
        <w:t xml:space="preserve"> Sous</w:t>
      </w:r>
      <w:r w:rsidR="001B4A2C">
        <w:rPr>
          <w:lang w:val="fr-FR"/>
        </w:rPr>
        <w:noBreakHyphen/>
      </w:r>
      <w:r w:rsidRPr="00562699">
        <w:rPr>
          <w:lang w:val="fr-FR"/>
        </w:rPr>
        <w:t xml:space="preserve">groupe chargé de la qualité pourrait alors </w:t>
      </w:r>
      <w:r w:rsidR="00A02B08" w:rsidRPr="00562699">
        <w:rPr>
          <w:lang w:val="fr-FR"/>
        </w:rPr>
        <w:t>organiser</w:t>
      </w:r>
      <w:r w:rsidRPr="00562699">
        <w:rPr>
          <w:lang w:val="fr-FR"/>
        </w:rPr>
        <w:t xml:space="preserve"> une séance de questions</w:t>
      </w:r>
      <w:r w:rsidR="001B4A2C">
        <w:rPr>
          <w:lang w:val="fr-FR"/>
        </w:rPr>
        <w:noBreakHyphen/>
      </w:r>
      <w:r w:rsidRPr="00562699">
        <w:rPr>
          <w:lang w:val="fr-FR"/>
        </w:rPr>
        <w:t xml:space="preserve">réponses sur la base de ces </w:t>
      </w:r>
      <w:r w:rsidR="00A02B08" w:rsidRPr="00562699">
        <w:rPr>
          <w:lang w:val="fr-FR"/>
        </w:rPr>
        <w:t xml:space="preserve">opinions et du rapport sur le </w:t>
      </w:r>
      <w:r w:rsidRPr="00562699">
        <w:rPr>
          <w:lang w:val="fr-FR"/>
        </w:rPr>
        <w:t>système de gestion de la qualité de cette administration.</w:t>
      </w:r>
    </w:p>
    <w:p w14:paraId="286654BC" w14:textId="146863F2" w:rsidR="009246D2" w:rsidRPr="00562699" w:rsidRDefault="00CB23D2" w:rsidP="00562699">
      <w:pPr>
        <w:pStyle w:val="ONUMFS"/>
        <w:ind w:left="567"/>
        <w:rPr>
          <w:lang w:val="fr-FR"/>
        </w:rPr>
      </w:pPr>
      <w:r w:rsidRPr="00562699">
        <w:rPr>
          <w:lang w:val="fr-FR"/>
        </w:rPr>
        <w:t>Le sous</w:t>
      </w:r>
      <w:r w:rsidR="001B4A2C">
        <w:rPr>
          <w:lang w:val="fr-FR"/>
        </w:rPr>
        <w:noBreakHyphen/>
      </w:r>
      <w:r w:rsidRPr="00562699">
        <w:rPr>
          <w:lang w:val="fr-FR"/>
        </w:rPr>
        <w:t>groupe a recommandé</w:t>
      </w:r>
      <w:r w:rsidR="003C64A0">
        <w:rPr>
          <w:lang w:val="fr-FR"/>
        </w:rPr>
        <w:t> :</w:t>
      </w:r>
    </w:p>
    <w:p w14:paraId="78CD76F3" w14:textId="3CE3772D" w:rsidR="009246D2" w:rsidRPr="00562699" w:rsidRDefault="00CB23D2" w:rsidP="00562699">
      <w:pPr>
        <w:pStyle w:val="ONUMFS"/>
        <w:numPr>
          <w:ilvl w:val="1"/>
          <w:numId w:val="15"/>
        </w:numPr>
        <w:ind w:left="1134"/>
        <w:rPr>
          <w:lang w:val="fr-FR"/>
        </w:rPr>
      </w:pPr>
      <w:proofErr w:type="gramStart"/>
      <w:r w:rsidRPr="00562699">
        <w:rPr>
          <w:lang w:val="fr-FR"/>
        </w:rPr>
        <w:t>de</w:t>
      </w:r>
      <w:proofErr w:type="gramEnd"/>
      <w:r w:rsidRPr="00562699">
        <w:rPr>
          <w:lang w:val="fr-FR"/>
        </w:rPr>
        <w:t xml:space="preserve"> poursuivre l</w:t>
      </w:r>
      <w:r w:rsidR="003C64A0">
        <w:rPr>
          <w:lang w:val="fr-FR"/>
        </w:rPr>
        <w:t>’</w:t>
      </w:r>
      <w:r w:rsidRPr="00562699">
        <w:rPr>
          <w:lang w:val="fr-FR"/>
        </w:rPr>
        <w:t>établissement de rapports sur le système de gestion de la qualité existant au moyen du présent mécanisme d</w:t>
      </w:r>
      <w:r w:rsidR="00A02B08" w:rsidRPr="00562699">
        <w:rPr>
          <w:lang w:val="fr-FR"/>
        </w:rPr>
        <w:t>e</w:t>
      </w:r>
      <w:r w:rsidRPr="00562699">
        <w:rPr>
          <w:lang w:val="fr-FR"/>
        </w:rPr>
        <w:t xml:space="preserve"> rapport, en indiquant les modifications apportées au rapport précédent et en incluant ces modifications dans </w:t>
      </w:r>
      <w:r w:rsidRPr="00562699">
        <w:rPr>
          <w:lang w:val="fr-FR"/>
        </w:rPr>
        <w:lastRenderedPageBreak/>
        <w:t>un résumé ainsi que d</w:t>
      </w:r>
      <w:r w:rsidR="003C64A0">
        <w:rPr>
          <w:lang w:val="fr-FR"/>
        </w:rPr>
        <w:t>’</w:t>
      </w:r>
      <w:r w:rsidRPr="00562699">
        <w:rPr>
          <w:lang w:val="fr-FR"/>
        </w:rPr>
        <w:t xml:space="preserve">autres questions </w:t>
      </w:r>
      <w:r w:rsidR="00A02B08" w:rsidRPr="00562699">
        <w:rPr>
          <w:lang w:val="fr-FR"/>
        </w:rPr>
        <w:t xml:space="preserve">susceptibles de présenter </w:t>
      </w:r>
      <w:r w:rsidRPr="00562699">
        <w:rPr>
          <w:lang w:val="fr-FR"/>
        </w:rPr>
        <w:t>un intérêt dans le cadre de l</w:t>
      </w:r>
      <w:r w:rsidR="003C64A0">
        <w:rPr>
          <w:lang w:val="fr-FR"/>
        </w:rPr>
        <w:t>’</w:t>
      </w:r>
      <w:r w:rsidRPr="00562699">
        <w:rPr>
          <w:lang w:val="fr-FR"/>
        </w:rPr>
        <w:t xml:space="preserve">introduction du rapport; </w:t>
      </w:r>
      <w:r w:rsidR="00953186">
        <w:rPr>
          <w:lang w:val="fr-FR"/>
        </w:rPr>
        <w:t xml:space="preserve"> </w:t>
      </w:r>
      <w:r w:rsidRPr="00562699">
        <w:rPr>
          <w:lang w:val="fr-FR"/>
        </w:rPr>
        <w:t>et</w:t>
      </w:r>
    </w:p>
    <w:p w14:paraId="5ACDA8C6" w14:textId="34996421" w:rsidR="003C64A0" w:rsidRDefault="00CB23D2" w:rsidP="00562699">
      <w:pPr>
        <w:pStyle w:val="ONUMFS"/>
        <w:numPr>
          <w:ilvl w:val="1"/>
          <w:numId w:val="15"/>
        </w:numPr>
        <w:ind w:left="1134"/>
        <w:rPr>
          <w:lang w:val="fr-FR"/>
        </w:rPr>
      </w:pPr>
      <w:proofErr w:type="gramStart"/>
      <w:r w:rsidRPr="00562699">
        <w:rPr>
          <w:lang w:val="fr-FR"/>
        </w:rPr>
        <w:t>que</w:t>
      </w:r>
      <w:proofErr w:type="gramEnd"/>
      <w:r w:rsidRPr="00562699">
        <w:rPr>
          <w:lang w:val="fr-FR"/>
        </w:rPr>
        <w:t xml:space="preserve"> d</w:t>
      </w:r>
      <w:r w:rsidR="003C64A0">
        <w:rPr>
          <w:lang w:val="fr-FR"/>
        </w:rPr>
        <w:t>’</w:t>
      </w:r>
      <w:r w:rsidRPr="00562699">
        <w:rPr>
          <w:lang w:val="fr-FR"/>
        </w:rPr>
        <w:t>autres administrations présente</w:t>
      </w:r>
      <w:r w:rsidR="00A02B08" w:rsidRPr="00562699">
        <w:rPr>
          <w:lang w:val="fr-FR"/>
        </w:rPr>
        <w:t>nt</w:t>
      </w:r>
      <w:r w:rsidRPr="00562699">
        <w:rPr>
          <w:lang w:val="fr-FR"/>
        </w:rPr>
        <w:t xml:space="preserve"> un</w:t>
      </w:r>
      <w:r w:rsidR="00A02B08" w:rsidRPr="00562699">
        <w:rPr>
          <w:lang w:val="fr-FR"/>
        </w:rPr>
        <w:t xml:space="preserve"> aperçu </w:t>
      </w:r>
      <w:r w:rsidRPr="00562699">
        <w:rPr>
          <w:lang w:val="fr-FR"/>
        </w:rPr>
        <w:t xml:space="preserve">de leur système de gestion de la qualité </w:t>
      </w:r>
      <w:r w:rsidR="00A02B08" w:rsidRPr="00562699">
        <w:rPr>
          <w:lang w:val="fr-FR"/>
        </w:rPr>
        <w:t xml:space="preserve">lors des </w:t>
      </w:r>
      <w:r w:rsidRPr="00562699">
        <w:rPr>
          <w:lang w:val="fr-FR"/>
        </w:rPr>
        <w:t>futures réunions du sous</w:t>
      </w:r>
      <w:r w:rsidR="001B4A2C">
        <w:rPr>
          <w:lang w:val="fr-FR"/>
        </w:rPr>
        <w:noBreakHyphen/>
      </w:r>
      <w:r w:rsidRPr="00562699">
        <w:rPr>
          <w:lang w:val="fr-FR"/>
        </w:rPr>
        <w:t>groupe.</w:t>
      </w:r>
    </w:p>
    <w:p w14:paraId="66E4F57E" w14:textId="7A8BA88A" w:rsidR="009246D2" w:rsidRDefault="00CB23D2" w:rsidP="00562699">
      <w:pPr>
        <w:pStyle w:val="Heading2"/>
        <w:rPr>
          <w:lang w:val="fr-FR"/>
        </w:rPr>
      </w:pPr>
      <w:r w:rsidRPr="00562699">
        <w:rPr>
          <w:lang w:val="fr-FR"/>
        </w:rPr>
        <w:t xml:space="preserve">C) </w:t>
      </w:r>
      <w:r w:rsidR="00E15B8E" w:rsidRPr="00562699">
        <w:rPr>
          <w:lang w:val="fr-FR"/>
        </w:rPr>
        <w:tab/>
      </w:r>
      <w:r w:rsidR="00562699" w:rsidRPr="00562699">
        <w:rPr>
          <w:lang w:val="fr-FR"/>
        </w:rPr>
        <w:t xml:space="preserve">Graphiques dans les systèmes de gestion </w:t>
      </w:r>
      <w:r w:rsidR="00A02B08" w:rsidRPr="00562699">
        <w:rPr>
          <w:lang w:val="fr-FR"/>
        </w:rPr>
        <w:t>de la qualité</w:t>
      </w:r>
    </w:p>
    <w:p w14:paraId="59D02428" w14:textId="77777777" w:rsidR="00562699" w:rsidRPr="00562699" w:rsidRDefault="00562699" w:rsidP="00562699">
      <w:pPr>
        <w:rPr>
          <w:lang w:val="fr-FR"/>
        </w:rPr>
      </w:pPr>
    </w:p>
    <w:p w14:paraId="78AAD230" w14:textId="3C95B35A" w:rsidR="009246D2" w:rsidRPr="00562699" w:rsidRDefault="00CB23D2" w:rsidP="00562699">
      <w:pPr>
        <w:pStyle w:val="ONUMFS"/>
        <w:rPr>
          <w:lang w:val="fr-FR"/>
        </w:rPr>
      </w:pPr>
      <w:r w:rsidRPr="00562699">
        <w:rPr>
          <w:lang w:val="fr-FR"/>
        </w:rPr>
        <w:t xml:space="preserve">Les administrations se sont félicitées des </w:t>
      </w:r>
      <w:r w:rsidR="00A02B08" w:rsidRPr="00562699">
        <w:rPr>
          <w:lang w:val="fr-FR"/>
        </w:rPr>
        <w:t xml:space="preserve">graphiques </w:t>
      </w:r>
      <w:r w:rsidRPr="00562699">
        <w:rPr>
          <w:lang w:val="fr-FR"/>
        </w:rPr>
        <w:t>publiés sur le forum électronique du sous</w:t>
      </w:r>
      <w:r w:rsidR="001B4A2C">
        <w:rPr>
          <w:lang w:val="fr-FR"/>
        </w:rPr>
        <w:noBreakHyphen/>
      </w:r>
      <w:r w:rsidRPr="00562699">
        <w:rPr>
          <w:lang w:val="fr-FR"/>
        </w:rPr>
        <w:t>groupe, qui avaient été utiles pour comprendre la gestion de la qualité dans d</w:t>
      </w:r>
      <w:r w:rsidR="003C64A0">
        <w:rPr>
          <w:lang w:val="fr-FR"/>
        </w:rPr>
        <w:t>’</w:t>
      </w:r>
      <w:r w:rsidRPr="00562699">
        <w:rPr>
          <w:lang w:val="fr-FR"/>
        </w:rPr>
        <w:t xml:space="preserve">autres </w:t>
      </w:r>
      <w:r w:rsidR="002E0FA9" w:rsidRPr="00562699">
        <w:rPr>
          <w:lang w:val="fr-FR"/>
        </w:rPr>
        <w:t>o</w:t>
      </w:r>
      <w:r w:rsidRPr="00562699">
        <w:rPr>
          <w:lang w:val="fr-FR"/>
        </w:rPr>
        <w:t xml:space="preserve">ffices, partager des exemples de meilleures pratiques et fournir un </w:t>
      </w:r>
      <w:r w:rsidR="00A02B08" w:rsidRPr="00562699">
        <w:rPr>
          <w:lang w:val="fr-FR"/>
        </w:rPr>
        <w:t>outil</w:t>
      </w:r>
      <w:r w:rsidRPr="00562699">
        <w:rPr>
          <w:lang w:val="fr-FR"/>
        </w:rPr>
        <w:t xml:space="preserve"> d</w:t>
      </w:r>
      <w:r w:rsidR="003C64A0">
        <w:rPr>
          <w:lang w:val="fr-FR"/>
        </w:rPr>
        <w:t>’</w:t>
      </w:r>
      <w:r w:rsidRPr="00562699">
        <w:rPr>
          <w:lang w:val="fr-FR"/>
        </w:rPr>
        <w:t>amélioration continue.</w:t>
      </w:r>
      <w:r w:rsidR="00743A53" w:rsidRPr="00562699">
        <w:rPr>
          <w:lang w:val="fr-FR"/>
        </w:rPr>
        <w:t xml:space="preserve">  </w:t>
      </w:r>
      <w:r w:rsidRPr="00562699">
        <w:rPr>
          <w:lang w:val="fr-FR"/>
        </w:rPr>
        <w:t>L</w:t>
      </w:r>
      <w:r w:rsidR="003C64A0">
        <w:rPr>
          <w:lang w:val="fr-FR"/>
        </w:rPr>
        <w:t>’</w:t>
      </w:r>
      <w:r w:rsidRPr="00562699">
        <w:rPr>
          <w:lang w:val="fr-FR"/>
        </w:rPr>
        <w:t xml:space="preserve">Office de la propriété intellectuelle des Philippines a déclaré que les </w:t>
      </w:r>
      <w:r w:rsidR="00A02B08" w:rsidRPr="00562699">
        <w:rPr>
          <w:lang w:val="fr-FR"/>
        </w:rPr>
        <w:t>graphiques</w:t>
      </w:r>
      <w:r w:rsidRPr="00562699">
        <w:rPr>
          <w:lang w:val="fr-FR"/>
        </w:rPr>
        <w:t xml:space="preserve"> avaient été utiles pour </w:t>
      </w:r>
      <w:r w:rsidR="00A02B08" w:rsidRPr="00562699">
        <w:rPr>
          <w:lang w:val="fr-FR"/>
        </w:rPr>
        <w:t>instaurer</w:t>
      </w:r>
      <w:r w:rsidRPr="00562699">
        <w:rPr>
          <w:lang w:val="fr-FR"/>
        </w:rPr>
        <w:t xml:space="preserve"> des procédures</w:t>
      </w:r>
      <w:r w:rsidR="00A02B08" w:rsidRPr="00562699">
        <w:rPr>
          <w:lang w:val="fr-FR"/>
        </w:rPr>
        <w:t>,</w:t>
      </w:r>
      <w:r w:rsidRPr="00562699">
        <w:rPr>
          <w:lang w:val="fr-FR"/>
        </w:rPr>
        <w:t xml:space="preserve"> dans la mesure où il </w:t>
      </w:r>
      <w:r w:rsidR="00A02B08" w:rsidRPr="00562699">
        <w:rPr>
          <w:lang w:val="fr-FR"/>
        </w:rPr>
        <w:t xml:space="preserve">se préparait à entamer </w:t>
      </w:r>
      <w:r w:rsidRPr="00562699">
        <w:rPr>
          <w:lang w:val="fr-FR"/>
        </w:rPr>
        <w:t>ses activités en qualité d</w:t>
      </w:r>
      <w:r w:rsidR="003C64A0">
        <w:rPr>
          <w:lang w:val="fr-FR"/>
        </w:rPr>
        <w:t>’</w:t>
      </w:r>
      <w:r w:rsidRPr="00562699">
        <w:rPr>
          <w:lang w:val="fr-FR"/>
        </w:rPr>
        <w:t>administration chargée de la recherche internationale et de l</w:t>
      </w:r>
      <w:r w:rsidR="003C64A0">
        <w:rPr>
          <w:lang w:val="fr-FR"/>
        </w:rPr>
        <w:t>’</w:t>
      </w:r>
      <w:r w:rsidRPr="00562699">
        <w:rPr>
          <w:lang w:val="fr-FR"/>
        </w:rPr>
        <w:t xml:space="preserve">examen préliminaire </w:t>
      </w:r>
      <w:r w:rsidR="00A02B08" w:rsidRPr="00562699">
        <w:rPr>
          <w:lang w:val="fr-FR"/>
        </w:rPr>
        <w:t>i</w:t>
      </w:r>
      <w:r w:rsidRPr="00562699">
        <w:rPr>
          <w:lang w:val="fr-FR"/>
        </w:rPr>
        <w:t>nternation</w:t>
      </w:r>
      <w:r w:rsidR="00B85EF1" w:rsidRPr="00562699">
        <w:rPr>
          <w:lang w:val="fr-FR"/>
        </w:rPr>
        <w:t>al</w:t>
      </w:r>
      <w:r w:rsidR="00B85EF1">
        <w:rPr>
          <w:lang w:val="fr-FR"/>
        </w:rPr>
        <w:t xml:space="preserve">.  </w:t>
      </w:r>
      <w:r w:rsidR="00B85EF1" w:rsidRPr="00562699">
        <w:rPr>
          <w:lang w:val="fr-FR"/>
        </w:rPr>
        <w:t>Ce</w:t>
      </w:r>
      <w:r w:rsidRPr="00562699">
        <w:rPr>
          <w:lang w:val="fr-FR"/>
        </w:rPr>
        <w:t>rtaines administrations ont indiqué qu</w:t>
      </w:r>
      <w:r w:rsidR="003C64A0">
        <w:rPr>
          <w:lang w:val="fr-FR"/>
        </w:rPr>
        <w:t>’</w:t>
      </w:r>
      <w:r w:rsidRPr="00562699">
        <w:rPr>
          <w:lang w:val="fr-FR"/>
        </w:rPr>
        <w:t>elles avaient l</w:t>
      </w:r>
      <w:r w:rsidR="003C64A0">
        <w:rPr>
          <w:lang w:val="fr-FR"/>
        </w:rPr>
        <w:t>’</w:t>
      </w:r>
      <w:r w:rsidRPr="00562699">
        <w:rPr>
          <w:lang w:val="fr-FR"/>
        </w:rPr>
        <w:t xml:space="preserve">intention de partager des </w:t>
      </w:r>
      <w:r w:rsidR="00A02B08" w:rsidRPr="00562699">
        <w:rPr>
          <w:lang w:val="fr-FR"/>
        </w:rPr>
        <w:t>graphiques</w:t>
      </w:r>
      <w:r w:rsidRPr="00562699">
        <w:rPr>
          <w:lang w:val="fr-FR"/>
        </w:rPr>
        <w:t xml:space="preserve"> à l</w:t>
      </w:r>
      <w:r w:rsidR="003C64A0">
        <w:rPr>
          <w:lang w:val="fr-FR"/>
        </w:rPr>
        <w:t>’</w:t>
      </w:r>
      <w:r w:rsidRPr="00562699">
        <w:rPr>
          <w:lang w:val="fr-FR"/>
        </w:rPr>
        <w:t>avenir</w:t>
      </w:r>
      <w:r w:rsidR="00A02B08" w:rsidRPr="00562699">
        <w:rPr>
          <w:lang w:val="fr-FR"/>
        </w:rPr>
        <w:t xml:space="preserve">, </w:t>
      </w:r>
      <w:r w:rsidRPr="00562699">
        <w:rPr>
          <w:lang w:val="fr-FR"/>
        </w:rPr>
        <w:t>mais n</w:t>
      </w:r>
      <w:r w:rsidR="003C64A0">
        <w:rPr>
          <w:lang w:val="fr-FR"/>
        </w:rPr>
        <w:t>’</w:t>
      </w:r>
      <w:r w:rsidRPr="00562699">
        <w:rPr>
          <w:lang w:val="fr-FR"/>
        </w:rPr>
        <w:t xml:space="preserve">étaient pas </w:t>
      </w:r>
      <w:r w:rsidR="00A02B08" w:rsidRPr="00562699">
        <w:rPr>
          <w:lang w:val="fr-FR"/>
        </w:rPr>
        <w:t xml:space="preserve">encore </w:t>
      </w:r>
      <w:r w:rsidRPr="00562699">
        <w:rPr>
          <w:lang w:val="fr-FR"/>
        </w:rPr>
        <w:t xml:space="preserve">prêtes </w:t>
      </w:r>
      <w:r w:rsidR="00A02B08" w:rsidRPr="00562699">
        <w:rPr>
          <w:lang w:val="fr-FR"/>
        </w:rPr>
        <w:t xml:space="preserve">à le </w:t>
      </w:r>
      <w:r w:rsidRPr="00562699">
        <w:rPr>
          <w:lang w:val="fr-FR"/>
        </w:rPr>
        <w:t xml:space="preserve">faire </w:t>
      </w:r>
      <w:r w:rsidR="00A02B08" w:rsidRPr="00562699">
        <w:rPr>
          <w:lang w:val="fr-FR"/>
        </w:rPr>
        <w:t xml:space="preserve">pour </w:t>
      </w:r>
      <w:proofErr w:type="gramStart"/>
      <w:r w:rsidR="00A02B08" w:rsidRPr="00562699">
        <w:rPr>
          <w:lang w:val="fr-FR"/>
        </w:rPr>
        <w:t>l</w:t>
      </w:r>
      <w:r w:rsidR="003C64A0">
        <w:rPr>
          <w:lang w:val="fr-FR"/>
        </w:rPr>
        <w:t>’</w:t>
      </w:r>
      <w:r w:rsidR="00A02B08" w:rsidRPr="00562699">
        <w:rPr>
          <w:lang w:val="fr-FR"/>
        </w:rPr>
        <w:t>instant</w:t>
      </w:r>
      <w:r w:rsidRPr="00562699">
        <w:rPr>
          <w:lang w:val="fr-FR"/>
        </w:rPr>
        <w:t xml:space="preserve">; </w:t>
      </w:r>
      <w:r w:rsidR="00953186">
        <w:rPr>
          <w:lang w:val="fr-FR"/>
        </w:rPr>
        <w:t xml:space="preserve"> </w:t>
      </w:r>
      <w:r w:rsidRPr="00562699">
        <w:rPr>
          <w:lang w:val="fr-FR"/>
        </w:rPr>
        <w:t>une</w:t>
      </w:r>
      <w:proofErr w:type="gramEnd"/>
      <w:r w:rsidRPr="00562699">
        <w:rPr>
          <w:lang w:val="fr-FR"/>
        </w:rPr>
        <w:t xml:space="preserve"> administration a toutefois indiqué que les </w:t>
      </w:r>
      <w:r w:rsidR="00A02B08" w:rsidRPr="00562699">
        <w:rPr>
          <w:lang w:val="fr-FR"/>
        </w:rPr>
        <w:t xml:space="preserve">graphiques </w:t>
      </w:r>
      <w:r w:rsidRPr="00562699">
        <w:rPr>
          <w:lang w:val="fr-FR"/>
        </w:rPr>
        <w:t xml:space="preserve">de ses processus étaient uniquement </w:t>
      </w:r>
      <w:r w:rsidR="00A02B08" w:rsidRPr="00562699">
        <w:rPr>
          <w:lang w:val="fr-FR"/>
        </w:rPr>
        <w:t xml:space="preserve">destinés </w:t>
      </w:r>
      <w:r w:rsidRPr="00562699">
        <w:rPr>
          <w:lang w:val="fr-FR"/>
        </w:rPr>
        <w:t>à un usage inter</w:t>
      </w:r>
      <w:r w:rsidR="00B85EF1" w:rsidRPr="00562699">
        <w:rPr>
          <w:lang w:val="fr-FR"/>
        </w:rPr>
        <w:t>ne</w:t>
      </w:r>
      <w:r w:rsidR="00B85EF1">
        <w:rPr>
          <w:lang w:val="fr-FR"/>
        </w:rPr>
        <w:t xml:space="preserve">.  </w:t>
      </w:r>
      <w:r w:rsidR="00B85EF1" w:rsidRPr="00562699">
        <w:rPr>
          <w:lang w:val="fr-FR"/>
        </w:rPr>
        <w:t>En</w:t>
      </w:r>
      <w:r w:rsidRPr="00562699">
        <w:rPr>
          <w:lang w:val="fr-FR"/>
        </w:rPr>
        <w:t xml:space="preserve"> outre, en vertu du chapitre</w:t>
      </w:r>
      <w:r w:rsidR="004E4E83" w:rsidRPr="00562699">
        <w:rPr>
          <w:lang w:val="fr-FR"/>
        </w:rPr>
        <w:t> </w:t>
      </w:r>
      <w:r w:rsidRPr="00562699">
        <w:rPr>
          <w:lang w:val="fr-FR"/>
        </w:rPr>
        <w:t>21 et de la norme</w:t>
      </w:r>
      <w:r w:rsidR="00953186">
        <w:rPr>
          <w:lang w:val="fr-FR"/>
        </w:rPr>
        <w:t> </w:t>
      </w:r>
      <w:r w:rsidRPr="00562699">
        <w:rPr>
          <w:lang w:val="fr-FR"/>
        </w:rPr>
        <w:t>ISO</w:t>
      </w:r>
      <w:r w:rsidR="009D49D9">
        <w:rPr>
          <w:lang w:val="fr-FR"/>
        </w:rPr>
        <w:t> </w:t>
      </w:r>
      <w:r w:rsidRPr="00562699">
        <w:rPr>
          <w:lang w:val="fr-FR"/>
        </w:rPr>
        <w:t>9001, l</w:t>
      </w:r>
      <w:r w:rsidR="003C64A0">
        <w:rPr>
          <w:lang w:val="fr-FR"/>
        </w:rPr>
        <w:t>’</w:t>
      </w:r>
      <w:r w:rsidRPr="00562699">
        <w:rPr>
          <w:lang w:val="fr-FR"/>
        </w:rPr>
        <w:t xml:space="preserve">utilisation de </w:t>
      </w:r>
      <w:r w:rsidR="00A02B08" w:rsidRPr="00562699">
        <w:rPr>
          <w:lang w:val="fr-FR"/>
        </w:rPr>
        <w:t>graphiques</w:t>
      </w:r>
      <w:r w:rsidRPr="00562699">
        <w:rPr>
          <w:lang w:val="fr-FR"/>
        </w:rPr>
        <w:t xml:space="preserve"> est facultative.</w:t>
      </w:r>
    </w:p>
    <w:p w14:paraId="4C4E7F76" w14:textId="73B73AF6" w:rsidR="009246D2" w:rsidRPr="00562699" w:rsidRDefault="00CB23D2" w:rsidP="00562699">
      <w:pPr>
        <w:pStyle w:val="ONUMFS"/>
        <w:rPr>
          <w:lang w:val="fr-FR"/>
        </w:rPr>
      </w:pPr>
      <w:r w:rsidRPr="00562699">
        <w:rPr>
          <w:lang w:val="fr-FR"/>
        </w:rPr>
        <w:t xml:space="preserve">Une administration a proposé que la page des </w:t>
      </w:r>
      <w:r w:rsidR="003A7A6D" w:rsidRPr="00562699">
        <w:rPr>
          <w:lang w:val="fr-FR"/>
        </w:rPr>
        <w:t>graphiques</w:t>
      </w:r>
      <w:r w:rsidRPr="00562699">
        <w:rPr>
          <w:lang w:val="fr-FR"/>
        </w:rPr>
        <w:t xml:space="preserve"> sur le forum électronique du sous</w:t>
      </w:r>
      <w:r w:rsidR="001B4A2C">
        <w:rPr>
          <w:lang w:val="fr-FR"/>
        </w:rPr>
        <w:noBreakHyphen/>
      </w:r>
      <w:r w:rsidRPr="00562699">
        <w:rPr>
          <w:lang w:val="fr-FR"/>
        </w:rPr>
        <w:t xml:space="preserve">groupe </w:t>
      </w:r>
      <w:r w:rsidR="003A7A6D" w:rsidRPr="00562699">
        <w:rPr>
          <w:lang w:val="fr-FR"/>
        </w:rPr>
        <w:t>soit mieux mise en valeur afin d</w:t>
      </w:r>
      <w:r w:rsidR="003C64A0">
        <w:rPr>
          <w:lang w:val="fr-FR"/>
        </w:rPr>
        <w:t>’</w:t>
      </w:r>
      <w:r w:rsidRPr="00562699">
        <w:rPr>
          <w:lang w:val="fr-FR"/>
        </w:rPr>
        <w:t xml:space="preserve">améliorer la visibilité des </w:t>
      </w:r>
      <w:r w:rsidR="003A7A6D" w:rsidRPr="00562699">
        <w:rPr>
          <w:lang w:val="fr-FR"/>
        </w:rPr>
        <w:t>graphiques</w:t>
      </w:r>
      <w:r w:rsidRPr="00562699">
        <w:rPr>
          <w:lang w:val="fr-FR"/>
        </w:rPr>
        <w:t xml:space="preserve">, </w:t>
      </w:r>
      <w:r w:rsidR="003A7A6D" w:rsidRPr="00562699">
        <w:rPr>
          <w:lang w:val="fr-FR"/>
        </w:rPr>
        <w:t xml:space="preserve">de </w:t>
      </w:r>
      <w:r w:rsidRPr="00562699">
        <w:rPr>
          <w:lang w:val="fr-FR"/>
        </w:rPr>
        <w:t>faciliter l</w:t>
      </w:r>
      <w:r w:rsidR="003C64A0">
        <w:rPr>
          <w:lang w:val="fr-FR"/>
        </w:rPr>
        <w:t>’</w:t>
      </w:r>
      <w:r w:rsidRPr="00562699">
        <w:rPr>
          <w:lang w:val="fr-FR"/>
        </w:rPr>
        <w:t xml:space="preserve">accès </w:t>
      </w:r>
      <w:r w:rsidR="003A7A6D" w:rsidRPr="00562699">
        <w:rPr>
          <w:lang w:val="fr-FR"/>
        </w:rPr>
        <w:t>à ceux</w:t>
      </w:r>
      <w:r w:rsidR="001B4A2C">
        <w:rPr>
          <w:lang w:val="fr-FR"/>
        </w:rPr>
        <w:noBreakHyphen/>
      </w:r>
      <w:r w:rsidR="003A7A6D" w:rsidRPr="00562699">
        <w:rPr>
          <w:lang w:val="fr-FR"/>
        </w:rPr>
        <w:t xml:space="preserve">ci et </w:t>
      </w:r>
      <w:r w:rsidRPr="00562699">
        <w:rPr>
          <w:lang w:val="fr-FR"/>
        </w:rPr>
        <w:t>leur téléchargement par les administrations.</w:t>
      </w:r>
    </w:p>
    <w:p w14:paraId="7A7CADCD" w14:textId="47D0FBD3" w:rsidR="009246D2" w:rsidRPr="00562699" w:rsidRDefault="00CB23D2" w:rsidP="00562699">
      <w:pPr>
        <w:pStyle w:val="ONUMFS"/>
        <w:ind w:left="567"/>
        <w:rPr>
          <w:lang w:val="fr-FR"/>
        </w:rPr>
      </w:pPr>
      <w:r w:rsidRPr="00562699">
        <w:rPr>
          <w:lang w:val="fr-FR"/>
        </w:rPr>
        <w:t>Le sous</w:t>
      </w:r>
      <w:r w:rsidR="001B4A2C">
        <w:rPr>
          <w:lang w:val="fr-FR"/>
        </w:rPr>
        <w:noBreakHyphen/>
      </w:r>
      <w:r w:rsidRPr="00562699">
        <w:rPr>
          <w:lang w:val="fr-FR"/>
        </w:rPr>
        <w:t>groupe a recommandé</w:t>
      </w:r>
      <w:r w:rsidR="003A7A6D" w:rsidRPr="00562699">
        <w:rPr>
          <w:lang w:val="fr-FR"/>
        </w:rPr>
        <w:t xml:space="preserve"> que</w:t>
      </w:r>
      <w:r w:rsidR="003C64A0">
        <w:rPr>
          <w:lang w:val="fr-FR"/>
        </w:rPr>
        <w:t> :</w:t>
      </w:r>
    </w:p>
    <w:p w14:paraId="56E88D56" w14:textId="078966C8" w:rsidR="003C64A0" w:rsidRDefault="003A7A6D" w:rsidP="00562699">
      <w:pPr>
        <w:pStyle w:val="ONUMFS"/>
        <w:numPr>
          <w:ilvl w:val="1"/>
          <w:numId w:val="15"/>
        </w:numPr>
        <w:ind w:left="1134"/>
        <w:rPr>
          <w:lang w:val="fr-FR"/>
        </w:rPr>
      </w:pPr>
      <w:proofErr w:type="gramStart"/>
      <w:r w:rsidRPr="00562699">
        <w:rPr>
          <w:lang w:val="fr-FR"/>
        </w:rPr>
        <w:t>l</w:t>
      </w:r>
      <w:r w:rsidR="00CB23D2" w:rsidRPr="00562699">
        <w:rPr>
          <w:lang w:val="fr-FR"/>
        </w:rPr>
        <w:t>es</w:t>
      </w:r>
      <w:proofErr w:type="gramEnd"/>
      <w:r w:rsidR="00CB23D2" w:rsidRPr="00562699">
        <w:rPr>
          <w:lang w:val="fr-FR"/>
        </w:rPr>
        <w:t xml:space="preserve"> administrations p</w:t>
      </w:r>
      <w:r w:rsidRPr="00562699">
        <w:rPr>
          <w:lang w:val="fr-FR"/>
        </w:rPr>
        <w:t xml:space="preserve">uissent </w:t>
      </w:r>
      <w:r w:rsidR="00CB23D2" w:rsidRPr="00562699">
        <w:rPr>
          <w:lang w:val="fr-FR"/>
        </w:rPr>
        <w:t>partager d</w:t>
      </w:r>
      <w:r w:rsidR="003C64A0">
        <w:rPr>
          <w:lang w:val="fr-FR"/>
        </w:rPr>
        <w:t>’</w:t>
      </w:r>
      <w:r w:rsidR="00CB23D2" w:rsidRPr="00562699">
        <w:rPr>
          <w:lang w:val="fr-FR"/>
        </w:rPr>
        <w:t xml:space="preserve">autres exemples de </w:t>
      </w:r>
      <w:r w:rsidRPr="00562699">
        <w:rPr>
          <w:lang w:val="fr-FR"/>
        </w:rPr>
        <w:t>graphiques</w:t>
      </w:r>
      <w:r w:rsidR="00CB23D2" w:rsidRPr="00562699">
        <w:rPr>
          <w:lang w:val="fr-FR"/>
        </w:rPr>
        <w:t xml:space="preserve"> utilisés pour la recherche internationale et l</w:t>
      </w:r>
      <w:r w:rsidR="003C64A0">
        <w:rPr>
          <w:lang w:val="fr-FR"/>
        </w:rPr>
        <w:t>’</w:t>
      </w:r>
      <w:r w:rsidR="00CB23D2" w:rsidRPr="00562699">
        <w:rPr>
          <w:lang w:val="fr-FR"/>
        </w:rPr>
        <w:t>examen préliminaire international, que ce soit sur le forum électronique du sous</w:t>
      </w:r>
      <w:r w:rsidR="001B4A2C">
        <w:rPr>
          <w:lang w:val="fr-FR"/>
        </w:rPr>
        <w:noBreakHyphen/>
      </w:r>
      <w:r w:rsidR="00CB23D2" w:rsidRPr="00562699">
        <w:rPr>
          <w:lang w:val="fr-FR"/>
        </w:rPr>
        <w:t xml:space="preserve">groupe ou dans leurs rapports sur leurs systèmes de gestion de la qualité; </w:t>
      </w:r>
      <w:r w:rsidR="00953186">
        <w:rPr>
          <w:lang w:val="fr-FR"/>
        </w:rPr>
        <w:t xml:space="preserve"> </w:t>
      </w:r>
      <w:r w:rsidR="00CB23D2" w:rsidRPr="00562699">
        <w:rPr>
          <w:lang w:val="fr-FR"/>
        </w:rPr>
        <w:t>et</w:t>
      </w:r>
    </w:p>
    <w:p w14:paraId="413A9413" w14:textId="462F462B" w:rsidR="009246D2" w:rsidRPr="00562699" w:rsidRDefault="003A7A6D" w:rsidP="00562699">
      <w:pPr>
        <w:pStyle w:val="ONUMFS"/>
        <w:numPr>
          <w:ilvl w:val="1"/>
          <w:numId w:val="15"/>
        </w:numPr>
        <w:ind w:left="1134"/>
        <w:rPr>
          <w:lang w:val="fr-FR"/>
        </w:rPr>
      </w:pPr>
      <w:proofErr w:type="gramStart"/>
      <w:r w:rsidRPr="00562699">
        <w:rPr>
          <w:lang w:val="fr-FR"/>
        </w:rPr>
        <w:t>l</w:t>
      </w:r>
      <w:r w:rsidR="00CB23D2" w:rsidRPr="00562699">
        <w:rPr>
          <w:lang w:val="fr-FR"/>
        </w:rPr>
        <w:t>e</w:t>
      </w:r>
      <w:proofErr w:type="gramEnd"/>
      <w:r w:rsidR="00CB23D2" w:rsidRPr="00562699">
        <w:rPr>
          <w:lang w:val="fr-FR"/>
        </w:rPr>
        <w:t xml:space="preserve"> Bureau </w:t>
      </w:r>
      <w:r w:rsidRPr="00562699">
        <w:rPr>
          <w:lang w:val="fr-FR"/>
        </w:rPr>
        <w:t>i</w:t>
      </w:r>
      <w:r w:rsidR="00CB23D2" w:rsidRPr="00562699">
        <w:rPr>
          <w:lang w:val="fr-FR"/>
        </w:rPr>
        <w:t xml:space="preserve">nternational </w:t>
      </w:r>
      <w:r w:rsidRPr="00562699">
        <w:rPr>
          <w:lang w:val="fr-FR"/>
        </w:rPr>
        <w:t xml:space="preserve">mette mieux en valeur </w:t>
      </w:r>
      <w:r w:rsidR="00CB23D2" w:rsidRPr="00562699">
        <w:rPr>
          <w:lang w:val="fr-FR"/>
        </w:rPr>
        <w:t xml:space="preserve">la page </w:t>
      </w:r>
      <w:r w:rsidRPr="00562699">
        <w:rPr>
          <w:lang w:val="fr-FR"/>
        </w:rPr>
        <w:t xml:space="preserve">du </w:t>
      </w:r>
      <w:r w:rsidR="00CB23D2" w:rsidRPr="00562699">
        <w:rPr>
          <w:lang w:val="fr-FR"/>
        </w:rPr>
        <w:t>forum électronique du sous</w:t>
      </w:r>
      <w:r w:rsidR="001B4A2C">
        <w:rPr>
          <w:lang w:val="fr-FR"/>
        </w:rPr>
        <w:noBreakHyphen/>
      </w:r>
      <w:r w:rsidR="00CB23D2" w:rsidRPr="00562699">
        <w:rPr>
          <w:lang w:val="fr-FR"/>
        </w:rPr>
        <w:t xml:space="preserve">groupe contenant les </w:t>
      </w:r>
      <w:r w:rsidRPr="00562699">
        <w:rPr>
          <w:lang w:val="fr-FR"/>
        </w:rPr>
        <w:t>graphiques</w:t>
      </w:r>
      <w:r w:rsidR="00CB23D2" w:rsidRPr="00562699">
        <w:rPr>
          <w:lang w:val="fr-FR"/>
        </w:rPr>
        <w:t>.</w:t>
      </w:r>
    </w:p>
    <w:p w14:paraId="7F4F838D" w14:textId="2690C21A" w:rsidR="009246D2" w:rsidRPr="00562699" w:rsidRDefault="00CB23D2" w:rsidP="00562699">
      <w:pPr>
        <w:pStyle w:val="Heading2"/>
        <w:rPr>
          <w:lang w:val="fr-FR"/>
        </w:rPr>
      </w:pPr>
      <w:r w:rsidRPr="00562699">
        <w:rPr>
          <w:lang w:val="fr-FR"/>
        </w:rPr>
        <w:t xml:space="preserve">D) </w:t>
      </w:r>
      <w:r w:rsidR="00E15B8E" w:rsidRPr="00562699">
        <w:rPr>
          <w:lang w:val="fr-FR"/>
        </w:rPr>
        <w:tab/>
      </w:r>
      <w:r w:rsidR="00562699" w:rsidRPr="00562699">
        <w:rPr>
          <w:lang w:val="fr-FR"/>
        </w:rPr>
        <w:t>Modifications du chapitre 21 des directives concernant la recherche internationale et l</w:t>
      </w:r>
      <w:r w:rsidR="003C64A0">
        <w:rPr>
          <w:lang w:val="fr-FR"/>
        </w:rPr>
        <w:t>’</w:t>
      </w:r>
      <w:r w:rsidR="00562699" w:rsidRPr="00562699">
        <w:rPr>
          <w:lang w:val="fr-FR"/>
        </w:rPr>
        <w:t>examen préliminaire international selon</w:t>
      </w:r>
      <w:r w:rsidR="003C64A0" w:rsidRPr="00562699">
        <w:rPr>
          <w:lang w:val="fr-FR"/>
        </w:rPr>
        <w:t xml:space="preserve"> le</w:t>
      </w:r>
      <w:r w:rsidR="003C64A0">
        <w:rPr>
          <w:lang w:val="fr-FR"/>
        </w:rPr>
        <w:t> </w:t>
      </w:r>
      <w:r w:rsidR="003C64A0" w:rsidRPr="00562699">
        <w:rPr>
          <w:lang w:val="fr-FR"/>
        </w:rPr>
        <w:t>PCT</w:t>
      </w:r>
    </w:p>
    <w:p w14:paraId="2876B295" w14:textId="1349F176" w:rsidR="009246D2" w:rsidRDefault="00562699" w:rsidP="00562699">
      <w:pPr>
        <w:pStyle w:val="Heading3"/>
        <w:rPr>
          <w:lang w:val="fr-FR"/>
        </w:rPr>
      </w:pPr>
      <w:r w:rsidRPr="00562699">
        <w:rPr>
          <w:u w:val="none"/>
          <w:lang w:val="fr-FR"/>
        </w:rPr>
        <w:t>i)</w:t>
      </w:r>
      <w:r w:rsidRPr="00562699">
        <w:rPr>
          <w:u w:val="none"/>
          <w:lang w:val="fr-FR"/>
        </w:rPr>
        <w:tab/>
      </w:r>
      <w:r w:rsidR="00CB23D2" w:rsidRPr="00562699">
        <w:rPr>
          <w:lang w:val="fr-FR"/>
        </w:rPr>
        <w:t>In</w:t>
      </w:r>
      <w:r w:rsidR="003A7A6D" w:rsidRPr="00562699">
        <w:rPr>
          <w:lang w:val="fr-FR"/>
        </w:rPr>
        <w:t>tégration</w:t>
      </w:r>
      <w:r w:rsidR="00CB23D2" w:rsidRPr="00562699">
        <w:rPr>
          <w:lang w:val="fr-FR"/>
        </w:rPr>
        <w:t xml:space="preserve"> des principes d</w:t>
      </w:r>
      <w:r w:rsidR="003C64A0">
        <w:rPr>
          <w:lang w:val="fr-FR"/>
        </w:rPr>
        <w:t>’</w:t>
      </w:r>
      <w:r w:rsidR="003A7A6D" w:rsidRPr="00562699">
        <w:rPr>
          <w:lang w:val="fr-FR"/>
        </w:rPr>
        <w:t>une</w:t>
      </w:r>
      <w:r w:rsidR="00CB23D2" w:rsidRPr="00562699">
        <w:rPr>
          <w:lang w:val="fr-FR"/>
        </w:rPr>
        <w:t xml:space="preserve"> réflexion fondée sur les risques</w:t>
      </w:r>
    </w:p>
    <w:p w14:paraId="7C5CCAD1" w14:textId="77777777" w:rsidR="00562699" w:rsidRPr="00562699" w:rsidRDefault="00562699" w:rsidP="00562699">
      <w:pPr>
        <w:rPr>
          <w:lang w:val="fr-FR"/>
        </w:rPr>
      </w:pPr>
    </w:p>
    <w:p w14:paraId="6558331A" w14:textId="3FBF2A63" w:rsidR="003C64A0" w:rsidRDefault="00CB23D2" w:rsidP="00562699">
      <w:pPr>
        <w:pStyle w:val="ONUMFS"/>
        <w:rPr>
          <w:lang w:val="fr-FR"/>
        </w:rPr>
      </w:pPr>
      <w:r w:rsidRPr="00562699">
        <w:rPr>
          <w:lang w:val="fr-FR"/>
        </w:rPr>
        <w:t>Les administrations ont appuyé le principe d</w:t>
      </w:r>
      <w:r w:rsidR="003C64A0">
        <w:rPr>
          <w:lang w:val="fr-FR"/>
        </w:rPr>
        <w:t>’</w:t>
      </w:r>
      <w:r w:rsidR="003A7A6D" w:rsidRPr="00562699">
        <w:rPr>
          <w:lang w:val="fr-FR"/>
        </w:rPr>
        <w:t xml:space="preserve">intégrer le </w:t>
      </w:r>
      <w:r w:rsidRPr="00562699">
        <w:rPr>
          <w:lang w:val="fr-FR"/>
        </w:rPr>
        <w:t>texte relatif à l</w:t>
      </w:r>
      <w:r w:rsidR="003C64A0">
        <w:rPr>
          <w:lang w:val="fr-FR"/>
        </w:rPr>
        <w:t>’</w:t>
      </w:r>
      <w:r w:rsidRPr="00562699">
        <w:rPr>
          <w:lang w:val="fr-FR"/>
        </w:rPr>
        <w:t xml:space="preserve">identification des risques et des </w:t>
      </w:r>
      <w:r w:rsidR="002E0FA9" w:rsidRPr="00562699">
        <w:rPr>
          <w:lang w:val="fr-FR"/>
        </w:rPr>
        <w:t>possibilités</w:t>
      </w:r>
      <w:r w:rsidRPr="00562699">
        <w:rPr>
          <w:lang w:val="fr-FR"/>
        </w:rPr>
        <w:t xml:space="preserve"> dans leur travail d</w:t>
      </w:r>
      <w:r w:rsidR="003C64A0">
        <w:rPr>
          <w:lang w:val="fr-FR"/>
        </w:rPr>
        <w:t>’</w:t>
      </w:r>
      <w:r w:rsidRPr="00562699">
        <w:rPr>
          <w:lang w:val="fr-FR"/>
        </w:rPr>
        <w:t>administrations chargées de la recherche internationale et de l</w:t>
      </w:r>
      <w:r w:rsidR="003C64A0">
        <w:rPr>
          <w:lang w:val="fr-FR"/>
        </w:rPr>
        <w:t>’</w:t>
      </w:r>
      <w:r w:rsidRPr="00562699">
        <w:rPr>
          <w:lang w:val="fr-FR"/>
        </w:rPr>
        <w:t xml:space="preserve">examen préliminaire </w:t>
      </w:r>
      <w:r w:rsidR="003A7A6D" w:rsidRPr="00562699">
        <w:rPr>
          <w:lang w:val="fr-FR"/>
        </w:rPr>
        <w:t>i</w:t>
      </w:r>
      <w:r w:rsidRPr="00562699">
        <w:rPr>
          <w:lang w:val="fr-FR"/>
        </w:rPr>
        <w:t>nternation</w:t>
      </w:r>
      <w:r w:rsidR="00B85EF1" w:rsidRPr="00562699">
        <w:rPr>
          <w:lang w:val="fr-FR"/>
        </w:rPr>
        <w:t>al</w:t>
      </w:r>
      <w:r w:rsidR="00B85EF1">
        <w:rPr>
          <w:lang w:val="fr-FR"/>
        </w:rPr>
        <w:t xml:space="preserve">.  </w:t>
      </w:r>
      <w:r w:rsidR="00B85EF1" w:rsidRPr="00562699">
        <w:rPr>
          <w:lang w:val="fr-FR"/>
        </w:rPr>
        <w:t>Ce</w:t>
      </w:r>
      <w:r w:rsidRPr="00562699">
        <w:rPr>
          <w:lang w:val="fr-FR"/>
        </w:rPr>
        <w:t>rtaines administrations ont indiqué qu</w:t>
      </w:r>
      <w:r w:rsidR="003C64A0">
        <w:rPr>
          <w:lang w:val="fr-FR"/>
        </w:rPr>
        <w:t>’</w:t>
      </w:r>
      <w:r w:rsidRPr="00562699">
        <w:rPr>
          <w:lang w:val="fr-FR"/>
        </w:rPr>
        <w:t xml:space="preserve">elles seraient disposées à accepter les modifications indiquées dans le document, </w:t>
      </w:r>
      <w:r w:rsidR="003A7A6D" w:rsidRPr="00562699">
        <w:rPr>
          <w:lang w:val="fr-FR"/>
        </w:rPr>
        <w:t xml:space="preserve">telles que proposées par </w:t>
      </w:r>
      <w:r w:rsidRPr="00562699">
        <w:rPr>
          <w:lang w:val="fr-FR"/>
        </w:rPr>
        <w:t>l</w:t>
      </w:r>
      <w:r w:rsidR="003C64A0">
        <w:rPr>
          <w:lang w:val="fr-FR"/>
        </w:rPr>
        <w:t>’</w:t>
      </w:r>
      <w:r w:rsidRPr="00562699">
        <w:rPr>
          <w:lang w:val="fr-FR"/>
        </w:rPr>
        <w:t>Office espagnol des brevets et des marques.</w:t>
      </w:r>
    </w:p>
    <w:p w14:paraId="62156FDA" w14:textId="252A9477" w:rsidR="009246D2" w:rsidRPr="00562699" w:rsidRDefault="00CB23D2" w:rsidP="00562699">
      <w:pPr>
        <w:pStyle w:val="ONUMFS"/>
        <w:rPr>
          <w:lang w:val="fr-FR"/>
        </w:rPr>
      </w:pPr>
      <w:r w:rsidRPr="00562699">
        <w:rPr>
          <w:lang w:val="fr-FR"/>
        </w:rPr>
        <w:t>Une administration a souligné que le chapitre</w:t>
      </w:r>
      <w:r w:rsidR="004E4E83" w:rsidRPr="00562699">
        <w:rPr>
          <w:lang w:val="fr-FR"/>
        </w:rPr>
        <w:t> </w:t>
      </w:r>
      <w:r w:rsidRPr="00562699">
        <w:rPr>
          <w:lang w:val="fr-FR"/>
        </w:rPr>
        <w:t>21 et la norme</w:t>
      </w:r>
      <w:r w:rsidR="00953186">
        <w:rPr>
          <w:lang w:val="fr-FR"/>
        </w:rPr>
        <w:t> </w:t>
      </w:r>
      <w:r w:rsidRPr="00562699">
        <w:rPr>
          <w:lang w:val="fr-FR"/>
        </w:rPr>
        <w:t>ISO</w:t>
      </w:r>
      <w:r w:rsidR="009D49D9">
        <w:rPr>
          <w:lang w:val="fr-FR"/>
        </w:rPr>
        <w:t> </w:t>
      </w:r>
      <w:r w:rsidRPr="00562699">
        <w:rPr>
          <w:lang w:val="fr-FR"/>
        </w:rPr>
        <w:t>9001 étaient des normes distinct</w:t>
      </w:r>
      <w:r w:rsidR="00B85EF1" w:rsidRPr="00562699">
        <w:rPr>
          <w:lang w:val="fr-FR"/>
        </w:rPr>
        <w:t>es</w:t>
      </w:r>
      <w:r w:rsidR="00B85EF1">
        <w:rPr>
          <w:lang w:val="fr-FR"/>
        </w:rPr>
        <w:t xml:space="preserve">.  </w:t>
      </w:r>
      <w:r w:rsidR="00B85EF1" w:rsidRPr="00562699">
        <w:rPr>
          <w:lang w:val="fr-FR"/>
        </w:rPr>
        <w:t>Le</w:t>
      </w:r>
      <w:r w:rsidRPr="00562699">
        <w:rPr>
          <w:lang w:val="fr-FR"/>
        </w:rPr>
        <w:t>s administrations devraient être libres d</w:t>
      </w:r>
      <w:r w:rsidR="003C64A0">
        <w:rPr>
          <w:lang w:val="fr-FR"/>
        </w:rPr>
        <w:t>’</w:t>
      </w:r>
      <w:r w:rsidRPr="00562699">
        <w:rPr>
          <w:lang w:val="fr-FR"/>
        </w:rPr>
        <w:t xml:space="preserve">adopter leurs propres méthodes pour </w:t>
      </w:r>
      <w:r w:rsidR="007C1294" w:rsidRPr="00562699">
        <w:rPr>
          <w:lang w:val="fr-FR"/>
        </w:rPr>
        <w:t>atteindre</w:t>
      </w:r>
      <w:r w:rsidRPr="00562699">
        <w:rPr>
          <w:lang w:val="fr-FR"/>
        </w:rPr>
        <w:t xml:space="preserve"> les résultats du chapitre</w:t>
      </w:r>
      <w:r w:rsidR="004E4E83" w:rsidRPr="00562699">
        <w:rPr>
          <w:lang w:val="fr-FR"/>
        </w:rPr>
        <w:t> </w:t>
      </w:r>
      <w:r w:rsidRPr="00562699">
        <w:rPr>
          <w:lang w:val="fr-FR"/>
        </w:rPr>
        <w:t xml:space="preserve">21, sans </w:t>
      </w:r>
      <w:r w:rsidR="007C1294" w:rsidRPr="00562699">
        <w:rPr>
          <w:lang w:val="fr-FR"/>
        </w:rPr>
        <w:t>être tenues</w:t>
      </w:r>
      <w:r w:rsidRPr="00562699">
        <w:rPr>
          <w:lang w:val="fr-FR"/>
        </w:rPr>
        <w:t xml:space="preserve"> d</w:t>
      </w:r>
      <w:r w:rsidR="003C64A0">
        <w:rPr>
          <w:lang w:val="fr-FR"/>
        </w:rPr>
        <w:t>’</w:t>
      </w:r>
      <w:r w:rsidRPr="00562699">
        <w:rPr>
          <w:lang w:val="fr-FR"/>
        </w:rPr>
        <w:t>adopter les pratiques ou d</w:t>
      </w:r>
      <w:r w:rsidR="003C64A0">
        <w:rPr>
          <w:lang w:val="fr-FR"/>
        </w:rPr>
        <w:t>’</w:t>
      </w:r>
      <w:r w:rsidRPr="00562699">
        <w:rPr>
          <w:lang w:val="fr-FR"/>
        </w:rPr>
        <w:t xml:space="preserve">obtenir la certification </w:t>
      </w:r>
      <w:r w:rsidR="007C1294" w:rsidRPr="00562699">
        <w:rPr>
          <w:lang w:val="fr-FR"/>
        </w:rPr>
        <w:t>conformément à</w:t>
      </w:r>
      <w:r w:rsidRPr="00562699">
        <w:rPr>
          <w:lang w:val="fr-FR"/>
        </w:rPr>
        <w:t xml:space="preserve"> la norme</w:t>
      </w:r>
      <w:r w:rsidR="00953186">
        <w:rPr>
          <w:lang w:val="fr-FR"/>
        </w:rPr>
        <w:t> </w:t>
      </w:r>
      <w:r w:rsidRPr="00562699">
        <w:rPr>
          <w:lang w:val="fr-FR"/>
        </w:rPr>
        <w:t>ISO</w:t>
      </w:r>
      <w:r w:rsidR="009D49D9">
        <w:rPr>
          <w:lang w:val="fr-FR"/>
        </w:rPr>
        <w:t> </w:t>
      </w:r>
      <w:r w:rsidRPr="00562699">
        <w:rPr>
          <w:lang w:val="fr-FR"/>
        </w:rPr>
        <w:t>9001.</w:t>
      </w:r>
      <w:r w:rsidR="00743A53" w:rsidRPr="00562699">
        <w:rPr>
          <w:lang w:val="fr-FR"/>
        </w:rPr>
        <w:t xml:space="preserve">  </w:t>
      </w:r>
      <w:r w:rsidRPr="00562699">
        <w:rPr>
          <w:lang w:val="fr-FR"/>
        </w:rPr>
        <w:t>Cette administration a souligné que l</w:t>
      </w:r>
      <w:r w:rsidR="003C64A0">
        <w:rPr>
          <w:lang w:val="fr-FR"/>
        </w:rPr>
        <w:t>’</w:t>
      </w:r>
      <w:r w:rsidR="007C1294" w:rsidRPr="00562699">
        <w:rPr>
          <w:lang w:val="fr-FR"/>
        </w:rPr>
        <w:t xml:space="preserve">expression </w:t>
      </w:r>
      <w:r w:rsidR="003C64A0">
        <w:rPr>
          <w:lang w:val="fr-FR"/>
        </w:rPr>
        <w:t>“</w:t>
      </w:r>
      <w:r w:rsidR="003C64A0" w:rsidRPr="00562699">
        <w:rPr>
          <w:lang w:val="fr-FR"/>
        </w:rPr>
        <w:t>r</w:t>
      </w:r>
      <w:r w:rsidRPr="00562699">
        <w:rPr>
          <w:lang w:val="fr-FR"/>
        </w:rPr>
        <w:t>éflexion fondée sur les risque</w:t>
      </w:r>
      <w:r w:rsidR="003C64A0" w:rsidRPr="00562699">
        <w:rPr>
          <w:lang w:val="fr-FR"/>
        </w:rPr>
        <w:t>s</w:t>
      </w:r>
      <w:r w:rsidR="003C64A0">
        <w:rPr>
          <w:lang w:val="fr-FR"/>
        </w:rPr>
        <w:t>”</w:t>
      </w:r>
      <w:r w:rsidRPr="00562699">
        <w:rPr>
          <w:lang w:val="fr-FR"/>
        </w:rPr>
        <w:t xml:space="preserve"> était considéré</w:t>
      </w:r>
      <w:r w:rsidR="007C1294" w:rsidRPr="00562699">
        <w:rPr>
          <w:lang w:val="fr-FR"/>
        </w:rPr>
        <w:t>e</w:t>
      </w:r>
      <w:r w:rsidRPr="00562699">
        <w:rPr>
          <w:lang w:val="fr-FR"/>
        </w:rPr>
        <w:t xml:space="preserve"> comme un élément clé de la norme</w:t>
      </w:r>
      <w:r w:rsidR="00953186">
        <w:rPr>
          <w:lang w:val="fr-FR"/>
        </w:rPr>
        <w:t> </w:t>
      </w:r>
      <w:r w:rsidRPr="00562699">
        <w:rPr>
          <w:lang w:val="fr-FR"/>
        </w:rPr>
        <w:t>ISO</w:t>
      </w:r>
      <w:r w:rsidR="009D49D9">
        <w:rPr>
          <w:lang w:val="fr-FR"/>
        </w:rPr>
        <w:t> </w:t>
      </w:r>
      <w:r w:rsidRPr="00562699">
        <w:rPr>
          <w:lang w:val="fr-FR"/>
        </w:rPr>
        <w:t>9001:2015 et a proposé que l</w:t>
      </w:r>
      <w:r w:rsidR="002E0FA9" w:rsidRPr="00562699">
        <w:rPr>
          <w:lang w:val="fr-FR"/>
        </w:rPr>
        <w:t>e libellé</w:t>
      </w:r>
      <w:r w:rsidRPr="00562699">
        <w:rPr>
          <w:lang w:val="fr-FR"/>
        </w:rPr>
        <w:t xml:space="preserve"> des orientations du chapitre</w:t>
      </w:r>
      <w:r w:rsidR="004E4E83" w:rsidRPr="00562699">
        <w:rPr>
          <w:lang w:val="fr-FR"/>
        </w:rPr>
        <w:t> </w:t>
      </w:r>
      <w:r w:rsidRPr="00562699">
        <w:rPr>
          <w:lang w:val="fr-FR"/>
        </w:rPr>
        <w:t>21 sur l</w:t>
      </w:r>
      <w:r w:rsidR="003C64A0">
        <w:rPr>
          <w:lang w:val="fr-FR"/>
        </w:rPr>
        <w:t>’</w:t>
      </w:r>
      <w:r w:rsidRPr="00562699">
        <w:rPr>
          <w:lang w:val="fr-FR"/>
        </w:rPr>
        <w:t xml:space="preserve">examen </w:t>
      </w:r>
      <w:r w:rsidRPr="00562699">
        <w:rPr>
          <w:lang w:val="fr-FR"/>
        </w:rPr>
        <w:lastRenderedPageBreak/>
        <w:t xml:space="preserve">des risques et des </w:t>
      </w:r>
      <w:r w:rsidR="00584C91" w:rsidRPr="00562699">
        <w:rPr>
          <w:lang w:val="fr-FR"/>
        </w:rPr>
        <w:t>possibilités</w:t>
      </w:r>
      <w:r w:rsidRPr="00562699">
        <w:rPr>
          <w:lang w:val="fr-FR"/>
        </w:rPr>
        <w:t xml:space="preserve"> par les administrations fasse apparaître plus clairement la distinction entre la norme</w:t>
      </w:r>
      <w:r w:rsidR="00953186">
        <w:rPr>
          <w:lang w:val="fr-FR"/>
        </w:rPr>
        <w:t> </w:t>
      </w:r>
      <w:r w:rsidRPr="00562699">
        <w:rPr>
          <w:lang w:val="fr-FR"/>
        </w:rPr>
        <w:t>ISO</w:t>
      </w:r>
      <w:r w:rsidR="009D49D9">
        <w:rPr>
          <w:lang w:val="fr-FR"/>
        </w:rPr>
        <w:t> </w:t>
      </w:r>
      <w:r w:rsidRPr="00562699">
        <w:rPr>
          <w:lang w:val="fr-FR"/>
        </w:rPr>
        <w:t>9001 et le chapitre</w:t>
      </w:r>
      <w:r w:rsidR="004E4E83" w:rsidRPr="00562699">
        <w:rPr>
          <w:lang w:val="fr-FR"/>
        </w:rPr>
        <w:t> </w:t>
      </w:r>
      <w:r w:rsidRPr="00562699">
        <w:rPr>
          <w:lang w:val="fr-FR"/>
        </w:rPr>
        <w:t>21.</w:t>
      </w:r>
    </w:p>
    <w:p w14:paraId="2A5CC575" w14:textId="018C4630" w:rsidR="003C64A0" w:rsidRDefault="009246D2" w:rsidP="00562699">
      <w:pPr>
        <w:pStyle w:val="ONUMFS"/>
        <w:rPr>
          <w:lang w:val="fr-FR"/>
        </w:rPr>
      </w:pPr>
      <w:r w:rsidRPr="00562699">
        <w:rPr>
          <w:lang w:val="fr-FR"/>
        </w:rPr>
        <w:t>Une autre administration a reconnu que le chapitre</w:t>
      </w:r>
      <w:r w:rsidR="004E4E83" w:rsidRPr="00562699">
        <w:rPr>
          <w:lang w:val="fr-FR"/>
        </w:rPr>
        <w:t> </w:t>
      </w:r>
      <w:r w:rsidRPr="00562699">
        <w:rPr>
          <w:lang w:val="fr-FR"/>
        </w:rPr>
        <w:t>21 et la norme</w:t>
      </w:r>
      <w:r w:rsidR="00953186">
        <w:rPr>
          <w:lang w:val="fr-FR"/>
        </w:rPr>
        <w:t> </w:t>
      </w:r>
      <w:r w:rsidRPr="00562699">
        <w:rPr>
          <w:lang w:val="fr-FR"/>
        </w:rPr>
        <w:t>ISO</w:t>
      </w:r>
      <w:r w:rsidR="009D49D9">
        <w:rPr>
          <w:lang w:val="fr-FR"/>
        </w:rPr>
        <w:t> </w:t>
      </w:r>
      <w:r w:rsidRPr="00562699">
        <w:rPr>
          <w:lang w:val="fr-FR"/>
        </w:rPr>
        <w:t>9001 étaient différents, mais a estimé que ce</w:t>
      </w:r>
      <w:r w:rsidR="007C1294" w:rsidRPr="00562699">
        <w:rPr>
          <w:lang w:val="fr-FR"/>
        </w:rPr>
        <w:t>tte dernière</w:t>
      </w:r>
      <w:r w:rsidRPr="00562699">
        <w:rPr>
          <w:lang w:val="fr-FR"/>
        </w:rPr>
        <w:t xml:space="preserve"> pourrait constituer une base utile pour améliorer la définition des termes à risque dans les modifications proposé</w:t>
      </w:r>
      <w:r w:rsidR="00B85EF1" w:rsidRPr="00562699">
        <w:rPr>
          <w:lang w:val="fr-FR"/>
        </w:rPr>
        <w:t>es</w:t>
      </w:r>
      <w:r w:rsidR="00B85EF1">
        <w:rPr>
          <w:lang w:val="fr-FR"/>
        </w:rPr>
        <w:t xml:space="preserve">.  </w:t>
      </w:r>
      <w:r w:rsidR="00B85EF1" w:rsidRPr="00562699">
        <w:rPr>
          <w:lang w:val="fr-FR"/>
        </w:rPr>
        <w:t>Ce</w:t>
      </w:r>
      <w:r w:rsidRPr="00562699">
        <w:rPr>
          <w:lang w:val="fr-FR"/>
        </w:rPr>
        <w:t>tte administration a déclaré que les définitions de la réflexion fondé</w:t>
      </w:r>
      <w:r w:rsidR="00584C91" w:rsidRPr="00562699">
        <w:rPr>
          <w:lang w:val="fr-FR"/>
        </w:rPr>
        <w:t>e sur les risques et des risques et d</w:t>
      </w:r>
      <w:r w:rsidRPr="00562699">
        <w:rPr>
          <w:lang w:val="fr-FR"/>
        </w:rPr>
        <w:t>es</w:t>
      </w:r>
      <w:r w:rsidR="00584C91" w:rsidRPr="00562699">
        <w:rPr>
          <w:lang w:val="fr-FR"/>
        </w:rPr>
        <w:t xml:space="preserve"> possibilités contenues dans </w:t>
      </w:r>
      <w:r w:rsidRPr="00562699">
        <w:rPr>
          <w:lang w:val="fr-FR"/>
        </w:rPr>
        <w:t>la norme</w:t>
      </w:r>
      <w:r w:rsidR="00953186">
        <w:rPr>
          <w:lang w:val="fr-FR"/>
        </w:rPr>
        <w:t> </w:t>
      </w:r>
      <w:r w:rsidRPr="00562699">
        <w:rPr>
          <w:lang w:val="fr-FR"/>
        </w:rPr>
        <w:t>ISO</w:t>
      </w:r>
      <w:r w:rsidR="009D49D9">
        <w:rPr>
          <w:lang w:val="fr-FR"/>
        </w:rPr>
        <w:t> </w:t>
      </w:r>
      <w:r w:rsidRPr="00562699">
        <w:rPr>
          <w:lang w:val="fr-FR"/>
        </w:rPr>
        <w:t xml:space="preserve">9001 pouvaient </w:t>
      </w:r>
      <w:r w:rsidR="00584C91" w:rsidRPr="00562699">
        <w:rPr>
          <w:lang w:val="fr-FR"/>
        </w:rPr>
        <w:t>être utiles pour ce faire</w:t>
      </w:r>
      <w:r w:rsidRPr="00562699">
        <w:rPr>
          <w:lang w:val="fr-FR"/>
        </w:rPr>
        <w:t>.</w:t>
      </w:r>
    </w:p>
    <w:p w14:paraId="67DF6C1B" w14:textId="091A6089" w:rsidR="009246D2" w:rsidRPr="00562699" w:rsidRDefault="009246D2" w:rsidP="00562699">
      <w:pPr>
        <w:pStyle w:val="ONUMFS"/>
        <w:rPr>
          <w:lang w:val="fr-FR"/>
        </w:rPr>
      </w:pPr>
      <w:r w:rsidRPr="00562699">
        <w:rPr>
          <w:lang w:val="fr-FR"/>
        </w:rPr>
        <w:t>En réponse aux observations formulées par ces deux</w:t>
      </w:r>
      <w:r w:rsidR="00953186">
        <w:rPr>
          <w:lang w:val="fr-FR"/>
        </w:rPr>
        <w:t> </w:t>
      </w:r>
      <w:r w:rsidRPr="00562699">
        <w:rPr>
          <w:lang w:val="fr-FR"/>
        </w:rPr>
        <w:t>administrations, il a été reconnu que la norme</w:t>
      </w:r>
      <w:r w:rsidR="00953186">
        <w:rPr>
          <w:lang w:val="fr-FR"/>
        </w:rPr>
        <w:t> </w:t>
      </w:r>
      <w:r w:rsidRPr="00562699">
        <w:rPr>
          <w:lang w:val="fr-FR"/>
        </w:rPr>
        <w:t>ISO</w:t>
      </w:r>
      <w:r w:rsidR="009D49D9">
        <w:rPr>
          <w:lang w:val="fr-FR"/>
        </w:rPr>
        <w:t> </w:t>
      </w:r>
      <w:r w:rsidRPr="00562699">
        <w:rPr>
          <w:lang w:val="fr-FR"/>
        </w:rPr>
        <w:t xml:space="preserve">9001 </w:t>
      </w:r>
      <w:r w:rsidR="00584C91" w:rsidRPr="00562699">
        <w:rPr>
          <w:lang w:val="fr-FR"/>
        </w:rPr>
        <w:t xml:space="preserve">pourrait </w:t>
      </w:r>
      <w:r w:rsidRPr="00562699">
        <w:rPr>
          <w:lang w:val="fr-FR"/>
        </w:rPr>
        <w:t>aider à clarifier</w:t>
      </w:r>
      <w:r w:rsidR="004E4E83" w:rsidRPr="00562699">
        <w:rPr>
          <w:lang w:val="fr-FR"/>
        </w:rPr>
        <w:t xml:space="preserve"> le sens des termes du chapitre </w:t>
      </w:r>
      <w:r w:rsidRPr="00562699">
        <w:rPr>
          <w:lang w:val="fr-FR"/>
        </w:rPr>
        <w:t xml:space="preserve">21. </w:t>
      </w:r>
      <w:r w:rsidR="00953186">
        <w:rPr>
          <w:lang w:val="fr-FR"/>
        </w:rPr>
        <w:t xml:space="preserve"> </w:t>
      </w:r>
      <w:r w:rsidRPr="00562699">
        <w:rPr>
          <w:lang w:val="fr-FR"/>
        </w:rPr>
        <w:t xml:space="preserve">Toutefois, </w:t>
      </w:r>
      <w:r w:rsidR="004722D4">
        <w:rPr>
          <w:lang w:val="fr-FR"/>
        </w:rPr>
        <w:t>i</w:t>
      </w:r>
      <w:r w:rsidRPr="00562699">
        <w:rPr>
          <w:lang w:val="fr-FR"/>
        </w:rPr>
        <w:t xml:space="preserve">l </w:t>
      </w:r>
      <w:r w:rsidR="00584C91" w:rsidRPr="00562699">
        <w:rPr>
          <w:lang w:val="fr-FR"/>
        </w:rPr>
        <w:t>était</w:t>
      </w:r>
      <w:r w:rsidRPr="00562699">
        <w:rPr>
          <w:lang w:val="fr-FR"/>
        </w:rPr>
        <w:t xml:space="preserve"> important de préserver le caractère distinctif des deux</w:t>
      </w:r>
      <w:r w:rsidR="00953186">
        <w:rPr>
          <w:lang w:val="fr-FR"/>
        </w:rPr>
        <w:t> </w:t>
      </w:r>
      <w:r w:rsidRPr="00562699">
        <w:rPr>
          <w:lang w:val="fr-FR"/>
        </w:rPr>
        <w:t xml:space="preserve">normes, qui pourrait être perdu </w:t>
      </w:r>
      <w:r w:rsidR="00584C91" w:rsidRPr="00562699">
        <w:rPr>
          <w:lang w:val="fr-FR"/>
        </w:rPr>
        <w:t xml:space="preserve">en cas </w:t>
      </w:r>
      <w:r w:rsidRPr="00562699">
        <w:rPr>
          <w:lang w:val="fr-FR"/>
        </w:rPr>
        <w:t>d</w:t>
      </w:r>
      <w:r w:rsidR="003C64A0">
        <w:rPr>
          <w:lang w:val="fr-FR"/>
        </w:rPr>
        <w:t>’</w:t>
      </w:r>
      <w:r w:rsidRPr="00562699">
        <w:rPr>
          <w:lang w:val="fr-FR"/>
        </w:rPr>
        <w:t>alignement exact de la terminolog</w:t>
      </w:r>
      <w:r w:rsidR="00B85EF1" w:rsidRPr="00562699">
        <w:rPr>
          <w:lang w:val="fr-FR"/>
        </w:rPr>
        <w:t>ie</w:t>
      </w:r>
      <w:r w:rsidR="00B85EF1">
        <w:rPr>
          <w:lang w:val="fr-FR"/>
        </w:rPr>
        <w:t xml:space="preserve">.  </w:t>
      </w:r>
      <w:r w:rsidR="00B85EF1" w:rsidRPr="00562699">
        <w:rPr>
          <w:lang w:val="fr-FR"/>
        </w:rPr>
        <w:t>Da</w:t>
      </w:r>
      <w:r w:rsidRPr="00562699">
        <w:rPr>
          <w:lang w:val="fr-FR"/>
        </w:rPr>
        <w:t>ns cet esprit, le sous</w:t>
      </w:r>
      <w:r w:rsidR="001B4A2C">
        <w:rPr>
          <w:lang w:val="fr-FR"/>
        </w:rPr>
        <w:noBreakHyphen/>
      </w:r>
      <w:r w:rsidRPr="00562699">
        <w:rPr>
          <w:lang w:val="fr-FR"/>
        </w:rPr>
        <w:t xml:space="preserve">groupe a </w:t>
      </w:r>
      <w:r w:rsidR="00584C91" w:rsidRPr="00562699">
        <w:rPr>
          <w:lang w:val="fr-FR"/>
        </w:rPr>
        <w:t>discuté d</w:t>
      </w:r>
      <w:r w:rsidR="003C64A0">
        <w:rPr>
          <w:lang w:val="fr-FR"/>
        </w:rPr>
        <w:t>’</w:t>
      </w:r>
      <w:r w:rsidRPr="00562699">
        <w:rPr>
          <w:lang w:val="fr-FR"/>
        </w:rPr>
        <w:t>une version modifiée du texte proposé comportant des définitions plus générales des risques et des possibilités.</w:t>
      </w:r>
    </w:p>
    <w:p w14:paraId="014332BC" w14:textId="63D5F446" w:rsidR="009246D2" w:rsidRPr="00562699" w:rsidRDefault="009246D2" w:rsidP="00562699">
      <w:pPr>
        <w:pStyle w:val="ONUMFS"/>
        <w:rPr>
          <w:lang w:val="fr-FR"/>
        </w:rPr>
      </w:pPr>
      <w:bookmarkStart w:id="7" w:name="_Ref1482749"/>
      <w:r w:rsidRPr="00562699">
        <w:rPr>
          <w:lang w:val="fr-FR"/>
        </w:rPr>
        <w:t>Au paragraphe</w:t>
      </w:r>
      <w:r w:rsidR="004E4E83" w:rsidRPr="00562699">
        <w:rPr>
          <w:lang w:val="fr-FR"/>
        </w:rPr>
        <w:t> </w:t>
      </w:r>
      <w:r w:rsidRPr="00562699">
        <w:rPr>
          <w:lang w:val="fr-FR"/>
        </w:rPr>
        <w:t>21</w:t>
      </w:r>
      <w:r w:rsidR="00584C91" w:rsidRPr="00562699">
        <w:rPr>
          <w:lang w:val="fr-FR"/>
        </w:rPr>
        <w:t>.</w:t>
      </w:r>
      <w:r w:rsidRPr="00562699">
        <w:rPr>
          <w:lang w:val="fr-FR"/>
        </w:rPr>
        <w:t>11 du texte modifié, l</w:t>
      </w:r>
      <w:r w:rsidR="003C64A0">
        <w:rPr>
          <w:lang w:val="fr-FR"/>
        </w:rPr>
        <w:t>’</w:t>
      </w:r>
      <w:r w:rsidR="00584C91" w:rsidRPr="00562699">
        <w:rPr>
          <w:lang w:val="fr-FR"/>
        </w:rPr>
        <w:t xml:space="preserve">expression </w:t>
      </w:r>
      <w:r w:rsidR="003C64A0">
        <w:rPr>
          <w:lang w:val="fr-FR"/>
        </w:rPr>
        <w:t>“</w:t>
      </w:r>
      <w:r w:rsidR="003C64A0" w:rsidRPr="00562699">
        <w:rPr>
          <w:lang w:val="fr-FR"/>
        </w:rPr>
        <w:t>p</w:t>
      </w:r>
      <w:r w:rsidRPr="00562699">
        <w:rPr>
          <w:lang w:val="fr-FR"/>
        </w:rPr>
        <w:t>ratiques fondées sur les risque</w:t>
      </w:r>
      <w:r w:rsidR="003C64A0" w:rsidRPr="00562699">
        <w:rPr>
          <w:lang w:val="fr-FR"/>
        </w:rPr>
        <w:t>s</w:t>
      </w:r>
      <w:r w:rsidR="003C64A0">
        <w:rPr>
          <w:lang w:val="fr-FR"/>
        </w:rPr>
        <w:t>”</w:t>
      </w:r>
      <w:r w:rsidRPr="00562699">
        <w:rPr>
          <w:lang w:val="fr-FR"/>
        </w:rPr>
        <w:t xml:space="preserve"> a remplacé l</w:t>
      </w:r>
      <w:r w:rsidR="003C64A0">
        <w:rPr>
          <w:lang w:val="fr-FR"/>
        </w:rPr>
        <w:t>’</w:t>
      </w:r>
      <w:r w:rsidR="00584C91" w:rsidRPr="00562699">
        <w:rPr>
          <w:lang w:val="fr-FR"/>
        </w:rPr>
        <w:t>expression</w:t>
      </w:r>
      <w:r w:rsidRPr="00562699">
        <w:rPr>
          <w:lang w:val="fr-FR"/>
        </w:rPr>
        <w:t xml:space="preserve"> </w:t>
      </w:r>
      <w:r w:rsidR="003C64A0">
        <w:rPr>
          <w:lang w:val="fr-FR"/>
        </w:rPr>
        <w:t>“</w:t>
      </w:r>
      <w:r w:rsidR="003C64A0" w:rsidRPr="00562699">
        <w:rPr>
          <w:lang w:val="fr-FR"/>
        </w:rPr>
        <w:t>r</w:t>
      </w:r>
      <w:r w:rsidRPr="00562699">
        <w:rPr>
          <w:lang w:val="fr-FR"/>
        </w:rPr>
        <w:t>éflexion fondée sur les risque</w:t>
      </w:r>
      <w:r w:rsidR="003C64A0" w:rsidRPr="00562699">
        <w:rPr>
          <w:lang w:val="fr-FR"/>
        </w:rPr>
        <w:t>s</w:t>
      </w:r>
      <w:r w:rsidR="003C64A0">
        <w:rPr>
          <w:lang w:val="fr-FR"/>
        </w:rPr>
        <w:t>”</w:t>
      </w:r>
      <w:r w:rsidRPr="00562699">
        <w:rPr>
          <w:lang w:val="fr-FR"/>
        </w:rPr>
        <w:t>.</w:t>
      </w:r>
      <w:r w:rsidR="00743A53" w:rsidRPr="00562699">
        <w:rPr>
          <w:lang w:val="fr-FR"/>
        </w:rPr>
        <w:t xml:space="preserve">  </w:t>
      </w:r>
      <w:r w:rsidRPr="00562699">
        <w:rPr>
          <w:lang w:val="fr-FR"/>
        </w:rPr>
        <w:t xml:space="preserve">En ce qui concerne ce paragraphe, le risque </w:t>
      </w:r>
      <w:r w:rsidR="00584C91" w:rsidRPr="00562699">
        <w:rPr>
          <w:lang w:val="fr-FR"/>
        </w:rPr>
        <w:t>devait</w:t>
      </w:r>
      <w:r w:rsidRPr="00562699">
        <w:rPr>
          <w:lang w:val="fr-FR"/>
        </w:rPr>
        <w:t xml:space="preserve"> être compris comme étant l</w:t>
      </w:r>
      <w:r w:rsidR="003C64A0">
        <w:rPr>
          <w:lang w:val="fr-FR"/>
        </w:rPr>
        <w:t>’</w:t>
      </w:r>
      <w:r w:rsidRPr="00562699">
        <w:rPr>
          <w:lang w:val="fr-FR"/>
        </w:rPr>
        <w:t>effet d</w:t>
      </w:r>
      <w:r w:rsidR="003C64A0">
        <w:rPr>
          <w:lang w:val="fr-FR"/>
        </w:rPr>
        <w:t>’</w:t>
      </w:r>
      <w:r w:rsidRPr="00562699">
        <w:rPr>
          <w:lang w:val="fr-FR"/>
        </w:rPr>
        <w:t>une incertitude due à des facteurs qui pourraient conduire les processus opérationnels et le système de gestion de la qualité de l</w:t>
      </w:r>
      <w:r w:rsidR="003C64A0">
        <w:rPr>
          <w:lang w:val="fr-FR"/>
        </w:rPr>
        <w:t>’</w:t>
      </w:r>
      <w:r w:rsidR="00584C91" w:rsidRPr="00562699">
        <w:rPr>
          <w:lang w:val="fr-FR"/>
        </w:rPr>
        <w:t>administration</w:t>
      </w:r>
      <w:r w:rsidRPr="00562699">
        <w:rPr>
          <w:lang w:val="fr-FR"/>
        </w:rPr>
        <w:t xml:space="preserve"> à s</w:t>
      </w:r>
      <w:r w:rsidR="003C64A0">
        <w:rPr>
          <w:lang w:val="fr-FR"/>
        </w:rPr>
        <w:t>’</w:t>
      </w:r>
      <w:r w:rsidRPr="00562699">
        <w:rPr>
          <w:lang w:val="fr-FR"/>
        </w:rPr>
        <w:t>écarter des exigences ou des résultats escompt</w:t>
      </w:r>
      <w:bookmarkEnd w:id="7"/>
      <w:r w:rsidR="00B85EF1" w:rsidRPr="00562699">
        <w:rPr>
          <w:lang w:val="fr-FR"/>
        </w:rPr>
        <w:t>és</w:t>
      </w:r>
      <w:r w:rsidR="00B85EF1">
        <w:rPr>
          <w:lang w:val="fr-FR"/>
        </w:rPr>
        <w:t xml:space="preserve">.  </w:t>
      </w:r>
      <w:r w:rsidR="00B85EF1" w:rsidRPr="00562699">
        <w:rPr>
          <w:lang w:val="fr-FR"/>
        </w:rPr>
        <w:t>Ce</w:t>
      </w:r>
      <w:r w:rsidRPr="00562699">
        <w:rPr>
          <w:lang w:val="fr-FR"/>
        </w:rPr>
        <w:t xml:space="preserve">t écart pourrait avoir des effets négatifs, </w:t>
      </w:r>
      <w:r w:rsidR="00584C91" w:rsidRPr="00562699">
        <w:rPr>
          <w:lang w:val="fr-FR"/>
        </w:rPr>
        <w:t xml:space="preserve">lesquels </w:t>
      </w:r>
      <w:r w:rsidRPr="00562699">
        <w:rPr>
          <w:lang w:val="fr-FR"/>
        </w:rPr>
        <w:t xml:space="preserve">pourraient par exemple être </w:t>
      </w:r>
      <w:r w:rsidR="00584C91" w:rsidRPr="00562699">
        <w:rPr>
          <w:lang w:val="fr-FR"/>
        </w:rPr>
        <w:t>minimisés</w:t>
      </w:r>
      <w:r w:rsidRPr="00562699">
        <w:rPr>
          <w:lang w:val="fr-FR"/>
        </w:rPr>
        <w:t xml:space="preserve"> en mettant en place des contrôles préventifs ou en apportant des changements positifs en termes de nouvelles possibilités.</w:t>
      </w:r>
    </w:p>
    <w:p w14:paraId="09FE117E" w14:textId="58695440" w:rsidR="009246D2" w:rsidRPr="00562699" w:rsidRDefault="009246D2" w:rsidP="00562699">
      <w:pPr>
        <w:pStyle w:val="ONUMFS"/>
        <w:rPr>
          <w:lang w:val="fr-FR"/>
        </w:rPr>
      </w:pPr>
      <w:r w:rsidRPr="00562699">
        <w:rPr>
          <w:lang w:val="fr-FR"/>
        </w:rPr>
        <w:t xml:space="preserve">En réponse à </w:t>
      </w:r>
      <w:r w:rsidR="00584C91" w:rsidRPr="00562699">
        <w:rPr>
          <w:lang w:val="fr-FR"/>
        </w:rPr>
        <w:t>la</w:t>
      </w:r>
      <w:r w:rsidRPr="00562699">
        <w:rPr>
          <w:lang w:val="fr-FR"/>
        </w:rPr>
        <w:t xml:space="preserve"> question d</w:t>
      </w:r>
      <w:r w:rsidR="003C64A0">
        <w:rPr>
          <w:lang w:val="fr-FR"/>
        </w:rPr>
        <w:t>’</w:t>
      </w:r>
      <w:r w:rsidRPr="00562699">
        <w:rPr>
          <w:lang w:val="fr-FR"/>
        </w:rPr>
        <w:t>une administration, l</w:t>
      </w:r>
      <w:r w:rsidR="003C64A0">
        <w:rPr>
          <w:lang w:val="fr-FR"/>
        </w:rPr>
        <w:t>’</w:t>
      </w:r>
      <w:r w:rsidRPr="00562699">
        <w:rPr>
          <w:lang w:val="fr-FR"/>
        </w:rPr>
        <w:t>Office espagnol des brevets et des marques a précisé que l</w:t>
      </w:r>
      <w:r w:rsidR="003C64A0">
        <w:rPr>
          <w:lang w:val="fr-FR"/>
        </w:rPr>
        <w:t>’</w:t>
      </w:r>
      <w:r w:rsidRPr="00562699">
        <w:rPr>
          <w:lang w:val="fr-FR"/>
        </w:rPr>
        <w:t xml:space="preserve">expression </w:t>
      </w:r>
      <w:r w:rsidR="003C64A0">
        <w:rPr>
          <w:lang w:val="fr-FR"/>
        </w:rPr>
        <w:t>“</w:t>
      </w:r>
      <w:r w:rsidR="003C64A0" w:rsidRPr="00562699">
        <w:rPr>
          <w:lang w:val="fr-FR"/>
        </w:rPr>
        <w:t>p</w:t>
      </w:r>
      <w:r w:rsidRPr="00562699">
        <w:rPr>
          <w:lang w:val="fr-FR"/>
        </w:rPr>
        <w:t>ratiques fondées sur le</w:t>
      </w:r>
      <w:r w:rsidR="002E0FA9" w:rsidRPr="00562699">
        <w:rPr>
          <w:lang w:val="fr-FR"/>
        </w:rPr>
        <w:t>s</w:t>
      </w:r>
      <w:r w:rsidRPr="00562699">
        <w:rPr>
          <w:lang w:val="fr-FR"/>
        </w:rPr>
        <w:t xml:space="preserve"> risque</w:t>
      </w:r>
      <w:r w:rsidR="003C64A0" w:rsidRPr="00562699">
        <w:rPr>
          <w:lang w:val="fr-FR"/>
        </w:rPr>
        <w:t>s</w:t>
      </w:r>
      <w:r w:rsidR="003C64A0">
        <w:rPr>
          <w:lang w:val="fr-FR"/>
        </w:rPr>
        <w:t>”</w:t>
      </w:r>
      <w:r w:rsidRPr="00562699">
        <w:rPr>
          <w:lang w:val="fr-FR"/>
        </w:rPr>
        <w:t xml:space="preserve"> avait été utilisée parce que </w:t>
      </w:r>
      <w:r w:rsidR="003C64A0">
        <w:rPr>
          <w:lang w:val="fr-FR"/>
        </w:rPr>
        <w:t>“</w:t>
      </w:r>
      <w:r w:rsidR="003C64A0" w:rsidRPr="00562699">
        <w:rPr>
          <w:lang w:val="fr-FR"/>
        </w:rPr>
        <w:t>l</w:t>
      </w:r>
      <w:r w:rsidRPr="00562699">
        <w:rPr>
          <w:lang w:val="fr-FR"/>
        </w:rPr>
        <w:t xml:space="preserve">a </w:t>
      </w:r>
      <w:r w:rsidR="00584C91" w:rsidRPr="00562699">
        <w:rPr>
          <w:lang w:val="fr-FR"/>
        </w:rPr>
        <w:t>réflexion</w:t>
      </w:r>
      <w:r w:rsidRPr="00562699">
        <w:rPr>
          <w:lang w:val="fr-FR"/>
        </w:rPr>
        <w:t xml:space="preserve"> fondée sur le</w:t>
      </w:r>
      <w:r w:rsidR="00584C91" w:rsidRPr="00562699">
        <w:rPr>
          <w:lang w:val="fr-FR"/>
        </w:rPr>
        <w:t>s</w:t>
      </w:r>
      <w:r w:rsidRPr="00562699">
        <w:rPr>
          <w:lang w:val="fr-FR"/>
        </w:rPr>
        <w:t xml:space="preserve"> risque</w:t>
      </w:r>
      <w:r w:rsidR="003C64A0" w:rsidRPr="00562699">
        <w:rPr>
          <w:lang w:val="fr-FR"/>
        </w:rPr>
        <w:t>s</w:t>
      </w:r>
      <w:r w:rsidR="003C64A0">
        <w:rPr>
          <w:lang w:val="fr-FR"/>
        </w:rPr>
        <w:t>”</w:t>
      </w:r>
      <w:r w:rsidRPr="00562699">
        <w:rPr>
          <w:lang w:val="fr-FR"/>
        </w:rPr>
        <w:t xml:space="preserve"> était étroitement liée à la norme</w:t>
      </w:r>
      <w:r w:rsidR="00953186">
        <w:rPr>
          <w:lang w:val="fr-FR"/>
        </w:rPr>
        <w:t> </w:t>
      </w:r>
      <w:r w:rsidRPr="00562699">
        <w:rPr>
          <w:lang w:val="fr-FR"/>
        </w:rPr>
        <w:t>ISO</w:t>
      </w:r>
      <w:r w:rsidR="009D49D9">
        <w:rPr>
          <w:lang w:val="fr-FR"/>
        </w:rPr>
        <w:t> </w:t>
      </w:r>
      <w:r w:rsidRPr="00562699">
        <w:rPr>
          <w:lang w:val="fr-FR"/>
        </w:rPr>
        <w:t>9001.</w:t>
      </w:r>
      <w:r w:rsidR="00743A53" w:rsidRPr="00562699">
        <w:rPr>
          <w:lang w:val="fr-FR"/>
        </w:rPr>
        <w:t xml:space="preserve">  </w:t>
      </w:r>
      <w:r w:rsidRPr="00562699">
        <w:rPr>
          <w:lang w:val="fr-FR"/>
        </w:rPr>
        <w:t xml:space="preserve">Il </w:t>
      </w:r>
      <w:r w:rsidR="00584C91" w:rsidRPr="00562699">
        <w:rPr>
          <w:lang w:val="fr-FR"/>
        </w:rPr>
        <w:t>était</w:t>
      </w:r>
      <w:r w:rsidRPr="00562699">
        <w:rPr>
          <w:lang w:val="fr-FR"/>
        </w:rPr>
        <w:t xml:space="preserve"> important que le chapitre</w:t>
      </w:r>
      <w:r w:rsidR="004E4E83" w:rsidRPr="00562699">
        <w:rPr>
          <w:lang w:val="fr-FR"/>
        </w:rPr>
        <w:t> </w:t>
      </w:r>
      <w:r w:rsidRPr="00562699">
        <w:rPr>
          <w:lang w:val="fr-FR"/>
        </w:rPr>
        <w:t>21 autorise les administrations à déterminer comment intégrer les pratiques en matière de risque</w:t>
      </w:r>
      <w:r w:rsidR="00584C91" w:rsidRPr="00562699">
        <w:rPr>
          <w:lang w:val="fr-FR"/>
        </w:rPr>
        <w:t>s</w:t>
      </w:r>
      <w:r w:rsidRPr="00562699">
        <w:rPr>
          <w:lang w:val="fr-FR"/>
        </w:rPr>
        <w:t xml:space="preserve"> dans leur système de gestion de la qualité, ce qui n</w:t>
      </w:r>
      <w:r w:rsidR="003C64A0">
        <w:rPr>
          <w:lang w:val="fr-FR"/>
        </w:rPr>
        <w:t>’</w:t>
      </w:r>
      <w:r w:rsidRPr="00562699">
        <w:rPr>
          <w:lang w:val="fr-FR"/>
        </w:rPr>
        <w:t>exige</w:t>
      </w:r>
      <w:r w:rsidR="002E0FA9" w:rsidRPr="00562699">
        <w:rPr>
          <w:lang w:val="fr-FR"/>
        </w:rPr>
        <w:t>ait</w:t>
      </w:r>
      <w:r w:rsidRPr="00562699">
        <w:rPr>
          <w:lang w:val="fr-FR"/>
        </w:rPr>
        <w:t xml:space="preserve"> pas nécessairement des procédures fondées sur des risques conformes à la norme</w:t>
      </w:r>
      <w:r w:rsidR="00953186">
        <w:rPr>
          <w:lang w:val="fr-FR"/>
        </w:rPr>
        <w:t> </w:t>
      </w:r>
      <w:r w:rsidRPr="00562699">
        <w:rPr>
          <w:lang w:val="fr-FR"/>
        </w:rPr>
        <w:t>ISO</w:t>
      </w:r>
      <w:r w:rsidR="009D49D9">
        <w:rPr>
          <w:lang w:val="fr-FR"/>
        </w:rPr>
        <w:t> </w:t>
      </w:r>
      <w:r w:rsidRPr="00562699">
        <w:rPr>
          <w:lang w:val="fr-FR"/>
        </w:rPr>
        <w:t>9001.</w:t>
      </w:r>
    </w:p>
    <w:p w14:paraId="72F1D548" w14:textId="71611832" w:rsidR="009246D2" w:rsidRPr="00562699" w:rsidRDefault="009246D2" w:rsidP="00562699">
      <w:pPr>
        <w:pStyle w:val="ONUMFS"/>
        <w:ind w:left="567"/>
        <w:rPr>
          <w:lang w:val="fr-FR"/>
        </w:rPr>
      </w:pPr>
      <w:r w:rsidRPr="00562699">
        <w:rPr>
          <w:lang w:val="fr-FR"/>
        </w:rPr>
        <w:t>Le sous</w:t>
      </w:r>
      <w:r w:rsidR="001B4A2C">
        <w:rPr>
          <w:lang w:val="fr-FR"/>
        </w:rPr>
        <w:noBreakHyphen/>
      </w:r>
      <w:r w:rsidRPr="00562699">
        <w:rPr>
          <w:lang w:val="fr-FR"/>
        </w:rPr>
        <w:t xml:space="preserve">groupe a recommandé que le Bureau </w:t>
      </w:r>
      <w:r w:rsidR="00584C91" w:rsidRPr="00562699">
        <w:rPr>
          <w:lang w:val="fr-FR"/>
        </w:rPr>
        <w:t>i</w:t>
      </w:r>
      <w:r w:rsidRPr="00562699">
        <w:rPr>
          <w:lang w:val="fr-FR"/>
        </w:rPr>
        <w:t xml:space="preserve">nternational </w:t>
      </w:r>
      <w:r w:rsidR="00584C91" w:rsidRPr="00562699">
        <w:rPr>
          <w:lang w:val="fr-FR"/>
        </w:rPr>
        <w:t>lance une consultation</w:t>
      </w:r>
      <w:r w:rsidRPr="00562699">
        <w:rPr>
          <w:lang w:val="fr-FR"/>
        </w:rPr>
        <w:t>, au moyen d</w:t>
      </w:r>
      <w:r w:rsidR="003C64A0">
        <w:rPr>
          <w:lang w:val="fr-FR"/>
        </w:rPr>
        <w:t>’</w:t>
      </w:r>
      <w:r w:rsidRPr="00562699">
        <w:rPr>
          <w:lang w:val="fr-FR"/>
        </w:rPr>
        <w:t>une circulaire</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w:t>
      </w:r>
      <w:r w:rsidR="00584C91" w:rsidRPr="00562699">
        <w:rPr>
          <w:lang w:val="fr-FR"/>
        </w:rPr>
        <w:t xml:space="preserve">sur </w:t>
      </w:r>
      <w:r w:rsidRPr="00562699">
        <w:rPr>
          <w:lang w:val="fr-FR"/>
        </w:rPr>
        <w:t>les modifications suivantes apportées au chapitre</w:t>
      </w:r>
      <w:r w:rsidR="00584C91" w:rsidRPr="00562699">
        <w:rPr>
          <w:lang w:val="fr-FR"/>
        </w:rPr>
        <w:t> </w:t>
      </w:r>
      <w:r w:rsidRPr="00562699">
        <w:rPr>
          <w:lang w:val="fr-FR"/>
        </w:rPr>
        <w:t xml:space="preserve">21 </w:t>
      </w:r>
      <w:r w:rsidR="002E0FA9" w:rsidRPr="00562699">
        <w:rPr>
          <w:lang w:val="fr-FR"/>
        </w:rPr>
        <w:t>en vue d</w:t>
      </w:r>
      <w:r w:rsidR="003C64A0">
        <w:rPr>
          <w:lang w:val="fr-FR"/>
        </w:rPr>
        <w:t>’</w:t>
      </w:r>
      <w:r w:rsidR="00584C91" w:rsidRPr="00562699">
        <w:rPr>
          <w:lang w:val="fr-FR"/>
        </w:rPr>
        <w:t xml:space="preserve">intégrer </w:t>
      </w:r>
      <w:r w:rsidRPr="00562699">
        <w:rPr>
          <w:lang w:val="fr-FR"/>
        </w:rPr>
        <w:t xml:space="preserve">les pratiques </w:t>
      </w:r>
      <w:r w:rsidR="00584C91" w:rsidRPr="00562699">
        <w:rPr>
          <w:lang w:val="fr-FR"/>
        </w:rPr>
        <w:t xml:space="preserve">fondées sur les risques </w:t>
      </w:r>
      <w:r w:rsidRPr="00562699">
        <w:rPr>
          <w:lang w:val="fr-FR"/>
        </w:rPr>
        <w:t xml:space="preserve">dans les </w:t>
      </w:r>
      <w:r w:rsidR="009D49D9">
        <w:rPr>
          <w:lang w:val="fr-FR"/>
        </w:rPr>
        <w:t>D</w:t>
      </w:r>
      <w:r w:rsidR="009D49D9" w:rsidRPr="00562699">
        <w:rPr>
          <w:lang w:val="fr-FR"/>
        </w:rPr>
        <w:t xml:space="preserve">irectives </w:t>
      </w:r>
      <w:r w:rsidRPr="00562699">
        <w:rPr>
          <w:lang w:val="fr-FR"/>
        </w:rPr>
        <w:t>concernant la recherche internationale et l</w:t>
      </w:r>
      <w:r w:rsidR="003C64A0">
        <w:rPr>
          <w:lang w:val="fr-FR"/>
        </w:rPr>
        <w:t>’</w:t>
      </w:r>
      <w:r w:rsidRPr="00562699">
        <w:rPr>
          <w:lang w:val="fr-FR"/>
        </w:rPr>
        <w:t xml:space="preserve">examen préliminaire </w:t>
      </w:r>
      <w:r w:rsidR="00584C91" w:rsidRPr="00562699">
        <w:rPr>
          <w:lang w:val="fr-FR"/>
        </w:rPr>
        <w:t>i</w:t>
      </w:r>
      <w:r w:rsidRPr="00562699">
        <w:rPr>
          <w:lang w:val="fr-FR"/>
        </w:rPr>
        <w:t xml:space="preserve">nternational, </w:t>
      </w:r>
      <w:r w:rsidR="00CB3FD2" w:rsidRPr="00562699">
        <w:rPr>
          <w:lang w:val="fr-FR"/>
        </w:rPr>
        <w:t>compte tenu du sens donné à l</w:t>
      </w:r>
      <w:r w:rsidR="003C64A0">
        <w:rPr>
          <w:lang w:val="fr-FR"/>
        </w:rPr>
        <w:t>’</w:t>
      </w:r>
      <w:r w:rsidR="00CB3FD2" w:rsidRPr="00562699">
        <w:rPr>
          <w:lang w:val="fr-FR"/>
        </w:rPr>
        <w:t xml:space="preserve">expression </w:t>
      </w:r>
      <w:r w:rsidR="003C64A0">
        <w:rPr>
          <w:lang w:val="fr-FR"/>
        </w:rPr>
        <w:t>“</w:t>
      </w:r>
      <w:r w:rsidR="003C64A0" w:rsidRPr="00562699">
        <w:rPr>
          <w:lang w:val="fr-FR"/>
        </w:rPr>
        <w:t>p</w:t>
      </w:r>
      <w:r w:rsidRPr="00562699">
        <w:rPr>
          <w:lang w:val="fr-FR"/>
        </w:rPr>
        <w:t>ratiques fondées sur les risque</w:t>
      </w:r>
      <w:r w:rsidR="003C64A0" w:rsidRPr="00562699">
        <w:rPr>
          <w:lang w:val="fr-FR"/>
        </w:rPr>
        <w:t>s</w:t>
      </w:r>
      <w:r w:rsidR="003C64A0">
        <w:rPr>
          <w:lang w:val="fr-FR"/>
        </w:rPr>
        <w:t>”</w:t>
      </w:r>
      <w:r w:rsidRPr="00562699">
        <w:rPr>
          <w:lang w:val="fr-FR"/>
        </w:rPr>
        <w:t xml:space="preserve"> et de la portée générale du risque visée au paragraphe</w:t>
      </w:r>
      <w:r w:rsidR="00CB3FD2" w:rsidRPr="00562699">
        <w:rPr>
          <w:lang w:val="fr-FR"/>
        </w:rPr>
        <w:t> </w:t>
      </w:r>
      <w:r w:rsidRPr="00562699">
        <w:rPr>
          <w:lang w:val="fr-FR"/>
        </w:rPr>
        <w:t>14 ci</w:t>
      </w:r>
      <w:r w:rsidR="001B4A2C">
        <w:rPr>
          <w:lang w:val="fr-FR"/>
        </w:rPr>
        <w:noBreakHyphen/>
      </w:r>
      <w:r w:rsidRPr="00562699">
        <w:rPr>
          <w:lang w:val="fr-FR"/>
        </w:rPr>
        <w:t>dessus</w:t>
      </w:r>
      <w:r w:rsidR="003C64A0">
        <w:rPr>
          <w:lang w:val="fr-FR"/>
        </w:rPr>
        <w:t> :</w:t>
      </w:r>
    </w:p>
    <w:p w14:paraId="3361A3DB" w14:textId="186563A0" w:rsidR="003C64A0" w:rsidRDefault="00930DF2" w:rsidP="00562699">
      <w:pPr>
        <w:pStyle w:val="ONUMFS"/>
        <w:numPr>
          <w:ilvl w:val="0"/>
          <w:numId w:val="0"/>
        </w:numPr>
        <w:ind w:left="567"/>
        <w:rPr>
          <w:lang w:val="fr-FR"/>
        </w:rPr>
      </w:pPr>
      <w:r w:rsidRPr="00562699">
        <w:rPr>
          <w:lang w:val="fr-FR"/>
        </w:rPr>
        <w:t>“21.03 Chaque administration doit créer et assurer le fonctionnement d</w:t>
      </w:r>
      <w:r w:rsidR="003C64A0">
        <w:rPr>
          <w:lang w:val="fr-FR"/>
        </w:rPr>
        <w:t>’</w:t>
      </w:r>
      <w:r w:rsidRPr="00562699">
        <w:rPr>
          <w:lang w:val="fr-FR"/>
        </w:rPr>
        <w:t>un système de gestion de la qualité satisfaisant aux exigences ci</w:t>
      </w:r>
      <w:r w:rsidR="001B4A2C">
        <w:rPr>
          <w:lang w:val="fr-FR"/>
        </w:rPr>
        <w:noBreakHyphen/>
      </w:r>
      <w:r w:rsidRPr="00562699">
        <w:rPr>
          <w:lang w:val="fr-FR"/>
        </w:rPr>
        <w:t>après en ce qui concerne</w:t>
      </w:r>
      <w:r w:rsidR="003C64A0">
        <w:rPr>
          <w:lang w:val="fr-FR"/>
        </w:rPr>
        <w:t> :</w:t>
      </w:r>
    </w:p>
    <w:p w14:paraId="4C2953D2" w14:textId="11410B5C" w:rsidR="003C64A0" w:rsidRDefault="00930DF2" w:rsidP="00D35BB4">
      <w:pPr>
        <w:pStyle w:val="ONUMFS"/>
        <w:numPr>
          <w:ilvl w:val="0"/>
          <w:numId w:val="0"/>
        </w:numPr>
        <w:ind w:left="1701" w:hanging="567"/>
        <w:rPr>
          <w:lang w:val="fr-FR"/>
        </w:rPr>
      </w:pPr>
      <w:r w:rsidRPr="00562699">
        <w:rPr>
          <w:lang w:val="fr-FR"/>
        </w:rPr>
        <w:t>1.</w:t>
      </w:r>
      <w:r w:rsidRPr="00562699">
        <w:rPr>
          <w:lang w:val="fr-FR"/>
        </w:rPr>
        <w:tab/>
      </w:r>
      <w:r w:rsidR="00CB3FD2" w:rsidRPr="00562699">
        <w:rPr>
          <w:lang w:val="fr-FR"/>
        </w:rPr>
        <w:t>l</w:t>
      </w:r>
      <w:r w:rsidR="003C64A0">
        <w:rPr>
          <w:lang w:val="fr-FR"/>
        </w:rPr>
        <w:t>’</w:t>
      </w:r>
      <w:r w:rsidR="00CB3FD2" w:rsidRPr="00562699">
        <w:rPr>
          <w:lang w:val="fr-FR"/>
        </w:rPr>
        <w:t>en</w:t>
      </w:r>
      <w:r w:rsidRPr="00562699">
        <w:rPr>
          <w:lang w:val="fr-FR"/>
        </w:rPr>
        <w:t xml:space="preserve">cadrement et </w:t>
      </w:r>
      <w:r w:rsidR="00CB3FD2" w:rsidRPr="00562699">
        <w:rPr>
          <w:lang w:val="fr-FR"/>
        </w:rPr>
        <w:t xml:space="preserve">la </w:t>
      </w:r>
      <w:r w:rsidRPr="00562699">
        <w:rPr>
          <w:lang w:val="fr-FR"/>
        </w:rPr>
        <w:t>politique</w:t>
      </w:r>
      <w:r w:rsidR="00CB3FD2" w:rsidRPr="00562699">
        <w:rPr>
          <w:lang w:val="fr-FR"/>
        </w:rPr>
        <w:t>,</w:t>
      </w:r>
    </w:p>
    <w:p w14:paraId="74598881" w14:textId="7E049A3C" w:rsidR="009246D2" w:rsidRPr="00CC5CB1" w:rsidRDefault="001B4A2C" w:rsidP="00D35BB4">
      <w:pPr>
        <w:pStyle w:val="ONUMFS"/>
        <w:numPr>
          <w:ilvl w:val="0"/>
          <w:numId w:val="0"/>
        </w:numPr>
        <w:ind w:left="1701" w:hanging="567"/>
        <w:rPr>
          <w:rStyle w:val="inserted"/>
        </w:rPr>
      </w:pPr>
      <w:r w:rsidRPr="00CC5CB1">
        <w:rPr>
          <w:rStyle w:val="inserted"/>
        </w:rPr>
        <w:t>2.</w:t>
      </w:r>
      <w:r w:rsidRPr="00CC5CB1">
        <w:rPr>
          <w:rStyle w:val="inserted"/>
        </w:rPr>
        <w:tab/>
      </w:r>
      <w:r w:rsidR="00CB3FD2" w:rsidRPr="00CC5CB1">
        <w:rPr>
          <w:rStyle w:val="inserted"/>
        </w:rPr>
        <w:t>les</w:t>
      </w:r>
      <w:r w:rsidR="00930DF2" w:rsidRPr="00CC5CB1">
        <w:rPr>
          <w:rStyle w:val="inserted"/>
        </w:rPr>
        <w:t xml:space="preserve"> pratiques </w:t>
      </w:r>
      <w:r w:rsidR="00CB3FD2" w:rsidRPr="00CC5CB1">
        <w:rPr>
          <w:rStyle w:val="inserted"/>
        </w:rPr>
        <w:t>fondées sur les risques,</w:t>
      </w:r>
    </w:p>
    <w:p w14:paraId="29D6A0BF" w14:textId="0844D822" w:rsidR="009246D2" w:rsidRPr="00562699" w:rsidRDefault="00CC5CB1" w:rsidP="00D35BB4">
      <w:pPr>
        <w:pStyle w:val="ONUMFS"/>
        <w:numPr>
          <w:ilvl w:val="0"/>
          <w:numId w:val="0"/>
        </w:numPr>
        <w:ind w:left="1701" w:hanging="567"/>
        <w:rPr>
          <w:lang w:val="fr-FR"/>
        </w:rPr>
      </w:pPr>
      <w:r w:rsidRPr="00170395">
        <w:rPr>
          <w:rStyle w:val="deleted"/>
        </w:rPr>
        <w:t>2</w:t>
      </w:r>
      <w:r w:rsidR="00930DF2" w:rsidRPr="00CC5CB1">
        <w:rPr>
          <w:rStyle w:val="inserted"/>
        </w:rPr>
        <w:t>3</w:t>
      </w:r>
      <w:r w:rsidR="00930DF2" w:rsidRPr="00562699">
        <w:rPr>
          <w:lang w:val="fr-FR"/>
        </w:rPr>
        <w:t>.</w:t>
      </w:r>
      <w:r w:rsidR="00930DF2" w:rsidRPr="00562699">
        <w:rPr>
          <w:lang w:val="fr-FR"/>
        </w:rPr>
        <w:tab/>
      </w:r>
      <w:r w:rsidR="00CB3FD2" w:rsidRPr="00562699">
        <w:rPr>
          <w:lang w:val="fr-FR"/>
        </w:rPr>
        <w:t>les r</w:t>
      </w:r>
      <w:r w:rsidR="00930DF2" w:rsidRPr="00562699">
        <w:rPr>
          <w:lang w:val="fr-FR"/>
        </w:rPr>
        <w:t>essources</w:t>
      </w:r>
      <w:r w:rsidR="00CB3FD2" w:rsidRPr="00562699">
        <w:rPr>
          <w:lang w:val="fr-FR"/>
        </w:rPr>
        <w:t>,</w:t>
      </w:r>
    </w:p>
    <w:p w14:paraId="29E177CF" w14:textId="181AA50B" w:rsidR="009246D2" w:rsidRPr="00562699" w:rsidRDefault="00CC5CB1" w:rsidP="00D35BB4">
      <w:pPr>
        <w:pStyle w:val="ONUMFS"/>
        <w:numPr>
          <w:ilvl w:val="0"/>
          <w:numId w:val="0"/>
        </w:numPr>
        <w:ind w:left="1701" w:hanging="567"/>
        <w:rPr>
          <w:lang w:val="fr-FR"/>
        </w:rPr>
      </w:pPr>
      <w:r w:rsidRPr="00170395">
        <w:rPr>
          <w:rStyle w:val="deleted"/>
        </w:rPr>
        <w:t>3</w:t>
      </w:r>
      <w:r w:rsidR="00930DF2" w:rsidRPr="00CC5CB1">
        <w:rPr>
          <w:rStyle w:val="inserted"/>
        </w:rPr>
        <w:t>4</w:t>
      </w:r>
      <w:r w:rsidR="00930DF2" w:rsidRPr="00562699">
        <w:rPr>
          <w:lang w:val="fr-FR"/>
        </w:rPr>
        <w:t>.</w:t>
      </w:r>
      <w:r w:rsidR="00930DF2" w:rsidRPr="00562699">
        <w:rPr>
          <w:lang w:val="fr-FR"/>
        </w:rPr>
        <w:tab/>
      </w:r>
      <w:r w:rsidR="00CB3FD2" w:rsidRPr="00562699">
        <w:rPr>
          <w:lang w:val="fr-FR"/>
        </w:rPr>
        <w:t>la g</w:t>
      </w:r>
      <w:r w:rsidR="00930DF2" w:rsidRPr="00562699">
        <w:rPr>
          <w:lang w:val="fr-FR"/>
        </w:rPr>
        <w:t>estion de la charge de travail administratif</w:t>
      </w:r>
      <w:r w:rsidR="00CB3FD2" w:rsidRPr="00562699">
        <w:rPr>
          <w:lang w:val="fr-FR"/>
        </w:rPr>
        <w:t>,</w:t>
      </w:r>
    </w:p>
    <w:p w14:paraId="4B6C8903" w14:textId="71160A0C" w:rsidR="003C64A0" w:rsidRDefault="00170395" w:rsidP="00D35BB4">
      <w:pPr>
        <w:pStyle w:val="ONUMFS"/>
        <w:numPr>
          <w:ilvl w:val="0"/>
          <w:numId w:val="0"/>
        </w:numPr>
        <w:ind w:left="1701" w:hanging="567"/>
        <w:rPr>
          <w:lang w:val="fr-FR"/>
        </w:rPr>
      </w:pPr>
      <w:r w:rsidRPr="00170395">
        <w:rPr>
          <w:rStyle w:val="deleted"/>
        </w:rPr>
        <w:t>4</w:t>
      </w:r>
      <w:r w:rsidR="00930DF2" w:rsidRPr="00CC5CB1">
        <w:rPr>
          <w:rStyle w:val="inserted"/>
        </w:rPr>
        <w:t>5</w:t>
      </w:r>
      <w:r w:rsidR="00930DF2" w:rsidRPr="00562699">
        <w:rPr>
          <w:lang w:val="fr-FR"/>
        </w:rPr>
        <w:t>.</w:t>
      </w:r>
      <w:r w:rsidR="00930DF2" w:rsidRPr="00562699">
        <w:rPr>
          <w:lang w:val="fr-FR"/>
        </w:rPr>
        <w:tab/>
      </w:r>
      <w:r w:rsidR="00CB3FD2" w:rsidRPr="00562699">
        <w:rPr>
          <w:lang w:val="fr-FR"/>
        </w:rPr>
        <w:t>l</w:t>
      </w:r>
      <w:r w:rsidR="003C64A0">
        <w:rPr>
          <w:lang w:val="fr-FR"/>
        </w:rPr>
        <w:t>’</w:t>
      </w:r>
      <w:r w:rsidR="00CB3FD2" w:rsidRPr="00562699">
        <w:rPr>
          <w:lang w:val="fr-FR"/>
        </w:rPr>
        <w:t>a</w:t>
      </w:r>
      <w:r w:rsidR="00930DF2" w:rsidRPr="00562699">
        <w:rPr>
          <w:lang w:val="fr-FR"/>
        </w:rPr>
        <w:t>ssurance de la qualité</w:t>
      </w:r>
      <w:r w:rsidR="00CB3FD2" w:rsidRPr="00562699">
        <w:rPr>
          <w:lang w:val="fr-FR"/>
        </w:rPr>
        <w:t>,</w:t>
      </w:r>
    </w:p>
    <w:p w14:paraId="1BAF322E" w14:textId="0B78F8DA" w:rsidR="009246D2" w:rsidRPr="00562699" w:rsidRDefault="00CC5CB1" w:rsidP="00D35BB4">
      <w:pPr>
        <w:pStyle w:val="ONUMFS"/>
        <w:numPr>
          <w:ilvl w:val="0"/>
          <w:numId w:val="0"/>
        </w:numPr>
        <w:ind w:left="1701" w:hanging="567"/>
        <w:rPr>
          <w:lang w:val="fr-FR"/>
        </w:rPr>
      </w:pPr>
      <w:r w:rsidRPr="00170395">
        <w:rPr>
          <w:rStyle w:val="deleted"/>
        </w:rPr>
        <w:t>5</w:t>
      </w:r>
      <w:r w:rsidR="00930DF2" w:rsidRPr="00CC5CB1">
        <w:rPr>
          <w:rStyle w:val="inserted"/>
        </w:rPr>
        <w:t>6</w:t>
      </w:r>
      <w:r w:rsidR="00930DF2" w:rsidRPr="00562699">
        <w:rPr>
          <w:lang w:val="fr-FR"/>
        </w:rPr>
        <w:t>.</w:t>
      </w:r>
      <w:r w:rsidR="00930DF2" w:rsidRPr="00562699">
        <w:rPr>
          <w:lang w:val="fr-FR"/>
        </w:rPr>
        <w:tab/>
      </w:r>
      <w:r w:rsidR="00CB3FD2" w:rsidRPr="00562699">
        <w:rPr>
          <w:lang w:val="fr-FR"/>
        </w:rPr>
        <w:t>la c</w:t>
      </w:r>
      <w:r w:rsidR="00930DF2" w:rsidRPr="00562699">
        <w:rPr>
          <w:lang w:val="fr-FR"/>
        </w:rPr>
        <w:t>ommunication</w:t>
      </w:r>
      <w:r w:rsidR="00CB3FD2" w:rsidRPr="00562699">
        <w:rPr>
          <w:lang w:val="fr-FR"/>
        </w:rPr>
        <w:t>,</w:t>
      </w:r>
    </w:p>
    <w:p w14:paraId="2B24CF4D" w14:textId="169BB3CB" w:rsidR="009246D2" w:rsidRPr="00562699" w:rsidRDefault="00CC5CB1" w:rsidP="00D35BB4">
      <w:pPr>
        <w:pStyle w:val="ONUMFS"/>
        <w:numPr>
          <w:ilvl w:val="0"/>
          <w:numId w:val="0"/>
        </w:numPr>
        <w:ind w:left="1701" w:hanging="567"/>
        <w:rPr>
          <w:lang w:val="fr-FR"/>
        </w:rPr>
      </w:pPr>
      <w:r w:rsidRPr="00170395">
        <w:rPr>
          <w:rStyle w:val="deleted"/>
        </w:rPr>
        <w:t>6</w:t>
      </w:r>
      <w:r w:rsidR="00930DF2" w:rsidRPr="00CC5CB1">
        <w:rPr>
          <w:rStyle w:val="inserted"/>
        </w:rPr>
        <w:t>7</w:t>
      </w:r>
      <w:r w:rsidR="00930DF2" w:rsidRPr="00562699">
        <w:rPr>
          <w:lang w:val="fr-FR"/>
        </w:rPr>
        <w:t>.</w:t>
      </w:r>
      <w:r w:rsidR="00930DF2" w:rsidRPr="00562699">
        <w:rPr>
          <w:lang w:val="fr-FR"/>
        </w:rPr>
        <w:tab/>
      </w:r>
      <w:r w:rsidR="00CB3FD2" w:rsidRPr="00562699">
        <w:rPr>
          <w:lang w:val="fr-FR"/>
        </w:rPr>
        <w:t>la d</w:t>
      </w:r>
      <w:r w:rsidR="00930DF2" w:rsidRPr="00562699">
        <w:rPr>
          <w:lang w:val="fr-FR"/>
        </w:rPr>
        <w:t>ocumentation</w:t>
      </w:r>
      <w:r w:rsidR="00CB3FD2" w:rsidRPr="00562699">
        <w:rPr>
          <w:lang w:val="fr-FR"/>
        </w:rPr>
        <w:t>,</w:t>
      </w:r>
    </w:p>
    <w:p w14:paraId="3E31867A" w14:textId="30BA6CF1" w:rsidR="009246D2" w:rsidRPr="00562699" w:rsidRDefault="00CC5CB1" w:rsidP="00D35BB4">
      <w:pPr>
        <w:pStyle w:val="ONUMFS"/>
        <w:numPr>
          <w:ilvl w:val="0"/>
          <w:numId w:val="0"/>
        </w:numPr>
        <w:ind w:left="1701" w:hanging="567"/>
        <w:rPr>
          <w:lang w:val="fr-FR"/>
        </w:rPr>
      </w:pPr>
      <w:r w:rsidRPr="00170395">
        <w:rPr>
          <w:rStyle w:val="deleted"/>
        </w:rPr>
        <w:lastRenderedPageBreak/>
        <w:t>7</w:t>
      </w:r>
      <w:r w:rsidR="00930DF2" w:rsidRPr="00CC5CB1">
        <w:rPr>
          <w:rStyle w:val="inserted"/>
        </w:rPr>
        <w:t>8</w:t>
      </w:r>
      <w:r w:rsidR="00930DF2" w:rsidRPr="00562699">
        <w:rPr>
          <w:lang w:val="fr-FR"/>
        </w:rPr>
        <w:t>.</w:t>
      </w:r>
      <w:r w:rsidR="00930DF2" w:rsidRPr="00562699">
        <w:rPr>
          <w:lang w:val="fr-FR"/>
        </w:rPr>
        <w:tab/>
      </w:r>
      <w:r w:rsidR="00CB3FD2" w:rsidRPr="00562699">
        <w:rPr>
          <w:lang w:val="fr-FR"/>
        </w:rPr>
        <w:t>la d</w:t>
      </w:r>
      <w:r w:rsidR="00930DF2" w:rsidRPr="00562699">
        <w:rPr>
          <w:lang w:val="fr-FR"/>
        </w:rPr>
        <w:t>escription de la procédure de recherche</w:t>
      </w:r>
      <w:r w:rsidR="00542EE4" w:rsidRPr="00562699">
        <w:rPr>
          <w:lang w:val="fr-FR"/>
        </w:rPr>
        <w:t>.</w:t>
      </w:r>
    </w:p>
    <w:p w14:paraId="789B49C7" w14:textId="5EF6AABF" w:rsidR="003C64A0" w:rsidRDefault="00542EE4" w:rsidP="00D35BB4">
      <w:pPr>
        <w:pStyle w:val="ONUMFS"/>
        <w:numPr>
          <w:ilvl w:val="0"/>
          <w:numId w:val="0"/>
        </w:numPr>
        <w:ind w:left="567"/>
        <w:rPr>
          <w:lang w:val="fr-FR"/>
        </w:rPr>
      </w:pPr>
      <w:r w:rsidRPr="00562699">
        <w:rPr>
          <w:lang w:val="fr-FR"/>
        </w:rPr>
        <w:t>Services supplémentaires</w:t>
      </w:r>
      <w:r w:rsidR="003C64A0">
        <w:rPr>
          <w:lang w:val="fr-FR"/>
        </w:rPr>
        <w:t> :</w:t>
      </w:r>
    </w:p>
    <w:p w14:paraId="74555A05" w14:textId="4A15A4DE" w:rsidR="009246D2" w:rsidRPr="00562699" w:rsidRDefault="00170395" w:rsidP="00D35BB4">
      <w:pPr>
        <w:pStyle w:val="ONUMFS"/>
        <w:numPr>
          <w:ilvl w:val="0"/>
          <w:numId w:val="0"/>
        </w:numPr>
        <w:ind w:left="1701" w:hanging="567"/>
        <w:rPr>
          <w:lang w:val="fr-FR"/>
        </w:rPr>
      </w:pPr>
      <w:r w:rsidRPr="00170395">
        <w:rPr>
          <w:rStyle w:val="deleted"/>
        </w:rPr>
        <w:t>8</w:t>
      </w:r>
      <w:r w:rsidR="00930DF2" w:rsidRPr="00170395">
        <w:rPr>
          <w:rStyle w:val="inserted"/>
        </w:rPr>
        <w:t>9</w:t>
      </w:r>
      <w:r w:rsidR="00930DF2" w:rsidRPr="00562699">
        <w:rPr>
          <w:lang w:val="fr-FR"/>
        </w:rPr>
        <w:t>.</w:t>
      </w:r>
      <w:r w:rsidR="00D35BB4">
        <w:rPr>
          <w:lang w:val="fr-FR"/>
        </w:rPr>
        <w:tab/>
      </w:r>
      <w:r w:rsidR="00542EE4" w:rsidRPr="00562699">
        <w:rPr>
          <w:lang w:val="fr-FR"/>
        </w:rPr>
        <w:t>système d</w:t>
      </w:r>
      <w:r w:rsidR="003C64A0">
        <w:rPr>
          <w:lang w:val="fr-FR"/>
        </w:rPr>
        <w:t>’</w:t>
      </w:r>
      <w:r w:rsidR="00542EE4" w:rsidRPr="00562699">
        <w:rPr>
          <w:lang w:val="fr-FR"/>
        </w:rPr>
        <w:t>évaluation</w:t>
      </w:r>
      <w:r w:rsidR="00CB3FD2" w:rsidRPr="00562699">
        <w:rPr>
          <w:lang w:val="fr-FR"/>
        </w:rPr>
        <w:t xml:space="preserve"> </w:t>
      </w:r>
      <w:r w:rsidR="00930DF2" w:rsidRPr="00562699">
        <w:rPr>
          <w:lang w:val="fr-FR"/>
        </w:rPr>
        <w:t>interne</w:t>
      </w:r>
      <w:r w:rsidR="00CB3FD2" w:rsidRPr="00562699">
        <w:rPr>
          <w:lang w:val="fr-FR"/>
        </w:rPr>
        <w:t>,</w:t>
      </w:r>
    </w:p>
    <w:p w14:paraId="096B6177" w14:textId="422DF737" w:rsidR="009246D2" w:rsidRPr="00562699" w:rsidRDefault="00170395" w:rsidP="00D35BB4">
      <w:pPr>
        <w:pStyle w:val="ONUMFS"/>
        <w:numPr>
          <w:ilvl w:val="0"/>
          <w:numId w:val="0"/>
        </w:numPr>
        <w:ind w:left="1701" w:hanging="567"/>
        <w:rPr>
          <w:u w:val="single"/>
          <w:lang w:val="fr-FR"/>
        </w:rPr>
      </w:pPr>
      <w:r w:rsidRPr="00170395">
        <w:rPr>
          <w:rStyle w:val="deleted"/>
        </w:rPr>
        <w:t>9</w:t>
      </w:r>
      <w:r w:rsidR="00930DF2" w:rsidRPr="00170395">
        <w:rPr>
          <w:rStyle w:val="inserted"/>
        </w:rPr>
        <w:t>10</w:t>
      </w:r>
      <w:r w:rsidR="00D35BB4">
        <w:rPr>
          <w:lang w:val="fr-FR"/>
        </w:rPr>
        <w:t>.</w:t>
      </w:r>
      <w:r w:rsidR="00D35BB4">
        <w:rPr>
          <w:lang w:val="fr-FR"/>
        </w:rPr>
        <w:tab/>
      </w:r>
      <w:r w:rsidR="00930DF2" w:rsidRPr="00562699">
        <w:rPr>
          <w:lang w:val="fr-FR"/>
        </w:rPr>
        <w:t>les dispositions relatives à l</w:t>
      </w:r>
      <w:r w:rsidR="003C64A0">
        <w:rPr>
          <w:lang w:val="fr-FR"/>
        </w:rPr>
        <w:t>’</w:t>
      </w:r>
      <w:r w:rsidR="00930DF2" w:rsidRPr="00562699">
        <w:rPr>
          <w:lang w:val="fr-FR"/>
        </w:rPr>
        <w:t>établissement de rapports.</w:t>
      </w:r>
    </w:p>
    <w:p w14:paraId="7786B837" w14:textId="3075A23C" w:rsidR="009246D2" w:rsidRPr="00170395" w:rsidRDefault="00930DF2" w:rsidP="00170395">
      <w:pPr>
        <w:pStyle w:val="ONUMFS"/>
        <w:numPr>
          <w:ilvl w:val="0"/>
          <w:numId w:val="0"/>
        </w:numPr>
        <w:ind w:left="567"/>
        <w:rPr>
          <w:rStyle w:val="inserted"/>
        </w:rPr>
      </w:pPr>
      <w:r w:rsidRPr="00170395">
        <w:rPr>
          <w:rStyle w:val="inserted"/>
        </w:rPr>
        <w:t>21</w:t>
      </w:r>
      <w:r w:rsidR="00542EE4" w:rsidRPr="00170395">
        <w:rPr>
          <w:rStyle w:val="inserted"/>
        </w:rPr>
        <w:t>.</w:t>
      </w:r>
      <w:r w:rsidRPr="00170395">
        <w:rPr>
          <w:rStyle w:val="inserted"/>
        </w:rPr>
        <w:t>10 La haute direction devrait promouvoir des pratiques visant à faire en sorte que les risques et les possibilités qui peuvent affecter son système de gestion de la qualité et la conformité de la recherche et de l</w:t>
      </w:r>
      <w:r w:rsidR="003C64A0" w:rsidRPr="00170395">
        <w:rPr>
          <w:rStyle w:val="inserted"/>
        </w:rPr>
        <w:t>’</w:t>
      </w:r>
      <w:r w:rsidRPr="00170395">
        <w:rPr>
          <w:rStyle w:val="inserted"/>
        </w:rPr>
        <w:t>examen internationaux soient pris en compte.</w:t>
      </w:r>
    </w:p>
    <w:p w14:paraId="065619B5" w14:textId="60A3376F" w:rsidR="009246D2" w:rsidRPr="00170395" w:rsidRDefault="00170395" w:rsidP="00170395">
      <w:pPr>
        <w:pStyle w:val="ONUMFS"/>
        <w:numPr>
          <w:ilvl w:val="0"/>
          <w:numId w:val="0"/>
        </w:numPr>
        <w:ind w:left="567"/>
        <w:rPr>
          <w:rStyle w:val="inserted"/>
          <w:b/>
        </w:rPr>
      </w:pPr>
      <w:r w:rsidRPr="00170395">
        <w:rPr>
          <w:rStyle w:val="inserted"/>
          <w:b/>
        </w:rPr>
        <w:t>2.</w:t>
      </w:r>
      <w:r w:rsidRPr="00170395">
        <w:rPr>
          <w:rStyle w:val="inserted"/>
          <w:b/>
        </w:rPr>
        <w:tab/>
      </w:r>
      <w:r w:rsidR="00542EE4" w:rsidRPr="00170395">
        <w:rPr>
          <w:rStyle w:val="inserted"/>
          <w:b/>
        </w:rPr>
        <w:t>P</w:t>
      </w:r>
      <w:r w:rsidR="00930DF2" w:rsidRPr="00170395">
        <w:rPr>
          <w:rStyle w:val="inserted"/>
          <w:b/>
        </w:rPr>
        <w:t xml:space="preserve">ratiques </w:t>
      </w:r>
      <w:r w:rsidR="00542EE4" w:rsidRPr="00170395">
        <w:rPr>
          <w:rStyle w:val="inserted"/>
          <w:b/>
        </w:rPr>
        <w:t>fondées sur les risques</w:t>
      </w:r>
    </w:p>
    <w:p w14:paraId="3024F4D2" w14:textId="7F9417D4" w:rsidR="009246D2" w:rsidRPr="00170395" w:rsidRDefault="00930DF2" w:rsidP="00170395">
      <w:pPr>
        <w:pStyle w:val="ONUMFS"/>
        <w:numPr>
          <w:ilvl w:val="0"/>
          <w:numId w:val="0"/>
        </w:numPr>
        <w:ind w:left="567"/>
        <w:rPr>
          <w:rStyle w:val="inserted"/>
        </w:rPr>
      </w:pPr>
      <w:r w:rsidRPr="00170395">
        <w:rPr>
          <w:rStyle w:val="inserted"/>
        </w:rPr>
        <w:t>21</w:t>
      </w:r>
      <w:r w:rsidR="00542EE4" w:rsidRPr="00170395">
        <w:rPr>
          <w:rStyle w:val="inserted"/>
        </w:rPr>
        <w:t>.</w:t>
      </w:r>
      <w:r w:rsidRPr="00170395">
        <w:rPr>
          <w:rStyle w:val="inserted"/>
        </w:rPr>
        <w:t xml:space="preserve">11 Chaque administration </w:t>
      </w:r>
      <w:r w:rsidR="00E8713F" w:rsidRPr="00170395">
        <w:rPr>
          <w:rStyle w:val="inserted"/>
        </w:rPr>
        <w:t>devrait</w:t>
      </w:r>
      <w:r w:rsidRPr="00170395">
        <w:rPr>
          <w:rStyle w:val="inserted"/>
        </w:rPr>
        <w:t xml:space="preserve"> établir ses propres pratiques fondées sur les risques afin de permettre à l</w:t>
      </w:r>
      <w:r w:rsidR="003C64A0" w:rsidRPr="00170395">
        <w:rPr>
          <w:rStyle w:val="inserted"/>
        </w:rPr>
        <w:t>’</w:t>
      </w:r>
      <w:r w:rsidR="00E8713F" w:rsidRPr="00170395">
        <w:rPr>
          <w:rStyle w:val="inserted"/>
        </w:rPr>
        <w:t>administration</w:t>
      </w:r>
      <w:r w:rsidRPr="00170395">
        <w:rPr>
          <w:rStyle w:val="inserted"/>
        </w:rPr>
        <w:t xml:space="preserve"> de déterminer les facteurs </w:t>
      </w:r>
      <w:r w:rsidR="00E8713F" w:rsidRPr="00170395">
        <w:rPr>
          <w:rStyle w:val="inserted"/>
        </w:rPr>
        <w:t xml:space="preserve">qui pourraient </w:t>
      </w:r>
      <w:r w:rsidR="002E0FA9" w:rsidRPr="00170395">
        <w:rPr>
          <w:rStyle w:val="inserted"/>
        </w:rPr>
        <w:t xml:space="preserve">avoir pour effet </w:t>
      </w:r>
      <w:r w:rsidR="00E8713F" w:rsidRPr="00170395">
        <w:rPr>
          <w:rStyle w:val="inserted"/>
        </w:rPr>
        <w:t xml:space="preserve">que </w:t>
      </w:r>
      <w:r w:rsidRPr="00170395">
        <w:rPr>
          <w:rStyle w:val="inserted"/>
        </w:rPr>
        <w:t>ses processus opérationnels et son système de gestion de la qualité s</w:t>
      </w:r>
      <w:r w:rsidR="003C64A0" w:rsidRPr="00170395">
        <w:rPr>
          <w:rStyle w:val="inserted"/>
        </w:rPr>
        <w:t>’</w:t>
      </w:r>
      <w:r w:rsidRPr="00170395">
        <w:rPr>
          <w:rStyle w:val="inserted"/>
        </w:rPr>
        <w:t>écarte</w:t>
      </w:r>
      <w:r w:rsidR="00E8713F" w:rsidRPr="00170395">
        <w:rPr>
          <w:rStyle w:val="inserted"/>
        </w:rPr>
        <w:t>nt</w:t>
      </w:r>
      <w:r w:rsidRPr="00170395">
        <w:rPr>
          <w:rStyle w:val="inserted"/>
        </w:rPr>
        <w:t xml:space="preserve"> des exigences ou des résultats escomptés, </w:t>
      </w:r>
      <w:r w:rsidR="00E8713F" w:rsidRPr="00170395">
        <w:rPr>
          <w:rStyle w:val="inserted"/>
        </w:rPr>
        <w:t>d</w:t>
      </w:r>
      <w:r w:rsidR="003C64A0" w:rsidRPr="00170395">
        <w:rPr>
          <w:rStyle w:val="inserted"/>
        </w:rPr>
        <w:t>’</w:t>
      </w:r>
      <w:r w:rsidR="00E8713F" w:rsidRPr="00170395">
        <w:rPr>
          <w:rStyle w:val="inserted"/>
        </w:rPr>
        <w:t xml:space="preserve">instaurer </w:t>
      </w:r>
      <w:r w:rsidRPr="00170395">
        <w:rPr>
          <w:rStyle w:val="inserted"/>
        </w:rPr>
        <w:t xml:space="preserve">des contrôles préventifs pour </w:t>
      </w:r>
      <w:r w:rsidR="00E8713F" w:rsidRPr="00170395">
        <w:rPr>
          <w:rStyle w:val="inserted"/>
        </w:rPr>
        <w:t xml:space="preserve">minimiser </w:t>
      </w:r>
      <w:r w:rsidRPr="00170395">
        <w:rPr>
          <w:rStyle w:val="inserted"/>
        </w:rPr>
        <w:t xml:space="preserve">les effets négatifs et </w:t>
      </w:r>
      <w:r w:rsidR="00E8713F" w:rsidRPr="00170395">
        <w:rPr>
          <w:rStyle w:val="inserted"/>
        </w:rPr>
        <w:t xml:space="preserve">de </w:t>
      </w:r>
      <w:r w:rsidRPr="00170395">
        <w:rPr>
          <w:rStyle w:val="inserted"/>
        </w:rPr>
        <w:t xml:space="preserve">tirer parti des possibilités </w:t>
      </w:r>
      <w:r w:rsidR="00E8713F" w:rsidRPr="00170395">
        <w:rPr>
          <w:rStyle w:val="inserted"/>
        </w:rPr>
        <w:t>à mesure qu</w:t>
      </w:r>
      <w:r w:rsidR="003C64A0" w:rsidRPr="00170395">
        <w:rPr>
          <w:rStyle w:val="inserted"/>
        </w:rPr>
        <w:t>’</w:t>
      </w:r>
      <w:r w:rsidR="00E8713F" w:rsidRPr="00170395">
        <w:rPr>
          <w:rStyle w:val="inserted"/>
        </w:rPr>
        <w:t>elles se présentent</w:t>
      </w:r>
      <w:r w:rsidRPr="00170395">
        <w:rPr>
          <w:rStyle w:val="inserted"/>
        </w:rPr>
        <w:t>.</w:t>
      </w:r>
    </w:p>
    <w:p w14:paraId="14D0DB62" w14:textId="0677312E" w:rsidR="009246D2" w:rsidRPr="00170395" w:rsidRDefault="00930DF2" w:rsidP="00170395">
      <w:pPr>
        <w:pStyle w:val="ONUMFS"/>
        <w:numPr>
          <w:ilvl w:val="0"/>
          <w:numId w:val="0"/>
        </w:numPr>
        <w:ind w:left="567"/>
        <w:rPr>
          <w:rStyle w:val="inserted"/>
        </w:rPr>
      </w:pPr>
      <w:r w:rsidRPr="00170395">
        <w:rPr>
          <w:rStyle w:val="inserted"/>
        </w:rPr>
        <w:t>21</w:t>
      </w:r>
      <w:r w:rsidR="00E8713F" w:rsidRPr="00170395">
        <w:rPr>
          <w:rStyle w:val="inserted"/>
        </w:rPr>
        <w:t>.</w:t>
      </w:r>
      <w:r w:rsidRPr="00170395">
        <w:rPr>
          <w:rStyle w:val="inserted"/>
        </w:rPr>
        <w:t xml:space="preserve">12 Il est loisible à chaque administration de mettre en place ses propres </w:t>
      </w:r>
      <w:r w:rsidR="00E8713F" w:rsidRPr="00170395">
        <w:rPr>
          <w:rStyle w:val="inserted"/>
        </w:rPr>
        <w:t xml:space="preserve">modalités pour </w:t>
      </w:r>
      <w:r w:rsidRPr="00170395">
        <w:rPr>
          <w:rStyle w:val="inserted"/>
        </w:rPr>
        <w:t>déterminer l</w:t>
      </w:r>
      <w:r w:rsidR="003C64A0" w:rsidRPr="00170395">
        <w:rPr>
          <w:rStyle w:val="inserted"/>
        </w:rPr>
        <w:t>’</w:t>
      </w:r>
      <w:r w:rsidRPr="00170395">
        <w:rPr>
          <w:rStyle w:val="inserted"/>
        </w:rPr>
        <w:t>effet de l</w:t>
      </w:r>
      <w:r w:rsidR="003C64A0" w:rsidRPr="00170395">
        <w:rPr>
          <w:rStyle w:val="inserted"/>
        </w:rPr>
        <w:t>’</w:t>
      </w:r>
      <w:r w:rsidRPr="00170395">
        <w:rPr>
          <w:rStyle w:val="inserted"/>
        </w:rPr>
        <w:t xml:space="preserve">incertitude sur les objectifs, mais </w:t>
      </w:r>
      <w:r w:rsidR="00E8713F" w:rsidRPr="00170395">
        <w:rPr>
          <w:rStyle w:val="inserted"/>
        </w:rPr>
        <w:t xml:space="preserve">les éléments suivants sont proposés comme orientation pour les </w:t>
      </w:r>
      <w:r w:rsidR="002E0FA9" w:rsidRPr="00170395">
        <w:rPr>
          <w:rStyle w:val="inserted"/>
        </w:rPr>
        <w:t>composants</w:t>
      </w:r>
      <w:r w:rsidR="00E8713F" w:rsidRPr="00170395">
        <w:rPr>
          <w:rStyle w:val="inserted"/>
        </w:rPr>
        <w:t xml:space="preserve"> de base des pratiques fondées sur les risques </w:t>
      </w:r>
      <w:r w:rsidRPr="00170395">
        <w:rPr>
          <w:rStyle w:val="inserted"/>
        </w:rPr>
        <w:t>en tant qu</w:t>
      </w:r>
      <w:r w:rsidR="003C64A0" w:rsidRPr="00170395">
        <w:rPr>
          <w:rStyle w:val="inserted"/>
        </w:rPr>
        <w:t>’</w:t>
      </w:r>
      <w:r w:rsidRPr="00170395">
        <w:rPr>
          <w:rStyle w:val="inserted"/>
        </w:rPr>
        <w:t>élément du système de gestion de la quali</w:t>
      </w:r>
      <w:r w:rsidR="00B85EF1" w:rsidRPr="00170395">
        <w:rPr>
          <w:rStyle w:val="inserted"/>
        </w:rPr>
        <w:t>té.  Il</w:t>
      </w:r>
      <w:r w:rsidRPr="00170395">
        <w:rPr>
          <w:rStyle w:val="inserted"/>
        </w:rPr>
        <w:t xml:space="preserve"> n</w:t>
      </w:r>
      <w:r w:rsidR="003C64A0" w:rsidRPr="00170395">
        <w:rPr>
          <w:rStyle w:val="inserted"/>
        </w:rPr>
        <w:t>’</w:t>
      </w:r>
      <w:r w:rsidRPr="00170395">
        <w:rPr>
          <w:rStyle w:val="inserted"/>
        </w:rPr>
        <w:t xml:space="preserve">est pas </w:t>
      </w:r>
      <w:r w:rsidR="00E8713F" w:rsidRPr="00170395">
        <w:rPr>
          <w:rStyle w:val="inserted"/>
        </w:rPr>
        <w:t>exigé</w:t>
      </w:r>
      <w:r w:rsidRPr="00170395">
        <w:rPr>
          <w:rStyle w:val="inserted"/>
        </w:rPr>
        <w:t xml:space="preserve"> de recourir à des méthodes formelles de gestion des risques ou à un processus documenté de gestion des risques.</w:t>
      </w:r>
    </w:p>
    <w:p w14:paraId="1FF0F43D" w14:textId="7B32026E" w:rsidR="003C64A0" w:rsidRPr="00170395" w:rsidRDefault="00930DF2" w:rsidP="00170395">
      <w:pPr>
        <w:pStyle w:val="ONUMFS"/>
        <w:numPr>
          <w:ilvl w:val="0"/>
          <w:numId w:val="0"/>
        </w:numPr>
        <w:ind w:left="567"/>
        <w:rPr>
          <w:rStyle w:val="inserted"/>
        </w:rPr>
      </w:pPr>
      <w:r w:rsidRPr="00170395">
        <w:rPr>
          <w:rStyle w:val="inserted"/>
        </w:rPr>
        <w:t>21</w:t>
      </w:r>
      <w:r w:rsidR="00E8713F" w:rsidRPr="00170395">
        <w:rPr>
          <w:rStyle w:val="inserted"/>
        </w:rPr>
        <w:t>.</w:t>
      </w:r>
      <w:r w:rsidRPr="00170395">
        <w:rPr>
          <w:rStyle w:val="inserted"/>
        </w:rPr>
        <w:t xml:space="preserve">13 Les dispositions prises pour </w:t>
      </w:r>
      <w:r w:rsidR="00E8713F" w:rsidRPr="00170395">
        <w:rPr>
          <w:rStyle w:val="inserted"/>
        </w:rPr>
        <w:t>l</w:t>
      </w:r>
      <w:r w:rsidR="003C64A0" w:rsidRPr="00170395">
        <w:rPr>
          <w:rStyle w:val="inserted"/>
        </w:rPr>
        <w:t>’</w:t>
      </w:r>
      <w:r w:rsidR="00E8713F" w:rsidRPr="00170395">
        <w:rPr>
          <w:rStyle w:val="inserted"/>
        </w:rPr>
        <w:t xml:space="preserve">établissement </w:t>
      </w:r>
      <w:r w:rsidRPr="00170395">
        <w:rPr>
          <w:rStyle w:val="inserted"/>
        </w:rPr>
        <w:t xml:space="preserve">des pratiques fondées sur les risques </w:t>
      </w:r>
      <w:r w:rsidR="00E8713F" w:rsidRPr="00170395">
        <w:rPr>
          <w:rStyle w:val="inserted"/>
        </w:rPr>
        <w:t>devraient inclure</w:t>
      </w:r>
      <w:r w:rsidR="003C64A0" w:rsidRPr="00170395">
        <w:rPr>
          <w:rStyle w:val="inserted"/>
        </w:rPr>
        <w:t> :</w:t>
      </w:r>
    </w:p>
    <w:p w14:paraId="73097ED0" w14:textId="5C5AEC8F" w:rsidR="009246D2" w:rsidRPr="00170395" w:rsidRDefault="00E8713F" w:rsidP="00170395">
      <w:pPr>
        <w:pStyle w:val="ONUMFS"/>
        <w:numPr>
          <w:ilvl w:val="0"/>
          <w:numId w:val="0"/>
        </w:numPr>
        <w:ind w:left="567" w:firstLine="567"/>
        <w:rPr>
          <w:rStyle w:val="inserted"/>
        </w:rPr>
      </w:pPr>
      <w:r w:rsidRPr="00170395">
        <w:rPr>
          <w:rStyle w:val="inserted"/>
        </w:rPr>
        <w:t>i)</w:t>
      </w:r>
      <w:r w:rsidR="00170395" w:rsidRPr="00170395">
        <w:rPr>
          <w:rStyle w:val="inserted"/>
        </w:rPr>
        <w:tab/>
      </w:r>
      <w:r w:rsidRPr="00170395">
        <w:rPr>
          <w:rStyle w:val="inserted"/>
        </w:rPr>
        <w:t xml:space="preserve">la compréhension du </w:t>
      </w:r>
      <w:r w:rsidR="00930DF2" w:rsidRPr="00170395">
        <w:rPr>
          <w:rStyle w:val="inserted"/>
        </w:rPr>
        <w:t>contexte de l</w:t>
      </w:r>
      <w:r w:rsidR="003C64A0" w:rsidRPr="00170395">
        <w:rPr>
          <w:rStyle w:val="inserted"/>
        </w:rPr>
        <w:t>’</w:t>
      </w:r>
      <w:r w:rsidR="00930DF2" w:rsidRPr="00170395">
        <w:rPr>
          <w:rStyle w:val="inserted"/>
        </w:rPr>
        <w:t xml:space="preserve">administration (questions externes et internes qui ont une incidence sur sa capacité à atteindre les résultats escomptés du système de gestion de la qualité) et </w:t>
      </w:r>
      <w:r w:rsidRPr="00170395">
        <w:rPr>
          <w:rStyle w:val="inserted"/>
        </w:rPr>
        <w:t>d</w:t>
      </w:r>
      <w:r w:rsidR="00930DF2" w:rsidRPr="00170395">
        <w:rPr>
          <w:rStyle w:val="inserted"/>
        </w:rPr>
        <w:t>es besoins et a</w:t>
      </w:r>
      <w:r w:rsidRPr="00170395">
        <w:rPr>
          <w:rStyle w:val="inserted"/>
        </w:rPr>
        <w:t>ttentes des parties intéressées;</w:t>
      </w:r>
    </w:p>
    <w:p w14:paraId="34DBE7AE" w14:textId="4E717A17" w:rsidR="003C64A0" w:rsidRPr="00170395" w:rsidRDefault="00930DF2" w:rsidP="00170395">
      <w:pPr>
        <w:pStyle w:val="ONUMFS"/>
        <w:numPr>
          <w:ilvl w:val="0"/>
          <w:numId w:val="0"/>
        </w:numPr>
        <w:ind w:left="567" w:firstLine="567"/>
        <w:rPr>
          <w:rStyle w:val="inserted"/>
        </w:rPr>
      </w:pPr>
      <w:r w:rsidRPr="00170395">
        <w:rPr>
          <w:rStyle w:val="inserted"/>
        </w:rPr>
        <w:t>ii)</w:t>
      </w:r>
      <w:r w:rsidR="00170395" w:rsidRPr="00170395">
        <w:rPr>
          <w:rStyle w:val="inserted"/>
        </w:rPr>
        <w:tab/>
      </w:r>
      <w:r w:rsidRPr="00170395">
        <w:rPr>
          <w:rStyle w:val="inserted"/>
        </w:rPr>
        <w:t>l</w:t>
      </w:r>
      <w:r w:rsidR="003C64A0" w:rsidRPr="00170395">
        <w:rPr>
          <w:rStyle w:val="inserted"/>
        </w:rPr>
        <w:t>’</w:t>
      </w:r>
      <w:r w:rsidRPr="00170395">
        <w:rPr>
          <w:rStyle w:val="inserted"/>
        </w:rPr>
        <w:t xml:space="preserve">identification des risques et </w:t>
      </w:r>
      <w:proofErr w:type="gramStart"/>
      <w:r w:rsidRPr="00170395">
        <w:rPr>
          <w:rStyle w:val="inserted"/>
        </w:rPr>
        <w:t>des possibilités liés</w:t>
      </w:r>
      <w:proofErr w:type="gramEnd"/>
      <w:r w:rsidRPr="00170395">
        <w:rPr>
          <w:rStyle w:val="inserted"/>
        </w:rPr>
        <w:t xml:space="preserve"> à l</w:t>
      </w:r>
      <w:r w:rsidR="003C64A0" w:rsidRPr="00170395">
        <w:rPr>
          <w:rStyle w:val="inserted"/>
        </w:rPr>
        <w:t>’</w:t>
      </w:r>
      <w:r w:rsidRPr="00170395">
        <w:rPr>
          <w:rStyle w:val="inserted"/>
        </w:rPr>
        <w:t>exécution du système de gestion de la qualité, qui serviront de base à la planification;</w:t>
      </w:r>
    </w:p>
    <w:p w14:paraId="71A2C741" w14:textId="4A1E40C5" w:rsidR="003C64A0" w:rsidRPr="00170395" w:rsidRDefault="00930DF2" w:rsidP="00170395">
      <w:pPr>
        <w:pStyle w:val="ONUMFS"/>
        <w:numPr>
          <w:ilvl w:val="0"/>
          <w:numId w:val="0"/>
        </w:numPr>
        <w:ind w:left="567" w:firstLine="567"/>
        <w:rPr>
          <w:rStyle w:val="inserted"/>
        </w:rPr>
      </w:pPr>
      <w:r w:rsidRPr="00170395">
        <w:rPr>
          <w:rStyle w:val="inserted"/>
        </w:rPr>
        <w:t>iii)</w:t>
      </w:r>
      <w:r w:rsidR="00170395" w:rsidRPr="00170395">
        <w:rPr>
          <w:rStyle w:val="inserted"/>
        </w:rPr>
        <w:tab/>
      </w:r>
      <w:r w:rsidR="00E8713F" w:rsidRPr="00170395">
        <w:rPr>
          <w:rStyle w:val="inserted"/>
        </w:rPr>
        <w:t xml:space="preserve">la </w:t>
      </w:r>
      <w:r w:rsidRPr="00170395">
        <w:rPr>
          <w:rStyle w:val="inserted"/>
        </w:rPr>
        <w:t xml:space="preserve">planification et </w:t>
      </w:r>
      <w:r w:rsidR="00E8713F" w:rsidRPr="00170395">
        <w:rPr>
          <w:rStyle w:val="inserted"/>
        </w:rPr>
        <w:t xml:space="preserve">la </w:t>
      </w:r>
      <w:r w:rsidRPr="00170395">
        <w:rPr>
          <w:rStyle w:val="inserted"/>
        </w:rPr>
        <w:t xml:space="preserve">mise en </w:t>
      </w:r>
      <w:r w:rsidR="00E8713F" w:rsidRPr="00170395">
        <w:rPr>
          <w:rStyle w:val="inserted"/>
        </w:rPr>
        <w:t>œuvre</w:t>
      </w:r>
      <w:r w:rsidRPr="00170395">
        <w:rPr>
          <w:rStyle w:val="inserted"/>
        </w:rPr>
        <w:t xml:space="preserve"> de mesures visant à </w:t>
      </w:r>
      <w:r w:rsidR="00E8713F" w:rsidRPr="00170395">
        <w:rPr>
          <w:rStyle w:val="inserted"/>
        </w:rPr>
        <w:t xml:space="preserve">tenir compte des </w:t>
      </w:r>
      <w:r w:rsidRPr="00170395">
        <w:rPr>
          <w:rStyle w:val="inserted"/>
        </w:rPr>
        <w:t xml:space="preserve">risques et </w:t>
      </w:r>
      <w:r w:rsidR="00E8713F" w:rsidRPr="00170395">
        <w:rPr>
          <w:rStyle w:val="inserted"/>
        </w:rPr>
        <w:t xml:space="preserve">des </w:t>
      </w:r>
      <w:r w:rsidRPr="00170395">
        <w:rPr>
          <w:rStyle w:val="inserted"/>
        </w:rPr>
        <w:t>possibilités;</w:t>
      </w:r>
    </w:p>
    <w:p w14:paraId="4C659FD4" w14:textId="1418EE36" w:rsidR="009246D2" w:rsidRPr="00170395" w:rsidRDefault="00930DF2" w:rsidP="00170395">
      <w:pPr>
        <w:pStyle w:val="ONUMFS"/>
        <w:numPr>
          <w:ilvl w:val="0"/>
          <w:numId w:val="0"/>
        </w:numPr>
        <w:ind w:left="567" w:firstLine="567"/>
        <w:rPr>
          <w:rStyle w:val="inserted"/>
        </w:rPr>
      </w:pPr>
      <w:r w:rsidRPr="00170395">
        <w:rPr>
          <w:rStyle w:val="inserted"/>
        </w:rPr>
        <w:t>iv)</w:t>
      </w:r>
      <w:r w:rsidR="00170395" w:rsidRPr="00170395">
        <w:rPr>
          <w:rStyle w:val="inserted"/>
        </w:rPr>
        <w:tab/>
      </w:r>
      <w:r w:rsidR="00E8713F" w:rsidRPr="00170395">
        <w:rPr>
          <w:rStyle w:val="inserted"/>
        </w:rPr>
        <w:t xml:space="preserve">la </w:t>
      </w:r>
      <w:r w:rsidRPr="00170395">
        <w:rPr>
          <w:rStyle w:val="inserted"/>
        </w:rPr>
        <w:t>vérification de l</w:t>
      </w:r>
      <w:r w:rsidR="003C64A0" w:rsidRPr="00170395">
        <w:rPr>
          <w:rStyle w:val="inserted"/>
        </w:rPr>
        <w:t>’</w:t>
      </w:r>
      <w:r w:rsidRPr="00170395">
        <w:rPr>
          <w:rStyle w:val="inserted"/>
        </w:rPr>
        <w:t xml:space="preserve">efficacité des mesures </w:t>
      </w:r>
      <w:proofErr w:type="gramStart"/>
      <w:r w:rsidRPr="00170395">
        <w:rPr>
          <w:rStyle w:val="inserted"/>
        </w:rPr>
        <w:t xml:space="preserve">prises; </w:t>
      </w:r>
      <w:r w:rsidR="00953186" w:rsidRPr="00170395">
        <w:rPr>
          <w:rStyle w:val="inserted"/>
        </w:rPr>
        <w:t xml:space="preserve"> </w:t>
      </w:r>
      <w:r w:rsidRPr="00170395">
        <w:rPr>
          <w:rStyle w:val="inserted"/>
        </w:rPr>
        <w:t>et</w:t>
      </w:r>
      <w:proofErr w:type="gramEnd"/>
    </w:p>
    <w:p w14:paraId="71B15437" w14:textId="5C9C29CC" w:rsidR="009246D2" w:rsidRPr="00170395" w:rsidRDefault="00E8713F" w:rsidP="00170395">
      <w:pPr>
        <w:pStyle w:val="ONUMFS"/>
        <w:numPr>
          <w:ilvl w:val="0"/>
          <w:numId w:val="0"/>
        </w:numPr>
        <w:ind w:left="567" w:firstLine="567"/>
        <w:rPr>
          <w:rStyle w:val="inserted"/>
        </w:rPr>
      </w:pPr>
      <w:r w:rsidRPr="00170395">
        <w:rPr>
          <w:rStyle w:val="inserted"/>
        </w:rPr>
        <w:t>v)</w:t>
      </w:r>
      <w:r w:rsidR="00170395" w:rsidRPr="00170395">
        <w:rPr>
          <w:rStyle w:val="inserted"/>
        </w:rPr>
        <w:tab/>
      </w:r>
      <w:r w:rsidRPr="00170395">
        <w:rPr>
          <w:rStyle w:val="inserted"/>
        </w:rPr>
        <w:t xml:space="preserve">la mise à jour permanente des </w:t>
      </w:r>
      <w:r w:rsidR="00930DF2" w:rsidRPr="00170395">
        <w:rPr>
          <w:rStyle w:val="inserted"/>
        </w:rPr>
        <w:t xml:space="preserve">risques et </w:t>
      </w:r>
      <w:r w:rsidRPr="00170395">
        <w:rPr>
          <w:rStyle w:val="inserted"/>
        </w:rPr>
        <w:t>d</w:t>
      </w:r>
      <w:r w:rsidR="00930DF2" w:rsidRPr="00170395">
        <w:rPr>
          <w:rStyle w:val="inserted"/>
        </w:rPr>
        <w:t>es possibilités.</w:t>
      </w:r>
    </w:p>
    <w:p w14:paraId="3AF8B7C5" w14:textId="5A81738C" w:rsidR="009246D2" w:rsidRPr="00170395" w:rsidRDefault="00930DF2" w:rsidP="00170395">
      <w:pPr>
        <w:pStyle w:val="ONUMFS"/>
        <w:numPr>
          <w:ilvl w:val="0"/>
          <w:numId w:val="0"/>
        </w:numPr>
        <w:ind w:left="567"/>
        <w:rPr>
          <w:rStyle w:val="inserted"/>
        </w:rPr>
      </w:pPr>
      <w:r w:rsidRPr="00170395">
        <w:rPr>
          <w:rStyle w:val="inserted"/>
        </w:rPr>
        <w:t>21</w:t>
      </w:r>
      <w:r w:rsidR="00E8713F" w:rsidRPr="00170395">
        <w:rPr>
          <w:rStyle w:val="inserted"/>
        </w:rPr>
        <w:t>.</w:t>
      </w:r>
      <w:r w:rsidRPr="00170395">
        <w:rPr>
          <w:rStyle w:val="inserted"/>
        </w:rPr>
        <w:t>14 Tous les processus du système de gestion de la qualité présentent des niveaux de risque différents en termes de capacité de l</w:t>
      </w:r>
      <w:r w:rsidR="003C64A0" w:rsidRPr="00170395">
        <w:rPr>
          <w:rStyle w:val="inserted"/>
        </w:rPr>
        <w:t>’</w:t>
      </w:r>
      <w:r w:rsidRPr="00170395">
        <w:rPr>
          <w:rStyle w:val="inserted"/>
        </w:rPr>
        <w:t>administration à atteindre ses objectifs et les effets de l</w:t>
      </w:r>
      <w:r w:rsidR="003C64A0" w:rsidRPr="00170395">
        <w:rPr>
          <w:rStyle w:val="inserted"/>
        </w:rPr>
        <w:t>’</w:t>
      </w:r>
      <w:r w:rsidRPr="00170395">
        <w:rPr>
          <w:rStyle w:val="inserted"/>
        </w:rPr>
        <w:t xml:space="preserve">incertitude ne sont pas les mêmes pour toutes les </w:t>
      </w:r>
      <w:r w:rsidR="00E8713F" w:rsidRPr="00170395">
        <w:rPr>
          <w:rStyle w:val="inserted"/>
        </w:rPr>
        <w:t>administratio</w:t>
      </w:r>
      <w:r w:rsidR="00B85EF1" w:rsidRPr="00170395">
        <w:rPr>
          <w:rStyle w:val="inserted"/>
        </w:rPr>
        <w:t>ns.  Ch</w:t>
      </w:r>
      <w:r w:rsidRPr="00170395">
        <w:rPr>
          <w:rStyle w:val="inserted"/>
        </w:rPr>
        <w:t xml:space="preserve">aque administration est responsable des </w:t>
      </w:r>
      <w:r w:rsidR="00E8713F" w:rsidRPr="00170395">
        <w:rPr>
          <w:rStyle w:val="inserted"/>
        </w:rPr>
        <w:t>mesures</w:t>
      </w:r>
      <w:r w:rsidRPr="00170395">
        <w:rPr>
          <w:rStyle w:val="inserted"/>
        </w:rPr>
        <w:t xml:space="preserve"> qu</w:t>
      </w:r>
      <w:r w:rsidR="003C64A0" w:rsidRPr="00170395">
        <w:rPr>
          <w:rStyle w:val="inserted"/>
        </w:rPr>
        <w:t>’</w:t>
      </w:r>
      <w:r w:rsidRPr="00170395">
        <w:rPr>
          <w:rStyle w:val="inserted"/>
        </w:rPr>
        <w:t xml:space="preserve">elle décide de prendre pour </w:t>
      </w:r>
      <w:r w:rsidR="00E8713F" w:rsidRPr="00170395">
        <w:rPr>
          <w:rStyle w:val="inserted"/>
        </w:rPr>
        <w:t xml:space="preserve">tenir compte des </w:t>
      </w:r>
      <w:r w:rsidRPr="00170395">
        <w:rPr>
          <w:rStyle w:val="inserted"/>
        </w:rPr>
        <w:t xml:space="preserve">risques et </w:t>
      </w:r>
      <w:r w:rsidR="00E8713F" w:rsidRPr="00170395">
        <w:rPr>
          <w:rStyle w:val="inserted"/>
        </w:rPr>
        <w:t>des</w:t>
      </w:r>
      <w:r w:rsidRPr="00170395">
        <w:rPr>
          <w:rStyle w:val="inserted"/>
        </w:rPr>
        <w:t xml:space="preserve"> possibilités</w:t>
      </w:r>
      <w:r w:rsidR="003C64A0" w:rsidRPr="00170395">
        <w:rPr>
          <w:rStyle w:val="inserted"/>
        </w:rPr>
        <w:t>.”</w:t>
      </w:r>
    </w:p>
    <w:p w14:paraId="72AEC8B8" w14:textId="36E40240" w:rsidR="009246D2" w:rsidRDefault="00930DF2" w:rsidP="00170395">
      <w:pPr>
        <w:pStyle w:val="Heading3"/>
        <w:rPr>
          <w:lang w:val="fr-FR"/>
        </w:rPr>
      </w:pPr>
      <w:r w:rsidRPr="00562699">
        <w:rPr>
          <w:lang w:val="fr-FR"/>
        </w:rPr>
        <w:t>ii)</w:t>
      </w:r>
      <w:r w:rsidR="00170395">
        <w:rPr>
          <w:lang w:val="fr-FR"/>
        </w:rPr>
        <w:tab/>
      </w:r>
      <w:r w:rsidRPr="00562699">
        <w:rPr>
          <w:lang w:val="fr-FR"/>
        </w:rPr>
        <w:t xml:space="preserve">Autres </w:t>
      </w:r>
      <w:r w:rsidR="00E8713F" w:rsidRPr="00562699">
        <w:rPr>
          <w:lang w:val="fr-FR"/>
        </w:rPr>
        <w:t>m</w:t>
      </w:r>
      <w:r w:rsidRPr="00562699">
        <w:rPr>
          <w:lang w:val="fr-FR"/>
        </w:rPr>
        <w:t>odifications du chapitre</w:t>
      </w:r>
      <w:r w:rsidR="004E4E83" w:rsidRPr="00562699">
        <w:rPr>
          <w:lang w:val="fr-FR"/>
        </w:rPr>
        <w:t> </w:t>
      </w:r>
      <w:r w:rsidRPr="00562699">
        <w:rPr>
          <w:lang w:val="fr-FR"/>
        </w:rPr>
        <w:t>21</w:t>
      </w:r>
    </w:p>
    <w:p w14:paraId="643711B0" w14:textId="77777777" w:rsidR="00170395" w:rsidRPr="00170395" w:rsidRDefault="00170395" w:rsidP="00170395">
      <w:pPr>
        <w:rPr>
          <w:lang w:val="fr-FR"/>
        </w:rPr>
      </w:pPr>
    </w:p>
    <w:p w14:paraId="365737FA" w14:textId="2E00A6EC" w:rsidR="009246D2" w:rsidRPr="00562699" w:rsidRDefault="00930DF2" w:rsidP="00170395">
      <w:pPr>
        <w:pStyle w:val="ONUMFS"/>
        <w:rPr>
          <w:lang w:val="fr-FR"/>
        </w:rPr>
      </w:pPr>
      <w:r w:rsidRPr="00562699">
        <w:rPr>
          <w:lang w:val="fr-FR"/>
        </w:rPr>
        <w:t xml:space="preserve">Les administrations ont exprimé différents points de vue en </w:t>
      </w:r>
      <w:r w:rsidR="00642058" w:rsidRPr="00562699">
        <w:rPr>
          <w:lang w:val="fr-FR"/>
        </w:rPr>
        <w:t xml:space="preserve">termes de soutien </w:t>
      </w:r>
      <w:r w:rsidRPr="00562699">
        <w:rPr>
          <w:lang w:val="fr-FR"/>
        </w:rPr>
        <w:t>aux modifications qu</w:t>
      </w:r>
      <w:r w:rsidR="003C64A0">
        <w:rPr>
          <w:lang w:val="fr-FR"/>
        </w:rPr>
        <w:t>’</w:t>
      </w:r>
      <w:r w:rsidRPr="00562699">
        <w:rPr>
          <w:lang w:val="fr-FR"/>
        </w:rPr>
        <w:t>il est proposé d</w:t>
      </w:r>
      <w:r w:rsidR="003C64A0">
        <w:rPr>
          <w:lang w:val="fr-FR"/>
        </w:rPr>
        <w:t>’</w:t>
      </w:r>
      <w:r w:rsidRPr="00562699">
        <w:rPr>
          <w:lang w:val="fr-FR"/>
        </w:rPr>
        <w:t>apporter au paragraphe</w:t>
      </w:r>
      <w:r w:rsidR="004E4E83" w:rsidRPr="00562699">
        <w:rPr>
          <w:lang w:val="fr-FR"/>
        </w:rPr>
        <w:t> </w:t>
      </w:r>
      <w:r w:rsidRPr="00562699">
        <w:rPr>
          <w:lang w:val="fr-FR"/>
        </w:rPr>
        <w:t>21</w:t>
      </w:r>
      <w:r w:rsidR="00642058" w:rsidRPr="00562699">
        <w:rPr>
          <w:lang w:val="fr-FR"/>
        </w:rPr>
        <w:t>.</w:t>
      </w:r>
      <w:r w:rsidRPr="00562699">
        <w:rPr>
          <w:lang w:val="fr-FR"/>
        </w:rPr>
        <w:t xml:space="preserve">10 des </w:t>
      </w:r>
      <w:r w:rsidR="004722D4">
        <w:rPr>
          <w:lang w:val="fr-FR"/>
        </w:rPr>
        <w:t>d</w:t>
      </w:r>
      <w:r w:rsidRPr="00562699">
        <w:rPr>
          <w:lang w:val="fr-FR"/>
        </w:rPr>
        <w:t xml:space="preserve">irectives </w:t>
      </w:r>
      <w:r w:rsidR="002E0FA9" w:rsidRPr="00562699">
        <w:rPr>
          <w:lang w:val="fr-FR"/>
        </w:rPr>
        <w:t>afin d</w:t>
      </w:r>
      <w:r w:rsidR="003C64A0">
        <w:rPr>
          <w:lang w:val="fr-FR"/>
        </w:rPr>
        <w:t>’</w:t>
      </w:r>
      <w:r w:rsidR="00642058" w:rsidRPr="00562699">
        <w:rPr>
          <w:lang w:val="fr-FR"/>
        </w:rPr>
        <w:t xml:space="preserve">imposer à </w:t>
      </w:r>
      <w:r w:rsidRPr="00562699">
        <w:rPr>
          <w:lang w:val="fr-FR"/>
        </w:rPr>
        <w:lastRenderedPageBreak/>
        <w:t>chaque administration de disposer d</w:t>
      </w:r>
      <w:r w:rsidR="003C64A0">
        <w:rPr>
          <w:lang w:val="fr-FR"/>
        </w:rPr>
        <w:t>’</w:t>
      </w:r>
      <w:r w:rsidRPr="00562699">
        <w:rPr>
          <w:lang w:val="fr-FR"/>
        </w:rPr>
        <w:t>une infrastructure appropriée pour appuyer le processus de recherche et d</w:t>
      </w:r>
      <w:r w:rsidR="003C64A0">
        <w:rPr>
          <w:lang w:val="fr-FR"/>
        </w:rPr>
        <w:t>’</w:t>
      </w:r>
      <w:r w:rsidRPr="00562699">
        <w:rPr>
          <w:lang w:val="fr-FR"/>
        </w:rPr>
        <w:t>examen.</w:t>
      </w:r>
    </w:p>
    <w:p w14:paraId="4B0B327C" w14:textId="48C50EE2" w:rsidR="009246D2" w:rsidRPr="00562699" w:rsidRDefault="00930DF2" w:rsidP="00170395">
      <w:pPr>
        <w:pStyle w:val="ONUMFS"/>
        <w:rPr>
          <w:lang w:val="fr-FR"/>
        </w:rPr>
      </w:pPr>
      <w:r w:rsidRPr="00562699">
        <w:rPr>
          <w:lang w:val="fr-FR"/>
        </w:rPr>
        <w:t xml:space="preserve">Une administration a </w:t>
      </w:r>
      <w:r w:rsidR="00672065" w:rsidRPr="00562699">
        <w:rPr>
          <w:lang w:val="fr-FR"/>
        </w:rPr>
        <w:t>manifesté</w:t>
      </w:r>
      <w:r w:rsidRPr="00562699">
        <w:rPr>
          <w:lang w:val="fr-FR"/>
        </w:rPr>
        <w:t xml:space="preserve"> son soutien </w:t>
      </w:r>
      <w:r w:rsidR="00754608" w:rsidRPr="00562699">
        <w:rPr>
          <w:lang w:val="fr-FR"/>
        </w:rPr>
        <w:t xml:space="preserve">en faveur de </w:t>
      </w:r>
      <w:r w:rsidRPr="00562699">
        <w:rPr>
          <w:lang w:val="fr-FR"/>
        </w:rPr>
        <w:t>l</w:t>
      </w:r>
      <w:r w:rsidR="003C64A0">
        <w:rPr>
          <w:lang w:val="fr-FR"/>
        </w:rPr>
        <w:t>’</w:t>
      </w:r>
      <w:r w:rsidRPr="00562699">
        <w:rPr>
          <w:lang w:val="fr-FR"/>
        </w:rPr>
        <w:t>inclusion obligatoire de tous les éléments du paragraphe</w:t>
      </w:r>
      <w:r w:rsidR="004E4E83" w:rsidRPr="00562699">
        <w:rPr>
          <w:lang w:val="fr-FR"/>
        </w:rPr>
        <w:t> </w:t>
      </w:r>
      <w:r w:rsidRPr="00562699">
        <w:rPr>
          <w:lang w:val="fr-FR"/>
        </w:rPr>
        <w:t>21</w:t>
      </w:r>
      <w:r w:rsidR="00672065" w:rsidRPr="00562699">
        <w:rPr>
          <w:lang w:val="fr-FR"/>
        </w:rPr>
        <w:t>.</w:t>
      </w:r>
      <w:r w:rsidRPr="00562699">
        <w:rPr>
          <w:lang w:val="fr-FR"/>
        </w:rPr>
        <w:t>21 dans la documentation interne des processus de recherc</w:t>
      </w:r>
      <w:r w:rsidR="00B85EF1" w:rsidRPr="00562699">
        <w:rPr>
          <w:lang w:val="fr-FR"/>
        </w:rPr>
        <w:t>he</w:t>
      </w:r>
      <w:r w:rsidR="00B85EF1">
        <w:rPr>
          <w:lang w:val="fr-FR"/>
        </w:rPr>
        <w:t xml:space="preserve">.  </w:t>
      </w:r>
      <w:r w:rsidR="00B85EF1" w:rsidRPr="00562699">
        <w:rPr>
          <w:lang w:val="fr-FR"/>
        </w:rPr>
        <w:t>D</w:t>
      </w:r>
      <w:r w:rsidR="00B85EF1">
        <w:rPr>
          <w:lang w:val="fr-FR"/>
        </w:rPr>
        <w:t>’</w:t>
      </w:r>
      <w:r w:rsidR="00B85EF1" w:rsidRPr="00562699">
        <w:rPr>
          <w:lang w:val="fr-FR"/>
        </w:rPr>
        <w:t>a</w:t>
      </w:r>
      <w:r w:rsidRPr="00562699">
        <w:rPr>
          <w:lang w:val="fr-FR"/>
        </w:rPr>
        <w:t xml:space="preserve">utres administrations, tout en </w:t>
      </w:r>
      <w:r w:rsidR="00754608" w:rsidRPr="00562699">
        <w:rPr>
          <w:lang w:val="fr-FR"/>
        </w:rPr>
        <w:t>étant favorables à</w:t>
      </w:r>
      <w:r w:rsidRPr="00562699">
        <w:rPr>
          <w:lang w:val="fr-FR"/>
        </w:rPr>
        <w:t xml:space="preserve"> l</w:t>
      </w:r>
      <w:r w:rsidR="003C64A0">
        <w:rPr>
          <w:lang w:val="fr-FR"/>
        </w:rPr>
        <w:t>’</w:t>
      </w:r>
      <w:r w:rsidRPr="00562699">
        <w:rPr>
          <w:lang w:val="fr-FR"/>
        </w:rPr>
        <w:t xml:space="preserve">obligation de documenter </w:t>
      </w:r>
      <w:r w:rsidR="002E0FA9" w:rsidRPr="00562699">
        <w:rPr>
          <w:lang w:val="fr-FR"/>
        </w:rPr>
        <w:t>leur</w:t>
      </w:r>
      <w:r w:rsidRPr="00562699">
        <w:rPr>
          <w:lang w:val="fr-FR"/>
        </w:rPr>
        <w:t xml:space="preserve"> processus de recherche en interne, </w:t>
      </w:r>
      <w:r w:rsidR="002E0FA9" w:rsidRPr="00562699">
        <w:rPr>
          <w:lang w:val="fr-FR"/>
        </w:rPr>
        <w:t>tenaient</w:t>
      </w:r>
      <w:r w:rsidRPr="00562699">
        <w:rPr>
          <w:lang w:val="fr-FR"/>
        </w:rPr>
        <w:t xml:space="preserve"> à conserver une certaine souplesse </w:t>
      </w:r>
      <w:r w:rsidR="00754608" w:rsidRPr="00562699">
        <w:rPr>
          <w:lang w:val="fr-FR"/>
        </w:rPr>
        <w:t xml:space="preserve">en ce qui concerne </w:t>
      </w:r>
      <w:r w:rsidRPr="00562699">
        <w:rPr>
          <w:lang w:val="fr-FR"/>
        </w:rPr>
        <w:t>les éléments qu</w:t>
      </w:r>
      <w:r w:rsidR="003C64A0">
        <w:rPr>
          <w:lang w:val="fr-FR"/>
        </w:rPr>
        <w:t>’</w:t>
      </w:r>
      <w:r w:rsidRPr="00562699">
        <w:rPr>
          <w:lang w:val="fr-FR"/>
        </w:rPr>
        <w:t>une administration devrait inclure dans cette documentati</w:t>
      </w:r>
      <w:r w:rsidR="00B85EF1" w:rsidRPr="00562699">
        <w:rPr>
          <w:lang w:val="fr-FR"/>
        </w:rPr>
        <w:t>on</w:t>
      </w:r>
      <w:r w:rsidR="00B85EF1">
        <w:rPr>
          <w:lang w:val="fr-FR"/>
        </w:rPr>
        <w:t xml:space="preserve">.  </w:t>
      </w:r>
      <w:r w:rsidR="00B85EF1" w:rsidRPr="00562699">
        <w:rPr>
          <w:lang w:val="fr-FR"/>
        </w:rPr>
        <w:t>L</w:t>
      </w:r>
      <w:r w:rsidR="00B85EF1">
        <w:rPr>
          <w:lang w:val="fr-FR"/>
        </w:rPr>
        <w:t>’</w:t>
      </w:r>
      <w:r w:rsidR="00B85EF1" w:rsidRPr="00562699">
        <w:rPr>
          <w:lang w:val="fr-FR"/>
        </w:rPr>
        <w:t>u</w:t>
      </w:r>
      <w:r w:rsidRPr="00562699">
        <w:rPr>
          <w:lang w:val="fr-FR"/>
        </w:rPr>
        <w:t>ne de ces administrations a estimé que l</w:t>
      </w:r>
      <w:r w:rsidR="003C64A0">
        <w:rPr>
          <w:lang w:val="fr-FR"/>
        </w:rPr>
        <w:t>’</w:t>
      </w:r>
      <w:r w:rsidRPr="00562699">
        <w:rPr>
          <w:lang w:val="fr-FR"/>
        </w:rPr>
        <w:t>inscription de toutes les déclarations de recherche dans la documentation pouvait être trop lourde pour un examinateur et qu</w:t>
      </w:r>
      <w:r w:rsidR="003C64A0">
        <w:rPr>
          <w:lang w:val="fr-FR"/>
        </w:rPr>
        <w:t>’</w:t>
      </w:r>
      <w:r w:rsidRPr="00562699">
        <w:rPr>
          <w:lang w:val="fr-FR"/>
        </w:rPr>
        <w:t>il n</w:t>
      </w:r>
      <w:r w:rsidR="003C64A0">
        <w:rPr>
          <w:lang w:val="fr-FR"/>
        </w:rPr>
        <w:t>’</w:t>
      </w:r>
      <w:r w:rsidRPr="00562699">
        <w:rPr>
          <w:lang w:val="fr-FR"/>
        </w:rPr>
        <w:t>était peut</w:t>
      </w:r>
      <w:r w:rsidR="001B4A2C">
        <w:rPr>
          <w:lang w:val="fr-FR"/>
        </w:rPr>
        <w:noBreakHyphen/>
      </w:r>
      <w:r w:rsidRPr="00562699">
        <w:rPr>
          <w:lang w:val="fr-FR"/>
        </w:rPr>
        <w:t>être pas toujours réaliste d</w:t>
      </w:r>
      <w:r w:rsidR="003C64A0">
        <w:rPr>
          <w:lang w:val="fr-FR"/>
        </w:rPr>
        <w:t>’</w:t>
      </w:r>
      <w:r w:rsidRPr="00562699">
        <w:rPr>
          <w:lang w:val="fr-FR"/>
        </w:rPr>
        <w:t xml:space="preserve">identifier et de justifier </w:t>
      </w:r>
      <w:r w:rsidR="00754608" w:rsidRPr="00562699">
        <w:rPr>
          <w:lang w:val="fr-FR"/>
        </w:rPr>
        <w:t>intégralement</w:t>
      </w:r>
      <w:r w:rsidRPr="00562699">
        <w:rPr>
          <w:lang w:val="fr-FR"/>
        </w:rPr>
        <w:t xml:space="preserve"> </w:t>
      </w:r>
      <w:r w:rsidR="00754608" w:rsidRPr="00562699">
        <w:rPr>
          <w:lang w:val="fr-FR"/>
        </w:rPr>
        <w:t>une</w:t>
      </w:r>
      <w:r w:rsidRPr="00562699">
        <w:rPr>
          <w:lang w:val="fr-FR"/>
        </w:rPr>
        <w:t xml:space="preserve"> limitation de la recherc</w:t>
      </w:r>
      <w:r w:rsidR="00B85EF1" w:rsidRPr="00562699">
        <w:rPr>
          <w:lang w:val="fr-FR"/>
        </w:rPr>
        <w:t>he</w:t>
      </w:r>
      <w:r w:rsidR="00B85EF1">
        <w:rPr>
          <w:lang w:val="fr-FR"/>
        </w:rPr>
        <w:t xml:space="preserve">.  </w:t>
      </w:r>
      <w:r w:rsidR="00B85EF1" w:rsidRPr="00562699">
        <w:rPr>
          <w:lang w:val="fr-FR"/>
        </w:rPr>
        <w:t>En</w:t>
      </w:r>
      <w:r w:rsidRPr="00562699">
        <w:rPr>
          <w:lang w:val="fr-FR"/>
        </w:rPr>
        <w:t xml:space="preserve"> outre, compte tenu de la mise au point d</w:t>
      </w:r>
      <w:r w:rsidR="003C64A0">
        <w:rPr>
          <w:lang w:val="fr-FR"/>
        </w:rPr>
        <w:t>’</w:t>
      </w:r>
      <w:r w:rsidRPr="00562699">
        <w:rPr>
          <w:lang w:val="fr-FR"/>
        </w:rPr>
        <w:t xml:space="preserve">outils de recherche automatique intelligents, il </w:t>
      </w:r>
      <w:r w:rsidR="00754608" w:rsidRPr="00562699">
        <w:rPr>
          <w:lang w:val="fr-FR"/>
        </w:rPr>
        <w:t xml:space="preserve">pourrait ne pas </w:t>
      </w:r>
      <w:r w:rsidRPr="00562699">
        <w:rPr>
          <w:lang w:val="fr-FR"/>
        </w:rPr>
        <w:t xml:space="preserve">toujours </w:t>
      </w:r>
      <w:r w:rsidR="00754608" w:rsidRPr="00562699">
        <w:rPr>
          <w:lang w:val="fr-FR"/>
        </w:rPr>
        <w:t xml:space="preserve">être </w:t>
      </w:r>
      <w:r w:rsidRPr="00562699">
        <w:rPr>
          <w:lang w:val="fr-FR"/>
        </w:rPr>
        <w:t xml:space="preserve">possible de </w:t>
      </w:r>
      <w:r w:rsidR="00754608" w:rsidRPr="00562699">
        <w:rPr>
          <w:lang w:val="fr-FR"/>
        </w:rPr>
        <w:t>conserver</w:t>
      </w:r>
      <w:r w:rsidRPr="00562699">
        <w:rPr>
          <w:lang w:val="fr-FR"/>
        </w:rPr>
        <w:t xml:space="preserve"> les éléments énumérés au paragraphe</w:t>
      </w:r>
      <w:r w:rsidR="004E4E83" w:rsidRPr="00562699">
        <w:rPr>
          <w:lang w:val="fr-FR"/>
        </w:rPr>
        <w:t> </w:t>
      </w:r>
      <w:r w:rsidRPr="00562699">
        <w:rPr>
          <w:lang w:val="fr-FR"/>
        </w:rPr>
        <w:t xml:space="preserve">21.21. </w:t>
      </w:r>
      <w:r w:rsidR="00754608" w:rsidRPr="00562699">
        <w:rPr>
          <w:lang w:val="fr-FR"/>
        </w:rPr>
        <w:t xml:space="preserve"> </w:t>
      </w:r>
      <w:r w:rsidRPr="00562699">
        <w:rPr>
          <w:lang w:val="fr-FR"/>
        </w:rPr>
        <w:t xml:space="preserve">Néanmoins, cette administration </w:t>
      </w:r>
      <w:r w:rsidR="00754608" w:rsidRPr="00562699">
        <w:rPr>
          <w:lang w:val="fr-FR"/>
        </w:rPr>
        <w:t xml:space="preserve">a considéré </w:t>
      </w:r>
      <w:r w:rsidRPr="00562699">
        <w:rPr>
          <w:lang w:val="fr-FR"/>
        </w:rPr>
        <w:t xml:space="preserve">que chaque administration </w:t>
      </w:r>
      <w:r w:rsidR="00754608" w:rsidRPr="00562699">
        <w:rPr>
          <w:lang w:val="fr-FR"/>
        </w:rPr>
        <w:t xml:space="preserve">devrait </w:t>
      </w:r>
      <w:r w:rsidRPr="00562699">
        <w:rPr>
          <w:lang w:val="fr-FR"/>
        </w:rPr>
        <w:t xml:space="preserve">conserver la documentation appropriée </w:t>
      </w:r>
      <w:r w:rsidR="00754608" w:rsidRPr="00562699">
        <w:rPr>
          <w:lang w:val="fr-FR"/>
        </w:rPr>
        <w:t xml:space="preserve">relative aux </w:t>
      </w:r>
      <w:r w:rsidRPr="00562699">
        <w:rPr>
          <w:lang w:val="fr-FR"/>
        </w:rPr>
        <w:t>processus de recherc</w:t>
      </w:r>
      <w:r w:rsidR="00B85EF1" w:rsidRPr="00562699">
        <w:rPr>
          <w:lang w:val="fr-FR"/>
        </w:rPr>
        <w:t>he</w:t>
      </w:r>
      <w:r w:rsidR="00B85EF1">
        <w:rPr>
          <w:lang w:val="fr-FR"/>
        </w:rPr>
        <w:t xml:space="preserve">.  </w:t>
      </w:r>
      <w:r w:rsidR="00B85EF1" w:rsidRPr="00562699">
        <w:rPr>
          <w:lang w:val="fr-FR"/>
        </w:rPr>
        <w:t>Le</w:t>
      </w:r>
      <w:r w:rsidRPr="00562699">
        <w:rPr>
          <w:lang w:val="fr-FR"/>
        </w:rPr>
        <w:t xml:space="preserve">s administrations ont également souligné que les documents internes de recherche devraient être </w:t>
      </w:r>
      <w:r w:rsidR="00754608" w:rsidRPr="00562699">
        <w:rPr>
          <w:lang w:val="fr-FR"/>
        </w:rPr>
        <w:t>discutés</w:t>
      </w:r>
      <w:r w:rsidRPr="00562699">
        <w:rPr>
          <w:lang w:val="fr-FR"/>
        </w:rPr>
        <w:t xml:space="preserve"> séparément </w:t>
      </w:r>
      <w:r w:rsidR="00754608" w:rsidRPr="00562699">
        <w:rPr>
          <w:lang w:val="fr-FR"/>
        </w:rPr>
        <w:t xml:space="preserve">de la question </w:t>
      </w:r>
      <w:r w:rsidRPr="00562699">
        <w:rPr>
          <w:lang w:val="fr-FR"/>
        </w:rPr>
        <w:t>du partage des stratégies de recherc</w:t>
      </w:r>
      <w:r w:rsidR="00B85EF1" w:rsidRPr="00562699">
        <w:rPr>
          <w:lang w:val="fr-FR"/>
        </w:rPr>
        <w:t>he</w:t>
      </w:r>
      <w:r w:rsidR="00B85EF1">
        <w:rPr>
          <w:lang w:val="fr-FR"/>
        </w:rPr>
        <w:t xml:space="preserve">.  </w:t>
      </w:r>
      <w:r w:rsidR="00B85EF1" w:rsidRPr="00562699">
        <w:rPr>
          <w:lang w:val="fr-FR"/>
        </w:rPr>
        <w:t>Su</w:t>
      </w:r>
      <w:r w:rsidRPr="00562699">
        <w:rPr>
          <w:lang w:val="fr-FR"/>
        </w:rPr>
        <w:t xml:space="preserve">r ce point, le Bureau </w:t>
      </w:r>
      <w:r w:rsidR="00754608" w:rsidRPr="00562699">
        <w:rPr>
          <w:lang w:val="fr-FR"/>
        </w:rPr>
        <w:t>i</w:t>
      </w:r>
      <w:r w:rsidRPr="00562699">
        <w:rPr>
          <w:lang w:val="fr-FR"/>
        </w:rPr>
        <w:t>nternational a précisé que le chapitre</w:t>
      </w:r>
      <w:r w:rsidR="004E4E83" w:rsidRPr="00562699">
        <w:rPr>
          <w:lang w:val="fr-FR"/>
        </w:rPr>
        <w:t> </w:t>
      </w:r>
      <w:r w:rsidRPr="00562699">
        <w:rPr>
          <w:lang w:val="fr-FR"/>
        </w:rPr>
        <w:t xml:space="preserve">21 couvrait ce qui était nécessaire pour </w:t>
      </w:r>
      <w:r w:rsidR="00754608" w:rsidRPr="00562699">
        <w:rPr>
          <w:lang w:val="fr-FR"/>
        </w:rPr>
        <w:t>soutenir</w:t>
      </w:r>
      <w:r w:rsidRPr="00562699">
        <w:rPr>
          <w:lang w:val="fr-FR"/>
        </w:rPr>
        <w:t xml:space="preserve"> les processus internes de qualité des administratio</w:t>
      </w:r>
      <w:r w:rsidR="00B85EF1" w:rsidRPr="00562699">
        <w:rPr>
          <w:lang w:val="fr-FR"/>
        </w:rPr>
        <w:t>ns</w:t>
      </w:r>
      <w:r w:rsidR="00B85EF1">
        <w:rPr>
          <w:lang w:val="fr-FR"/>
        </w:rPr>
        <w:t xml:space="preserve">.  </w:t>
      </w:r>
      <w:r w:rsidR="00B85EF1" w:rsidRPr="00562699">
        <w:rPr>
          <w:lang w:val="fr-FR"/>
        </w:rPr>
        <w:t>Di</w:t>
      </w:r>
      <w:r w:rsidRPr="00562699">
        <w:rPr>
          <w:lang w:val="fr-FR"/>
        </w:rPr>
        <w:t xml:space="preserve">fférentes dispositions, telles que la </w:t>
      </w:r>
      <w:r w:rsidR="003C64A0" w:rsidRPr="00562699">
        <w:rPr>
          <w:lang w:val="fr-FR"/>
        </w:rPr>
        <w:t>règle</w:t>
      </w:r>
      <w:r w:rsidR="003C64A0">
        <w:rPr>
          <w:lang w:val="fr-FR"/>
        </w:rPr>
        <w:t> </w:t>
      </w:r>
      <w:r w:rsidR="003C64A0" w:rsidRPr="00562699">
        <w:rPr>
          <w:lang w:val="fr-FR"/>
        </w:rPr>
        <w:t>4</w:t>
      </w:r>
      <w:r w:rsidRPr="00562699">
        <w:rPr>
          <w:lang w:val="fr-FR"/>
        </w:rPr>
        <w:t>3</w:t>
      </w:r>
      <w:r w:rsidR="00754608" w:rsidRPr="00562699">
        <w:rPr>
          <w:lang w:val="fr-FR"/>
        </w:rPr>
        <w:t>.</w:t>
      </w:r>
      <w:r w:rsidRPr="00562699">
        <w:rPr>
          <w:lang w:val="fr-FR"/>
        </w:rPr>
        <w:t>6 et le paragraphe</w:t>
      </w:r>
      <w:r w:rsidR="004E4E83" w:rsidRPr="00562699">
        <w:rPr>
          <w:lang w:val="fr-FR"/>
        </w:rPr>
        <w:t> </w:t>
      </w:r>
      <w:r w:rsidRPr="00562699">
        <w:rPr>
          <w:lang w:val="fr-FR"/>
        </w:rPr>
        <w:t>15</w:t>
      </w:r>
      <w:r w:rsidR="00754608" w:rsidRPr="00562699">
        <w:rPr>
          <w:lang w:val="fr-FR"/>
        </w:rPr>
        <w:t>.</w:t>
      </w:r>
      <w:r w:rsidRPr="00562699">
        <w:rPr>
          <w:lang w:val="fr-FR"/>
        </w:rPr>
        <w:t>62, traitaient de ce qui devrait être mis à la disposition des autres en même temps que le rapport de recherche internationale.</w:t>
      </w:r>
    </w:p>
    <w:p w14:paraId="314D0AA4" w14:textId="29C30059" w:rsidR="003C64A0" w:rsidRDefault="00930DF2" w:rsidP="00170395">
      <w:pPr>
        <w:pStyle w:val="ONUMFS"/>
        <w:rPr>
          <w:lang w:val="fr-FR"/>
        </w:rPr>
      </w:pPr>
      <w:r w:rsidRPr="00562699">
        <w:rPr>
          <w:lang w:val="fr-FR"/>
        </w:rPr>
        <w:t>Une administration a approuvé les modifications qu</w:t>
      </w:r>
      <w:r w:rsidR="003C64A0">
        <w:rPr>
          <w:lang w:val="fr-FR"/>
        </w:rPr>
        <w:t>’</w:t>
      </w:r>
      <w:r w:rsidRPr="00562699">
        <w:rPr>
          <w:lang w:val="fr-FR"/>
        </w:rPr>
        <w:t>il est proposé d</w:t>
      </w:r>
      <w:r w:rsidR="003C64A0">
        <w:rPr>
          <w:lang w:val="fr-FR"/>
        </w:rPr>
        <w:t>’</w:t>
      </w:r>
      <w:r w:rsidRPr="00562699">
        <w:rPr>
          <w:lang w:val="fr-FR"/>
        </w:rPr>
        <w:t>apporter aux paragraphes</w:t>
      </w:r>
      <w:r w:rsidR="004E4E83" w:rsidRPr="00562699">
        <w:rPr>
          <w:lang w:val="fr-FR"/>
        </w:rPr>
        <w:t> </w:t>
      </w:r>
      <w:r w:rsidRPr="00562699">
        <w:rPr>
          <w:lang w:val="fr-FR"/>
        </w:rPr>
        <w:t>21</w:t>
      </w:r>
      <w:r w:rsidR="00754608" w:rsidRPr="00562699">
        <w:rPr>
          <w:lang w:val="fr-FR"/>
        </w:rPr>
        <w:t>.</w:t>
      </w:r>
      <w:r w:rsidRPr="00562699">
        <w:rPr>
          <w:lang w:val="fr-FR"/>
        </w:rPr>
        <w:t>23 et 21</w:t>
      </w:r>
      <w:r w:rsidR="00754608" w:rsidRPr="00562699">
        <w:rPr>
          <w:lang w:val="fr-FR"/>
        </w:rPr>
        <w:t>.</w:t>
      </w:r>
      <w:r w:rsidRPr="00562699">
        <w:rPr>
          <w:lang w:val="fr-FR"/>
        </w:rPr>
        <w:t>24 en ce qui concerne la contribution obligatoire à l</w:t>
      </w:r>
      <w:r w:rsidR="003C64A0">
        <w:rPr>
          <w:lang w:val="fr-FR"/>
        </w:rPr>
        <w:t>’</w:t>
      </w:r>
      <w:r w:rsidRPr="00562699">
        <w:rPr>
          <w:lang w:val="fr-FR"/>
        </w:rPr>
        <w:t>examen interne du système de gestion de la qualité d</w:t>
      </w:r>
      <w:r w:rsidR="003C64A0">
        <w:rPr>
          <w:lang w:val="fr-FR"/>
        </w:rPr>
        <w:t>’</w:t>
      </w:r>
      <w:r w:rsidRPr="00562699">
        <w:rPr>
          <w:lang w:val="fr-FR"/>
        </w:rPr>
        <w:t>une administrati</w:t>
      </w:r>
      <w:r w:rsidR="00B85EF1" w:rsidRPr="00562699">
        <w:rPr>
          <w:lang w:val="fr-FR"/>
        </w:rPr>
        <w:t>on</w:t>
      </w:r>
      <w:r w:rsidR="00B85EF1">
        <w:rPr>
          <w:lang w:val="fr-FR"/>
        </w:rPr>
        <w:t xml:space="preserve">.  </w:t>
      </w:r>
      <w:r w:rsidR="00B85EF1" w:rsidRPr="00562699">
        <w:rPr>
          <w:lang w:val="fr-FR"/>
        </w:rPr>
        <w:t>Su</w:t>
      </w:r>
      <w:r w:rsidRPr="00562699">
        <w:rPr>
          <w:lang w:val="fr-FR"/>
        </w:rPr>
        <w:t>r ce point et, d</w:t>
      </w:r>
      <w:r w:rsidR="003C64A0">
        <w:rPr>
          <w:lang w:val="fr-FR"/>
        </w:rPr>
        <w:t>’</w:t>
      </w:r>
      <w:r w:rsidRPr="00562699">
        <w:rPr>
          <w:lang w:val="fr-FR"/>
        </w:rPr>
        <w:t>une manière plus générale, d</w:t>
      </w:r>
      <w:r w:rsidR="003C64A0">
        <w:rPr>
          <w:lang w:val="fr-FR"/>
        </w:rPr>
        <w:t>’</w:t>
      </w:r>
      <w:r w:rsidRPr="00562699">
        <w:rPr>
          <w:lang w:val="fr-FR"/>
        </w:rPr>
        <w:t xml:space="preserve">autres administrations </w:t>
      </w:r>
      <w:r w:rsidR="00754608" w:rsidRPr="00562699">
        <w:rPr>
          <w:lang w:val="fr-FR"/>
        </w:rPr>
        <w:t>se sont inquiété</w:t>
      </w:r>
      <w:r w:rsidR="004E4E83" w:rsidRPr="00562699">
        <w:rPr>
          <w:lang w:val="fr-FR"/>
        </w:rPr>
        <w:t>e</w:t>
      </w:r>
      <w:r w:rsidR="00754608" w:rsidRPr="00562699">
        <w:rPr>
          <w:lang w:val="fr-FR"/>
        </w:rPr>
        <w:t xml:space="preserve">s du fait que </w:t>
      </w:r>
      <w:r w:rsidRPr="00562699">
        <w:rPr>
          <w:lang w:val="fr-FR"/>
        </w:rPr>
        <w:t>l</w:t>
      </w:r>
      <w:r w:rsidR="003C64A0">
        <w:rPr>
          <w:lang w:val="fr-FR"/>
        </w:rPr>
        <w:t>’</w:t>
      </w:r>
      <w:r w:rsidR="00754608" w:rsidRPr="00562699">
        <w:rPr>
          <w:lang w:val="fr-FR"/>
        </w:rPr>
        <w:t xml:space="preserve">évolution du </w:t>
      </w:r>
      <w:r w:rsidRPr="00562699">
        <w:rPr>
          <w:lang w:val="fr-FR"/>
        </w:rPr>
        <w:t>chapitre</w:t>
      </w:r>
      <w:r w:rsidR="004E4E83" w:rsidRPr="00562699">
        <w:rPr>
          <w:lang w:val="fr-FR"/>
        </w:rPr>
        <w:t> </w:t>
      </w:r>
      <w:r w:rsidRPr="00562699">
        <w:rPr>
          <w:lang w:val="fr-FR"/>
        </w:rPr>
        <w:t xml:space="preserve">21 ne </w:t>
      </w:r>
      <w:r w:rsidR="00754608" w:rsidRPr="00562699">
        <w:rPr>
          <w:lang w:val="fr-FR"/>
        </w:rPr>
        <w:t xml:space="preserve">devrait pas </w:t>
      </w:r>
      <w:r w:rsidRPr="00562699">
        <w:rPr>
          <w:lang w:val="fr-FR"/>
        </w:rPr>
        <w:t xml:space="preserve">nécessairement </w:t>
      </w:r>
      <w:r w:rsidR="00754608" w:rsidRPr="00562699">
        <w:rPr>
          <w:lang w:val="fr-FR"/>
        </w:rPr>
        <w:t xml:space="preserve">viser à rendre obligatoires </w:t>
      </w:r>
      <w:r w:rsidRPr="00562699">
        <w:rPr>
          <w:lang w:val="fr-FR"/>
        </w:rPr>
        <w:t>de nouvelles recommandations dans le</w:t>
      </w:r>
      <w:r w:rsidR="00754608" w:rsidRPr="00562699">
        <w:rPr>
          <w:lang w:val="fr-FR"/>
        </w:rPr>
        <w:t xml:space="preserve"> cadre des directives</w:t>
      </w:r>
      <w:r w:rsidRPr="00562699">
        <w:rPr>
          <w:lang w:val="fr-FR"/>
        </w:rPr>
        <w:t xml:space="preserve">, mais </w:t>
      </w:r>
      <w:r w:rsidR="00754608" w:rsidRPr="00562699">
        <w:rPr>
          <w:lang w:val="fr-FR"/>
        </w:rPr>
        <w:t xml:space="preserve">se concentrer </w:t>
      </w:r>
      <w:r w:rsidRPr="00562699">
        <w:rPr>
          <w:lang w:val="fr-FR"/>
        </w:rPr>
        <w:t>sur ce que les administrations doivent faire pour améliorer leurs procédures de qualité, en faisant preuve de souplesse quant à la manière d</w:t>
      </w:r>
      <w:r w:rsidR="003C64A0">
        <w:rPr>
          <w:lang w:val="fr-FR"/>
        </w:rPr>
        <w:t>’</w:t>
      </w:r>
      <w:r w:rsidRPr="00562699">
        <w:rPr>
          <w:lang w:val="fr-FR"/>
        </w:rPr>
        <w:t>y parvenir.</w:t>
      </w:r>
    </w:p>
    <w:p w14:paraId="1C3ABE4E" w14:textId="765D6740" w:rsidR="009246D2" w:rsidRDefault="00930DF2" w:rsidP="00170395">
      <w:pPr>
        <w:pStyle w:val="Heading2"/>
        <w:rPr>
          <w:lang w:val="fr-FR"/>
        </w:rPr>
      </w:pPr>
      <w:r w:rsidRPr="00170395">
        <w:rPr>
          <w:lang w:val="fr-FR"/>
        </w:rPr>
        <w:t xml:space="preserve">E) </w:t>
      </w:r>
      <w:r w:rsidR="00E15B8E" w:rsidRPr="00170395">
        <w:rPr>
          <w:lang w:val="fr-FR"/>
        </w:rPr>
        <w:tab/>
      </w:r>
      <w:r w:rsidR="00170395" w:rsidRPr="00170395">
        <w:rPr>
          <w:lang w:val="fr-FR"/>
        </w:rPr>
        <w:t>Rapports sur la conformité aux exigences minimales prévues par les règles 36 et 63</w:t>
      </w:r>
    </w:p>
    <w:p w14:paraId="784EFD21" w14:textId="77777777" w:rsidR="00170395" w:rsidRPr="00170395" w:rsidRDefault="00170395" w:rsidP="00170395">
      <w:pPr>
        <w:rPr>
          <w:lang w:val="fr-FR"/>
        </w:rPr>
      </w:pPr>
    </w:p>
    <w:p w14:paraId="14A379C6" w14:textId="7ACBC36F" w:rsidR="009246D2" w:rsidRPr="00562699" w:rsidRDefault="00930DF2" w:rsidP="00170395">
      <w:pPr>
        <w:pStyle w:val="ONUMFS"/>
        <w:rPr>
          <w:lang w:val="fr-FR"/>
        </w:rPr>
      </w:pPr>
      <w:r w:rsidRPr="00562699">
        <w:rPr>
          <w:lang w:val="fr-FR"/>
        </w:rPr>
        <w:t xml:space="preserve">Le Bureau </w:t>
      </w:r>
      <w:r w:rsidR="00754608" w:rsidRPr="00562699">
        <w:rPr>
          <w:lang w:val="fr-FR"/>
        </w:rPr>
        <w:t>i</w:t>
      </w:r>
      <w:r w:rsidRPr="00562699">
        <w:rPr>
          <w:lang w:val="fr-FR"/>
        </w:rPr>
        <w:t>nternational a rappelé que, à la suite des délibérations de la huit</w:t>
      </w:r>
      <w:r w:rsidR="003C64A0">
        <w:rPr>
          <w:lang w:val="fr-FR"/>
        </w:rPr>
        <w:t>ième session</w:t>
      </w:r>
      <w:r w:rsidRPr="00562699">
        <w:rPr>
          <w:lang w:val="fr-FR"/>
        </w:rPr>
        <w:t xml:space="preserve"> du sous</w:t>
      </w:r>
      <w:r w:rsidR="001B4A2C">
        <w:rPr>
          <w:lang w:val="fr-FR"/>
        </w:rPr>
        <w:noBreakHyphen/>
      </w:r>
      <w:r w:rsidRPr="00562699">
        <w:rPr>
          <w:lang w:val="fr-FR"/>
        </w:rPr>
        <w:t>groupe, l</w:t>
      </w:r>
      <w:r w:rsidR="003C64A0">
        <w:rPr>
          <w:lang w:val="fr-FR"/>
        </w:rPr>
        <w:t>’</w:t>
      </w:r>
      <w:r w:rsidRPr="00562699">
        <w:rPr>
          <w:lang w:val="fr-FR"/>
        </w:rPr>
        <w:t>Assemblée de l</w:t>
      </w:r>
      <w:r w:rsidR="003C64A0">
        <w:rPr>
          <w:lang w:val="fr-FR"/>
        </w:rPr>
        <w:t>’</w:t>
      </w:r>
      <w:r w:rsidRPr="00562699">
        <w:rPr>
          <w:lang w:val="fr-FR"/>
        </w:rPr>
        <w:t>Union</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avait adopté un formulaire de candidature à l</w:t>
      </w:r>
      <w:r w:rsidR="003C64A0">
        <w:rPr>
          <w:lang w:val="fr-FR"/>
        </w:rPr>
        <w:t>’</w:t>
      </w:r>
      <w:r w:rsidRPr="00562699">
        <w:rPr>
          <w:lang w:val="fr-FR"/>
        </w:rPr>
        <w:t xml:space="preserve">usage des </w:t>
      </w:r>
      <w:r w:rsidR="00754608" w:rsidRPr="00562699">
        <w:rPr>
          <w:lang w:val="fr-FR"/>
        </w:rPr>
        <w:t>o</w:t>
      </w:r>
      <w:r w:rsidRPr="00562699">
        <w:rPr>
          <w:lang w:val="fr-FR"/>
        </w:rPr>
        <w:t>ffices souhaitant être nommés en qualité d</w:t>
      </w:r>
      <w:r w:rsidR="003C64A0">
        <w:rPr>
          <w:lang w:val="fr-FR"/>
        </w:rPr>
        <w:t>’</w:t>
      </w:r>
      <w:r w:rsidRPr="00562699">
        <w:rPr>
          <w:lang w:val="fr-FR"/>
        </w:rPr>
        <w:t>administration internationa</w:t>
      </w:r>
      <w:r w:rsidR="00B85EF1" w:rsidRPr="00562699">
        <w:rPr>
          <w:lang w:val="fr-FR"/>
        </w:rPr>
        <w:t>le</w:t>
      </w:r>
      <w:r w:rsidR="00B85EF1">
        <w:rPr>
          <w:lang w:val="fr-FR"/>
        </w:rPr>
        <w:t xml:space="preserve">.  </w:t>
      </w:r>
      <w:r w:rsidR="00B85EF1" w:rsidRPr="00562699">
        <w:rPr>
          <w:lang w:val="fr-FR"/>
        </w:rPr>
        <w:t>Le</w:t>
      </w:r>
      <w:r w:rsidRPr="00562699">
        <w:rPr>
          <w:lang w:val="fr-FR"/>
        </w:rPr>
        <w:t xml:space="preserve"> résumé de la session (voir les paragraphes</w:t>
      </w:r>
      <w:r w:rsidR="004E4E83" w:rsidRPr="00562699">
        <w:rPr>
          <w:lang w:val="fr-FR"/>
        </w:rPr>
        <w:t> 68</w:t>
      </w:r>
      <w:r w:rsidRPr="00562699">
        <w:rPr>
          <w:lang w:val="fr-FR"/>
        </w:rPr>
        <w:t xml:space="preserve"> et</w:t>
      </w:r>
      <w:r w:rsidR="004E4E83" w:rsidRPr="00562699">
        <w:rPr>
          <w:lang w:val="fr-FR"/>
        </w:rPr>
        <w:t> </w:t>
      </w:r>
      <w:r w:rsidRPr="00562699">
        <w:rPr>
          <w:lang w:val="fr-FR"/>
        </w:rPr>
        <w:t>69 de l</w:t>
      </w:r>
      <w:r w:rsidR="003C64A0">
        <w:rPr>
          <w:lang w:val="fr-FR"/>
        </w:rPr>
        <w:t>’</w:t>
      </w:r>
      <w:r w:rsidR="003C64A0" w:rsidRPr="00562699">
        <w:rPr>
          <w:lang w:val="fr-FR"/>
        </w:rPr>
        <w:t>annexe</w:t>
      </w:r>
      <w:r w:rsidR="003C64A0">
        <w:rPr>
          <w:lang w:val="fr-FR"/>
        </w:rPr>
        <w:t> </w:t>
      </w:r>
      <w:r w:rsidR="003C64A0" w:rsidRPr="00562699">
        <w:rPr>
          <w:lang w:val="fr-FR"/>
        </w:rPr>
        <w:t>I</w:t>
      </w:r>
      <w:r w:rsidRPr="00562699">
        <w:rPr>
          <w:lang w:val="fr-FR"/>
        </w:rPr>
        <w:t>I du document PCT/MIA/25/13) indiqu</w:t>
      </w:r>
      <w:r w:rsidR="00702B5F" w:rsidRPr="00562699">
        <w:rPr>
          <w:lang w:val="fr-FR"/>
        </w:rPr>
        <w:t>ait</w:t>
      </w:r>
      <w:r w:rsidRPr="00562699">
        <w:rPr>
          <w:lang w:val="fr-FR"/>
        </w:rPr>
        <w:t xml:space="preserve"> que </w:t>
      </w:r>
      <w:r w:rsidR="009D49D9">
        <w:rPr>
          <w:lang w:val="fr-FR"/>
        </w:rPr>
        <w:t>“</w:t>
      </w:r>
      <w:r w:rsidRPr="00562699">
        <w:rPr>
          <w:lang w:val="fr-FR"/>
        </w:rPr>
        <w:t>[l]</w:t>
      </w:r>
      <w:r w:rsidR="00702B5F" w:rsidRPr="00562699">
        <w:rPr>
          <w:lang w:val="fr-FR"/>
        </w:rPr>
        <w:t>a</w:t>
      </w:r>
      <w:r w:rsidRPr="00562699">
        <w:rPr>
          <w:lang w:val="fr-FR"/>
        </w:rPr>
        <w:t xml:space="preserve"> question de la mesure dans laquelle </w:t>
      </w:r>
      <w:r w:rsidR="00702B5F" w:rsidRPr="00562699">
        <w:rPr>
          <w:lang w:val="fr-FR"/>
        </w:rPr>
        <w:t>il</w:t>
      </w:r>
      <w:r w:rsidRPr="00562699">
        <w:rPr>
          <w:lang w:val="fr-FR"/>
        </w:rPr>
        <w:t xml:space="preserve"> devrait s</w:t>
      </w:r>
      <w:r w:rsidR="003C64A0">
        <w:rPr>
          <w:lang w:val="fr-FR"/>
        </w:rPr>
        <w:t>’</w:t>
      </w:r>
      <w:r w:rsidRPr="00562699">
        <w:rPr>
          <w:lang w:val="fr-FR"/>
        </w:rPr>
        <w:t>appliquer aux prolongations de mandat pourrait être examinée à une date ultérieu</w:t>
      </w:r>
      <w:r w:rsidR="00B85EF1" w:rsidRPr="00562699">
        <w:rPr>
          <w:lang w:val="fr-FR"/>
        </w:rPr>
        <w:t>re</w:t>
      </w:r>
      <w:r w:rsidR="00B85EF1">
        <w:rPr>
          <w:lang w:val="fr-FR"/>
        </w:rPr>
        <w:t xml:space="preserve">.  </w:t>
      </w:r>
      <w:r w:rsidR="00B85EF1" w:rsidRPr="00562699">
        <w:rPr>
          <w:lang w:val="fr-FR"/>
        </w:rPr>
        <w:t>Le</w:t>
      </w:r>
      <w:r w:rsidRPr="00562699">
        <w:rPr>
          <w:lang w:val="fr-FR"/>
        </w:rPr>
        <w:t>s administrations étaient prêtes à envisager la possibilité d</w:t>
      </w:r>
      <w:r w:rsidR="003C64A0">
        <w:rPr>
          <w:lang w:val="fr-FR"/>
        </w:rPr>
        <w:t>’</w:t>
      </w:r>
      <w:r w:rsidRPr="00562699">
        <w:rPr>
          <w:lang w:val="fr-FR"/>
        </w:rPr>
        <w:t>étendre la portée des rapports sur la qualité de manière à englober la conformité actuelle aux exigences minimales, notant la crainte que cela donne lieu à une nouvelle exigence distincte et contraignant</w:t>
      </w:r>
      <w:r w:rsidR="003C64A0" w:rsidRPr="00562699">
        <w:rPr>
          <w:lang w:val="fr-FR"/>
        </w:rPr>
        <w:t>e</w:t>
      </w:r>
      <w:r w:rsidR="003C64A0">
        <w:rPr>
          <w:lang w:val="fr-FR"/>
        </w:rPr>
        <w:t>”</w:t>
      </w:r>
      <w:r w:rsidRPr="00562699">
        <w:rPr>
          <w:lang w:val="fr-FR"/>
        </w:rPr>
        <w:t>.</w:t>
      </w:r>
      <w:r w:rsidR="00743A53" w:rsidRPr="00562699">
        <w:rPr>
          <w:lang w:val="fr-FR"/>
        </w:rPr>
        <w:t xml:space="preserve">  </w:t>
      </w:r>
      <w:r w:rsidRPr="00562699">
        <w:rPr>
          <w:lang w:val="fr-FR"/>
        </w:rPr>
        <w:t xml:space="preserve">Les questions étaient complexes et le Bureau </w:t>
      </w:r>
      <w:r w:rsidR="00702B5F" w:rsidRPr="00562699">
        <w:rPr>
          <w:lang w:val="fr-FR"/>
        </w:rPr>
        <w:t>i</w:t>
      </w:r>
      <w:r w:rsidRPr="00562699">
        <w:rPr>
          <w:lang w:val="fr-FR"/>
        </w:rPr>
        <w:t>nternational n</w:t>
      </w:r>
      <w:r w:rsidR="003C64A0">
        <w:rPr>
          <w:lang w:val="fr-FR"/>
        </w:rPr>
        <w:t>’</w:t>
      </w:r>
      <w:r w:rsidR="00702B5F" w:rsidRPr="00562699">
        <w:rPr>
          <w:lang w:val="fr-FR"/>
        </w:rPr>
        <w:t>a</w:t>
      </w:r>
      <w:r w:rsidRPr="00562699">
        <w:rPr>
          <w:lang w:val="fr-FR"/>
        </w:rPr>
        <w:t xml:space="preserve"> pas </w:t>
      </w:r>
      <w:r w:rsidR="00702B5F" w:rsidRPr="00562699">
        <w:rPr>
          <w:lang w:val="fr-FR"/>
        </w:rPr>
        <w:t xml:space="preserve">été </w:t>
      </w:r>
      <w:r w:rsidRPr="00562699">
        <w:rPr>
          <w:lang w:val="fr-FR"/>
        </w:rPr>
        <w:t>en mesure d</w:t>
      </w:r>
      <w:r w:rsidR="00702B5F" w:rsidRPr="00562699">
        <w:rPr>
          <w:lang w:val="fr-FR"/>
        </w:rPr>
        <w:t xml:space="preserve">e présenter </w:t>
      </w:r>
      <w:r w:rsidRPr="00562699">
        <w:rPr>
          <w:lang w:val="fr-FR"/>
        </w:rPr>
        <w:t>des propositions précises sur la manière dont l</w:t>
      </w:r>
      <w:r w:rsidR="00702B5F" w:rsidRPr="00562699">
        <w:rPr>
          <w:lang w:val="fr-FR"/>
        </w:rPr>
        <w:t xml:space="preserve">a conformité </w:t>
      </w:r>
      <w:r w:rsidRPr="00562699">
        <w:rPr>
          <w:lang w:val="fr-FR"/>
        </w:rPr>
        <w:t xml:space="preserve">pourrait être efficacement </w:t>
      </w:r>
      <w:r w:rsidR="00702B5F" w:rsidRPr="00562699">
        <w:rPr>
          <w:lang w:val="fr-FR"/>
        </w:rPr>
        <w:t>notifiée</w:t>
      </w:r>
      <w:r w:rsidRPr="00562699">
        <w:rPr>
          <w:lang w:val="fr-FR"/>
        </w:rPr>
        <w:t xml:space="preserve">, mais il </w:t>
      </w:r>
      <w:r w:rsidR="00702B5F" w:rsidRPr="00562699">
        <w:rPr>
          <w:lang w:val="fr-FR"/>
        </w:rPr>
        <w:t>était</w:t>
      </w:r>
      <w:r w:rsidRPr="00562699">
        <w:rPr>
          <w:lang w:val="fr-FR"/>
        </w:rPr>
        <w:t xml:space="preserve"> souhaitable de donner l</w:t>
      </w:r>
      <w:r w:rsidR="003C64A0">
        <w:rPr>
          <w:lang w:val="fr-FR"/>
        </w:rPr>
        <w:t>’</w:t>
      </w:r>
      <w:r w:rsidRPr="00562699">
        <w:rPr>
          <w:lang w:val="fr-FR"/>
        </w:rPr>
        <w:t xml:space="preserve">assurance que les administrations </w:t>
      </w:r>
      <w:r w:rsidR="00702B5F" w:rsidRPr="00562699">
        <w:rPr>
          <w:lang w:val="fr-FR"/>
        </w:rPr>
        <w:t>respectaient toujours</w:t>
      </w:r>
      <w:r w:rsidRPr="00562699">
        <w:rPr>
          <w:lang w:val="fr-FR"/>
        </w:rPr>
        <w:t xml:space="preserve"> les exigences minimales </w:t>
      </w:r>
      <w:r w:rsidR="00702B5F" w:rsidRPr="00562699">
        <w:rPr>
          <w:lang w:val="fr-FR"/>
        </w:rPr>
        <w:t>applicables à</w:t>
      </w:r>
      <w:r w:rsidR="002E0FA9" w:rsidRPr="00562699">
        <w:rPr>
          <w:lang w:val="fr-FR"/>
        </w:rPr>
        <w:t xml:space="preserve"> la </w:t>
      </w:r>
      <w:proofErr w:type="gramStart"/>
      <w:r w:rsidR="002E0FA9" w:rsidRPr="00562699">
        <w:rPr>
          <w:lang w:val="fr-FR"/>
        </w:rPr>
        <w:t>nomination</w:t>
      </w:r>
      <w:r w:rsidRPr="00562699">
        <w:rPr>
          <w:lang w:val="fr-FR"/>
        </w:rPr>
        <w:t xml:space="preserve">; </w:t>
      </w:r>
      <w:r w:rsidR="00953186">
        <w:rPr>
          <w:lang w:val="fr-FR"/>
        </w:rPr>
        <w:t xml:space="preserve"> </w:t>
      </w:r>
      <w:r w:rsidRPr="00562699">
        <w:rPr>
          <w:lang w:val="fr-FR"/>
        </w:rPr>
        <w:t>les</w:t>
      </w:r>
      <w:proofErr w:type="gramEnd"/>
      <w:r w:rsidRPr="00562699">
        <w:rPr>
          <w:lang w:val="fr-FR"/>
        </w:rPr>
        <w:t xml:space="preserve"> demandes de prolongation de nomination </w:t>
      </w:r>
      <w:r w:rsidR="00702B5F" w:rsidRPr="00562699">
        <w:rPr>
          <w:lang w:val="fr-FR"/>
        </w:rPr>
        <w:t>pouvaient</w:t>
      </w:r>
      <w:r w:rsidRPr="00562699">
        <w:rPr>
          <w:lang w:val="fr-FR"/>
        </w:rPr>
        <w:t xml:space="preserve"> ensuite simplement </w:t>
      </w:r>
      <w:r w:rsidR="00702B5F" w:rsidRPr="00562699">
        <w:rPr>
          <w:lang w:val="fr-FR"/>
        </w:rPr>
        <w:t>faire référence</w:t>
      </w:r>
      <w:r w:rsidRPr="00562699">
        <w:rPr>
          <w:lang w:val="fr-FR"/>
        </w:rPr>
        <w:t xml:space="preserve"> aux rapports appropriés.</w:t>
      </w:r>
    </w:p>
    <w:p w14:paraId="5E8366B0" w14:textId="29D60FDD" w:rsidR="009246D2" w:rsidRPr="00562699" w:rsidRDefault="00930DF2" w:rsidP="00170395">
      <w:pPr>
        <w:pStyle w:val="ONUMFS"/>
        <w:rPr>
          <w:lang w:val="fr-FR"/>
        </w:rPr>
      </w:pPr>
      <w:r w:rsidRPr="00562699">
        <w:rPr>
          <w:lang w:val="fr-FR"/>
        </w:rPr>
        <w:t>Les administrations internationales ont uniquement été en mesure de donner un retour d</w:t>
      </w:r>
      <w:r w:rsidR="003C64A0">
        <w:rPr>
          <w:lang w:val="fr-FR"/>
        </w:rPr>
        <w:t>’</w:t>
      </w:r>
      <w:r w:rsidRPr="00562699">
        <w:rPr>
          <w:lang w:val="fr-FR"/>
        </w:rPr>
        <w:t>information très provisoire sur cette question, mais il y a encore un certain intérêt à envisager la possibilité d</w:t>
      </w:r>
      <w:r w:rsidR="003C64A0">
        <w:rPr>
          <w:lang w:val="fr-FR"/>
        </w:rPr>
        <w:t>’</w:t>
      </w:r>
      <w:r w:rsidRPr="00562699">
        <w:rPr>
          <w:lang w:val="fr-FR"/>
        </w:rPr>
        <w:t xml:space="preserve">étendre </w:t>
      </w:r>
      <w:r w:rsidR="00BC0015" w:rsidRPr="00562699">
        <w:rPr>
          <w:lang w:val="fr-FR"/>
        </w:rPr>
        <w:t>le rapport sur la</w:t>
      </w:r>
      <w:r w:rsidRPr="00562699">
        <w:rPr>
          <w:lang w:val="fr-FR"/>
        </w:rPr>
        <w:t xml:space="preserve"> qualité pour inclure des </w:t>
      </w:r>
      <w:r w:rsidR="00BC0015" w:rsidRPr="00562699">
        <w:rPr>
          <w:lang w:val="fr-FR"/>
        </w:rPr>
        <w:t xml:space="preserve">rapports sur des aspects de </w:t>
      </w:r>
      <w:r w:rsidRPr="00562699">
        <w:rPr>
          <w:lang w:val="fr-FR"/>
        </w:rPr>
        <w:t>l</w:t>
      </w:r>
      <w:r w:rsidR="00BC0015" w:rsidRPr="00562699">
        <w:rPr>
          <w:lang w:val="fr-FR"/>
        </w:rPr>
        <w:t>a conformi</w:t>
      </w:r>
      <w:r w:rsidR="00B85EF1" w:rsidRPr="00562699">
        <w:rPr>
          <w:lang w:val="fr-FR"/>
        </w:rPr>
        <w:t>té</w:t>
      </w:r>
      <w:r w:rsidR="00B85EF1">
        <w:rPr>
          <w:lang w:val="fr-FR"/>
        </w:rPr>
        <w:t xml:space="preserve">.  </w:t>
      </w:r>
      <w:r w:rsidR="00B85EF1" w:rsidRPr="00562699">
        <w:rPr>
          <w:lang w:val="fr-FR"/>
        </w:rPr>
        <w:t>To</w:t>
      </w:r>
      <w:r w:rsidRPr="00562699">
        <w:rPr>
          <w:lang w:val="fr-FR"/>
        </w:rPr>
        <w:t>utefois, il était important d</w:t>
      </w:r>
      <w:r w:rsidR="003C64A0">
        <w:rPr>
          <w:lang w:val="fr-FR"/>
        </w:rPr>
        <w:t>’</w:t>
      </w:r>
      <w:r w:rsidRPr="00562699">
        <w:rPr>
          <w:lang w:val="fr-FR"/>
        </w:rPr>
        <w:t xml:space="preserve">établir une distinction claire entre le respect </w:t>
      </w:r>
      <w:r w:rsidR="00BC0015" w:rsidRPr="00562699">
        <w:rPr>
          <w:lang w:val="fr-FR"/>
        </w:rPr>
        <w:t xml:space="preserve">de la conformité </w:t>
      </w:r>
      <w:r w:rsidR="002E0FA9" w:rsidRPr="00562699">
        <w:rPr>
          <w:lang w:val="fr-FR"/>
        </w:rPr>
        <w:t xml:space="preserve">avec les </w:t>
      </w:r>
      <w:r w:rsidR="00BC0015" w:rsidRPr="00562699">
        <w:rPr>
          <w:lang w:val="fr-FR"/>
        </w:rPr>
        <w:t>exigences</w:t>
      </w:r>
      <w:r w:rsidRPr="00562699">
        <w:rPr>
          <w:lang w:val="fr-FR"/>
        </w:rPr>
        <w:t xml:space="preserve"> et l</w:t>
      </w:r>
      <w:r w:rsidR="003C64A0">
        <w:rPr>
          <w:lang w:val="fr-FR"/>
        </w:rPr>
        <w:t>’</w:t>
      </w:r>
      <w:r w:rsidRPr="00562699">
        <w:rPr>
          <w:lang w:val="fr-FR"/>
        </w:rPr>
        <w:t xml:space="preserve">établissement de rapports sur </w:t>
      </w:r>
      <w:r w:rsidR="00BC0015" w:rsidRPr="00562699">
        <w:rPr>
          <w:lang w:val="fr-FR"/>
        </w:rPr>
        <w:t>la conformi</w:t>
      </w:r>
      <w:r w:rsidR="00B85EF1" w:rsidRPr="00562699">
        <w:rPr>
          <w:lang w:val="fr-FR"/>
        </w:rPr>
        <w:t>té</w:t>
      </w:r>
      <w:r w:rsidR="00B85EF1">
        <w:rPr>
          <w:lang w:val="fr-FR"/>
        </w:rPr>
        <w:t xml:space="preserve">.  </w:t>
      </w:r>
      <w:r w:rsidR="00B85EF1" w:rsidRPr="00562699">
        <w:rPr>
          <w:lang w:val="fr-FR"/>
        </w:rPr>
        <w:t>L</w:t>
      </w:r>
      <w:r w:rsidR="00B85EF1">
        <w:rPr>
          <w:lang w:val="fr-FR"/>
        </w:rPr>
        <w:t>’</w:t>
      </w:r>
      <w:r w:rsidR="00B85EF1" w:rsidRPr="00562699">
        <w:rPr>
          <w:lang w:val="fr-FR"/>
        </w:rPr>
        <w:t>é</w:t>
      </w:r>
      <w:r w:rsidR="002E0FA9" w:rsidRPr="00562699">
        <w:rPr>
          <w:lang w:val="fr-FR"/>
        </w:rPr>
        <w:t xml:space="preserve">tablissement </w:t>
      </w:r>
      <w:r w:rsidR="002E0FA9" w:rsidRPr="00562699">
        <w:rPr>
          <w:lang w:val="fr-FR"/>
        </w:rPr>
        <w:lastRenderedPageBreak/>
        <w:t xml:space="preserve">de </w:t>
      </w:r>
      <w:r w:rsidRPr="00562699">
        <w:rPr>
          <w:lang w:val="fr-FR"/>
        </w:rPr>
        <w:t>rapport</w:t>
      </w:r>
      <w:r w:rsidR="002E0FA9" w:rsidRPr="00562699">
        <w:rPr>
          <w:lang w:val="fr-FR"/>
        </w:rPr>
        <w:t>s</w:t>
      </w:r>
      <w:r w:rsidRPr="00562699">
        <w:rPr>
          <w:lang w:val="fr-FR"/>
        </w:rPr>
        <w:t xml:space="preserve"> ne devrait pas nécessairement faire partie des rapports existants </w:t>
      </w:r>
      <w:r w:rsidR="002E0FA9" w:rsidRPr="00562699">
        <w:rPr>
          <w:lang w:val="fr-FR"/>
        </w:rPr>
        <w:t xml:space="preserve">sur le </w:t>
      </w:r>
      <w:r w:rsidRPr="00562699">
        <w:rPr>
          <w:lang w:val="fr-FR"/>
        </w:rPr>
        <w:t xml:space="preserve">système de gestion de la qualité, qui ne </w:t>
      </w:r>
      <w:r w:rsidR="002E0FA9" w:rsidRPr="00562699">
        <w:rPr>
          <w:lang w:val="fr-FR"/>
        </w:rPr>
        <w:t>prévoyaient</w:t>
      </w:r>
      <w:r w:rsidRPr="00562699">
        <w:rPr>
          <w:lang w:val="fr-FR"/>
        </w:rPr>
        <w:t xml:space="preserve"> pas </w:t>
      </w:r>
      <w:r w:rsidR="00F046A1" w:rsidRPr="00562699">
        <w:rPr>
          <w:lang w:val="fr-FR"/>
        </w:rPr>
        <w:t>l</w:t>
      </w:r>
      <w:r w:rsidR="003C64A0">
        <w:rPr>
          <w:lang w:val="fr-FR"/>
        </w:rPr>
        <w:t>’</w:t>
      </w:r>
      <w:r w:rsidR="00F046A1" w:rsidRPr="00562699">
        <w:rPr>
          <w:lang w:val="fr-FR"/>
        </w:rPr>
        <w:t xml:space="preserve">établissement </w:t>
      </w:r>
      <w:r w:rsidRPr="00562699">
        <w:rPr>
          <w:lang w:val="fr-FR"/>
        </w:rPr>
        <w:t>de rapports sur d</w:t>
      </w:r>
      <w:r w:rsidR="003C64A0">
        <w:rPr>
          <w:lang w:val="fr-FR"/>
        </w:rPr>
        <w:t>’</w:t>
      </w:r>
      <w:r w:rsidRPr="00562699">
        <w:rPr>
          <w:lang w:val="fr-FR"/>
        </w:rPr>
        <w:t>autres</w:t>
      </w:r>
      <w:r w:rsidR="00BC0015" w:rsidRPr="00562699">
        <w:rPr>
          <w:lang w:val="fr-FR"/>
        </w:rPr>
        <w:t xml:space="preserve"> éléments</w:t>
      </w:r>
      <w:r w:rsidRPr="00562699">
        <w:rPr>
          <w:lang w:val="fr-FR"/>
        </w:rPr>
        <w:t xml:space="preserve"> </w:t>
      </w:r>
      <w:r w:rsidR="00BC0015" w:rsidRPr="00562699">
        <w:rPr>
          <w:lang w:val="fr-FR"/>
        </w:rPr>
        <w:t>de la conformi</w:t>
      </w:r>
      <w:r w:rsidR="00B85EF1" w:rsidRPr="00562699">
        <w:rPr>
          <w:lang w:val="fr-FR"/>
        </w:rPr>
        <w:t>té</w:t>
      </w:r>
      <w:r w:rsidR="00B85EF1">
        <w:rPr>
          <w:lang w:val="fr-FR"/>
        </w:rPr>
        <w:t xml:space="preserve">.  </w:t>
      </w:r>
      <w:r w:rsidR="00B85EF1" w:rsidRPr="00562699">
        <w:rPr>
          <w:lang w:val="fr-FR"/>
        </w:rPr>
        <w:t>Un</w:t>
      </w:r>
      <w:r w:rsidRPr="00562699">
        <w:rPr>
          <w:lang w:val="fr-FR"/>
        </w:rPr>
        <w:t>e administration a indiqué qu</w:t>
      </w:r>
      <w:r w:rsidR="003C64A0">
        <w:rPr>
          <w:lang w:val="fr-FR"/>
        </w:rPr>
        <w:t>’</w:t>
      </w:r>
      <w:r w:rsidRPr="00562699">
        <w:rPr>
          <w:lang w:val="fr-FR"/>
        </w:rPr>
        <w:t>elle fournissait déjà une grande partie des informations pertinentes dans les publications existant</w:t>
      </w:r>
      <w:r w:rsidR="00B85EF1" w:rsidRPr="00562699">
        <w:rPr>
          <w:lang w:val="fr-FR"/>
        </w:rPr>
        <w:t>es</w:t>
      </w:r>
      <w:r w:rsidR="00B85EF1">
        <w:rPr>
          <w:lang w:val="fr-FR"/>
        </w:rPr>
        <w:t xml:space="preserve">.  </w:t>
      </w:r>
      <w:r w:rsidR="00B85EF1" w:rsidRPr="00562699">
        <w:rPr>
          <w:lang w:val="fr-FR"/>
        </w:rPr>
        <w:t>Il</w:t>
      </w:r>
      <w:r w:rsidRPr="00562699">
        <w:rPr>
          <w:lang w:val="fr-FR"/>
        </w:rPr>
        <w:t xml:space="preserve"> a également été noté que nombre des difficultés liées à l</w:t>
      </w:r>
      <w:r w:rsidR="003C64A0">
        <w:rPr>
          <w:lang w:val="fr-FR"/>
        </w:rPr>
        <w:t>’</w:t>
      </w:r>
      <w:r w:rsidRPr="00562699">
        <w:rPr>
          <w:lang w:val="fr-FR"/>
        </w:rPr>
        <w:t>état de la documentation minimale</w:t>
      </w:r>
      <w:r w:rsidR="003C64A0" w:rsidRPr="00562699">
        <w:rPr>
          <w:lang w:val="fr-FR"/>
        </w:rPr>
        <w:t xml:space="preserve"> du</w:t>
      </w:r>
      <w:r w:rsidR="003C64A0">
        <w:rPr>
          <w:lang w:val="fr-FR"/>
        </w:rPr>
        <w:t> </w:t>
      </w:r>
      <w:r w:rsidR="003C64A0" w:rsidRPr="00562699">
        <w:rPr>
          <w:lang w:val="fr-FR"/>
        </w:rPr>
        <w:t>PCT</w:t>
      </w:r>
      <w:r w:rsidRPr="00562699">
        <w:rPr>
          <w:lang w:val="fr-FR"/>
        </w:rPr>
        <w:t xml:space="preserve"> avaient été résolues par les travaux de l</w:t>
      </w:r>
      <w:r w:rsidR="003C64A0">
        <w:rPr>
          <w:lang w:val="fr-FR"/>
        </w:rPr>
        <w:t>’</w:t>
      </w:r>
      <w:r w:rsidRPr="00562699">
        <w:rPr>
          <w:lang w:val="fr-FR"/>
        </w:rPr>
        <w:t xml:space="preserve">équipe </w:t>
      </w:r>
      <w:r w:rsidR="00BC0015" w:rsidRPr="00562699">
        <w:rPr>
          <w:lang w:val="fr-FR"/>
        </w:rPr>
        <w:t>d</w:t>
      </w:r>
      <w:r w:rsidR="003C64A0">
        <w:rPr>
          <w:lang w:val="fr-FR"/>
        </w:rPr>
        <w:t>’</w:t>
      </w:r>
      <w:r w:rsidR="00BC0015" w:rsidRPr="00562699">
        <w:rPr>
          <w:lang w:val="fr-FR"/>
        </w:rPr>
        <w:t>experts</w:t>
      </w:r>
      <w:r w:rsidRPr="00562699">
        <w:rPr>
          <w:lang w:val="fr-FR"/>
        </w:rPr>
        <w:t xml:space="preserve"> compétente et que d</w:t>
      </w:r>
      <w:r w:rsidR="003C64A0">
        <w:rPr>
          <w:lang w:val="fr-FR"/>
        </w:rPr>
        <w:t>’</w:t>
      </w:r>
      <w:r w:rsidRPr="00562699">
        <w:rPr>
          <w:lang w:val="fr-FR"/>
        </w:rPr>
        <w:t xml:space="preserve">autres seraient également </w:t>
      </w:r>
      <w:r w:rsidR="00BC0015" w:rsidRPr="00562699">
        <w:rPr>
          <w:lang w:val="fr-FR"/>
        </w:rPr>
        <w:t>traitées</w:t>
      </w:r>
      <w:r w:rsidRPr="00562699">
        <w:rPr>
          <w:lang w:val="fr-FR"/>
        </w:rPr>
        <w:t xml:space="preserve"> si les recommandations de l</w:t>
      </w:r>
      <w:r w:rsidR="003C64A0">
        <w:rPr>
          <w:lang w:val="fr-FR"/>
        </w:rPr>
        <w:t>’</w:t>
      </w:r>
      <w:r w:rsidRPr="00562699">
        <w:rPr>
          <w:lang w:val="fr-FR"/>
        </w:rPr>
        <w:t>équipe d</w:t>
      </w:r>
      <w:r w:rsidR="003C64A0">
        <w:rPr>
          <w:lang w:val="fr-FR"/>
        </w:rPr>
        <w:t>’</w:t>
      </w:r>
      <w:r w:rsidRPr="00562699">
        <w:rPr>
          <w:lang w:val="fr-FR"/>
        </w:rPr>
        <w:t>experts étaient adopté</w:t>
      </w:r>
      <w:r w:rsidR="00B85EF1" w:rsidRPr="00562699">
        <w:rPr>
          <w:lang w:val="fr-FR"/>
        </w:rPr>
        <w:t>es</w:t>
      </w:r>
      <w:r w:rsidR="00B85EF1">
        <w:rPr>
          <w:lang w:val="fr-FR"/>
        </w:rPr>
        <w:t xml:space="preserve">.  </w:t>
      </w:r>
      <w:r w:rsidR="00B85EF1" w:rsidRPr="00562699">
        <w:rPr>
          <w:lang w:val="fr-FR"/>
        </w:rPr>
        <w:t>Il</w:t>
      </w:r>
      <w:r w:rsidRPr="00562699">
        <w:rPr>
          <w:lang w:val="fr-FR"/>
        </w:rPr>
        <w:t xml:space="preserve"> a également été suggéré que </w:t>
      </w:r>
      <w:r w:rsidR="00BC0015" w:rsidRPr="00562699">
        <w:rPr>
          <w:lang w:val="fr-FR"/>
        </w:rPr>
        <w:t xml:space="preserve">le recours à des auditeurs </w:t>
      </w:r>
      <w:r w:rsidRPr="00562699">
        <w:rPr>
          <w:lang w:val="fr-FR"/>
        </w:rPr>
        <w:t xml:space="preserve">externes </w:t>
      </w:r>
      <w:r w:rsidR="00BC0015" w:rsidRPr="00562699">
        <w:rPr>
          <w:lang w:val="fr-FR"/>
        </w:rPr>
        <w:t xml:space="preserve">pourrait constituer une approche adéquate pour </w:t>
      </w:r>
      <w:r w:rsidRPr="00562699">
        <w:rPr>
          <w:lang w:val="fr-FR"/>
        </w:rPr>
        <w:t xml:space="preserve">confirmer </w:t>
      </w:r>
      <w:r w:rsidR="00BC0015" w:rsidRPr="00562699">
        <w:rPr>
          <w:lang w:val="fr-FR"/>
        </w:rPr>
        <w:t xml:space="preserve">la conformité avec les </w:t>
      </w:r>
      <w:r w:rsidRPr="00562699">
        <w:rPr>
          <w:lang w:val="fr-FR"/>
        </w:rPr>
        <w:t xml:space="preserve">exigences, conformément </w:t>
      </w:r>
      <w:r w:rsidR="00BC0015" w:rsidRPr="00562699">
        <w:rPr>
          <w:lang w:val="fr-FR"/>
        </w:rPr>
        <w:t xml:space="preserve">aux approches de </w:t>
      </w:r>
      <w:r w:rsidRPr="00562699">
        <w:rPr>
          <w:lang w:val="fr-FR"/>
        </w:rPr>
        <w:t>la norme</w:t>
      </w:r>
      <w:r w:rsidR="00953186">
        <w:rPr>
          <w:lang w:val="fr-FR"/>
        </w:rPr>
        <w:t> </w:t>
      </w:r>
      <w:r w:rsidRPr="00562699">
        <w:rPr>
          <w:lang w:val="fr-FR"/>
        </w:rPr>
        <w:t>ISO</w:t>
      </w:r>
      <w:r w:rsidR="009D49D9">
        <w:rPr>
          <w:lang w:val="fr-FR"/>
        </w:rPr>
        <w:t> </w:t>
      </w:r>
      <w:r w:rsidRPr="00562699">
        <w:rPr>
          <w:lang w:val="fr-FR"/>
        </w:rPr>
        <w:t>9001.</w:t>
      </w:r>
    </w:p>
    <w:p w14:paraId="72074BE5" w14:textId="30F820F6" w:rsidR="009246D2" w:rsidRPr="00562699" w:rsidRDefault="00930DF2" w:rsidP="00170395">
      <w:pPr>
        <w:pStyle w:val="ONUMFS"/>
        <w:ind w:left="567"/>
        <w:rPr>
          <w:lang w:val="fr-FR"/>
        </w:rPr>
      </w:pPr>
      <w:r w:rsidRPr="00562699">
        <w:rPr>
          <w:lang w:val="fr-FR"/>
        </w:rPr>
        <w:t>Le sous</w:t>
      </w:r>
      <w:r w:rsidR="001B4A2C">
        <w:rPr>
          <w:lang w:val="fr-FR"/>
        </w:rPr>
        <w:noBreakHyphen/>
      </w:r>
      <w:r w:rsidRPr="00562699">
        <w:rPr>
          <w:lang w:val="fr-FR"/>
        </w:rPr>
        <w:t>groupe est convenu de poursuivre l</w:t>
      </w:r>
      <w:r w:rsidR="003C64A0">
        <w:rPr>
          <w:lang w:val="fr-FR"/>
        </w:rPr>
        <w:t>’</w:t>
      </w:r>
      <w:r w:rsidRPr="00562699">
        <w:rPr>
          <w:lang w:val="fr-FR"/>
        </w:rPr>
        <w:t xml:space="preserve">examen de la manière dont le </w:t>
      </w:r>
      <w:r w:rsidR="00BC0015" w:rsidRPr="00562699">
        <w:rPr>
          <w:lang w:val="fr-FR"/>
        </w:rPr>
        <w:t xml:space="preserve">maintien de la conformité avec les </w:t>
      </w:r>
      <w:r w:rsidRPr="00562699">
        <w:rPr>
          <w:lang w:val="fr-FR"/>
        </w:rPr>
        <w:t xml:space="preserve">exigences minimales prévues </w:t>
      </w:r>
      <w:r w:rsidR="00BC0015" w:rsidRPr="00562699">
        <w:rPr>
          <w:lang w:val="fr-FR"/>
        </w:rPr>
        <w:t xml:space="preserve">par les </w:t>
      </w:r>
      <w:r w:rsidR="003C64A0" w:rsidRPr="00562699">
        <w:rPr>
          <w:lang w:val="fr-FR"/>
        </w:rPr>
        <w:t>règles</w:t>
      </w:r>
      <w:r w:rsidR="003C64A0">
        <w:rPr>
          <w:lang w:val="fr-FR"/>
        </w:rPr>
        <w:t> </w:t>
      </w:r>
      <w:r w:rsidR="003C64A0" w:rsidRPr="00562699">
        <w:rPr>
          <w:lang w:val="fr-FR"/>
        </w:rPr>
        <w:t>3</w:t>
      </w:r>
      <w:r w:rsidRPr="00562699">
        <w:rPr>
          <w:lang w:val="fr-FR"/>
        </w:rPr>
        <w:t>6 et 63 pourrait être efficacement signalé.</w:t>
      </w:r>
    </w:p>
    <w:p w14:paraId="1CF787DB" w14:textId="772583C0" w:rsidR="009246D2" w:rsidRDefault="00930DF2" w:rsidP="00170395">
      <w:pPr>
        <w:pStyle w:val="Heading2"/>
        <w:rPr>
          <w:lang w:val="fr-FR"/>
        </w:rPr>
      </w:pPr>
      <w:r w:rsidRPr="00170395">
        <w:rPr>
          <w:lang w:val="fr-FR"/>
        </w:rPr>
        <w:t xml:space="preserve">F) </w:t>
      </w:r>
      <w:r w:rsidR="00E15B8E" w:rsidRPr="00170395">
        <w:rPr>
          <w:lang w:val="fr-FR"/>
        </w:rPr>
        <w:tab/>
      </w:r>
      <w:r w:rsidRPr="00170395">
        <w:rPr>
          <w:lang w:val="fr-FR"/>
        </w:rPr>
        <w:t>Retour d</w:t>
      </w:r>
      <w:r w:rsidR="003C64A0" w:rsidRPr="00170395">
        <w:rPr>
          <w:lang w:val="fr-FR"/>
        </w:rPr>
        <w:t>’</w:t>
      </w:r>
      <w:r w:rsidRPr="00170395">
        <w:rPr>
          <w:lang w:val="fr-FR"/>
        </w:rPr>
        <w:t>information sur l</w:t>
      </w:r>
      <w:r w:rsidR="003C64A0" w:rsidRPr="00170395">
        <w:rPr>
          <w:lang w:val="fr-FR"/>
        </w:rPr>
        <w:t>’</w:t>
      </w:r>
      <w:r w:rsidRPr="00170395">
        <w:rPr>
          <w:lang w:val="fr-FR"/>
        </w:rPr>
        <w:t>examen collégial des systèmes de gestion de la qualité des administrations internationales</w:t>
      </w:r>
    </w:p>
    <w:p w14:paraId="753C4CD7" w14:textId="77777777" w:rsidR="00170395" w:rsidRPr="00170395" w:rsidRDefault="00170395" w:rsidP="00170395">
      <w:pPr>
        <w:rPr>
          <w:lang w:val="fr-FR"/>
        </w:rPr>
      </w:pPr>
    </w:p>
    <w:p w14:paraId="5F23932E" w14:textId="7ACD8699" w:rsidR="009246D2" w:rsidRPr="00562699" w:rsidRDefault="00930DF2" w:rsidP="00170395">
      <w:pPr>
        <w:pStyle w:val="ONUMFS"/>
        <w:rPr>
          <w:lang w:val="fr-FR"/>
        </w:rPr>
      </w:pPr>
      <w:r w:rsidRPr="00562699">
        <w:rPr>
          <w:lang w:val="fr-FR"/>
        </w:rPr>
        <w:t>Les neuf</w:t>
      </w:r>
      <w:r w:rsidR="00953186">
        <w:rPr>
          <w:lang w:val="fr-FR"/>
        </w:rPr>
        <w:t> </w:t>
      </w:r>
      <w:r w:rsidRPr="00562699">
        <w:rPr>
          <w:lang w:val="fr-FR"/>
        </w:rPr>
        <w:t>administrations qui ont participé à l</w:t>
      </w:r>
      <w:r w:rsidR="003C64A0">
        <w:rPr>
          <w:lang w:val="fr-FR"/>
        </w:rPr>
        <w:t>’</w:t>
      </w:r>
      <w:r w:rsidRPr="00562699">
        <w:rPr>
          <w:lang w:val="fr-FR"/>
        </w:rPr>
        <w:t>examen collégial ont convenu que cet exercice avait été bénéfique pour comprendre le système de gestion de la qualité d</w:t>
      </w:r>
      <w:r w:rsidR="003C64A0">
        <w:rPr>
          <w:lang w:val="fr-FR"/>
        </w:rPr>
        <w:t>’</w:t>
      </w:r>
      <w:r w:rsidRPr="00562699">
        <w:rPr>
          <w:lang w:val="fr-FR"/>
        </w:rPr>
        <w:t xml:space="preserve">autres administrations et recevoir des informations en retour sur </w:t>
      </w:r>
      <w:r w:rsidR="009E30FE" w:rsidRPr="00562699">
        <w:rPr>
          <w:lang w:val="fr-FR"/>
        </w:rPr>
        <w:t>leur</w:t>
      </w:r>
      <w:r w:rsidRPr="00562699">
        <w:rPr>
          <w:lang w:val="fr-FR"/>
        </w:rPr>
        <w:t xml:space="preserve"> propre système de gestion de la qualité, qu</w:t>
      </w:r>
      <w:r w:rsidR="003C64A0">
        <w:rPr>
          <w:lang w:val="fr-FR"/>
        </w:rPr>
        <w:t>’</w:t>
      </w:r>
      <w:r w:rsidRPr="00562699">
        <w:rPr>
          <w:lang w:val="fr-FR"/>
        </w:rPr>
        <w:t xml:space="preserve">ils </w:t>
      </w:r>
      <w:r w:rsidR="009E30FE" w:rsidRPr="00562699">
        <w:rPr>
          <w:lang w:val="fr-FR"/>
        </w:rPr>
        <w:t>transmettront à leurs administrations respectiv</w:t>
      </w:r>
      <w:r w:rsidR="00B85EF1" w:rsidRPr="00562699">
        <w:rPr>
          <w:lang w:val="fr-FR"/>
        </w:rPr>
        <w:t>es</w:t>
      </w:r>
      <w:r w:rsidR="00B85EF1">
        <w:rPr>
          <w:lang w:val="fr-FR"/>
        </w:rPr>
        <w:t xml:space="preserve">.  </w:t>
      </w:r>
      <w:r w:rsidR="00B85EF1" w:rsidRPr="00562699">
        <w:rPr>
          <w:lang w:val="fr-FR"/>
        </w:rPr>
        <w:t>Le</w:t>
      </w:r>
      <w:r w:rsidRPr="00562699">
        <w:rPr>
          <w:lang w:val="fr-FR"/>
        </w:rPr>
        <w:t>s administrations qui particip</w:t>
      </w:r>
      <w:r w:rsidR="009E30FE" w:rsidRPr="00562699">
        <w:rPr>
          <w:lang w:val="fr-FR"/>
        </w:rPr>
        <w:t>aient à l</w:t>
      </w:r>
      <w:r w:rsidR="003C64A0">
        <w:rPr>
          <w:lang w:val="fr-FR"/>
        </w:rPr>
        <w:t>’</w:t>
      </w:r>
      <w:r w:rsidR="009E30FE" w:rsidRPr="00562699">
        <w:rPr>
          <w:lang w:val="fr-FR"/>
        </w:rPr>
        <w:t>exercice</w:t>
      </w:r>
      <w:r w:rsidRPr="00562699">
        <w:rPr>
          <w:lang w:val="fr-FR"/>
        </w:rPr>
        <w:t xml:space="preserve"> pour la première fois </w:t>
      </w:r>
      <w:r w:rsidR="009E30FE" w:rsidRPr="00562699">
        <w:rPr>
          <w:lang w:val="fr-FR"/>
        </w:rPr>
        <w:t>ont jugé les séances util</w:t>
      </w:r>
      <w:r w:rsidR="00B85EF1" w:rsidRPr="00562699">
        <w:rPr>
          <w:lang w:val="fr-FR"/>
        </w:rPr>
        <w:t>es</w:t>
      </w:r>
      <w:r w:rsidR="00B85EF1">
        <w:rPr>
          <w:lang w:val="fr-FR"/>
        </w:rPr>
        <w:t xml:space="preserve">.  </w:t>
      </w:r>
      <w:r w:rsidR="00B85EF1" w:rsidRPr="00562699">
        <w:rPr>
          <w:lang w:val="fr-FR"/>
        </w:rPr>
        <w:t>Un</w:t>
      </w:r>
      <w:r w:rsidRPr="00562699">
        <w:rPr>
          <w:lang w:val="fr-FR"/>
        </w:rPr>
        <w:t xml:space="preserve">e administration </w:t>
      </w:r>
      <w:r w:rsidR="00F046A1" w:rsidRPr="00562699">
        <w:rPr>
          <w:lang w:val="fr-FR"/>
        </w:rPr>
        <w:t xml:space="preserve">qui participait à </w:t>
      </w:r>
      <w:r w:rsidRPr="00562699">
        <w:rPr>
          <w:lang w:val="fr-FR"/>
        </w:rPr>
        <w:t>l</w:t>
      </w:r>
      <w:r w:rsidR="003C64A0">
        <w:rPr>
          <w:lang w:val="fr-FR"/>
        </w:rPr>
        <w:t>’</w:t>
      </w:r>
      <w:r w:rsidRPr="00562699">
        <w:rPr>
          <w:lang w:val="fr-FR"/>
        </w:rPr>
        <w:t xml:space="preserve">examen collégial </w:t>
      </w:r>
      <w:r w:rsidR="00F046A1" w:rsidRPr="00562699">
        <w:rPr>
          <w:lang w:val="fr-FR"/>
        </w:rPr>
        <w:t xml:space="preserve">depuis le début </w:t>
      </w:r>
      <w:r w:rsidRPr="00562699">
        <w:rPr>
          <w:lang w:val="fr-FR"/>
        </w:rPr>
        <w:t>a ajouté qu</w:t>
      </w:r>
      <w:r w:rsidR="003C64A0">
        <w:rPr>
          <w:lang w:val="fr-FR"/>
        </w:rPr>
        <w:t>’</w:t>
      </w:r>
      <w:r w:rsidRPr="00562699">
        <w:rPr>
          <w:lang w:val="fr-FR"/>
        </w:rPr>
        <w:t xml:space="preserve">elle avait appris de nouvelles choses </w:t>
      </w:r>
      <w:r w:rsidR="00F046A1" w:rsidRPr="00562699">
        <w:rPr>
          <w:lang w:val="fr-FR"/>
        </w:rPr>
        <w:t>à</w:t>
      </w:r>
      <w:r w:rsidR="009E30FE" w:rsidRPr="00562699">
        <w:rPr>
          <w:lang w:val="fr-FR"/>
        </w:rPr>
        <w:t xml:space="preserve"> chacune des séances annuelles.</w:t>
      </w:r>
    </w:p>
    <w:p w14:paraId="72D23582" w14:textId="5D74F84F" w:rsidR="009246D2" w:rsidRPr="00562699" w:rsidRDefault="00930DF2" w:rsidP="00170395">
      <w:pPr>
        <w:pStyle w:val="ONUMFS"/>
        <w:rPr>
          <w:lang w:val="fr-FR"/>
        </w:rPr>
      </w:pPr>
      <w:r w:rsidRPr="00562699">
        <w:rPr>
          <w:lang w:val="fr-FR"/>
        </w:rPr>
        <w:t xml:space="preserve">Il a été convenu que les examens collégiaux devraient se poursuivre </w:t>
      </w:r>
      <w:r w:rsidR="009E30FE" w:rsidRPr="00562699">
        <w:rPr>
          <w:lang w:val="fr-FR"/>
        </w:rPr>
        <w:t xml:space="preserve">lors de </w:t>
      </w:r>
      <w:r w:rsidRPr="00562699">
        <w:rPr>
          <w:lang w:val="fr-FR"/>
        </w:rPr>
        <w:t xml:space="preserve">la réunion du </w:t>
      </w:r>
      <w:r w:rsidR="009E30FE" w:rsidRPr="00562699">
        <w:rPr>
          <w:lang w:val="fr-FR"/>
        </w:rPr>
        <w:t>S</w:t>
      </w:r>
      <w:r w:rsidRPr="00562699">
        <w:rPr>
          <w:lang w:val="fr-FR"/>
        </w:rPr>
        <w:t>ous</w:t>
      </w:r>
      <w:r w:rsidR="001B4A2C">
        <w:rPr>
          <w:lang w:val="fr-FR"/>
        </w:rPr>
        <w:noBreakHyphen/>
      </w:r>
      <w:r w:rsidRPr="00562699">
        <w:rPr>
          <w:lang w:val="fr-FR"/>
        </w:rPr>
        <w:t xml:space="preserve">groupe </w:t>
      </w:r>
      <w:r w:rsidR="009E30FE" w:rsidRPr="00562699">
        <w:rPr>
          <w:lang w:val="fr-FR"/>
        </w:rPr>
        <w:t xml:space="preserve">chargé </w:t>
      </w:r>
      <w:r w:rsidRPr="00562699">
        <w:rPr>
          <w:lang w:val="fr-FR"/>
        </w:rPr>
        <w:t>de la qualité de l</w:t>
      </w:r>
      <w:r w:rsidR="003C64A0">
        <w:rPr>
          <w:lang w:val="fr-FR"/>
        </w:rPr>
        <w:t>’</w:t>
      </w:r>
      <w:r w:rsidRPr="00562699">
        <w:rPr>
          <w:lang w:val="fr-FR"/>
        </w:rPr>
        <w:t>année prochai</w:t>
      </w:r>
      <w:r w:rsidR="00B85EF1" w:rsidRPr="00562699">
        <w:rPr>
          <w:lang w:val="fr-FR"/>
        </w:rPr>
        <w:t>ne</w:t>
      </w:r>
      <w:r w:rsidR="00B85EF1">
        <w:rPr>
          <w:lang w:val="fr-FR"/>
        </w:rPr>
        <w:t xml:space="preserve">.  </w:t>
      </w:r>
      <w:r w:rsidR="00B85EF1" w:rsidRPr="00562699">
        <w:rPr>
          <w:lang w:val="fr-FR"/>
        </w:rPr>
        <w:t>Le</w:t>
      </w:r>
      <w:r w:rsidRPr="00562699">
        <w:rPr>
          <w:lang w:val="fr-FR"/>
        </w:rPr>
        <w:t>s administrations participantes ont également encouragé d</w:t>
      </w:r>
      <w:r w:rsidR="003C64A0">
        <w:rPr>
          <w:lang w:val="fr-FR"/>
        </w:rPr>
        <w:t>’</w:t>
      </w:r>
      <w:r w:rsidRPr="00562699">
        <w:rPr>
          <w:lang w:val="fr-FR"/>
        </w:rPr>
        <w:t xml:space="preserve">autres administrations à </w:t>
      </w:r>
      <w:r w:rsidR="009E30FE" w:rsidRPr="00562699">
        <w:rPr>
          <w:lang w:val="fr-FR"/>
        </w:rPr>
        <w:t>rejoindre les séances</w:t>
      </w:r>
      <w:r w:rsidRPr="00562699">
        <w:rPr>
          <w:lang w:val="fr-FR"/>
        </w:rPr>
        <w:t xml:space="preserve"> d</w:t>
      </w:r>
      <w:r w:rsidR="003C64A0">
        <w:rPr>
          <w:lang w:val="fr-FR"/>
        </w:rPr>
        <w:t>’</w:t>
      </w:r>
      <w:r w:rsidRPr="00562699">
        <w:rPr>
          <w:lang w:val="fr-FR"/>
        </w:rPr>
        <w:t xml:space="preserve">examen collégial, ce qui </w:t>
      </w:r>
      <w:r w:rsidR="001942EB" w:rsidRPr="00562699">
        <w:rPr>
          <w:lang w:val="fr-FR"/>
        </w:rPr>
        <w:t>présenterait</w:t>
      </w:r>
      <w:r w:rsidRPr="00562699">
        <w:rPr>
          <w:lang w:val="fr-FR"/>
        </w:rPr>
        <w:t xml:space="preserve"> l</w:t>
      </w:r>
      <w:r w:rsidR="003C64A0">
        <w:rPr>
          <w:lang w:val="fr-FR"/>
        </w:rPr>
        <w:t>’</w:t>
      </w:r>
      <w:r w:rsidRPr="00562699">
        <w:rPr>
          <w:lang w:val="fr-FR"/>
        </w:rPr>
        <w:t>avantage que deux</w:t>
      </w:r>
      <w:r w:rsidR="00953186">
        <w:rPr>
          <w:lang w:val="fr-FR"/>
        </w:rPr>
        <w:t> </w:t>
      </w:r>
      <w:r w:rsidRPr="00562699">
        <w:rPr>
          <w:lang w:val="fr-FR"/>
        </w:rPr>
        <w:t xml:space="preserve">administrations participantes se </w:t>
      </w:r>
      <w:r w:rsidR="009E30FE" w:rsidRPr="00562699">
        <w:rPr>
          <w:lang w:val="fr-FR"/>
        </w:rPr>
        <w:t xml:space="preserve">rencontreraient moins fréquemment lors des séances </w:t>
      </w:r>
      <w:r w:rsidRPr="00562699">
        <w:rPr>
          <w:lang w:val="fr-FR"/>
        </w:rPr>
        <w:t>d</w:t>
      </w:r>
      <w:r w:rsidR="003C64A0">
        <w:rPr>
          <w:lang w:val="fr-FR"/>
        </w:rPr>
        <w:t>’</w:t>
      </w:r>
      <w:r w:rsidRPr="00562699">
        <w:rPr>
          <w:lang w:val="fr-FR"/>
        </w:rPr>
        <w:t>examen collégial.</w:t>
      </w:r>
    </w:p>
    <w:p w14:paraId="43120245" w14:textId="7A9BE370" w:rsidR="003C64A0" w:rsidRDefault="00930DF2" w:rsidP="00170395">
      <w:pPr>
        <w:pStyle w:val="ONUMFS"/>
        <w:rPr>
          <w:lang w:val="fr-FR"/>
        </w:rPr>
      </w:pPr>
      <w:r w:rsidRPr="00562699">
        <w:rPr>
          <w:lang w:val="fr-FR"/>
        </w:rPr>
        <w:t>En ce qui concerne la logistique, certaines administrations participantes ont souhaité que leur dialogue sur l</w:t>
      </w:r>
      <w:r w:rsidR="003C64A0">
        <w:rPr>
          <w:lang w:val="fr-FR"/>
        </w:rPr>
        <w:t>’</w:t>
      </w:r>
      <w:r w:rsidRPr="00562699">
        <w:rPr>
          <w:lang w:val="fr-FR"/>
        </w:rPr>
        <w:t xml:space="preserve">examen collégial se déroule dans une pièce </w:t>
      </w:r>
      <w:r w:rsidR="001942EB" w:rsidRPr="00562699">
        <w:rPr>
          <w:lang w:val="fr-FR"/>
        </w:rPr>
        <w:t>sépar</w:t>
      </w:r>
      <w:r w:rsidR="00B85EF1" w:rsidRPr="00562699">
        <w:rPr>
          <w:lang w:val="fr-FR"/>
        </w:rPr>
        <w:t>ée</w:t>
      </w:r>
      <w:r w:rsidR="00B85EF1">
        <w:rPr>
          <w:lang w:val="fr-FR"/>
        </w:rPr>
        <w:t xml:space="preserve">.  </w:t>
      </w:r>
      <w:r w:rsidR="00B85EF1" w:rsidRPr="00562699">
        <w:rPr>
          <w:lang w:val="fr-FR"/>
        </w:rPr>
        <w:t>Un</w:t>
      </w:r>
      <w:r w:rsidRPr="00562699">
        <w:rPr>
          <w:lang w:val="fr-FR"/>
        </w:rPr>
        <w:t xml:space="preserve">e administration </w:t>
      </w:r>
      <w:r w:rsidR="001942EB" w:rsidRPr="00562699">
        <w:rPr>
          <w:lang w:val="fr-FR"/>
        </w:rPr>
        <w:t xml:space="preserve">qui recourt </w:t>
      </w:r>
      <w:r w:rsidRPr="00562699">
        <w:rPr>
          <w:lang w:val="fr-FR"/>
        </w:rPr>
        <w:t>réguli</w:t>
      </w:r>
      <w:r w:rsidR="001942EB" w:rsidRPr="00562699">
        <w:rPr>
          <w:lang w:val="fr-FR"/>
        </w:rPr>
        <w:t xml:space="preserve">èrement </w:t>
      </w:r>
      <w:r w:rsidRPr="00562699">
        <w:rPr>
          <w:lang w:val="fr-FR"/>
        </w:rPr>
        <w:t>à la téléconférence pour les discussions avec d</w:t>
      </w:r>
      <w:r w:rsidR="003C64A0">
        <w:rPr>
          <w:lang w:val="fr-FR"/>
        </w:rPr>
        <w:t>’</w:t>
      </w:r>
      <w:r w:rsidRPr="00562699">
        <w:rPr>
          <w:lang w:val="fr-FR"/>
        </w:rPr>
        <w:t xml:space="preserve">autres </w:t>
      </w:r>
      <w:r w:rsidR="001942EB" w:rsidRPr="00562699">
        <w:rPr>
          <w:lang w:val="fr-FR"/>
        </w:rPr>
        <w:t>o</w:t>
      </w:r>
      <w:r w:rsidRPr="00562699">
        <w:rPr>
          <w:lang w:val="fr-FR"/>
        </w:rPr>
        <w:t xml:space="preserve">ffices a estimé que </w:t>
      </w:r>
      <w:r w:rsidR="001942EB" w:rsidRPr="00562699">
        <w:rPr>
          <w:lang w:val="fr-FR"/>
        </w:rPr>
        <w:t>des</w:t>
      </w:r>
      <w:r w:rsidRPr="00562699">
        <w:rPr>
          <w:lang w:val="fr-FR"/>
        </w:rPr>
        <w:t xml:space="preserve"> installations de vi</w:t>
      </w:r>
      <w:r w:rsidR="00F046A1" w:rsidRPr="00562699">
        <w:rPr>
          <w:lang w:val="fr-FR"/>
        </w:rPr>
        <w:t>déo</w:t>
      </w:r>
      <w:r w:rsidRPr="00562699">
        <w:rPr>
          <w:lang w:val="fr-FR"/>
        </w:rPr>
        <w:t>conférence pour permettre la participation de</w:t>
      </w:r>
      <w:r w:rsidR="001942EB" w:rsidRPr="00562699">
        <w:rPr>
          <w:lang w:val="fr-FR"/>
        </w:rPr>
        <w:t>s administrations</w:t>
      </w:r>
      <w:r w:rsidRPr="00562699">
        <w:rPr>
          <w:lang w:val="fr-FR"/>
        </w:rPr>
        <w:t xml:space="preserve"> qui ne participaient pas au sous</w:t>
      </w:r>
      <w:r w:rsidR="001B4A2C">
        <w:rPr>
          <w:lang w:val="fr-FR"/>
        </w:rPr>
        <w:noBreakHyphen/>
      </w:r>
      <w:r w:rsidRPr="00562699">
        <w:rPr>
          <w:lang w:val="fr-FR"/>
        </w:rPr>
        <w:t xml:space="preserve">groupe pourraient </w:t>
      </w:r>
      <w:r w:rsidR="001942EB" w:rsidRPr="00562699">
        <w:rPr>
          <w:lang w:val="fr-FR"/>
        </w:rPr>
        <w:t xml:space="preserve">faire </w:t>
      </w:r>
      <w:r w:rsidRPr="00562699">
        <w:rPr>
          <w:lang w:val="fr-FR"/>
        </w:rPr>
        <w:t>perdre les avantages d</w:t>
      </w:r>
      <w:r w:rsidR="003C64A0">
        <w:rPr>
          <w:lang w:val="fr-FR"/>
        </w:rPr>
        <w:t>’</w:t>
      </w:r>
      <w:r w:rsidRPr="00562699">
        <w:rPr>
          <w:lang w:val="fr-FR"/>
        </w:rPr>
        <w:t>une réunion en face</w:t>
      </w:r>
      <w:r w:rsidR="001B4A2C">
        <w:rPr>
          <w:lang w:val="fr-FR"/>
        </w:rPr>
        <w:noBreakHyphen/>
      </w:r>
      <w:r w:rsidRPr="00562699">
        <w:rPr>
          <w:lang w:val="fr-FR"/>
        </w:rPr>
        <w:t>à</w:t>
      </w:r>
      <w:r w:rsidR="001B4A2C">
        <w:rPr>
          <w:lang w:val="fr-FR"/>
        </w:rPr>
        <w:noBreakHyphen/>
      </w:r>
      <w:r w:rsidRPr="00562699">
        <w:rPr>
          <w:lang w:val="fr-FR"/>
        </w:rPr>
        <w:t>face.</w:t>
      </w:r>
    </w:p>
    <w:p w14:paraId="28563C5E" w14:textId="57642E8A" w:rsidR="009246D2" w:rsidRPr="00562699" w:rsidRDefault="00930DF2" w:rsidP="00170395">
      <w:pPr>
        <w:pStyle w:val="ONUMFS"/>
        <w:rPr>
          <w:lang w:val="fr-FR"/>
        </w:rPr>
      </w:pPr>
      <w:r w:rsidRPr="00562699">
        <w:rPr>
          <w:lang w:val="fr-FR"/>
        </w:rPr>
        <w:t>L</w:t>
      </w:r>
      <w:r w:rsidR="003C64A0">
        <w:rPr>
          <w:lang w:val="fr-FR"/>
        </w:rPr>
        <w:t>’</w:t>
      </w:r>
      <w:r w:rsidRPr="00562699">
        <w:rPr>
          <w:lang w:val="fr-FR"/>
        </w:rPr>
        <w:t>examen collégial ayant lieu depuis trois</w:t>
      </w:r>
      <w:r w:rsidR="00953186">
        <w:rPr>
          <w:lang w:val="fr-FR"/>
        </w:rPr>
        <w:t> </w:t>
      </w:r>
      <w:r w:rsidRPr="00562699">
        <w:rPr>
          <w:lang w:val="fr-FR"/>
        </w:rPr>
        <w:t>ans, les administrations n</w:t>
      </w:r>
      <w:r w:rsidR="003C64A0">
        <w:rPr>
          <w:lang w:val="fr-FR"/>
        </w:rPr>
        <w:t>’</w:t>
      </w:r>
      <w:r w:rsidRPr="00562699">
        <w:rPr>
          <w:lang w:val="fr-FR"/>
        </w:rPr>
        <w:t>ont pas jugé nécessaire de remplir un formulaire de retour d</w:t>
      </w:r>
      <w:r w:rsidR="003C64A0">
        <w:rPr>
          <w:lang w:val="fr-FR"/>
        </w:rPr>
        <w:t>’</w:t>
      </w:r>
      <w:r w:rsidRPr="00562699">
        <w:rPr>
          <w:lang w:val="fr-FR"/>
        </w:rPr>
        <w:t>information détaillé sur la logistique pour chaque dialogue d</w:t>
      </w:r>
      <w:r w:rsidR="003C64A0">
        <w:rPr>
          <w:lang w:val="fr-FR"/>
        </w:rPr>
        <w:t>’</w:t>
      </w:r>
      <w:r w:rsidRPr="00562699">
        <w:rPr>
          <w:lang w:val="fr-FR"/>
        </w:rPr>
        <w:t>examen collégi</w:t>
      </w:r>
      <w:r w:rsidR="00B85EF1" w:rsidRPr="00562699">
        <w:rPr>
          <w:lang w:val="fr-FR"/>
        </w:rPr>
        <w:t>al</w:t>
      </w:r>
      <w:r w:rsidR="00B85EF1">
        <w:rPr>
          <w:lang w:val="fr-FR"/>
        </w:rPr>
        <w:t xml:space="preserve">.  </w:t>
      </w:r>
      <w:r w:rsidR="00B85EF1" w:rsidRPr="00562699">
        <w:rPr>
          <w:lang w:val="fr-FR"/>
        </w:rPr>
        <w:t>Un</w:t>
      </w:r>
      <w:r w:rsidRPr="00562699">
        <w:rPr>
          <w:lang w:val="fr-FR"/>
        </w:rPr>
        <w:t>e administration a également proposé que davantage d</w:t>
      </w:r>
      <w:r w:rsidR="003C64A0">
        <w:rPr>
          <w:lang w:val="fr-FR"/>
        </w:rPr>
        <w:t>’</w:t>
      </w:r>
      <w:r w:rsidRPr="00562699">
        <w:rPr>
          <w:lang w:val="fr-FR"/>
        </w:rPr>
        <w:t xml:space="preserve">espace soit </w:t>
      </w:r>
      <w:r w:rsidR="001942EB" w:rsidRPr="00562699">
        <w:rPr>
          <w:lang w:val="fr-FR"/>
        </w:rPr>
        <w:t xml:space="preserve">prévu dans </w:t>
      </w:r>
      <w:r w:rsidRPr="00562699">
        <w:rPr>
          <w:lang w:val="fr-FR"/>
        </w:rPr>
        <w:t>le formulaire pour y inclure les meilleures pratiques qui pourraient être tirées des discussio</w:t>
      </w:r>
      <w:r w:rsidR="00B85EF1" w:rsidRPr="00562699">
        <w:rPr>
          <w:lang w:val="fr-FR"/>
        </w:rPr>
        <w:t>ns</w:t>
      </w:r>
      <w:r w:rsidR="00B85EF1">
        <w:rPr>
          <w:lang w:val="fr-FR"/>
        </w:rPr>
        <w:t xml:space="preserve">.  </w:t>
      </w:r>
      <w:r w:rsidR="00B85EF1" w:rsidRPr="00562699">
        <w:rPr>
          <w:lang w:val="fr-FR"/>
        </w:rPr>
        <w:t>Le</w:t>
      </w:r>
      <w:r w:rsidRPr="00562699">
        <w:rPr>
          <w:lang w:val="fr-FR"/>
        </w:rPr>
        <w:t xml:space="preserve"> Bureau </w:t>
      </w:r>
      <w:r w:rsidR="001942EB" w:rsidRPr="00562699">
        <w:rPr>
          <w:lang w:val="fr-FR"/>
        </w:rPr>
        <w:t>i</w:t>
      </w:r>
      <w:r w:rsidRPr="00562699">
        <w:rPr>
          <w:lang w:val="fr-FR"/>
        </w:rPr>
        <w:t xml:space="preserve">nternational </w:t>
      </w:r>
      <w:r w:rsidR="001942EB" w:rsidRPr="00562699">
        <w:rPr>
          <w:lang w:val="fr-FR"/>
        </w:rPr>
        <w:t>a accepté</w:t>
      </w:r>
      <w:r w:rsidRPr="00562699">
        <w:rPr>
          <w:lang w:val="fr-FR"/>
        </w:rPr>
        <w:t xml:space="preserve"> d</w:t>
      </w:r>
      <w:r w:rsidR="003C64A0">
        <w:rPr>
          <w:lang w:val="fr-FR"/>
        </w:rPr>
        <w:t>’</w:t>
      </w:r>
      <w:r w:rsidRPr="00562699">
        <w:rPr>
          <w:lang w:val="fr-FR"/>
        </w:rPr>
        <w:t>adapter le formulaire de retour d</w:t>
      </w:r>
      <w:r w:rsidR="003C64A0">
        <w:rPr>
          <w:lang w:val="fr-FR"/>
        </w:rPr>
        <w:t>’</w:t>
      </w:r>
      <w:r w:rsidRPr="00562699">
        <w:rPr>
          <w:lang w:val="fr-FR"/>
        </w:rPr>
        <w:t xml:space="preserve">information </w:t>
      </w:r>
      <w:r w:rsidR="00F046A1" w:rsidRPr="00562699">
        <w:rPr>
          <w:lang w:val="fr-FR"/>
        </w:rPr>
        <w:t>afin d</w:t>
      </w:r>
      <w:r w:rsidR="003C64A0">
        <w:rPr>
          <w:lang w:val="fr-FR"/>
        </w:rPr>
        <w:t>’</w:t>
      </w:r>
      <w:r w:rsidR="001942EB" w:rsidRPr="00562699">
        <w:rPr>
          <w:lang w:val="fr-FR"/>
        </w:rPr>
        <w:t xml:space="preserve">y </w:t>
      </w:r>
      <w:r w:rsidRPr="00562699">
        <w:rPr>
          <w:lang w:val="fr-FR"/>
        </w:rPr>
        <w:t>inclure un</w:t>
      </w:r>
      <w:r w:rsidR="001942EB" w:rsidRPr="00562699">
        <w:rPr>
          <w:lang w:val="fr-FR"/>
        </w:rPr>
        <w:t xml:space="preserve">e section destinée aux </w:t>
      </w:r>
      <w:r w:rsidRPr="00562699">
        <w:rPr>
          <w:lang w:val="fr-FR"/>
        </w:rPr>
        <w:t>observations sur la logistique et davantage d</w:t>
      </w:r>
      <w:r w:rsidR="003C64A0">
        <w:rPr>
          <w:lang w:val="fr-FR"/>
        </w:rPr>
        <w:t>’</w:t>
      </w:r>
      <w:r w:rsidRPr="00562699">
        <w:rPr>
          <w:lang w:val="fr-FR"/>
        </w:rPr>
        <w:t xml:space="preserve">espace </w:t>
      </w:r>
      <w:r w:rsidR="001942EB" w:rsidRPr="00562699">
        <w:rPr>
          <w:lang w:val="fr-FR"/>
        </w:rPr>
        <w:t xml:space="preserve">pour </w:t>
      </w:r>
      <w:r w:rsidRPr="00562699">
        <w:rPr>
          <w:lang w:val="fr-FR"/>
        </w:rPr>
        <w:t xml:space="preserve">des observations de fond, </w:t>
      </w:r>
      <w:r w:rsidR="001942EB" w:rsidRPr="00562699">
        <w:rPr>
          <w:lang w:val="fr-FR"/>
        </w:rPr>
        <w:t>notamment</w:t>
      </w:r>
      <w:r w:rsidRPr="00562699">
        <w:rPr>
          <w:lang w:val="fr-FR"/>
        </w:rPr>
        <w:t xml:space="preserve"> </w:t>
      </w:r>
      <w:r w:rsidR="001942EB" w:rsidRPr="00562699">
        <w:rPr>
          <w:lang w:val="fr-FR"/>
        </w:rPr>
        <w:t xml:space="preserve">les meilleures </w:t>
      </w:r>
      <w:r w:rsidRPr="00562699">
        <w:rPr>
          <w:lang w:val="fr-FR"/>
        </w:rPr>
        <w:t>pratiques, et a déclaré que les administrations participantes</w:t>
      </w:r>
      <w:r w:rsidR="001942EB" w:rsidRPr="00562699">
        <w:rPr>
          <w:lang w:val="fr-FR"/>
        </w:rPr>
        <w:t xml:space="preserve"> devraient être libres de compléter ou non l</w:t>
      </w:r>
      <w:r w:rsidR="003C64A0">
        <w:rPr>
          <w:lang w:val="fr-FR"/>
        </w:rPr>
        <w:t>’</w:t>
      </w:r>
      <w:r w:rsidR="001942EB" w:rsidRPr="00562699">
        <w:rPr>
          <w:lang w:val="fr-FR"/>
        </w:rPr>
        <w:t>une ou l</w:t>
      </w:r>
      <w:r w:rsidR="003C64A0">
        <w:rPr>
          <w:lang w:val="fr-FR"/>
        </w:rPr>
        <w:t>’</w:t>
      </w:r>
      <w:r w:rsidR="001942EB" w:rsidRPr="00562699">
        <w:rPr>
          <w:lang w:val="fr-FR"/>
        </w:rPr>
        <w:t>autre de ces sections du formulaire</w:t>
      </w:r>
      <w:r w:rsidRPr="00562699">
        <w:rPr>
          <w:lang w:val="fr-FR"/>
        </w:rPr>
        <w:t>.</w:t>
      </w:r>
    </w:p>
    <w:p w14:paraId="0F56BA6B" w14:textId="173170A6" w:rsidR="009246D2" w:rsidRPr="00562699" w:rsidRDefault="00930DF2" w:rsidP="00170395">
      <w:pPr>
        <w:pStyle w:val="ONUMFS"/>
        <w:ind w:left="567"/>
        <w:rPr>
          <w:lang w:val="fr-FR"/>
        </w:rPr>
      </w:pPr>
      <w:r w:rsidRPr="00562699">
        <w:rPr>
          <w:lang w:val="fr-FR"/>
        </w:rPr>
        <w:t>Le sous</w:t>
      </w:r>
      <w:r w:rsidR="001B4A2C">
        <w:rPr>
          <w:lang w:val="fr-FR"/>
        </w:rPr>
        <w:noBreakHyphen/>
      </w:r>
      <w:r w:rsidRPr="00562699">
        <w:rPr>
          <w:lang w:val="fr-FR"/>
        </w:rPr>
        <w:t>groupe a pris note du retour d</w:t>
      </w:r>
      <w:r w:rsidR="003C64A0">
        <w:rPr>
          <w:lang w:val="fr-FR"/>
        </w:rPr>
        <w:t>’</w:t>
      </w:r>
      <w:r w:rsidRPr="00562699">
        <w:rPr>
          <w:lang w:val="fr-FR"/>
        </w:rPr>
        <w:t>information issu de l</w:t>
      </w:r>
      <w:r w:rsidR="003C64A0">
        <w:rPr>
          <w:lang w:val="fr-FR"/>
        </w:rPr>
        <w:t>’</w:t>
      </w:r>
      <w:r w:rsidRPr="00562699">
        <w:rPr>
          <w:lang w:val="fr-FR"/>
        </w:rPr>
        <w:t>examen collégial et a recommandé que les administrations intéressées procèdent à un examen collégial des rapports sur les systèmes de gestion de la qualité à la prochaine réuni</w:t>
      </w:r>
      <w:r w:rsidR="00B85EF1" w:rsidRPr="00562699">
        <w:rPr>
          <w:lang w:val="fr-FR"/>
        </w:rPr>
        <w:t>on</w:t>
      </w:r>
      <w:r w:rsidR="00B85EF1">
        <w:rPr>
          <w:lang w:val="fr-FR"/>
        </w:rPr>
        <w:t xml:space="preserve">.  </w:t>
      </w:r>
      <w:r w:rsidR="00B85EF1" w:rsidRPr="00562699">
        <w:rPr>
          <w:lang w:val="fr-FR"/>
        </w:rPr>
        <w:t>Le</w:t>
      </w:r>
      <w:r w:rsidRPr="00562699">
        <w:rPr>
          <w:lang w:val="fr-FR"/>
        </w:rPr>
        <w:t xml:space="preserve"> Bureau </w:t>
      </w:r>
      <w:r w:rsidR="001942EB" w:rsidRPr="00562699">
        <w:rPr>
          <w:lang w:val="fr-FR"/>
        </w:rPr>
        <w:t>i</w:t>
      </w:r>
      <w:r w:rsidRPr="00562699">
        <w:rPr>
          <w:lang w:val="fr-FR"/>
        </w:rPr>
        <w:t xml:space="preserve">nternational inviterait les administrations à participer </w:t>
      </w:r>
      <w:r w:rsidR="001942EB" w:rsidRPr="00562699">
        <w:rPr>
          <w:lang w:val="fr-FR"/>
        </w:rPr>
        <w:t xml:space="preserve">à cet examen dans </w:t>
      </w:r>
      <w:r w:rsidRPr="00562699">
        <w:rPr>
          <w:lang w:val="fr-FR"/>
        </w:rPr>
        <w:t xml:space="preserve">la circulaire sollicitant </w:t>
      </w:r>
      <w:r w:rsidR="001942EB" w:rsidRPr="00562699">
        <w:rPr>
          <w:lang w:val="fr-FR"/>
        </w:rPr>
        <w:t xml:space="preserve">la communication </w:t>
      </w:r>
      <w:r w:rsidRPr="00562699">
        <w:rPr>
          <w:lang w:val="fr-FR"/>
        </w:rPr>
        <w:t>des rapports sur les systèmes de gestion de la qualité</w:t>
      </w:r>
      <w:r w:rsidR="001942EB" w:rsidRPr="00562699">
        <w:rPr>
          <w:lang w:val="fr-FR"/>
        </w:rPr>
        <w:t>,</w:t>
      </w:r>
      <w:r w:rsidRPr="00562699">
        <w:rPr>
          <w:lang w:val="fr-FR"/>
        </w:rPr>
        <w:t xml:space="preserve"> avec </w:t>
      </w:r>
      <w:r w:rsidRPr="00562699">
        <w:rPr>
          <w:lang w:val="fr-FR"/>
        </w:rPr>
        <w:lastRenderedPageBreak/>
        <w:t>un</w:t>
      </w:r>
      <w:r w:rsidR="001942EB" w:rsidRPr="00562699">
        <w:rPr>
          <w:lang w:val="fr-FR"/>
        </w:rPr>
        <w:t>e date limite</w:t>
      </w:r>
      <w:r w:rsidRPr="00562699">
        <w:rPr>
          <w:lang w:val="fr-FR"/>
        </w:rPr>
        <w:t xml:space="preserve"> pour permettre aux administrations participantes de prendre contact avec l</w:t>
      </w:r>
      <w:r w:rsidR="003C64A0">
        <w:rPr>
          <w:lang w:val="fr-FR"/>
        </w:rPr>
        <w:t>’</w:t>
      </w:r>
      <w:r w:rsidRPr="00562699">
        <w:rPr>
          <w:lang w:val="fr-FR"/>
        </w:rPr>
        <w:t>administration qu</w:t>
      </w:r>
      <w:r w:rsidR="003C64A0">
        <w:rPr>
          <w:lang w:val="fr-FR"/>
        </w:rPr>
        <w:t>’</w:t>
      </w:r>
      <w:r w:rsidRPr="00562699">
        <w:rPr>
          <w:lang w:val="fr-FR"/>
        </w:rPr>
        <w:t xml:space="preserve">elles examineraient et </w:t>
      </w:r>
      <w:r w:rsidR="001942EB" w:rsidRPr="00562699">
        <w:rPr>
          <w:lang w:val="fr-FR"/>
        </w:rPr>
        <w:t xml:space="preserve">échanger des </w:t>
      </w:r>
      <w:r w:rsidRPr="00562699">
        <w:rPr>
          <w:lang w:val="fr-FR"/>
        </w:rPr>
        <w:t>questions.</w:t>
      </w:r>
    </w:p>
    <w:p w14:paraId="0D3A4D4D" w14:textId="6124059C" w:rsidR="009246D2" w:rsidRPr="00562699" w:rsidRDefault="00170395" w:rsidP="00170395">
      <w:pPr>
        <w:pStyle w:val="Heading1"/>
        <w:rPr>
          <w:lang w:val="fr-FR"/>
        </w:rPr>
      </w:pPr>
      <w:r>
        <w:rPr>
          <w:lang w:val="fr-FR"/>
        </w:rPr>
        <w:t>2.</w:t>
      </w:r>
      <w:r>
        <w:rPr>
          <w:lang w:val="fr-FR"/>
        </w:rPr>
        <w:tab/>
      </w:r>
      <w:r w:rsidRPr="00562699">
        <w:rPr>
          <w:lang w:val="fr-FR"/>
        </w:rPr>
        <w:t>Meilleure compréhension des travaux des autres offices</w:t>
      </w:r>
    </w:p>
    <w:p w14:paraId="10B43FD1" w14:textId="01E1D03B" w:rsidR="009246D2" w:rsidRDefault="00930DF2" w:rsidP="00170395">
      <w:pPr>
        <w:pStyle w:val="Heading2"/>
        <w:rPr>
          <w:lang w:val="fr-FR"/>
        </w:rPr>
      </w:pPr>
      <w:r w:rsidRPr="00170395">
        <w:rPr>
          <w:lang w:val="fr-FR"/>
        </w:rPr>
        <w:t>A)</w:t>
      </w:r>
      <w:r w:rsidR="00170395" w:rsidRPr="00170395">
        <w:rPr>
          <w:lang w:val="fr-FR"/>
        </w:rPr>
        <w:tab/>
        <w:t>Objectifs d’une future enquête sur les stratégies de recherche</w:t>
      </w:r>
    </w:p>
    <w:p w14:paraId="4EFE1DC2" w14:textId="77777777" w:rsidR="00170395" w:rsidRPr="00170395" w:rsidRDefault="00170395" w:rsidP="00170395">
      <w:pPr>
        <w:rPr>
          <w:lang w:val="fr-FR"/>
        </w:rPr>
      </w:pPr>
    </w:p>
    <w:p w14:paraId="6E00FB48" w14:textId="5326AA2E" w:rsidR="009246D2" w:rsidRPr="00562699" w:rsidRDefault="00930DF2" w:rsidP="00170395">
      <w:pPr>
        <w:pStyle w:val="ONUMFS"/>
        <w:rPr>
          <w:lang w:val="fr-FR"/>
        </w:rPr>
      </w:pPr>
      <w:r w:rsidRPr="00562699">
        <w:rPr>
          <w:lang w:val="fr-FR"/>
        </w:rPr>
        <w:t>L</w:t>
      </w:r>
      <w:r w:rsidR="003C64A0">
        <w:rPr>
          <w:lang w:val="fr-FR"/>
        </w:rPr>
        <w:t>’</w:t>
      </w:r>
      <w:r w:rsidRPr="00562699">
        <w:rPr>
          <w:lang w:val="fr-FR"/>
        </w:rPr>
        <w:t>Office des brevets et des marques des États</w:t>
      </w:r>
      <w:r w:rsidR="001B4A2C">
        <w:rPr>
          <w:lang w:val="fr-FR"/>
        </w:rPr>
        <w:noBreakHyphen/>
      </w:r>
      <w:r w:rsidRPr="00562699">
        <w:rPr>
          <w:lang w:val="fr-FR"/>
        </w:rPr>
        <w:t>Unis d</w:t>
      </w:r>
      <w:r w:rsidR="003C64A0">
        <w:rPr>
          <w:lang w:val="fr-FR"/>
        </w:rPr>
        <w:t>’</w:t>
      </w:r>
      <w:r w:rsidRPr="00562699">
        <w:rPr>
          <w:lang w:val="fr-FR"/>
        </w:rPr>
        <w:t>Amérique a présenté une proposition visant à</w:t>
      </w:r>
      <w:r w:rsidR="008E3DE8" w:rsidRPr="00562699">
        <w:rPr>
          <w:lang w:val="fr-FR"/>
        </w:rPr>
        <w:t xml:space="preserve"> élaborer</w:t>
      </w:r>
      <w:r w:rsidRPr="00562699">
        <w:rPr>
          <w:lang w:val="fr-FR"/>
        </w:rPr>
        <w:t xml:space="preserve"> une future enquête </w:t>
      </w:r>
      <w:r w:rsidR="008E3DE8" w:rsidRPr="00562699">
        <w:rPr>
          <w:lang w:val="fr-FR"/>
        </w:rPr>
        <w:t xml:space="preserve">à mener auprès des </w:t>
      </w:r>
      <w:r w:rsidRPr="00562699">
        <w:rPr>
          <w:lang w:val="fr-FR"/>
        </w:rPr>
        <w:t xml:space="preserve">utilisateurs potentiels </w:t>
      </w:r>
      <w:r w:rsidR="008E3DE8" w:rsidRPr="00562699">
        <w:rPr>
          <w:lang w:val="fr-FR"/>
        </w:rPr>
        <w:t>d</w:t>
      </w:r>
      <w:r w:rsidR="003C64A0">
        <w:rPr>
          <w:lang w:val="fr-FR"/>
        </w:rPr>
        <w:t>’</w:t>
      </w:r>
      <w:r w:rsidR="008E3DE8" w:rsidRPr="00562699">
        <w:rPr>
          <w:lang w:val="fr-FR"/>
        </w:rPr>
        <w:t xml:space="preserve">informations sur les </w:t>
      </w:r>
      <w:r w:rsidRPr="00562699">
        <w:rPr>
          <w:lang w:val="fr-FR"/>
        </w:rPr>
        <w:t>stratégie</w:t>
      </w:r>
      <w:r w:rsidR="008E3DE8" w:rsidRPr="00562699">
        <w:rPr>
          <w:lang w:val="fr-FR"/>
        </w:rPr>
        <w:t>s</w:t>
      </w:r>
      <w:r w:rsidRPr="00562699">
        <w:rPr>
          <w:lang w:val="fr-FR"/>
        </w:rPr>
        <w:t xml:space="preserve"> de recherche </w:t>
      </w:r>
      <w:r w:rsidR="008E3DE8" w:rsidRPr="00562699">
        <w:rPr>
          <w:lang w:val="fr-FR"/>
        </w:rPr>
        <w:t xml:space="preserve">concernant </w:t>
      </w:r>
      <w:r w:rsidRPr="00562699">
        <w:rPr>
          <w:lang w:val="fr-FR"/>
        </w:rPr>
        <w:t xml:space="preserve">la manière dont ils </w:t>
      </w:r>
      <w:r w:rsidR="00F046A1" w:rsidRPr="00562699">
        <w:rPr>
          <w:lang w:val="fr-FR"/>
        </w:rPr>
        <w:t xml:space="preserve">se </w:t>
      </w:r>
      <w:r w:rsidRPr="00562699">
        <w:rPr>
          <w:lang w:val="fr-FR"/>
        </w:rPr>
        <w:t>propose</w:t>
      </w:r>
      <w:r w:rsidR="008E3DE8" w:rsidRPr="00562699">
        <w:rPr>
          <w:lang w:val="fr-FR"/>
        </w:rPr>
        <w:t>raie</w:t>
      </w:r>
      <w:r w:rsidRPr="00562699">
        <w:rPr>
          <w:lang w:val="fr-FR"/>
        </w:rPr>
        <w:t>nt d</w:t>
      </w:r>
      <w:r w:rsidR="003C64A0">
        <w:rPr>
          <w:lang w:val="fr-FR"/>
        </w:rPr>
        <w:t>’</w:t>
      </w:r>
      <w:r w:rsidRPr="00562699">
        <w:rPr>
          <w:lang w:val="fr-FR"/>
        </w:rPr>
        <w:t>utiliser ces informatio</w:t>
      </w:r>
      <w:r w:rsidR="00B85EF1" w:rsidRPr="00562699">
        <w:rPr>
          <w:lang w:val="fr-FR"/>
        </w:rPr>
        <w:t>ns</w:t>
      </w:r>
      <w:r w:rsidR="00B85EF1">
        <w:rPr>
          <w:lang w:val="fr-FR"/>
        </w:rPr>
        <w:t xml:space="preserve">.  </w:t>
      </w:r>
      <w:r w:rsidR="00B85EF1" w:rsidRPr="00562699">
        <w:rPr>
          <w:lang w:val="fr-FR"/>
        </w:rPr>
        <w:t>Ce</w:t>
      </w:r>
      <w:r w:rsidR="008E3DE8" w:rsidRPr="00562699">
        <w:rPr>
          <w:lang w:val="fr-FR"/>
        </w:rPr>
        <w:t xml:space="preserve">tte enquête </w:t>
      </w:r>
      <w:r w:rsidRPr="00562699">
        <w:rPr>
          <w:lang w:val="fr-FR"/>
        </w:rPr>
        <w:t>ne viserait pas à harmoniser la collecte de</w:t>
      </w:r>
      <w:r w:rsidR="008E3DE8" w:rsidRPr="00562699">
        <w:rPr>
          <w:lang w:val="fr-FR"/>
        </w:rPr>
        <w:t>s</w:t>
      </w:r>
      <w:r w:rsidRPr="00562699">
        <w:rPr>
          <w:lang w:val="fr-FR"/>
        </w:rPr>
        <w:t xml:space="preserve"> stratégies de recherche entre les administrations internationales, mais permettrait </w:t>
      </w:r>
      <w:r w:rsidR="008E3DE8" w:rsidRPr="00562699">
        <w:rPr>
          <w:lang w:val="fr-FR"/>
        </w:rPr>
        <w:t>d</w:t>
      </w:r>
      <w:r w:rsidR="003C64A0">
        <w:rPr>
          <w:lang w:val="fr-FR"/>
        </w:rPr>
        <w:t>’</w:t>
      </w:r>
      <w:r w:rsidR="008E3DE8" w:rsidRPr="00562699">
        <w:rPr>
          <w:lang w:val="fr-FR"/>
        </w:rPr>
        <w:t xml:space="preserve">alimenter la réflexion </w:t>
      </w:r>
      <w:r w:rsidRPr="00562699">
        <w:rPr>
          <w:lang w:val="fr-FR"/>
        </w:rPr>
        <w:t xml:space="preserve">des administrations internationales, individuellement et collectivement, sur les sujets </w:t>
      </w:r>
      <w:r w:rsidR="008E3DE8" w:rsidRPr="00562699">
        <w:rPr>
          <w:lang w:val="fr-FR"/>
        </w:rPr>
        <w:t xml:space="preserve">dont elles discutent </w:t>
      </w:r>
      <w:r w:rsidRPr="00562699">
        <w:rPr>
          <w:lang w:val="fr-FR"/>
        </w:rPr>
        <w:t>depuis quelques années</w:t>
      </w:r>
      <w:r w:rsidR="008E3DE8" w:rsidRPr="00562699">
        <w:rPr>
          <w:lang w:val="fr-FR"/>
        </w:rPr>
        <w:t xml:space="preserve"> maintenant</w:t>
      </w:r>
      <w:r w:rsidRPr="00562699">
        <w:rPr>
          <w:lang w:val="fr-FR"/>
        </w:rPr>
        <w:t>.</w:t>
      </w:r>
    </w:p>
    <w:p w14:paraId="36B4E880" w14:textId="379C73D5" w:rsidR="009246D2" w:rsidRPr="00562699" w:rsidRDefault="00930DF2" w:rsidP="00170395">
      <w:pPr>
        <w:pStyle w:val="ONUMFS"/>
        <w:rPr>
          <w:lang w:val="fr-FR"/>
        </w:rPr>
      </w:pPr>
      <w:r w:rsidRPr="00562699">
        <w:rPr>
          <w:lang w:val="fr-FR"/>
        </w:rPr>
        <w:t>Plusieurs administrations internationales ont appuyé cette proposition, faisant observer qu</w:t>
      </w:r>
      <w:r w:rsidR="003C64A0">
        <w:rPr>
          <w:lang w:val="fr-FR"/>
        </w:rPr>
        <w:t>’</w:t>
      </w:r>
      <w:r w:rsidRPr="00562699">
        <w:rPr>
          <w:lang w:val="fr-FR"/>
        </w:rPr>
        <w:t>il serait utile de disposer d</w:t>
      </w:r>
      <w:r w:rsidR="003C64A0">
        <w:rPr>
          <w:lang w:val="fr-FR"/>
        </w:rPr>
        <w:t>’</w:t>
      </w:r>
      <w:r w:rsidRPr="00562699">
        <w:rPr>
          <w:lang w:val="fr-FR"/>
        </w:rPr>
        <w:t xml:space="preserve">informations supplémentaires, notamment sur la question de savoir si les différents utilisateurs </w:t>
      </w:r>
      <w:r w:rsidR="00970CA3" w:rsidRPr="00562699">
        <w:rPr>
          <w:lang w:val="fr-FR"/>
        </w:rPr>
        <w:t>pourraient</w:t>
      </w:r>
      <w:r w:rsidRPr="00562699">
        <w:rPr>
          <w:lang w:val="fr-FR"/>
        </w:rPr>
        <w:t xml:space="preserve"> être intéressés par des informations qui ne sont pas couvertes par l</w:t>
      </w:r>
      <w:r w:rsidR="003C64A0">
        <w:rPr>
          <w:lang w:val="fr-FR"/>
        </w:rPr>
        <w:t>’</w:t>
      </w:r>
      <w:r w:rsidRPr="00562699">
        <w:rPr>
          <w:lang w:val="fr-FR"/>
        </w:rPr>
        <w:t>un des volets actuels</w:t>
      </w:r>
      <w:r w:rsidR="00970CA3" w:rsidRPr="00562699">
        <w:rPr>
          <w:lang w:val="fr-FR"/>
        </w:rPr>
        <w:t> A</w:t>
      </w:r>
      <w:r w:rsidRPr="00562699">
        <w:rPr>
          <w:lang w:val="fr-FR"/>
        </w:rPr>
        <w:t>, B ou C</w:t>
      </w:r>
      <w:r w:rsidR="00970CA3" w:rsidRPr="00562699">
        <w:rPr>
          <w:lang w:val="fr-FR"/>
        </w:rPr>
        <w:t xml:space="preserve">. </w:t>
      </w:r>
      <w:r w:rsidRPr="00562699">
        <w:rPr>
          <w:lang w:val="fr-FR"/>
        </w:rPr>
        <w:t xml:space="preserve"> Certaines administrations souhaitaient vivement obtenir les </w:t>
      </w:r>
      <w:r w:rsidR="00970CA3" w:rsidRPr="00562699">
        <w:rPr>
          <w:lang w:val="fr-FR"/>
        </w:rPr>
        <w:t xml:space="preserve">avis </w:t>
      </w:r>
      <w:r w:rsidRPr="00562699">
        <w:rPr>
          <w:lang w:val="fr-FR"/>
        </w:rPr>
        <w:t>d</w:t>
      </w:r>
      <w:r w:rsidR="003C64A0">
        <w:rPr>
          <w:lang w:val="fr-FR"/>
        </w:rPr>
        <w:t>’</w:t>
      </w:r>
      <w:r w:rsidRPr="00562699">
        <w:rPr>
          <w:lang w:val="fr-FR"/>
        </w:rPr>
        <w:t>un éventail d</w:t>
      </w:r>
      <w:r w:rsidR="003C64A0">
        <w:rPr>
          <w:lang w:val="fr-FR"/>
        </w:rPr>
        <w:t>’</w:t>
      </w:r>
      <w:r w:rsidRPr="00562699">
        <w:rPr>
          <w:lang w:val="fr-FR"/>
        </w:rPr>
        <w:t xml:space="preserve">intérêts aussi large que possible, mais il a été </w:t>
      </w:r>
      <w:r w:rsidR="00970CA3" w:rsidRPr="00562699">
        <w:rPr>
          <w:lang w:val="fr-FR"/>
        </w:rPr>
        <w:t xml:space="preserve">observé </w:t>
      </w:r>
      <w:r w:rsidRPr="00562699">
        <w:rPr>
          <w:lang w:val="fr-FR"/>
        </w:rPr>
        <w:t>avec préoccupation qu</w:t>
      </w:r>
      <w:r w:rsidR="00970CA3" w:rsidRPr="00562699">
        <w:rPr>
          <w:lang w:val="fr-FR"/>
        </w:rPr>
        <w:t>e trop élargir le champ d</w:t>
      </w:r>
      <w:r w:rsidR="003C64A0">
        <w:rPr>
          <w:lang w:val="fr-FR"/>
        </w:rPr>
        <w:t>’</w:t>
      </w:r>
      <w:r w:rsidR="00970CA3" w:rsidRPr="00562699">
        <w:rPr>
          <w:lang w:val="fr-FR"/>
        </w:rPr>
        <w:t xml:space="preserve">une </w:t>
      </w:r>
      <w:r w:rsidRPr="00562699">
        <w:rPr>
          <w:lang w:val="fr-FR"/>
        </w:rPr>
        <w:t xml:space="preserve">enquête rendrait les résultats très difficiles à </w:t>
      </w:r>
      <w:r w:rsidR="00970CA3" w:rsidRPr="00562699">
        <w:rPr>
          <w:lang w:val="fr-FR"/>
        </w:rPr>
        <w:t>interprét</w:t>
      </w:r>
      <w:r w:rsidR="00B85EF1" w:rsidRPr="00562699">
        <w:rPr>
          <w:lang w:val="fr-FR"/>
        </w:rPr>
        <w:t>er</w:t>
      </w:r>
      <w:r w:rsidR="00B85EF1">
        <w:rPr>
          <w:lang w:val="fr-FR"/>
        </w:rPr>
        <w:t xml:space="preserve">.  </w:t>
      </w:r>
      <w:r w:rsidR="00B85EF1" w:rsidRPr="00562699">
        <w:rPr>
          <w:lang w:val="fr-FR"/>
        </w:rPr>
        <w:t>Un</w:t>
      </w:r>
      <w:r w:rsidRPr="00562699">
        <w:rPr>
          <w:lang w:val="fr-FR"/>
        </w:rPr>
        <w:t>e administration a suggéré qu</w:t>
      </w:r>
      <w:r w:rsidR="003C64A0">
        <w:rPr>
          <w:lang w:val="fr-FR"/>
        </w:rPr>
        <w:t>’</w:t>
      </w:r>
      <w:r w:rsidRPr="00562699">
        <w:rPr>
          <w:lang w:val="fr-FR"/>
        </w:rPr>
        <w:t>il fallait d</w:t>
      </w:r>
      <w:r w:rsidR="003C64A0">
        <w:rPr>
          <w:lang w:val="fr-FR"/>
        </w:rPr>
        <w:t>’</w:t>
      </w:r>
      <w:r w:rsidRPr="00562699">
        <w:rPr>
          <w:lang w:val="fr-FR"/>
        </w:rPr>
        <w:t>abord parvenir à une plus grande convergence sur ce qu</w:t>
      </w:r>
      <w:r w:rsidR="003C64A0">
        <w:rPr>
          <w:lang w:val="fr-FR"/>
        </w:rPr>
        <w:t>’</w:t>
      </w:r>
      <w:r w:rsidRPr="00562699">
        <w:rPr>
          <w:lang w:val="fr-FR"/>
        </w:rPr>
        <w:t>il fallait entendre par une stratégie de recherche et sur ce qu</w:t>
      </w:r>
      <w:r w:rsidR="003C64A0">
        <w:rPr>
          <w:lang w:val="fr-FR"/>
        </w:rPr>
        <w:t>’</w:t>
      </w:r>
      <w:r w:rsidRPr="00562699">
        <w:rPr>
          <w:lang w:val="fr-FR"/>
        </w:rPr>
        <w:t xml:space="preserve">une enquête devrait </w:t>
      </w:r>
      <w:r w:rsidR="00455B59" w:rsidRPr="00562699">
        <w:rPr>
          <w:lang w:val="fr-FR"/>
        </w:rPr>
        <w:t>permettre d</w:t>
      </w:r>
      <w:r w:rsidR="003C64A0">
        <w:rPr>
          <w:lang w:val="fr-FR"/>
        </w:rPr>
        <w:t>’</w:t>
      </w:r>
      <w:r w:rsidR="00455B59" w:rsidRPr="00562699">
        <w:rPr>
          <w:lang w:val="fr-FR"/>
        </w:rPr>
        <w:t>obten</w:t>
      </w:r>
      <w:r w:rsidR="00B85EF1" w:rsidRPr="00562699">
        <w:rPr>
          <w:lang w:val="fr-FR"/>
        </w:rPr>
        <w:t>ir</w:t>
      </w:r>
      <w:r w:rsidR="00B85EF1">
        <w:rPr>
          <w:lang w:val="fr-FR"/>
        </w:rPr>
        <w:t xml:space="preserve">.  </w:t>
      </w:r>
      <w:r w:rsidR="00B85EF1" w:rsidRPr="00562699">
        <w:rPr>
          <w:lang w:val="fr-FR"/>
        </w:rPr>
        <w:t>En</w:t>
      </w:r>
      <w:r w:rsidRPr="00562699">
        <w:rPr>
          <w:lang w:val="fr-FR"/>
        </w:rPr>
        <w:t xml:space="preserve"> particulier, l</w:t>
      </w:r>
      <w:r w:rsidR="003C64A0">
        <w:rPr>
          <w:lang w:val="fr-FR"/>
        </w:rPr>
        <w:t>’</w:t>
      </w:r>
      <w:r w:rsidRPr="00562699">
        <w:rPr>
          <w:lang w:val="fr-FR"/>
        </w:rPr>
        <w:t xml:space="preserve">idée selon laquelle le Bureau </w:t>
      </w:r>
      <w:r w:rsidR="00455B59" w:rsidRPr="00562699">
        <w:rPr>
          <w:lang w:val="fr-FR"/>
        </w:rPr>
        <w:t>i</w:t>
      </w:r>
      <w:r w:rsidRPr="00562699">
        <w:rPr>
          <w:lang w:val="fr-FR"/>
        </w:rPr>
        <w:t xml:space="preserve">nternational devrait </w:t>
      </w:r>
      <w:r w:rsidR="00455B59" w:rsidRPr="00562699">
        <w:rPr>
          <w:lang w:val="fr-FR"/>
        </w:rPr>
        <w:t>lancer</w:t>
      </w:r>
      <w:r w:rsidRPr="00562699">
        <w:rPr>
          <w:lang w:val="fr-FR"/>
        </w:rPr>
        <w:t xml:space="preserve"> une enquête auprès des utilisateurs du monde entier sans </w:t>
      </w:r>
      <w:r w:rsidR="00455B59" w:rsidRPr="00562699">
        <w:rPr>
          <w:lang w:val="fr-FR"/>
        </w:rPr>
        <w:t>qu</w:t>
      </w:r>
      <w:r w:rsidR="003C64A0">
        <w:rPr>
          <w:lang w:val="fr-FR"/>
        </w:rPr>
        <w:t>’</w:t>
      </w:r>
      <w:r w:rsidR="00455B59" w:rsidRPr="00562699">
        <w:rPr>
          <w:lang w:val="fr-FR"/>
        </w:rPr>
        <w:t xml:space="preserve">un accord soit </w:t>
      </w:r>
      <w:r w:rsidRPr="00562699">
        <w:rPr>
          <w:lang w:val="fr-FR"/>
        </w:rPr>
        <w:t>d</w:t>
      </w:r>
      <w:r w:rsidR="003C64A0">
        <w:rPr>
          <w:lang w:val="fr-FR"/>
        </w:rPr>
        <w:t>’</w:t>
      </w:r>
      <w:r w:rsidRPr="00562699">
        <w:rPr>
          <w:lang w:val="fr-FR"/>
        </w:rPr>
        <w:t xml:space="preserve">abord </w:t>
      </w:r>
      <w:r w:rsidR="00455B59" w:rsidRPr="00562699">
        <w:rPr>
          <w:lang w:val="fr-FR"/>
        </w:rPr>
        <w:t xml:space="preserve">trouvé </w:t>
      </w:r>
      <w:r w:rsidRPr="00562699">
        <w:rPr>
          <w:lang w:val="fr-FR"/>
        </w:rPr>
        <w:t xml:space="preserve">entre les </w:t>
      </w:r>
      <w:r w:rsidR="00455B59" w:rsidRPr="00562699">
        <w:rPr>
          <w:lang w:val="fr-FR"/>
        </w:rPr>
        <w:t>o</w:t>
      </w:r>
      <w:r w:rsidRPr="00562699">
        <w:rPr>
          <w:lang w:val="fr-FR"/>
        </w:rPr>
        <w:t xml:space="preserve">ffices nationaux </w:t>
      </w:r>
      <w:r w:rsidR="00455B59" w:rsidRPr="00562699">
        <w:rPr>
          <w:lang w:val="fr-FR"/>
        </w:rPr>
        <w:t xml:space="preserve">au sujet des </w:t>
      </w:r>
      <w:r w:rsidRPr="00562699">
        <w:rPr>
          <w:lang w:val="fr-FR"/>
        </w:rPr>
        <w:t xml:space="preserve">objectifs et </w:t>
      </w:r>
      <w:r w:rsidR="00455B59" w:rsidRPr="00562699">
        <w:rPr>
          <w:lang w:val="fr-FR"/>
        </w:rPr>
        <w:t>d</w:t>
      </w:r>
      <w:r w:rsidRPr="00562699">
        <w:rPr>
          <w:lang w:val="fr-FR"/>
        </w:rPr>
        <w:t xml:space="preserve">es groupes cibles de cette enquête </w:t>
      </w:r>
      <w:r w:rsidR="00455B59" w:rsidRPr="00562699">
        <w:rPr>
          <w:lang w:val="fr-FR"/>
        </w:rPr>
        <w:t xml:space="preserve">constituait une </w:t>
      </w:r>
      <w:r w:rsidRPr="00562699">
        <w:rPr>
          <w:lang w:val="fr-FR"/>
        </w:rPr>
        <w:t>source de préoccupati</w:t>
      </w:r>
      <w:r w:rsidR="00B85EF1" w:rsidRPr="00562699">
        <w:rPr>
          <w:lang w:val="fr-FR"/>
        </w:rPr>
        <w:t>on</w:t>
      </w:r>
      <w:r w:rsidR="00B85EF1">
        <w:rPr>
          <w:lang w:val="fr-FR"/>
        </w:rPr>
        <w:t xml:space="preserve">.  </w:t>
      </w:r>
      <w:r w:rsidR="00B85EF1" w:rsidRPr="00562699">
        <w:rPr>
          <w:lang w:val="fr-FR"/>
        </w:rPr>
        <w:t>La</w:t>
      </w:r>
      <w:r w:rsidRPr="00562699">
        <w:rPr>
          <w:lang w:val="fr-FR"/>
        </w:rPr>
        <w:t xml:space="preserve"> réalisation d</w:t>
      </w:r>
      <w:r w:rsidR="003C64A0">
        <w:rPr>
          <w:lang w:val="fr-FR"/>
        </w:rPr>
        <w:t>’</w:t>
      </w:r>
      <w:r w:rsidRPr="00562699">
        <w:rPr>
          <w:lang w:val="fr-FR"/>
        </w:rPr>
        <w:t xml:space="preserve">une enquête pourrait aussi </w:t>
      </w:r>
      <w:r w:rsidR="00455B59" w:rsidRPr="00562699">
        <w:rPr>
          <w:lang w:val="fr-FR"/>
        </w:rPr>
        <w:t>susciter</w:t>
      </w:r>
      <w:r w:rsidRPr="00562699">
        <w:rPr>
          <w:lang w:val="fr-FR"/>
        </w:rPr>
        <w:t xml:space="preserve"> des attentes en </w:t>
      </w:r>
      <w:r w:rsidR="00455B59" w:rsidRPr="00562699">
        <w:rPr>
          <w:lang w:val="fr-FR"/>
        </w:rPr>
        <w:t xml:space="preserve">matière de </w:t>
      </w:r>
      <w:r w:rsidRPr="00562699">
        <w:rPr>
          <w:lang w:val="fr-FR"/>
        </w:rPr>
        <w:t>fourniture d</w:t>
      </w:r>
      <w:r w:rsidR="003C64A0">
        <w:rPr>
          <w:lang w:val="fr-FR"/>
        </w:rPr>
        <w:t>’</w:t>
      </w:r>
      <w:r w:rsidRPr="00562699">
        <w:rPr>
          <w:lang w:val="fr-FR"/>
        </w:rPr>
        <w:t xml:space="preserve">informations supplémentaires </w:t>
      </w:r>
      <w:r w:rsidR="00455B59" w:rsidRPr="00562699">
        <w:rPr>
          <w:lang w:val="fr-FR"/>
        </w:rPr>
        <w:t>en cas de demande en ce sens des utilisateurs</w:t>
      </w:r>
      <w:r w:rsidRPr="00562699">
        <w:rPr>
          <w:lang w:val="fr-FR"/>
        </w:rPr>
        <w:t>.</w:t>
      </w:r>
    </w:p>
    <w:p w14:paraId="55484D57" w14:textId="7A15266D" w:rsidR="009246D2" w:rsidRPr="00562699" w:rsidRDefault="00930DF2" w:rsidP="00170395">
      <w:pPr>
        <w:pStyle w:val="ONUMFS"/>
        <w:ind w:left="567"/>
        <w:rPr>
          <w:lang w:val="fr-FR"/>
        </w:rPr>
      </w:pPr>
      <w:r w:rsidRPr="00562699">
        <w:rPr>
          <w:lang w:val="fr-FR"/>
        </w:rPr>
        <w:t>Le sous</w:t>
      </w:r>
      <w:r w:rsidR="001B4A2C">
        <w:rPr>
          <w:lang w:val="fr-FR"/>
        </w:rPr>
        <w:noBreakHyphen/>
      </w:r>
      <w:r w:rsidRPr="00562699">
        <w:rPr>
          <w:lang w:val="fr-FR"/>
        </w:rPr>
        <w:t>groupe est convenu d</w:t>
      </w:r>
      <w:r w:rsidR="003C64A0">
        <w:rPr>
          <w:lang w:val="fr-FR"/>
        </w:rPr>
        <w:t>’</w:t>
      </w:r>
      <w:r w:rsidRPr="00562699">
        <w:rPr>
          <w:lang w:val="fr-FR"/>
        </w:rPr>
        <w:t>envisager l</w:t>
      </w:r>
      <w:r w:rsidR="003C64A0">
        <w:rPr>
          <w:lang w:val="fr-FR"/>
        </w:rPr>
        <w:t>’</w:t>
      </w:r>
      <w:r w:rsidRPr="00562699">
        <w:rPr>
          <w:lang w:val="fr-FR"/>
        </w:rPr>
        <w:t>élaboration de deux</w:t>
      </w:r>
      <w:r w:rsidR="00953186">
        <w:rPr>
          <w:lang w:val="fr-FR"/>
        </w:rPr>
        <w:t> </w:t>
      </w:r>
      <w:r w:rsidRPr="00562699">
        <w:rPr>
          <w:lang w:val="fr-FR"/>
        </w:rPr>
        <w:t>enquêtes sous la direction de l</w:t>
      </w:r>
      <w:r w:rsidR="003C64A0">
        <w:rPr>
          <w:lang w:val="fr-FR"/>
        </w:rPr>
        <w:t>’</w:t>
      </w:r>
      <w:r w:rsidRPr="00562699">
        <w:rPr>
          <w:lang w:val="fr-FR"/>
        </w:rPr>
        <w:t>Office des brevets et des marques des États</w:t>
      </w:r>
      <w:r w:rsidR="001B4A2C">
        <w:rPr>
          <w:lang w:val="fr-FR"/>
        </w:rPr>
        <w:noBreakHyphen/>
      </w:r>
      <w:r w:rsidRPr="00562699">
        <w:rPr>
          <w:lang w:val="fr-FR"/>
        </w:rPr>
        <w:t>Unis d</w:t>
      </w:r>
      <w:r w:rsidR="003C64A0">
        <w:rPr>
          <w:lang w:val="fr-FR"/>
        </w:rPr>
        <w:t>’</w:t>
      </w:r>
      <w:r w:rsidRPr="00562699">
        <w:rPr>
          <w:lang w:val="fr-FR"/>
        </w:rPr>
        <w:t>Amérique (USPTO).</w:t>
      </w:r>
      <w:r w:rsidR="00953186">
        <w:rPr>
          <w:lang w:val="fr-FR"/>
        </w:rPr>
        <w:t xml:space="preserve"> </w:t>
      </w:r>
      <w:r w:rsidRPr="00562699">
        <w:rPr>
          <w:lang w:val="fr-FR"/>
        </w:rPr>
        <w:t xml:space="preserve"> </w:t>
      </w:r>
      <w:r w:rsidR="00455B59" w:rsidRPr="00562699">
        <w:rPr>
          <w:lang w:val="fr-FR"/>
        </w:rPr>
        <w:t>D</w:t>
      </w:r>
      <w:r w:rsidR="003C64A0">
        <w:rPr>
          <w:lang w:val="fr-FR"/>
        </w:rPr>
        <w:t>’</w:t>
      </w:r>
      <w:r w:rsidR="00455B59" w:rsidRPr="00562699">
        <w:rPr>
          <w:lang w:val="fr-FR"/>
        </w:rPr>
        <w:t xml:space="preserve">une part, </w:t>
      </w:r>
      <w:r w:rsidRPr="00562699">
        <w:rPr>
          <w:lang w:val="fr-FR"/>
        </w:rPr>
        <w:t xml:space="preserve">le Bureau </w:t>
      </w:r>
      <w:r w:rsidR="00455B59" w:rsidRPr="00562699">
        <w:rPr>
          <w:lang w:val="fr-FR"/>
        </w:rPr>
        <w:t>i</w:t>
      </w:r>
      <w:r w:rsidRPr="00562699">
        <w:rPr>
          <w:lang w:val="fr-FR"/>
        </w:rPr>
        <w:t xml:space="preserve">nternational </w:t>
      </w:r>
      <w:r w:rsidR="00455B59" w:rsidRPr="00562699">
        <w:rPr>
          <w:lang w:val="fr-FR"/>
        </w:rPr>
        <w:t>enverrait aux o</w:t>
      </w:r>
      <w:r w:rsidRPr="00562699">
        <w:rPr>
          <w:lang w:val="fr-FR"/>
        </w:rPr>
        <w:t>ffices de propriété intellectuelle une circulaire PCT sur la base des observations reçues sur le forum électronique du sous</w:t>
      </w:r>
      <w:r w:rsidR="001B4A2C">
        <w:rPr>
          <w:lang w:val="fr-FR"/>
        </w:rPr>
        <w:noBreakHyphen/>
      </w:r>
      <w:r w:rsidRPr="00562699">
        <w:rPr>
          <w:lang w:val="fr-FR"/>
        </w:rPr>
        <w:t>grou</w:t>
      </w:r>
      <w:r w:rsidR="00B85EF1" w:rsidRPr="00562699">
        <w:rPr>
          <w:lang w:val="fr-FR"/>
        </w:rPr>
        <w:t>pe</w:t>
      </w:r>
      <w:r w:rsidR="00B85EF1">
        <w:rPr>
          <w:lang w:val="fr-FR"/>
        </w:rPr>
        <w:t xml:space="preserve">.  </w:t>
      </w:r>
      <w:r w:rsidR="00B85EF1" w:rsidRPr="00562699">
        <w:rPr>
          <w:lang w:val="fr-FR"/>
        </w:rPr>
        <w:t>D</w:t>
      </w:r>
      <w:r w:rsidR="00B85EF1">
        <w:rPr>
          <w:lang w:val="fr-FR"/>
        </w:rPr>
        <w:t>’</w:t>
      </w:r>
      <w:r w:rsidR="00B85EF1" w:rsidRPr="00562699">
        <w:rPr>
          <w:lang w:val="fr-FR"/>
        </w:rPr>
        <w:t>a</w:t>
      </w:r>
      <w:r w:rsidR="00455B59" w:rsidRPr="00562699">
        <w:rPr>
          <w:lang w:val="fr-FR"/>
        </w:rPr>
        <w:t xml:space="preserve">utre part, </w:t>
      </w:r>
      <w:r w:rsidRPr="00562699">
        <w:rPr>
          <w:lang w:val="fr-FR"/>
        </w:rPr>
        <w:t xml:space="preserve">les </w:t>
      </w:r>
      <w:r w:rsidR="00455B59" w:rsidRPr="00562699">
        <w:rPr>
          <w:lang w:val="fr-FR"/>
        </w:rPr>
        <w:t>o</w:t>
      </w:r>
      <w:r w:rsidRPr="00562699">
        <w:rPr>
          <w:lang w:val="fr-FR"/>
        </w:rPr>
        <w:t xml:space="preserve">ffices nationaux intéressés </w:t>
      </w:r>
      <w:r w:rsidR="00455B59" w:rsidRPr="00562699">
        <w:rPr>
          <w:lang w:val="fr-FR"/>
        </w:rPr>
        <w:t xml:space="preserve">envisageraient </w:t>
      </w:r>
      <w:r w:rsidRPr="00562699">
        <w:rPr>
          <w:lang w:val="fr-FR"/>
        </w:rPr>
        <w:t>d</w:t>
      </w:r>
      <w:r w:rsidR="003C64A0">
        <w:rPr>
          <w:lang w:val="fr-FR"/>
        </w:rPr>
        <w:t>’</w:t>
      </w:r>
      <w:r w:rsidRPr="00562699">
        <w:rPr>
          <w:lang w:val="fr-FR"/>
        </w:rPr>
        <w:t xml:space="preserve">envoyer </w:t>
      </w:r>
      <w:r w:rsidR="00455B59" w:rsidRPr="00562699">
        <w:rPr>
          <w:lang w:val="fr-FR"/>
        </w:rPr>
        <w:t xml:space="preserve">un questionnaire à </w:t>
      </w:r>
      <w:r w:rsidRPr="00562699">
        <w:rPr>
          <w:lang w:val="fr-FR"/>
        </w:rPr>
        <w:t xml:space="preserve">leurs propres utilisateurs, ce qui permettrait aux </w:t>
      </w:r>
      <w:r w:rsidR="00455B59" w:rsidRPr="00562699">
        <w:rPr>
          <w:lang w:val="fr-FR"/>
        </w:rPr>
        <w:t>o</w:t>
      </w:r>
      <w:r w:rsidRPr="00562699">
        <w:rPr>
          <w:lang w:val="fr-FR"/>
        </w:rPr>
        <w:t xml:space="preserve">ffices de recueillir </w:t>
      </w:r>
      <w:r w:rsidR="00455B59" w:rsidRPr="00562699">
        <w:rPr>
          <w:lang w:val="fr-FR"/>
        </w:rPr>
        <w:t xml:space="preserve">en permanence de nouvelles </w:t>
      </w:r>
      <w:r w:rsidRPr="00562699">
        <w:rPr>
          <w:lang w:val="fr-FR"/>
        </w:rPr>
        <w:t xml:space="preserve">informations </w:t>
      </w:r>
      <w:r w:rsidR="00455B59" w:rsidRPr="00562699">
        <w:rPr>
          <w:lang w:val="fr-FR"/>
        </w:rPr>
        <w:t xml:space="preserve">des </w:t>
      </w:r>
      <w:r w:rsidRPr="00562699">
        <w:rPr>
          <w:lang w:val="fr-FR"/>
        </w:rPr>
        <w:t xml:space="preserve">utilisateurs </w:t>
      </w:r>
      <w:r w:rsidR="00455B59" w:rsidRPr="00562699">
        <w:rPr>
          <w:lang w:val="fr-FR"/>
        </w:rPr>
        <w:t xml:space="preserve">pour alimenter </w:t>
      </w:r>
      <w:r w:rsidRPr="00562699">
        <w:rPr>
          <w:lang w:val="fr-FR"/>
        </w:rPr>
        <w:t>les discussions sur le forum électronique du sous</w:t>
      </w:r>
      <w:r w:rsidR="001B4A2C">
        <w:rPr>
          <w:lang w:val="fr-FR"/>
        </w:rPr>
        <w:noBreakHyphen/>
      </w:r>
      <w:r w:rsidRPr="00562699">
        <w:rPr>
          <w:lang w:val="fr-FR"/>
        </w:rPr>
        <w:t>groupe.</w:t>
      </w:r>
    </w:p>
    <w:p w14:paraId="51CBF073" w14:textId="00924DCD" w:rsidR="009246D2" w:rsidRPr="00562699" w:rsidRDefault="00930DF2" w:rsidP="00170395">
      <w:pPr>
        <w:pStyle w:val="Heading2"/>
        <w:rPr>
          <w:lang w:val="fr-FR"/>
        </w:rPr>
      </w:pPr>
      <w:r w:rsidRPr="00562699">
        <w:rPr>
          <w:lang w:val="fr-FR"/>
        </w:rPr>
        <w:t>b)</w:t>
      </w:r>
      <w:r w:rsidRPr="00562699">
        <w:rPr>
          <w:lang w:val="fr-FR"/>
        </w:rPr>
        <w:tab/>
      </w:r>
      <w:r w:rsidR="00170395" w:rsidRPr="00562699">
        <w:rPr>
          <w:lang w:val="fr-FR"/>
        </w:rPr>
        <w:t>Clauses normalisées</w:t>
      </w:r>
    </w:p>
    <w:p w14:paraId="17D4508F" w14:textId="3568EA2A" w:rsidR="009246D2" w:rsidRDefault="00930DF2" w:rsidP="00170395">
      <w:pPr>
        <w:pStyle w:val="Heading3"/>
        <w:rPr>
          <w:lang w:val="fr-FR"/>
        </w:rPr>
      </w:pPr>
      <w:r w:rsidRPr="00562699">
        <w:rPr>
          <w:lang w:val="fr-FR"/>
        </w:rPr>
        <w:t>i)</w:t>
      </w:r>
      <w:r w:rsidR="0032113B">
        <w:rPr>
          <w:lang w:val="fr-FR"/>
        </w:rPr>
        <w:t xml:space="preserve">  </w:t>
      </w:r>
      <w:r w:rsidRPr="00562699">
        <w:rPr>
          <w:lang w:val="fr-FR"/>
        </w:rPr>
        <w:t>Réponses à la circulaire C</w:t>
      </w:r>
      <w:r w:rsidR="004722D4">
        <w:rPr>
          <w:lang w:val="fr-FR"/>
        </w:rPr>
        <w:t xml:space="preserve">. </w:t>
      </w:r>
      <w:r w:rsidRPr="00562699">
        <w:rPr>
          <w:lang w:val="fr-FR"/>
        </w:rPr>
        <w:t>PCT</w:t>
      </w:r>
      <w:r w:rsidR="009D49D9">
        <w:rPr>
          <w:lang w:val="fr-FR"/>
        </w:rPr>
        <w:t> </w:t>
      </w:r>
      <w:r w:rsidRPr="00562699">
        <w:rPr>
          <w:lang w:val="fr-FR"/>
        </w:rPr>
        <w:t>1547</w:t>
      </w:r>
    </w:p>
    <w:p w14:paraId="03CFBA86" w14:textId="77777777" w:rsidR="00170395" w:rsidRPr="00170395" w:rsidRDefault="00170395" w:rsidP="00170395">
      <w:pPr>
        <w:rPr>
          <w:lang w:val="fr-FR"/>
        </w:rPr>
      </w:pPr>
    </w:p>
    <w:p w14:paraId="47233D30" w14:textId="3E47FAFE" w:rsidR="009246D2" w:rsidRPr="00562699" w:rsidRDefault="00930DF2" w:rsidP="00170395">
      <w:pPr>
        <w:pStyle w:val="ONUMFS"/>
        <w:rPr>
          <w:lang w:val="fr-FR"/>
        </w:rPr>
      </w:pPr>
      <w:r w:rsidRPr="00562699">
        <w:rPr>
          <w:lang w:val="fr-FR"/>
        </w:rPr>
        <w:t xml:space="preserve">Le Bureau </w:t>
      </w:r>
      <w:r w:rsidR="00455B59" w:rsidRPr="00562699">
        <w:rPr>
          <w:lang w:val="fr-FR"/>
        </w:rPr>
        <w:t>i</w:t>
      </w:r>
      <w:r w:rsidRPr="00562699">
        <w:rPr>
          <w:lang w:val="fr-FR"/>
        </w:rPr>
        <w:t>nternational a résumé les réponses à la circulaire C</w:t>
      </w:r>
      <w:r w:rsidR="004722D4">
        <w:rPr>
          <w:lang w:val="fr-FR"/>
        </w:rPr>
        <w:t xml:space="preserve">. </w:t>
      </w:r>
      <w:r w:rsidRPr="00562699">
        <w:rPr>
          <w:lang w:val="fr-FR"/>
        </w:rPr>
        <w:t>PCT</w:t>
      </w:r>
      <w:r w:rsidR="009D49D9">
        <w:rPr>
          <w:lang w:val="fr-FR"/>
        </w:rPr>
        <w:t> </w:t>
      </w:r>
      <w:r w:rsidRPr="00562699">
        <w:rPr>
          <w:lang w:val="fr-FR"/>
        </w:rPr>
        <w:t>1547.</w:t>
      </w:r>
      <w:r w:rsidR="00743A53" w:rsidRPr="00562699">
        <w:rPr>
          <w:lang w:val="fr-FR"/>
        </w:rPr>
        <w:t xml:space="preserve">  </w:t>
      </w:r>
      <w:r w:rsidRPr="00562699">
        <w:rPr>
          <w:lang w:val="fr-FR"/>
        </w:rPr>
        <w:t>La plupart des modifications qu</w:t>
      </w:r>
      <w:r w:rsidR="003C64A0">
        <w:rPr>
          <w:lang w:val="fr-FR"/>
        </w:rPr>
        <w:t>’</w:t>
      </w:r>
      <w:r w:rsidRPr="00562699">
        <w:rPr>
          <w:lang w:val="fr-FR"/>
        </w:rPr>
        <w:t>il est proposé d</w:t>
      </w:r>
      <w:r w:rsidR="003C64A0">
        <w:rPr>
          <w:lang w:val="fr-FR"/>
        </w:rPr>
        <w:t>’</w:t>
      </w:r>
      <w:r w:rsidRPr="00562699">
        <w:rPr>
          <w:lang w:val="fr-FR"/>
        </w:rPr>
        <w:t xml:space="preserve">apporter aux clauses, </w:t>
      </w:r>
      <w:r w:rsidR="003C64A0">
        <w:rPr>
          <w:lang w:val="fr-FR"/>
        </w:rPr>
        <w:t>y compris</w:t>
      </w:r>
      <w:r w:rsidRPr="00562699">
        <w:rPr>
          <w:lang w:val="fr-FR"/>
        </w:rPr>
        <w:t xml:space="preserve"> les traductions, sembl</w:t>
      </w:r>
      <w:r w:rsidR="00455B59" w:rsidRPr="00562699">
        <w:rPr>
          <w:lang w:val="fr-FR"/>
        </w:rPr>
        <w:t>ai</w:t>
      </w:r>
      <w:r w:rsidRPr="00562699">
        <w:rPr>
          <w:lang w:val="fr-FR"/>
        </w:rPr>
        <w:t>ent acceptables pour les administrations international</w:t>
      </w:r>
      <w:r w:rsidR="00B85EF1" w:rsidRPr="00562699">
        <w:rPr>
          <w:lang w:val="fr-FR"/>
        </w:rPr>
        <w:t>es</w:t>
      </w:r>
      <w:r w:rsidR="00B85EF1">
        <w:rPr>
          <w:lang w:val="fr-FR"/>
        </w:rPr>
        <w:t xml:space="preserve">.  </w:t>
      </w:r>
      <w:r w:rsidR="00B85EF1" w:rsidRPr="00562699">
        <w:rPr>
          <w:lang w:val="fr-FR"/>
        </w:rPr>
        <w:t>S</w:t>
      </w:r>
      <w:r w:rsidR="00B85EF1">
        <w:rPr>
          <w:lang w:val="fr-FR"/>
        </w:rPr>
        <w:t>’</w:t>
      </w:r>
      <w:r w:rsidR="00B85EF1" w:rsidRPr="00562699">
        <w:rPr>
          <w:lang w:val="fr-FR"/>
        </w:rPr>
        <w:t>a</w:t>
      </w:r>
      <w:r w:rsidRPr="00562699">
        <w:rPr>
          <w:lang w:val="fr-FR"/>
        </w:rPr>
        <w:t xml:space="preserve">gissant des préoccupations exprimées par </w:t>
      </w:r>
      <w:r w:rsidR="00455B59" w:rsidRPr="00562699">
        <w:rPr>
          <w:lang w:val="fr-FR"/>
        </w:rPr>
        <w:t>quelques</w:t>
      </w:r>
      <w:r w:rsidRPr="00562699">
        <w:rPr>
          <w:lang w:val="fr-FR"/>
        </w:rPr>
        <w:t xml:space="preserve"> administrations internationales au sujet de la terminologie utilisée dans certaines clauses, </w:t>
      </w:r>
      <w:r w:rsidR="00455B59" w:rsidRPr="00562699">
        <w:rPr>
          <w:lang w:val="fr-FR"/>
        </w:rPr>
        <w:t>il</w:t>
      </w:r>
      <w:r w:rsidRPr="00562699">
        <w:rPr>
          <w:lang w:val="fr-FR"/>
        </w:rPr>
        <w:t xml:space="preserve"> a été souligné que les clauses pertinentes étaient celles où plusieurs options avaient été présentées parce qu</w:t>
      </w:r>
      <w:r w:rsidR="003C64A0">
        <w:rPr>
          <w:lang w:val="fr-FR"/>
        </w:rPr>
        <w:t>’</w:t>
      </w:r>
      <w:r w:rsidRPr="00562699">
        <w:rPr>
          <w:lang w:val="fr-FR"/>
        </w:rPr>
        <w:t>il n</w:t>
      </w:r>
      <w:r w:rsidR="003C64A0">
        <w:rPr>
          <w:lang w:val="fr-FR"/>
        </w:rPr>
        <w:t>’</w:t>
      </w:r>
      <w:r w:rsidRPr="00562699">
        <w:rPr>
          <w:lang w:val="fr-FR"/>
        </w:rPr>
        <w:t xml:space="preserve">avait pas été possible de trouver une </w:t>
      </w:r>
      <w:r w:rsidR="00455B59" w:rsidRPr="00562699">
        <w:rPr>
          <w:lang w:val="fr-FR"/>
        </w:rPr>
        <w:t>formulation</w:t>
      </w:r>
      <w:r w:rsidRPr="00562699">
        <w:rPr>
          <w:lang w:val="fr-FR"/>
        </w:rPr>
        <w:t xml:space="preserve"> universellement </w:t>
      </w:r>
      <w:proofErr w:type="gramStart"/>
      <w:r w:rsidRPr="00562699">
        <w:rPr>
          <w:lang w:val="fr-FR"/>
        </w:rPr>
        <w:t>acceptée</w:t>
      </w:r>
      <w:r w:rsidR="00455B59" w:rsidRPr="00562699">
        <w:rPr>
          <w:lang w:val="fr-FR"/>
        </w:rPr>
        <w:t>;</w:t>
      </w:r>
      <w:r w:rsidRPr="00562699">
        <w:rPr>
          <w:lang w:val="fr-FR"/>
        </w:rPr>
        <w:t xml:space="preserve"> </w:t>
      </w:r>
      <w:r w:rsidR="00953186">
        <w:rPr>
          <w:lang w:val="fr-FR"/>
        </w:rPr>
        <w:t xml:space="preserve"> </w:t>
      </w:r>
      <w:r w:rsidRPr="00562699">
        <w:rPr>
          <w:lang w:val="fr-FR"/>
        </w:rPr>
        <w:t>les</w:t>
      </w:r>
      <w:proofErr w:type="gramEnd"/>
      <w:r w:rsidRPr="00562699">
        <w:rPr>
          <w:lang w:val="fr-FR"/>
        </w:rPr>
        <w:t xml:space="preserve"> administrations internationales ne seraient pas tenues d</w:t>
      </w:r>
      <w:r w:rsidR="003C64A0">
        <w:rPr>
          <w:lang w:val="fr-FR"/>
        </w:rPr>
        <w:t>’</w:t>
      </w:r>
      <w:r w:rsidR="00455B59" w:rsidRPr="00562699">
        <w:rPr>
          <w:lang w:val="fr-FR"/>
        </w:rPr>
        <w:t xml:space="preserve">obliger </w:t>
      </w:r>
      <w:r w:rsidRPr="00562699">
        <w:rPr>
          <w:lang w:val="fr-FR"/>
        </w:rPr>
        <w:t xml:space="preserve">leurs examinateurs </w:t>
      </w:r>
      <w:r w:rsidR="00455B59" w:rsidRPr="00562699">
        <w:rPr>
          <w:lang w:val="fr-FR"/>
        </w:rPr>
        <w:t xml:space="preserve">à </w:t>
      </w:r>
      <w:r w:rsidRPr="00562699">
        <w:rPr>
          <w:lang w:val="fr-FR"/>
        </w:rPr>
        <w:t>utiliser les clauses pertinent</w:t>
      </w:r>
      <w:r w:rsidR="00B85EF1" w:rsidRPr="00562699">
        <w:rPr>
          <w:lang w:val="fr-FR"/>
        </w:rPr>
        <w:t>es</w:t>
      </w:r>
      <w:r w:rsidR="00B85EF1">
        <w:rPr>
          <w:lang w:val="fr-FR"/>
        </w:rPr>
        <w:t xml:space="preserve">.  </w:t>
      </w:r>
      <w:r w:rsidR="00B85EF1" w:rsidRPr="00562699">
        <w:rPr>
          <w:lang w:val="fr-FR"/>
        </w:rPr>
        <w:t>Ce</w:t>
      </w:r>
      <w:r w:rsidRPr="00562699">
        <w:rPr>
          <w:lang w:val="fr-FR"/>
        </w:rPr>
        <w:t xml:space="preserve"> </w:t>
      </w:r>
      <w:r w:rsidR="004C6264" w:rsidRPr="00562699">
        <w:rPr>
          <w:lang w:val="fr-FR"/>
        </w:rPr>
        <w:t>n</w:t>
      </w:r>
      <w:r w:rsidR="003C64A0">
        <w:rPr>
          <w:lang w:val="fr-FR"/>
        </w:rPr>
        <w:t>’</w:t>
      </w:r>
      <w:r w:rsidR="004C6264" w:rsidRPr="00562699">
        <w:rPr>
          <w:lang w:val="fr-FR"/>
        </w:rPr>
        <w:t xml:space="preserve">était pas la </w:t>
      </w:r>
      <w:r w:rsidRPr="00562699">
        <w:rPr>
          <w:lang w:val="fr-FR"/>
        </w:rPr>
        <w:t xml:space="preserve">normalisation étroite qui </w:t>
      </w:r>
      <w:r w:rsidRPr="00562699">
        <w:rPr>
          <w:lang w:val="fr-FR"/>
        </w:rPr>
        <w:lastRenderedPageBreak/>
        <w:t xml:space="preserve">avait été </w:t>
      </w:r>
      <w:r w:rsidR="004C6264" w:rsidRPr="00562699">
        <w:rPr>
          <w:lang w:val="fr-FR"/>
        </w:rPr>
        <w:t xml:space="preserve">espérée </w:t>
      </w:r>
      <w:r w:rsidR="00F046A1" w:rsidRPr="00562699">
        <w:rPr>
          <w:lang w:val="fr-FR"/>
        </w:rPr>
        <w:t>au départ</w:t>
      </w:r>
      <w:r w:rsidRPr="00562699">
        <w:rPr>
          <w:lang w:val="fr-FR"/>
        </w:rPr>
        <w:t xml:space="preserve">, mais </w:t>
      </w:r>
      <w:r w:rsidR="004C6264" w:rsidRPr="00562699">
        <w:rPr>
          <w:lang w:val="fr-FR"/>
        </w:rPr>
        <w:t xml:space="preserve">elle </w:t>
      </w:r>
      <w:r w:rsidRPr="00562699">
        <w:rPr>
          <w:lang w:val="fr-FR"/>
        </w:rPr>
        <w:t xml:space="preserve">représentait un pas </w:t>
      </w:r>
      <w:r w:rsidR="004C6264" w:rsidRPr="00562699">
        <w:rPr>
          <w:lang w:val="fr-FR"/>
        </w:rPr>
        <w:t>dans la voie d</w:t>
      </w:r>
      <w:r w:rsidR="003C64A0">
        <w:rPr>
          <w:lang w:val="fr-FR"/>
        </w:rPr>
        <w:t>’</w:t>
      </w:r>
      <w:r w:rsidR="004C6264" w:rsidRPr="00562699">
        <w:rPr>
          <w:lang w:val="fr-FR"/>
        </w:rPr>
        <w:t xml:space="preserve">une </w:t>
      </w:r>
      <w:r w:rsidRPr="00562699">
        <w:rPr>
          <w:lang w:val="fr-FR"/>
        </w:rPr>
        <w:t>plus grande cohérence.</w:t>
      </w:r>
    </w:p>
    <w:p w14:paraId="2DEF3FF7" w14:textId="5F054A70" w:rsidR="009246D2" w:rsidRPr="00562699" w:rsidRDefault="00930DF2" w:rsidP="00170395">
      <w:pPr>
        <w:pStyle w:val="ONUMFS"/>
        <w:rPr>
          <w:lang w:val="fr-FR"/>
        </w:rPr>
      </w:pPr>
      <w:r w:rsidRPr="00562699">
        <w:rPr>
          <w:lang w:val="fr-FR"/>
        </w:rPr>
        <w:t xml:space="preserve">Les administrations ont remercié le Bureau </w:t>
      </w:r>
      <w:r w:rsidR="004C6264" w:rsidRPr="00562699">
        <w:rPr>
          <w:lang w:val="fr-FR"/>
        </w:rPr>
        <w:t>i</w:t>
      </w:r>
      <w:r w:rsidRPr="00562699">
        <w:rPr>
          <w:lang w:val="fr-FR"/>
        </w:rPr>
        <w:t>nternational pour le travail accompli dans l</w:t>
      </w:r>
      <w:r w:rsidR="003C64A0">
        <w:rPr>
          <w:lang w:val="fr-FR"/>
        </w:rPr>
        <w:t>’</w:t>
      </w:r>
      <w:r w:rsidRPr="00562699">
        <w:rPr>
          <w:lang w:val="fr-FR"/>
        </w:rPr>
        <w:t xml:space="preserve">élaboration des clauses </w:t>
      </w:r>
      <w:r w:rsidR="004C6264" w:rsidRPr="00562699">
        <w:rPr>
          <w:lang w:val="fr-FR"/>
        </w:rPr>
        <w:t>en</w:t>
      </w:r>
      <w:r w:rsidRPr="00562699">
        <w:rPr>
          <w:lang w:val="fr-FR"/>
        </w:rPr>
        <w:t xml:space="preserve"> différentes langues et ont souligné qu</w:t>
      </w:r>
      <w:r w:rsidR="003C64A0">
        <w:rPr>
          <w:lang w:val="fr-FR"/>
        </w:rPr>
        <w:t>’</w:t>
      </w:r>
      <w:r w:rsidRPr="00562699">
        <w:rPr>
          <w:lang w:val="fr-FR"/>
        </w:rPr>
        <w:t xml:space="preserve">il était important de </w:t>
      </w:r>
      <w:r w:rsidR="004C6264" w:rsidRPr="00562699">
        <w:rPr>
          <w:lang w:val="fr-FR"/>
        </w:rPr>
        <w:t xml:space="preserve">rendre </w:t>
      </w:r>
      <w:r w:rsidRPr="00562699">
        <w:rPr>
          <w:lang w:val="fr-FR"/>
        </w:rPr>
        <w:t xml:space="preserve">les différentes versions linguistiques </w:t>
      </w:r>
      <w:r w:rsidR="004C6264" w:rsidRPr="00562699">
        <w:rPr>
          <w:lang w:val="fr-FR"/>
        </w:rPr>
        <w:t xml:space="preserve">aisément utilisables par les </w:t>
      </w:r>
      <w:r w:rsidRPr="00562699">
        <w:rPr>
          <w:lang w:val="fr-FR"/>
        </w:rPr>
        <w:t>examinateurs, notamment par l</w:t>
      </w:r>
      <w:r w:rsidR="003C64A0">
        <w:rPr>
          <w:lang w:val="fr-FR"/>
        </w:rPr>
        <w:t>’</w:t>
      </w:r>
      <w:r w:rsidRPr="00562699">
        <w:rPr>
          <w:lang w:val="fr-FR"/>
        </w:rPr>
        <w:t xml:space="preserve">intermédiaire du système </w:t>
      </w:r>
      <w:proofErr w:type="spellStart"/>
      <w:r w:rsidRPr="00562699">
        <w:rPr>
          <w:lang w:val="fr-FR"/>
        </w:rPr>
        <w:t>e</w:t>
      </w:r>
      <w:r w:rsidR="00B85EF1" w:rsidRPr="00562699">
        <w:rPr>
          <w:lang w:val="fr-FR"/>
        </w:rPr>
        <w:t>PCT</w:t>
      </w:r>
      <w:proofErr w:type="spellEnd"/>
      <w:r w:rsidR="00B85EF1">
        <w:rPr>
          <w:lang w:val="fr-FR"/>
        </w:rPr>
        <w:t xml:space="preserve">.  </w:t>
      </w:r>
      <w:r w:rsidR="00B85EF1" w:rsidRPr="00562699">
        <w:rPr>
          <w:lang w:val="fr-FR"/>
        </w:rPr>
        <w:t>Pl</w:t>
      </w:r>
      <w:r w:rsidRPr="00562699">
        <w:rPr>
          <w:lang w:val="fr-FR"/>
        </w:rPr>
        <w:t>usieurs administrations ont indiqué qu</w:t>
      </w:r>
      <w:r w:rsidR="003C64A0">
        <w:rPr>
          <w:lang w:val="fr-FR"/>
        </w:rPr>
        <w:t>’</w:t>
      </w:r>
      <w:r w:rsidRPr="00562699">
        <w:rPr>
          <w:lang w:val="fr-FR"/>
        </w:rPr>
        <w:t>elles avaient intégré les versions précédentes des clauses dans leurs systèmes locaux et avaient l</w:t>
      </w:r>
      <w:r w:rsidR="003C64A0">
        <w:rPr>
          <w:lang w:val="fr-FR"/>
        </w:rPr>
        <w:t>’</w:t>
      </w:r>
      <w:r w:rsidRPr="00562699">
        <w:rPr>
          <w:lang w:val="fr-FR"/>
        </w:rPr>
        <w:t>intention d</w:t>
      </w:r>
      <w:r w:rsidR="003C64A0">
        <w:rPr>
          <w:lang w:val="fr-FR"/>
        </w:rPr>
        <w:t>’</w:t>
      </w:r>
      <w:r w:rsidR="00F046A1" w:rsidRPr="00562699">
        <w:rPr>
          <w:lang w:val="fr-FR"/>
        </w:rPr>
        <w:t xml:space="preserve">y introduire </w:t>
      </w:r>
      <w:r w:rsidRPr="00562699">
        <w:rPr>
          <w:lang w:val="fr-FR"/>
        </w:rPr>
        <w:t>les modificatio</w:t>
      </w:r>
      <w:r w:rsidR="00B85EF1" w:rsidRPr="00562699">
        <w:rPr>
          <w:lang w:val="fr-FR"/>
        </w:rPr>
        <w:t>ns</w:t>
      </w:r>
      <w:r w:rsidR="00B85EF1">
        <w:rPr>
          <w:lang w:val="fr-FR"/>
        </w:rPr>
        <w:t xml:space="preserve">.  </w:t>
      </w:r>
      <w:r w:rsidR="00B85EF1" w:rsidRPr="00562699">
        <w:rPr>
          <w:lang w:val="fr-FR"/>
        </w:rPr>
        <w:t>Le</w:t>
      </w:r>
      <w:r w:rsidRPr="00562699">
        <w:rPr>
          <w:lang w:val="fr-FR"/>
        </w:rPr>
        <w:t xml:space="preserve">s administrations </w:t>
      </w:r>
      <w:r w:rsidR="004C6264" w:rsidRPr="00562699">
        <w:rPr>
          <w:lang w:val="fr-FR"/>
        </w:rPr>
        <w:t>ne sont toujours pas parvenues à se mettre d</w:t>
      </w:r>
      <w:r w:rsidR="003C64A0">
        <w:rPr>
          <w:lang w:val="fr-FR"/>
        </w:rPr>
        <w:t>’</w:t>
      </w:r>
      <w:r w:rsidR="004C6264" w:rsidRPr="00562699">
        <w:rPr>
          <w:lang w:val="fr-FR"/>
        </w:rPr>
        <w:t>accord</w:t>
      </w:r>
      <w:r w:rsidRPr="00562699">
        <w:rPr>
          <w:lang w:val="fr-FR"/>
        </w:rPr>
        <w:t xml:space="preserve"> sur la question de savoir si la clarté et la concision des revendications relevaient davantage du cadre</w:t>
      </w:r>
      <w:r w:rsidR="009D49D9">
        <w:rPr>
          <w:lang w:val="fr-FR"/>
        </w:rPr>
        <w:t> </w:t>
      </w:r>
      <w:r w:rsidRPr="00562699">
        <w:rPr>
          <w:lang w:val="fr-FR"/>
        </w:rPr>
        <w:t>VII ou V</w:t>
      </w:r>
      <w:r w:rsidR="00B85EF1" w:rsidRPr="00562699">
        <w:rPr>
          <w:lang w:val="fr-FR"/>
        </w:rPr>
        <w:t>III</w:t>
      </w:r>
      <w:r w:rsidR="00B85EF1">
        <w:rPr>
          <w:lang w:val="fr-FR"/>
        </w:rPr>
        <w:t xml:space="preserve">.  </w:t>
      </w:r>
      <w:r w:rsidR="00B85EF1" w:rsidRPr="00562699">
        <w:rPr>
          <w:lang w:val="fr-FR"/>
        </w:rPr>
        <w:t>Un</w:t>
      </w:r>
      <w:r w:rsidRPr="00562699">
        <w:rPr>
          <w:lang w:val="fr-FR"/>
        </w:rPr>
        <w:t>e administration s</w:t>
      </w:r>
      <w:r w:rsidR="003C64A0">
        <w:rPr>
          <w:lang w:val="fr-FR"/>
        </w:rPr>
        <w:t>’</w:t>
      </w:r>
      <w:r w:rsidRPr="00562699">
        <w:rPr>
          <w:lang w:val="fr-FR"/>
        </w:rPr>
        <w:t>est dite préoccupée par le fait que l</w:t>
      </w:r>
      <w:r w:rsidR="003C64A0">
        <w:rPr>
          <w:lang w:val="fr-FR"/>
        </w:rPr>
        <w:t>’</w:t>
      </w:r>
      <w:r w:rsidRPr="00562699">
        <w:rPr>
          <w:lang w:val="fr-FR"/>
        </w:rPr>
        <w:t xml:space="preserve">incorporation explicite des clauses dans les </w:t>
      </w:r>
      <w:r w:rsidR="004722D4">
        <w:rPr>
          <w:lang w:val="fr-FR"/>
        </w:rPr>
        <w:t>d</w:t>
      </w:r>
      <w:r w:rsidRPr="00562699">
        <w:rPr>
          <w:lang w:val="fr-FR"/>
        </w:rPr>
        <w:t>irectives amènerait les déposants à s</w:t>
      </w:r>
      <w:r w:rsidR="003C64A0">
        <w:rPr>
          <w:lang w:val="fr-FR"/>
        </w:rPr>
        <w:t>’</w:t>
      </w:r>
      <w:r w:rsidRPr="00562699">
        <w:rPr>
          <w:lang w:val="fr-FR"/>
        </w:rPr>
        <w:t>attendre à ce qu</w:t>
      </w:r>
      <w:r w:rsidR="003C64A0">
        <w:rPr>
          <w:lang w:val="fr-FR"/>
        </w:rPr>
        <w:t>’</w:t>
      </w:r>
      <w:r w:rsidR="004C6264" w:rsidRPr="00562699">
        <w:rPr>
          <w:lang w:val="fr-FR"/>
        </w:rPr>
        <w:t>elles</w:t>
      </w:r>
      <w:r w:rsidRPr="00562699">
        <w:rPr>
          <w:lang w:val="fr-FR"/>
        </w:rPr>
        <w:t xml:space="preserve"> soient utilisé</w:t>
      </w:r>
      <w:r w:rsidR="004C6264" w:rsidRPr="00562699">
        <w:rPr>
          <w:lang w:val="fr-FR"/>
        </w:rPr>
        <w:t>e</w:t>
      </w:r>
      <w:r w:rsidRPr="00562699">
        <w:rPr>
          <w:lang w:val="fr-FR"/>
        </w:rPr>
        <w:t>s par toutes les administrations.</w:t>
      </w:r>
    </w:p>
    <w:p w14:paraId="4E75C54A" w14:textId="5AE4A2C9" w:rsidR="009246D2" w:rsidRPr="00562699" w:rsidRDefault="00930DF2" w:rsidP="00170395">
      <w:pPr>
        <w:pStyle w:val="ONUMFS"/>
        <w:ind w:left="567"/>
        <w:rPr>
          <w:lang w:val="fr-FR"/>
        </w:rPr>
      </w:pPr>
      <w:r w:rsidRPr="00562699">
        <w:rPr>
          <w:lang w:val="fr-FR"/>
        </w:rPr>
        <w:t>Le sous</w:t>
      </w:r>
      <w:r w:rsidR="001B4A2C">
        <w:rPr>
          <w:lang w:val="fr-FR"/>
        </w:rPr>
        <w:noBreakHyphen/>
      </w:r>
      <w:r w:rsidRPr="00562699">
        <w:rPr>
          <w:lang w:val="fr-FR"/>
        </w:rPr>
        <w:t xml:space="preserve">groupe </w:t>
      </w:r>
      <w:r w:rsidR="004C6264" w:rsidRPr="00562699">
        <w:rPr>
          <w:lang w:val="fr-FR"/>
        </w:rPr>
        <w:t>a</w:t>
      </w:r>
      <w:r w:rsidRPr="00562699">
        <w:rPr>
          <w:lang w:val="fr-FR"/>
        </w:rPr>
        <w:t xml:space="preserve"> recommandé que le projet de paragraphe</w:t>
      </w:r>
      <w:r w:rsidR="004E4E83" w:rsidRPr="00562699">
        <w:rPr>
          <w:lang w:val="fr-FR"/>
        </w:rPr>
        <w:t> </w:t>
      </w:r>
      <w:r w:rsidRPr="00562699">
        <w:rPr>
          <w:lang w:val="fr-FR"/>
        </w:rPr>
        <w:t xml:space="preserve">17.55A des </w:t>
      </w:r>
      <w:r w:rsidR="009D49D9">
        <w:rPr>
          <w:lang w:val="fr-FR"/>
        </w:rPr>
        <w:t>D</w:t>
      </w:r>
      <w:r w:rsidR="009D49D9" w:rsidRPr="00562699">
        <w:rPr>
          <w:lang w:val="fr-FR"/>
        </w:rPr>
        <w:t xml:space="preserve">irectives </w:t>
      </w:r>
      <w:r w:rsidRPr="00562699">
        <w:rPr>
          <w:lang w:val="fr-FR"/>
        </w:rPr>
        <w:t>concernant la recherche internationale et l</w:t>
      </w:r>
      <w:r w:rsidR="003C64A0">
        <w:rPr>
          <w:lang w:val="fr-FR"/>
        </w:rPr>
        <w:t>’</w:t>
      </w:r>
      <w:r w:rsidRPr="00562699">
        <w:rPr>
          <w:lang w:val="fr-FR"/>
        </w:rPr>
        <w:t xml:space="preserve">examen préliminaire </w:t>
      </w:r>
      <w:r w:rsidR="004C6264" w:rsidRPr="00562699">
        <w:rPr>
          <w:lang w:val="fr-FR"/>
        </w:rPr>
        <w:t>i</w:t>
      </w:r>
      <w:r w:rsidRPr="00562699">
        <w:rPr>
          <w:lang w:val="fr-FR"/>
        </w:rPr>
        <w:t xml:space="preserve">nternational </w:t>
      </w:r>
      <w:r w:rsidR="004D6D6F" w:rsidRPr="00562699">
        <w:rPr>
          <w:lang w:val="fr-FR"/>
        </w:rPr>
        <w:t>selon</w:t>
      </w:r>
      <w:r w:rsidR="003C64A0" w:rsidRPr="00562699">
        <w:rPr>
          <w:lang w:val="fr-FR"/>
        </w:rPr>
        <w:t xml:space="preserve"> le</w:t>
      </w:r>
      <w:r w:rsidR="003C64A0">
        <w:rPr>
          <w:lang w:val="fr-FR"/>
        </w:rPr>
        <w:t> </w:t>
      </w:r>
      <w:r w:rsidR="003C64A0" w:rsidRPr="00562699">
        <w:rPr>
          <w:lang w:val="fr-FR"/>
        </w:rPr>
        <w:t>PCT</w:t>
      </w:r>
      <w:r w:rsidRPr="00562699">
        <w:rPr>
          <w:lang w:val="fr-FR"/>
        </w:rPr>
        <w:t xml:space="preserve"> soit adopté comme indiqué dans la circulaire </w:t>
      </w:r>
      <w:r w:rsidR="00F71288">
        <w:rPr>
          <w:lang w:val="fr-FR"/>
        </w:rPr>
        <w:t>C. PCT </w:t>
      </w:r>
      <w:r w:rsidRPr="00562699">
        <w:rPr>
          <w:lang w:val="fr-FR"/>
        </w:rPr>
        <w:t xml:space="preserve">1547, </w:t>
      </w:r>
      <w:r w:rsidR="00961CAE" w:rsidRPr="00562699">
        <w:rPr>
          <w:lang w:val="fr-FR"/>
        </w:rPr>
        <w:t>pour autant</w:t>
      </w:r>
      <w:r w:rsidRPr="00562699">
        <w:rPr>
          <w:lang w:val="fr-FR"/>
        </w:rPr>
        <w:t xml:space="preserve"> que la phrase faisant référence à l</w:t>
      </w:r>
      <w:r w:rsidR="003C64A0">
        <w:rPr>
          <w:lang w:val="fr-FR"/>
        </w:rPr>
        <w:t>’</w:t>
      </w:r>
      <w:r w:rsidRPr="00562699">
        <w:rPr>
          <w:lang w:val="fr-FR"/>
        </w:rPr>
        <w:t>emplacement des clauses soit omi</w:t>
      </w:r>
      <w:r w:rsidR="00B85EF1" w:rsidRPr="00562699">
        <w:rPr>
          <w:lang w:val="fr-FR"/>
        </w:rPr>
        <w:t>se</w:t>
      </w:r>
      <w:r w:rsidR="00B85EF1">
        <w:rPr>
          <w:lang w:val="fr-FR"/>
        </w:rPr>
        <w:t xml:space="preserve">.  </w:t>
      </w:r>
      <w:r w:rsidR="00B85EF1" w:rsidRPr="00562699">
        <w:rPr>
          <w:lang w:val="fr-FR"/>
        </w:rPr>
        <w:t>Le</w:t>
      </w:r>
      <w:r w:rsidRPr="00562699">
        <w:rPr>
          <w:lang w:val="fr-FR"/>
        </w:rPr>
        <w:t xml:space="preserve">s modifications des clauses devraient être approuvées et le Bureau </w:t>
      </w:r>
      <w:r w:rsidR="00961CAE" w:rsidRPr="00562699">
        <w:rPr>
          <w:lang w:val="fr-FR"/>
        </w:rPr>
        <w:t>i</w:t>
      </w:r>
      <w:r w:rsidRPr="00562699">
        <w:rPr>
          <w:lang w:val="fr-FR"/>
        </w:rPr>
        <w:t>nternational devrait s</w:t>
      </w:r>
      <w:r w:rsidR="003C64A0">
        <w:rPr>
          <w:lang w:val="fr-FR"/>
        </w:rPr>
        <w:t>’</w:t>
      </w:r>
      <w:r w:rsidRPr="00562699">
        <w:rPr>
          <w:lang w:val="fr-FR"/>
        </w:rPr>
        <w:t>efforcer d</w:t>
      </w:r>
      <w:r w:rsidR="003C64A0">
        <w:rPr>
          <w:lang w:val="fr-FR"/>
        </w:rPr>
        <w:t>’</w:t>
      </w:r>
      <w:r w:rsidRPr="00562699">
        <w:rPr>
          <w:lang w:val="fr-FR"/>
        </w:rPr>
        <w:t>établir de nouvelles versions dans les langues supplémentair</w:t>
      </w:r>
      <w:r w:rsidR="00B85EF1" w:rsidRPr="00562699">
        <w:rPr>
          <w:lang w:val="fr-FR"/>
        </w:rPr>
        <w:t>es</w:t>
      </w:r>
      <w:r w:rsidR="00B85EF1">
        <w:rPr>
          <w:lang w:val="fr-FR"/>
        </w:rPr>
        <w:t xml:space="preserve">.  </w:t>
      </w:r>
      <w:r w:rsidR="00B85EF1" w:rsidRPr="00562699">
        <w:rPr>
          <w:lang w:val="fr-FR"/>
        </w:rPr>
        <w:t>Le</w:t>
      </w:r>
      <w:r w:rsidRPr="00562699">
        <w:rPr>
          <w:lang w:val="fr-FR"/>
        </w:rPr>
        <w:t>s clauses relatives à la clarté et à la concision devraient être annotées pour indiquer que les administrations étaient libres de</w:t>
      </w:r>
      <w:r w:rsidR="00961CAE" w:rsidRPr="00562699">
        <w:rPr>
          <w:lang w:val="fr-FR"/>
        </w:rPr>
        <w:t xml:space="preserve"> le</w:t>
      </w:r>
      <w:r w:rsidRPr="00562699">
        <w:rPr>
          <w:lang w:val="fr-FR"/>
        </w:rPr>
        <w:t>s utiliser dans le cadre</w:t>
      </w:r>
      <w:r w:rsidR="009D49D9">
        <w:rPr>
          <w:lang w:val="fr-FR"/>
        </w:rPr>
        <w:t> </w:t>
      </w:r>
      <w:r w:rsidRPr="00562699">
        <w:rPr>
          <w:lang w:val="fr-FR"/>
        </w:rPr>
        <w:t>VII</w:t>
      </w:r>
      <w:r w:rsidR="00961CAE" w:rsidRPr="00562699">
        <w:rPr>
          <w:lang w:val="fr-FR"/>
        </w:rPr>
        <w:t xml:space="preserve">, </w:t>
      </w:r>
      <w:r w:rsidRPr="00562699">
        <w:rPr>
          <w:lang w:val="fr-FR"/>
        </w:rPr>
        <w:t>s</w:t>
      </w:r>
      <w:r w:rsidR="00961CAE" w:rsidRPr="00562699">
        <w:rPr>
          <w:lang w:val="fr-FR"/>
        </w:rPr>
        <w:t xml:space="preserve">i elles </w:t>
      </w:r>
      <w:r w:rsidR="00F046A1" w:rsidRPr="00562699">
        <w:rPr>
          <w:lang w:val="fr-FR"/>
        </w:rPr>
        <w:t>le jugeaient bon.</w:t>
      </w:r>
    </w:p>
    <w:p w14:paraId="171E8A91" w14:textId="7B04CF62" w:rsidR="009246D2" w:rsidRDefault="00930DF2" w:rsidP="00170395">
      <w:pPr>
        <w:pStyle w:val="Heading3"/>
        <w:rPr>
          <w:lang w:val="fr-FR"/>
        </w:rPr>
      </w:pPr>
      <w:r w:rsidRPr="00562699">
        <w:rPr>
          <w:lang w:val="fr-FR"/>
        </w:rPr>
        <w:t>ii)</w:t>
      </w:r>
      <w:r w:rsidR="0032113B">
        <w:rPr>
          <w:lang w:val="fr-FR"/>
        </w:rPr>
        <w:t xml:space="preserve">  </w:t>
      </w:r>
      <w:bookmarkStart w:id="8" w:name="_GoBack"/>
      <w:bookmarkEnd w:id="8"/>
      <w:r w:rsidR="0084617F" w:rsidRPr="00562699">
        <w:rPr>
          <w:lang w:val="fr-FR"/>
        </w:rPr>
        <w:t>Application et expansion</w:t>
      </w:r>
    </w:p>
    <w:p w14:paraId="0FD4D620" w14:textId="77777777" w:rsidR="00170395" w:rsidRPr="00170395" w:rsidRDefault="00170395" w:rsidP="00170395">
      <w:pPr>
        <w:rPr>
          <w:lang w:val="fr-FR"/>
        </w:rPr>
      </w:pPr>
    </w:p>
    <w:p w14:paraId="09B6989F" w14:textId="74083C66" w:rsidR="009246D2" w:rsidRPr="00562699" w:rsidRDefault="00930DF2" w:rsidP="00170395">
      <w:pPr>
        <w:pStyle w:val="ONUMFS"/>
        <w:rPr>
          <w:lang w:val="fr-FR"/>
        </w:rPr>
      </w:pPr>
      <w:r w:rsidRPr="00562699">
        <w:rPr>
          <w:lang w:val="fr-FR"/>
        </w:rPr>
        <w:t>L</w:t>
      </w:r>
      <w:r w:rsidR="003C64A0">
        <w:rPr>
          <w:lang w:val="fr-FR"/>
        </w:rPr>
        <w:t>’</w:t>
      </w:r>
      <w:r w:rsidRPr="00562699">
        <w:rPr>
          <w:lang w:val="fr-FR"/>
        </w:rPr>
        <w:t>Office de la propriété intellectuelle du Canada a rendu compte des progrès accomplis dans l</w:t>
      </w:r>
      <w:r w:rsidR="003C64A0">
        <w:rPr>
          <w:lang w:val="fr-FR"/>
        </w:rPr>
        <w:t>’</w:t>
      </w:r>
      <w:r w:rsidRPr="00562699">
        <w:rPr>
          <w:lang w:val="fr-FR"/>
        </w:rPr>
        <w:t>élaboration de clauses relatives à l</w:t>
      </w:r>
      <w:r w:rsidR="003C64A0">
        <w:rPr>
          <w:lang w:val="fr-FR"/>
        </w:rPr>
        <w:t>’</w:t>
      </w:r>
      <w:r w:rsidRPr="00562699">
        <w:rPr>
          <w:lang w:val="fr-FR"/>
        </w:rPr>
        <w:t>unité de l</w:t>
      </w:r>
      <w:r w:rsidR="003C64A0">
        <w:rPr>
          <w:lang w:val="fr-FR"/>
        </w:rPr>
        <w:t>’</w:t>
      </w:r>
      <w:r w:rsidRPr="00562699">
        <w:rPr>
          <w:lang w:val="fr-FR"/>
        </w:rPr>
        <w:t xml:space="preserve">invention et a invité les administrations à </w:t>
      </w:r>
      <w:r w:rsidR="00961CAE" w:rsidRPr="00562699">
        <w:rPr>
          <w:lang w:val="fr-FR"/>
        </w:rPr>
        <w:t>formuler leurs</w:t>
      </w:r>
      <w:r w:rsidRPr="00562699">
        <w:rPr>
          <w:lang w:val="fr-FR"/>
        </w:rPr>
        <w:t xml:space="preserve"> observations sur la question de savoir s</w:t>
      </w:r>
      <w:r w:rsidR="003C64A0">
        <w:rPr>
          <w:lang w:val="fr-FR"/>
        </w:rPr>
        <w:t>’</w:t>
      </w:r>
      <w:r w:rsidRPr="00562699">
        <w:rPr>
          <w:lang w:val="fr-FR"/>
        </w:rPr>
        <w:t>il était souhaitable d</w:t>
      </w:r>
      <w:r w:rsidR="003C64A0">
        <w:rPr>
          <w:lang w:val="fr-FR"/>
        </w:rPr>
        <w:t>’</w:t>
      </w:r>
      <w:r w:rsidRPr="00562699">
        <w:rPr>
          <w:lang w:val="fr-FR"/>
        </w:rPr>
        <w:t>étendre les travaux à la rédaction de clauses dans d</w:t>
      </w:r>
      <w:r w:rsidR="003C64A0">
        <w:rPr>
          <w:lang w:val="fr-FR"/>
        </w:rPr>
        <w:t>’</w:t>
      </w:r>
      <w:r w:rsidRPr="00562699">
        <w:rPr>
          <w:lang w:val="fr-FR"/>
        </w:rPr>
        <w:t xml:space="preserve">autres domaines, </w:t>
      </w:r>
      <w:r w:rsidR="00961CAE" w:rsidRPr="00562699">
        <w:rPr>
          <w:lang w:val="fr-FR"/>
        </w:rPr>
        <w:t xml:space="preserve">compte tenu </w:t>
      </w:r>
      <w:r w:rsidRPr="00562699">
        <w:rPr>
          <w:lang w:val="fr-FR"/>
        </w:rPr>
        <w:t>du temps qu</w:t>
      </w:r>
      <w:r w:rsidR="003C64A0">
        <w:rPr>
          <w:lang w:val="fr-FR"/>
        </w:rPr>
        <w:t>’</w:t>
      </w:r>
      <w:r w:rsidRPr="00562699">
        <w:rPr>
          <w:lang w:val="fr-FR"/>
        </w:rPr>
        <w:t xml:space="preserve">il a fallu pour parvenir à un consensus limité </w:t>
      </w:r>
      <w:r w:rsidR="00961CAE" w:rsidRPr="00562699">
        <w:rPr>
          <w:lang w:val="fr-FR"/>
        </w:rPr>
        <w:t xml:space="preserve">sur </w:t>
      </w:r>
      <w:r w:rsidRPr="00562699">
        <w:rPr>
          <w:lang w:val="fr-FR"/>
        </w:rPr>
        <w:t>les clauses existantes.</w:t>
      </w:r>
    </w:p>
    <w:p w14:paraId="3D09CB3A" w14:textId="71CB3CB4" w:rsidR="009246D2" w:rsidRPr="00562699" w:rsidRDefault="00930DF2" w:rsidP="00170395">
      <w:pPr>
        <w:pStyle w:val="ONUMFS"/>
        <w:rPr>
          <w:lang w:val="fr-FR"/>
        </w:rPr>
      </w:pPr>
      <w:r w:rsidRPr="00562699">
        <w:rPr>
          <w:lang w:val="fr-FR"/>
        </w:rPr>
        <w:t>Diverses administrations ont souligné l</w:t>
      </w:r>
      <w:r w:rsidR="003C64A0">
        <w:rPr>
          <w:lang w:val="fr-FR"/>
        </w:rPr>
        <w:t>’</w:t>
      </w:r>
      <w:r w:rsidR="00961CAE" w:rsidRPr="00562699">
        <w:rPr>
          <w:lang w:val="fr-FR"/>
        </w:rPr>
        <w:t xml:space="preserve">intérêt </w:t>
      </w:r>
      <w:r w:rsidRPr="00562699">
        <w:rPr>
          <w:lang w:val="fr-FR"/>
        </w:rPr>
        <w:t>qu</w:t>
      </w:r>
      <w:r w:rsidR="003C64A0">
        <w:rPr>
          <w:lang w:val="fr-FR"/>
        </w:rPr>
        <w:t>’</w:t>
      </w:r>
      <w:r w:rsidRPr="00562699">
        <w:rPr>
          <w:lang w:val="fr-FR"/>
        </w:rPr>
        <w:t xml:space="preserve">elles voyaient </w:t>
      </w:r>
      <w:r w:rsidR="00961CAE" w:rsidRPr="00562699">
        <w:rPr>
          <w:lang w:val="fr-FR"/>
        </w:rPr>
        <w:t xml:space="preserve">à utiliser </w:t>
      </w:r>
      <w:r w:rsidR="00F046A1" w:rsidRPr="00562699">
        <w:rPr>
          <w:lang w:val="fr-FR"/>
        </w:rPr>
        <w:t xml:space="preserve">des clauses normalisées </w:t>
      </w:r>
      <w:r w:rsidR="00961CAE" w:rsidRPr="00562699">
        <w:rPr>
          <w:lang w:val="fr-FR"/>
        </w:rPr>
        <w:t xml:space="preserve">et à poursuivre </w:t>
      </w:r>
      <w:r w:rsidRPr="00562699">
        <w:rPr>
          <w:lang w:val="fr-FR"/>
        </w:rPr>
        <w:t>l</w:t>
      </w:r>
      <w:r w:rsidR="00F046A1" w:rsidRPr="00562699">
        <w:rPr>
          <w:lang w:val="fr-FR"/>
        </w:rPr>
        <w:t>eur élaborati</w:t>
      </w:r>
      <w:r w:rsidR="00B85EF1" w:rsidRPr="00562699">
        <w:rPr>
          <w:lang w:val="fr-FR"/>
        </w:rPr>
        <w:t>on</w:t>
      </w:r>
      <w:r w:rsidR="00B85EF1">
        <w:rPr>
          <w:lang w:val="fr-FR"/>
        </w:rPr>
        <w:t xml:space="preserve">.  </w:t>
      </w:r>
      <w:r w:rsidR="00B85EF1" w:rsidRPr="00562699">
        <w:rPr>
          <w:lang w:val="fr-FR"/>
        </w:rPr>
        <w:t>Un</w:t>
      </w:r>
      <w:r w:rsidRPr="00562699">
        <w:rPr>
          <w:lang w:val="fr-FR"/>
        </w:rPr>
        <w:t>e administration a fait observer qu</w:t>
      </w:r>
      <w:r w:rsidR="003C64A0">
        <w:rPr>
          <w:lang w:val="fr-FR"/>
        </w:rPr>
        <w:t>’</w:t>
      </w:r>
      <w:r w:rsidRPr="00562699">
        <w:rPr>
          <w:lang w:val="fr-FR"/>
        </w:rPr>
        <w:t>il pourrait être souhaitable d</w:t>
      </w:r>
      <w:r w:rsidR="003C64A0">
        <w:rPr>
          <w:lang w:val="fr-FR"/>
        </w:rPr>
        <w:t>’</w:t>
      </w:r>
      <w:r w:rsidRPr="00562699">
        <w:rPr>
          <w:lang w:val="fr-FR"/>
        </w:rPr>
        <w:t>élaborer d</w:t>
      </w:r>
      <w:r w:rsidR="003C64A0">
        <w:rPr>
          <w:lang w:val="fr-FR"/>
        </w:rPr>
        <w:t>’</w:t>
      </w:r>
      <w:r w:rsidRPr="00562699">
        <w:rPr>
          <w:lang w:val="fr-FR"/>
        </w:rPr>
        <w:t>autres clauses relatives à l</w:t>
      </w:r>
      <w:r w:rsidR="003C64A0">
        <w:rPr>
          <w:lang w:val="fr-FR"/>
        </w:rPr>
        <w:t>’</w:t>
      </w:r>
      <w:r w:rsidRPr="00562699">
        <w:rPr>
          <w:lang w:val="fr-FR"/>
        </w:rPr>
        <w:t>unité de l</w:t>
      </w:r>
      <w:r w:rsidR="003C64A0">
        <w:rPr>
          <w:lang w:val="fr-FR"/>
        </w:rPr>
        <w:t>’</w:t>
      </w:r>
      <w:r w:rsidRPr="00562699">
        <w:rPr>
          <w:lang w:val="fr-FR"/>
        </w:rPr>
        <w:t xml:space="preserve">invention pour traiter des cas particuliers, notamment en ce qui concerne les inventions </w:t>
      </w:r>
      <w:r w:rsidR="00961CAE" w:rsidRPr="00562699">
        <w:rPr>
          <w:lang w:val="fr-FR"/>
        </w:rPr>
        <w:t xml:space="preserve">liées à la </w:t>
      </w:r>
      <w:r w:rsidRPr="00562699">
        <w:rPr>
          <w:lang w:val="fr-FR"/>
        </w:rPr>
        <w:t>biotechnolog</w:t>
      </w:r>
      <w:r w:rsidR="00B85EF1" w:rsidRPr="00562699">
        <w:rPr>
          <w:lang w:val="fr-FR"/>
        </w:rPr>
        <w:t>ie</w:t>
      </w:r>
      <w:r w:rsidR="00B85EF1">
        <w:rPr>
          <w:lang w:val="fr-FR"/>
        </w:rPr>
        <w:t xml:space="preserve">.  </w:t>
      </w:r>
      <w:r w:rsidR="00B85EF1" w:rsidRPr="00562699">
        <w:rPr>
          <w:lang w:val="fr-FR"/>
        </w:rPr>
        <w:t>D</w:t>
      </w:r>
      <w:r w:rsidR="00B85EF1">
        <w:rPr>
          <w:lang w:val="fr-FR"/>
        </w:rPr>
        <w:t>’</w:t>
      </w:r>
      <w:r w:rsidR="00B85EF1" w:rsidRPr="00562699">
        <w:rPr>
          <w:lang w:val="fr-FR"/>
        </w:rPr>
        <w:t>a</w:t>
      </w:r>
      <w:r w:rsidRPr="00562699">
        <w:rPr>
          <w:lang w:val="fr-FR"/>
        </w:rPr>
        <w:t xml:space="preserve">utres administrations ont </w:t>
      </w:r>
      <w:r w:rsidR="00961CAE" w:rsidRPr="00562699">
        <w:rPr>
          <w:lang w:val="fr-FR"/>
        </w:rPr>
        <w:t>observé</w:t>
      </w:r>
      <w:r w:rsidRPr="00562699">
        <w:rPr>
          <w:lang w:val="fr-FR"/>
        </w:rPr>
        <w:t xml:space="preserve"> que les travaux sur les clauses relatives à l</w:t>
      </w:r>
      <w:r w:rsidR="003C64A0">
        <w:rPr>
          <w:lang w:val="fr-FR"/>
        </w:rPr>
        <w:t>’</w:t>
      </w:r>
      <w:r w:rsidRPr="00562699">
        <w:rPr>
          <w:lang w:val="fr-FR"/>
        </w:rPr>
        <w:t>unité de l</w:t>
      </w:r>
      <w:r w:rsidR="003C64A0">
        <w:rPr>
          <w:lang w:val="fr-FR"/>
        </w:rPr>
        <w:t>’</w:t>
      </w:r>
      <w:r w:rsidRPr="00562699">
        <w:rPr>
          <w:lang w:val="fr-FR"/>
        </w:rPr>
        <w:t>invention pourraient être fortement stimulés par le consensus qui pourrait apparaître dans d</w:t>
      </w:r>
      <w:r w:rsidR="003C64A0">
        <w:rPr>
          <w:lang w:val="fr-FR"/>
        </w:rPr>
        <w:t>’</w:t>
      </w:r>
      <w:r w:rsidRPr="00562699">
        <w:rPr>
          <w:lang w:val="fr-FR"/>
        </w:rPr>
        <w:t>autres travaux sur ce sujet (voir les paragraphes</w:t>
      </w:r>
      <w:r w:rsidR="004E4E83" w:rsidRPr="00562699">
        <w:rPr>
          <w:lang w:val="fr-FR"/>
        </w:rPr>
        <w:t> 46</w:t>
      </w:r>
      <w:r w:rsidRPr="00562699">
        <w:rPr>
          <w:lang w:val="fr-FR"/>
        </w:rPr>
        <w:t xml:space="preserve"> à</w:t>
      </w:r>
      <w:r w:rsidR="004E4E83" w:rsidRPr="00562699">
        <w:rPr>
          <w:lang w:val="fr-FR"/>
        </w:rPr>
        <w:t> </w:t>
      </w:r>
      <w:r w:rsidRPr="00562699">
        <w:rPr>
          <w:lang w:val="fr-FR"/>
        </w:rPr>
        <w:t>51 ci</w:t>
      </w:r>
      <w:r w:rsidR="001B4A2C">
        <w:rPr>
          <w:lang w:val="fr-FR"/>
        </w:rPr>
        <w:noBreakHyphen/>
      </w:r>
      <w:r w:rsidRPr="00562699">
        <w:rPr>
          <w:lang w:val="fr-FR"/>
        </w:rPr>
        <w:t>dessous).</w:t>
      </w:r>
    </w:p>
    <w:p w14:paraId="3BC64424" w14:textId="18EEBAF0" w:rsidR="009246D2" w:rsidRPr="00562699" w:rsidRDefault="00930DF2" w:rsidP="00170395">
      <w:pPr>
        <w:pStyle w:val="ONUMFS"/>
        <w:ind w:left="567"/>
        <w:rPr>
          <w:lang w:val="fr-FR"/>
        </w:rPr>
      </w:pPr>
      <w:r w:rsidRPr="00562699">
        <w:rPr>
          <w:lang w:val="fr-FR"/>
        </w:rPr>
        <w:t>Le sous</w:t>
      </w:r>
      <w:r w:rsidR="001B4A2C">
        <w:rPr>
          <w:lang w:val="fr-FR"/>
        </w:rPr>
        <w:noBreakHyphen/>
      </w:r>
      <w:r w:rsidRPr="00562699">
        <w:rPr>
          <w:lang w:val="fr-FR"/>
        </w:rPr>
        <w:t>groupe est convenu de poursuivre l</w:t>
      </w:r>
      <w:r w:rsidR="003C64A0">
        <w:rPr>
          <w:lang w:val="fr-FR"/>
        </w:rPr>
        <w:t>’</w:t>
      </w:r>
      <w:r w:rsidRPr="00562699">
        <w:rPr>
          <w:lang w:val="fr-FR"/>
        </w:rPr>
        <w:t xml:space="preserve">élaboration de clauses </w:t>
      </w:r>
      <w:r w:rsidR="00961CAE" w:rsidRPr="00562699">
        <w:rPr>
          <w:lang w:val="fr-FR"/>
        </w:rPr>
        <w:t>normalisées</w:t>
      </w:r>
      <w:r w:rsidRPr="00562699">
        <w:rPr>
          <w:lang w:val="fr-FR"/>
        </w:rPr>
        <w:t xml:space="preserve"> </w:t>
      </w:r>
      <w:r w:rsidR="00F046A1" w:rsidRPr="00562699">
        <w:rPr>
          <w:lang w:val="fr-FR"/>
        </w:rPr>
        <w:t>sur</w:t>
      </w:r>
      <w:r w:rsidRPr="00562699">
        <w:rPr>
          <w:lang w:val="fr-FR"/>
        </w:rPr>
        <w:t xml:space="preserve"> l</w:t>
      </w:r>
      <w:r w:rsidR="003C64A0">
        <w:rPr>
          <w:lang w:val="fr-FR"/>
        </w:rPr>
        <w:t>’</w:t>
      </w:r>
      <w:r w:rsidRPr="00562699">
        <w:rPr>
          <w:lang w:val="fr-FR"/>
        </w:rPr>
        <w:t>unité de l</w:t>
      </w:r>
      <w:r w:rsidR="003C64A0">
        <w:rPr>
          <w:lang w:val="fr-FR"/>
        </w:rPr>
        <w:t>’</w:t>
      </w:r>
      <w:r w:rsidRPr="00562699">
        <w:rPr>
          <w:lang w:val="fr-FR"/>
        </w:rPr>
        <w:t xml:space="preserve">invention et </w:t>
      </w:r>
      <w:r w:rsidR="00F046A1" w:rsidRPr="00562699">
        <w:rPr>
          <w:lang w:val="fr-FR"/>
        </w:rPr>
        <w:t xml:space="preserve">dans </w:t>
      </w:r>
      <w:r w:rsidRPr="00562699">
        <w:rPr>
          <w:lang w:val="fr-FR"/>
        </w:rPr>
        <w:t>d</w:t>
      </w:r>
      <w:r w:rsidR="003C64A0">
        <w:rPr>
          <w:lang w:val="fr-FR"/>
        </w:rPr>
        <w:t>’</w:t>
      </w:r>
      <w:r w:rsidRPr="00562699">
        <w:rPr>
          <w:lang w:val="fr-FR"/>
        </w:rPr>
        <w:t>autres domaines</w:t>
      </w:r>
      <w:r w:rsidR="00961CAE" w:rsidRPr="00562699">
        <w:rPr>
          <w:lang w:val="fr-FR"/>
        </w:rPr>
        <w:t xml:space="preserve"> par l</w:t>
      </w:r>
      <w:r w:rsidR="003C64A0">
        <w:rPr>
          <w:lang w:val="fr-FR"/>
        </w:rPr>
        <w:t>’</w:t>
      </w:r>
      <w:r w:rsidR="00961CAE" w:rsidRPr="00562699">
        <w:rPr>
          <w:lang w:val="fr-FR"/>
        </w:rPr>
        <w:t>intermédiaire du</w:t>
      </w:r>
      <w:r w:rsidRPr="00562699">
        <w:rPr>
          <w:lang w:val="fr-FR"/>
        </w:rPr>
        <w:t xml:space="preserve"> forum électronique du sous</w:t>
      </w:r>
      <w:r w:rsidR="001B4A2C">
        <w:rPr>
          <w:lang w:val="fr-FR"/>
        </w:rPr>
        <w:noBreakHyphen/>
      </w:r>
      <w:r w:rsidRPr="00562699">
        <w:rPr>
          <w:lang w:val="fr-FR"/>
        </w:rPr>
        <w:t>groupe.</w:t>
      </w:r>
    </w:p>
    <w:p w14:paraId="4030EB46" w14:textId="1D3E3AA2" w:rsidR="009246D2" w:rsidRDefault="00170395" w:rsidP="00170395">
      <w:pPr>
        <w:pStyle w:val="Heading2"/>
        <w:rPr>
          <w:lang w:val="fr-FR"/>
        </w:rPr>
      </w:pPr>
      <w:r>
        <w:rPr>
          <w:lang w:val="fr-FR"/>
        </w:rPr>
        <w:t>C)</w:t>
      </w:r>
      <w:r>
        <w:rPr>
          <w:lang w:val="fr-FR"/>
        </w:rPr>
        <w:tab/>
      </w:r>
      <w:r w:rsidRPr="00562699">
        <w:rPr>
          <w:lang w:val="fr-FR"/>
        </w:rPr>
        <w:t>Forum de discussion sur les pratiques</w:t>
      </w:r>
    </w:p>
    <w:p w14:paraId="775C2CFE" w14:textId="77777777" w:rsidR="00170395" w:rsidRPr="00170395" w:rsidRDefault="00170395" w:rsidP="00170395">
      <w:pPr>
        <w:rPr>
          <w:lang w:val="fr-FR"/>
        </w:rPr>
      </w:pPr>
    </w:p>
    <w:p w14:paraId="2FBEC03C" w14:textId="4E5091BD" w:rsidR="009246D2" w:rsidRPr="00562699" w:rsidRDefault="00930DF2" w:rsidP="00170395">
      <w:pPr>
        <w:pStyle w:val="ONUMFS"/>
        <w:rPr>
          <w:lang w:val="fr-FR"/>
        </w:rPr>
      </w:pPr>
      <w:r w:rsidRPr="00562699">
        <w:rPr>
          <w:lang w:val="fr-FR"/>
        </w:rPr>
        <w:t>L</w:t>
      </w:r>
      <w:r w:rsidR="003C64A0">
        <w:rPr>
          <w:lang w:val="fr-FR"/>
        </w:rPr>
        <w:t>’</w:t>
      </w:r>
      <w:r w:rsidRPr="00562699">
        <w:rPr>
          <w:lang w:val="fr-FR"/>
        </w:rPr>
        <w:t xml:space="preserve">Office de la propriété intellectuelle du Canada a rendu compte </w:t>
      </w:r>
      <w:r w:rsidR="00145BED" w:rsidRPr="00562699">
        <w:rPr>
          <w:lang w:val="fr-FR"/>
        </w:rPr>
        <w:t>d</w:t>
      </w:r>
      <w:r w:rsidRPr="00562699">
        <w:rPr>
          <w:lang w:val="fr-FR"/>
        </w:rPr>
        <w:t xml:space="preserve">es observations </w:t>
      </w:r>
      <w:r w:rsidR="00145BED" w:rsidRPr="00562699">
        <w:rPr>
          <w:lang w:val="fr-FR"/>
        </w:rPr>
        <w:t xml:space="preserve">reçues </w:t>
      </w:r>
      <w:r w:rsidRPr="00562699">
        <w:rPr>
          <w:lang w:val="fr-FR"/>
        </w:rPr>
        <w:t>à la suite de</w:t>
      </w:r>
      <w:r w:rsidR="00145BED" w:rsidRPr="00562699">
        <w:rPr>
          <w:lang w:val="fr-FR"/>
        </w:rPr>
        <w:t xml:space="preserve">s discussions sur un </w:t>
      </w:r>
      <w:r w:rsidRPr="00562699">
        <w:rPr>
          <w:lang w:val="fr-FR"/>
        </w:rPr>
        <w:t xml:space="preserve">échantillon </w:t>
      </w:r>
      <w:r w:rsidR="00145BED" w:rsidRPr="00562699">
        <w:rPr>
          <w:lang w:val="fr-FR"/>
        </w:rPr>
        <w:t xml:space="preserve">de </w:t>
      </w:r>
      <w:r w:rsidR="003C64A0">
        <w:rPr>
          <w:lang w:val="fr-FR"/>
        </w:rPr>
        <w:t>“</w:t>
      </w:r>
      <w:r w:rsidR="003C64A0" w:rsidRPr="00562699">
        <w:rPr>
          <w:lang w:val="fr-FR"/>
        </w:rPr>
        <w:t>c</w:t>
      </w:r>
      <w:r w:rsidR="00145BED" w:rsidRPr="00562699">
        <w:rPr>
          <w:lang w:val="fr-FR"/>
        </w:rPr>
        <w:t xml:space="preserve">as </w:t>
      </w:r>
      <w:r w:rsidRPr="00562699">
        <w:rPr>
          <w:lang w:val="fr-FR"/>
        </w:rPr>
        <w:t>difficile</w:t>
      </w:r>
      <w:r w:rsidR="003C64A0" w:rsidRPr="00562699">
        <w:rPr>
          <w:lang w:val="fr-FR"/>
        </w:rPr>
        <w:t>s</w:t>
      </w:r>
      <w:r w:rsidR="003C64A0">
        <w:rPr>
          <w:lang w:val="fr-FR"/>
        </w:rPr>
        <w:t>”</w:t>
      </w:r>
      <w:r w:rsidRPr="00562699">
        <w:rPr>
          <w:lang w:val="fr-FR"/>
        </w:rPr>
        <w:t xml:space="preserve"> dans l</w:t>
      </w:r>
      <w:r w:rsidR="003C64A0">
        <w:rPr>
          <w:lang w:val="fr-FR"/>
        </w:rPr>
        <w:t>’</w:t>
      </w:r>
      <w:r w:rsidRPr="00562699">
        <w:rPr>
          <w:lang w:val="fr-FR"/>
        </w:rPr>
        <w:t>environnement d</w:t>
      </w:r>
      <w:r w:rsidR="003C64A0">
        <w:rPr>
          <w:lang w:val="fr-FR"/>
        </w:rPr>
        <w:t>’</w:t>
      </w:r>
      <w:r w:rsidRPr="00562699">
        <w:rPr>
          <w:lang w:val="fr-FR"/>
        </w:rPr>
        <w:t>essai fourni dans le cadre du forum électronique du sous</w:t>
      </w:r>
      <w:r w:rsidR="001B4A2C">
        <w:rPr>
          <w:lang w:val="fr-FR"/>
        </w:rPr>
        <w:noBreakHyphen/>
      </w:r>
      <w:r w:rsidRPr="00562699">
        <w:rPr>
          <w:lang w:val="fr-FR"/>
        </w:rPr>
        <w:t>groupe.</w:t>
      </w:r>
      <w:r w:rsidR="00743A53" w:rsidRPr="00562699">
        <w:rPr>
          <w:lang w:val="fr-FR"/>
        </w:rPr>
        <w:t xml:space="preserve">  </w:t>
      </w:r>
      <w:r w:rsidRPr="00562699">
        <w:rPr>
          <w:lang w:val="fr-FR"/>
        </w:rPr>
        <w:t>L</w:t>
      </w:r>
      <w:r w:rsidR="003C64A0">
        <w:rPr>
          <w:lang w:val="fr-FR"/>
        </w:rPr>
        <w:t>’</w:t>
      </w:r>
      <w:r w:rsidR="00145BED" w:rsidRPr="00562699">
        <w:rPr>
          <w:lang w:val="fr-FR"/>
        </w:rPr>
        <w:t xml:space="preserve">Office </w:t>
      </w:r>
      <w:r w:rsidRPr="00562699">
        <w:rPr>
          <w:lang w:val="fr-FR"/>
        </w:rPr>
        <w:t>a estimé qu</w:t>
      </w:r>
      <w:r w:rsidR="003C64A0">
        <w:rPr>
          <w:lang w:val="fr-FR"/>
        </w:rPr>
        <w:t>’</w:t>
      </w:r>
      <w:r w:rsidRPr="00562699">
        <w:rPr>
          <w:lang w:val="fr-FR"/>
        </w:rPr>
        <w:t xml:space="preserve">un forum </w:t>
      </w:r>
      <w:r w:rsidR="00145BED" w:rsidRPr="00562699">
        <w:rPr>
          <w:lang w:val="fr-FR"/>
        </w:rPr>
        <w:t xml:space="preserve">pourrait être utile </w:t>
      </w:r>
      <w:r w:rsidRPr="00562699">
        <w:rPr>
          <w:lang w:val="fr-FR"/>
        </w:rPr>
        <w:t>pour de telles discussions, mais seulement si suffisamment d</w:t>
      </w:r>
      <w:r w:rsidR="003C64A0">
        <w:rPr>
          <w:lang w:val="fr-FR"/>
        </w:rPr>
        <w:t>’</w:t>
      </w:r>
      <w:r w:rsidRPr="00562699">
        <w:rPr>
          <w:lang w:val="fr-FR"/>
        </w:rPr>
        <w:t>administrations l</w:t>
      </w:r>
      <w:r w:rsidR="003C64A0">
        <w:rPr>
          <w:lang w:val="fr-FR"/>
        </w:rPr>
        <w:t>’</w:t>
      </w:r>
      <w:r w:rsidRPr="00562699">
        <w:rPr>
          <w:lang w:val="fr-FR"/>
        </w:rPr>
        <w:t xml:space="preserve">utilisaient pour </w:t>
      </w:r>
      <w:r w:rsidR="00145BED" w:rsidRPr="00562699">
        <w:rPr>
          <w:lang w:val="fr-FR"/>
        </w:rPr>
        <w:t xml:space="preserve">publier et discuter de </w:t>
      </w:r>
      <w:r w:rsidRPr="00562699">
        <w:rPr>
          <w:lang w:val="fr-FR"/>
        </w:rPr>
        <w:t>cas inhabitue</w:t>
      </w:r>
      <w:r w:rsidR="00B85EF1" w:rsidRPr="00562699">
        <w:rPr>
          <w:lang w:val="fr-FR"/>
        </w:rPr>
        <w:t>ls</w:t>
      </w:r>
      <w:r w:rsidR="00B85EF1">
        <w:rPr>
          <w:lang w:val="fr-FR"/>
        </w:rPr>
        <w:t xml:space="preserve">.  </w:t>
      </w:r>
      <w:r w:rsidR="00B85EF1" w:rsidRPr="00562699">
        <w:rPr>
          <w:lang w:val="fr-FR"/>
        </w:rPr>
        <w:t>Il</w:t>
      </w:r>
      <w:r w:rsidRPr="00562699">
        <w:rPr>
          <w:lang w:val="fr-FR"/>
        </w:rPr>
        <w:t xml:space="preserve"> serait nécessaire d</w:t>
      </w:r>
      <w:r w:rsidR="003C64A0">
        <w:rPr>
          <w:lang w:val="fr-FR"/>
        </w:rPr>
        <w:t>’</w:t>
      </w:r>
      <w:r w:rsidR="00145BED" w:rsidRPr="00562699">
        <w:rPr>
          <w:lang w:val="fr-FR"/>
        </w:rPr>
        <w:t xml:space="preserve">étudier </w:t>
      </w:r>
      <w:r w:rsidRPr="00562699">
        <w:rPr>
          <w:lang w:val="fr-FR"/>
        </w:rPr>
        <w:t xml:space="preserve">attentivement </w:t>
      </w:r>
      <w:r w:rsidR="00145BED" w:rsidRPr="00562699">
        <w:rPr>
          <w:lang w:val="fr-FR"/>
        </w:rPr>
        <w:t xml:space="preserve">la manière dont </w:t>
      </w:r>
      <w:r w:rsidRPr="00562699">
        <w:rPr>
          <w:lang w:val="fr-FR"/>
        </w:rPr>
        <w:t>un tel forum serait mis en place et qui serait invité</w:t>
      </w:r>
      <w:r w:rsidR="00145BED" w:rsidRPr="00562699">
        <w:rPr>
          <w:lang w:val="fr-FR"/>
        </w:rPr>
        <w:t xml:space="preserve"> à y participer</w:t>
      </w:r>
      <w:r w:rsidRPr="00562699">
        <w:rPr>
          <w:lang w:val="fr-FR"/>
        </w:rPr>
        <w:t xml:space="preserve">, </w:t>
      </w:r>
      <w:r w:rsidR="00145BED" w:rsidRPr="00562699">
        <w:rPr>
          <w:lang w:val="fr-FR"/>
        </w:rPr>
        <w:t xml:space="preserve">sans oublier les </w:t>
      </w:r>
      <w:r w:rsidRPr="00562699">
        <w:rPr>
          <w:lang w:val="fr-FR"/>
        </w:rPr>
        <w:t xml:space="preserve">questions </w:t>
      </w:r>
      <w:r w:rsidR="00145BED" w:rsidRPr="00562699">
        <w:rPr>
          <w:lang w:val="fr-FR"/>
        </w:rPr>
        <w:t xml:space="preserve">de savoir quels membres du </w:t>
      </w:r>
      <w:r w:rsidRPr="00562699">
        <w:rPr>
          <w:lang w:val="fr-FR"/>
        </w:rPr>
        <w:t xml:space="preserve">personnel </w:t>
      </w:r>
      <w:r w:rsidR="00145BED" w:rsidRPr="00562699">
        <w:rPr>
          <w:lang w:val="fr-FR"/>
        </w:rPr>
        <w:t>d</w:t>
      </w:r>
      <w:r w:rsidR="003C64A0">
        <w:rPr>
          <w:lang w:val="fr-FR"/>
        </w:rPr>
        <w:t>’</w:t>
      </w:r>
      <w:r w:rsidR="00145BED" w:rsidRPr="00562699">
        <w:rPr>
          <w:lang w:val="fr-FR"/>
        </w:rPr>
        <w:t>une</w:t>
      </w:r>
      <w:r w:rsidRPr="00562699">
        <w:rPr>
          <w:lang w:val="fr-FR"/>
        </w:rPr>
        <w:t xml:space="preserve"> administration </w:t>
      </w:r>
      <w:r w:rsidR="00145BED" w:rsidRPr="00562699">
        <w:rPr>
          <w:lang w:val="fr-FR"/>
        </w:rPr>
        <w:t xml:space="preserve">donnée </w:t>
      </w:r>
      <w:r w:rsidR="00145BED" w:rsidRPr="00562699">
        <w:rPr>
          <w:lang w:val="fr-FR"/>
        </w:rPr>
        <w:lastRenderedPageBreak/>
        <w:t xml:space="preserve">y </w:t>
      </w:r>
      <w:r w:rsidRPr="00562699">
        <w:rPr>
          <w:lang w:val="fr-FR"/>
        </w:rPr>
        <w:t>aurai</w:t>
      </w:r>
      <w:r w:rsidR="004E4E83" w:rsidRPr="00562699">
        <w:rPr>
          <w:lang w:val="fr-FR"/>
        </w:rPr>
        <w:t>en</w:t>
      </w:r>
      <w:r w:rsidRPr="00562699">
        <w:rPr>
          <w:lang w:val="fr-FR"/>
        </w:rPr>
        <w:t>t accès et s</w:t>
      </w:r>
      <w:r w:rsidR="003C64A0">
        <w:rPr>
          <w:lang w:val="fr-FR"/>
        </w:rPr>
        <w:t>’</w:t>
      </w:r>
      <w:r w:rsidRPr="00562699">
        <w:rPr>
          <w:lang w:val="fr-FR"/>
        </w:rPr>
        <w:t xml:space="preserve">il devrait être étendu </w:t>
      </w:r>
      <w:r w:rsidR="00145BED" w:rsidRPr="00562699">
        <w:rPr>
          <w:lang w:val="fr-FR"/>
        </w:rPr>
        <w:t xml:space="preserve">à la fois </w:t>
      </w:r>
      <w:r w:rsidRPr="00562699">
        <w:rPr>
          <w:lang w:val="fr-FR"/>
        </w:rPr>
        <w:t xml:space="preserve">aux </w:t>
      </w:r>
      <w:r w:rsidR="00145BED" w:rsidRPr="00562699">
        <w:rPr>
          <w:lang w:val="fr-FR"/>
        </w:rPr>
        <w:t>o</w:t>
      </w:r>
      <w:r w:rsidRPr="00562699">
        <w:rPr>
          <w:lang w:val="fr-FR"/>
        </w:rPr>
        <w:t xml:space="preserve">ffices récepteurs </w:t>
      </w:r>
      <w:r w:rsidR="00145BED" w:rsidRPr="00562699">
        <w:rPr>
          <w:lang w:val="fr-FR"/>
        </w:rPr>
        <w:t xml:space="preserve">et </w:t>
      </w:r>
      <w:r w:rsidRPr="00562699">
        <w:rPr>
          <w:lang w:val="fr-FR"/>
        </w:rPr>
        <w:t>aux administrations internationales.</w:t>
      </w:r>
    </w:p>
    <w:p w14:paraId="43E1958A" w14:textId="6E7FC119" w:rsidR="009246D2" w:rsidRPr="00562699" w:rsidRDefault="00930DF2" w:rsidP="00170395">
      <w:pPr>
        <w:pStyle w:val="ONUMFS"/>
        <w:rPr>
          <w:lang w:val="fr-FR"/>
        </w:rPr>
      </w:pPr>
      <w:r w:rsidRPr="00562699">
        <w:rPr>
          <w:lang w:val="fr-FR"/>
        </w:rPr>
        <w:t xml:space="preserve">Les administrations internationales </w:t>
      </w:r>
      <w:r w:rsidR="00145BED" w:rsidRPr="00562699">
        <w:rPr>
          <w:lang w:val="fr-FR"/>
        </w:rPr>
        <w:t>ont accueilli positivement</w:t>
      </w:r>
      <w:r w:rsidRPr="00562699">
        <w:rPr>
          <w:lang w:val="fr-FR"/>
        </w:rPr>
        <w:t xml:space="preserve"> l</w:t>
      </w:r>
      <w:r w:rsidR="003C64A0">
        <w:rPr>
          <w:lang w:val="fr-FR"/>
        </w:rPr>
        <w:t>’</w:t>
      </w:r>
      <w:r w:rsidRPr="00562699">
        <w:rPr>
          <w:lang w:val="fr-FR"/>
        </w:rPr>
        <w:t>idée d</w:t>
      </w:r>
      <w:r w:rsidR="003C64A0">
        <w:rPr>
          <w:lang w:val="fr-FR"/>
        </w:rPr>
        <w:t>’</w:t>
      </w:r>
      <w:r w:rsidRPr="00562699">
        <w:rPr>
          <w:lang w:val="fr-FR"/>
        </w:rPr>
        <w:t xml:space="preserve">un forum de discussion, </w:t>
      </w:r>
      <w:r w:rsidR="00145BED" w:rsidRPr="00562699">
        <w:rPr>
          <w:lang w:val="fr-FR"/>
        </w:rPr>
        <w:t xml:space="preserve">pour autant que </w:t>
      </w:r>
      <w:r w:rsidRPr="00562699">
        <w:rPr>
          <w:lang w:val="fr-FR"/>
        </w:rPr>
        <w:t>des dispositions appropriées soient trouvé</w:t>
      </w:r>
      <w:r w:rsidR="00B85EF1" w:rsidRPr="00562699">
        <w:rPr>
          <w:lang w:val="fr-FR"/>
        </w:rPr>
        <w:t>es</w:t>
      </w:r>
      <w:r w:rsidR="00B85EF1">
        <w:rPr>
          <w:lang w:val="fr-FR"/>
        </w:rPr>
        <w:t xml:space="preserve">.  </w:t>
      </w:r>
      <w:r w:rsidR="00B85EF1" w:rsidRPr="00562699">
        <w:rPr>
          <w:lang w:val="fr-FR"/>
        </w:rPr>
        <w:t>Po</w:t>
      </w:r>
      <w:r w:rsidRPr="00562699">
        <w:rPr>
          <w:lang w:val="fr-FR"/>
        </w:rPr>
        <w:t xml:space="preserve">ur que le forum soit utile, il serait essentiel que les fonctionnaires compétents des administrations </w:t>
      </w:r>
      <w:r w:rsidR="00145BED" w:rsidRPr="00562699">
        <w:rPr>
          <w:lang w:val="fr-FR"/>
        </w:rPr>
        <w:t xml:space="preserve">aient connaissance de </w:t>
      </w:r>
      <w:r w:rsidRPr="00562699">
        <w:rPr>
          <w:lang w:val="fr-FR"/>
        </w:rPr>
        <w:t>son existence et soient autorisés à l</w:t>
      </w:r>
      <w:r w:rsidR="003C64A0">
        <w:rPr>
          <w:lang w:val="fr-FR"/>
        </w:rPr>
        <w:t>’</w:t>
      </w:r>
      <w:r w:rsidRPr="00562699">
        <w:rPr>
          <w:lang w:val="fr-FR"/>
        </w:rPr>
        <w:t>utilis</w:t>
      </w:r>
      <w:r w:rsidR="00B85EF1" w:rsidRPr="00562699">
        <w:rPr>
          <w:lang w:val="fr-FR"/>
        </w:rPr>
        <w:t>er</w:t>
      </w:r>
      <w:r w:rsidR="00B85EF1">
        <w:rPr>
          <w:lang w:val="fr-FR"/>
        </w:rPr>
        <w:t xml:space="preserve">.  </w:t>
      </w:r>
      <w:r w:rsidR="00B85EF1" w:rsidRPr="00562699">
        <w:rPr>
          <w:lang w:val="fr-FR"/>
        </w:rPr>
        <w:t>Le</w:t>
      </w:r>
      <w:r w:rsidRPr="00562699">
        <w:rPr>
          <w:lang w:val="fr-FR"/>
        </w:rPr>
        <w:t xml:space="preserve"> forum ne pouvait pas être directement </w:t>
      </w:r>
      <w:r w:rsidR="00145BED" w:rsidRPr="00562699">
        <w:rPr>
          <w:lang w:val="fr-FR"/>
        </w:rPr>
        <w:t xml:space="preserve">accessible </w:t>
      </w:r>
      <w:r w:rsidRPr="00562699">
        <w:rPr>
          <w:lang w:val="fr-FR"/>
        </w:rPr>
        <w:t>aux examinateurs</w:t>
      </w:r>
      <w:r w:rsidR="00145BED" w:rsidRPr="00562699">
        <w:rPr>
          <w:lang w:val="fr-FR"/>
        </w:rPr>
        <w:t xml:space="preserve"> individue</w:t>
      </w:r>
      <w:r w:rsidR="00B85EF1" w:rsidRPr="00562699">
        <w:rPr>
          <w:lang w:val="fr-FR"/>
        </w:rPr>
        <w:t>ls</w:t>
      </w:r>
      <w:r w:rsidR="00B85EF1">
        <w:rPr>
          <w:lang w:val="fr-FR"/>
        </w:rPr>
        <w:t xml:space="preserve">.  </w:t>
      </w:r>
      <w:r w:rsidR="00B85EF1" w:rsidRPr="00562699">
        <w:rPr>
          <w:lang w:val="fr-FR"/>
        </w:rPr>
        <w:t>Ch</w:t>
      </w:r>
      <w:r w:rsidRPr="00562699">
        <w:rPr>
          <w:lang w:val="fr-FR"/>
        </w:rPr>
        <w:t xml:space="preserve">aque administration </w:t>
      </w:r>
      <w:r w:rsidR="00145BED" w:rsidRPr="00562699">
        <w:rPr>
          <w:lang w:val="fr-FR"/>
        </w:rPr>
        <w:t xml:space="preserve">devrait être </w:t>
      </w:r>
      <w:r w:rsidRPr="00562699">
        <w:rPr>
          <w:lang w:val="fr-FR"/>
        </w:rPr>
        <w:t xml:space="preserve">représentée par un petit nombre de fonctionnaires chargés de conseiller les examinateurs dans </w:t>
      </w:r>
      <w:r w:rsidR="00145BED" w:rsidRPr="00562699">
        <w:rPr>
          <w:lang w:val="fr-FR"/>
        </w:rPr>
        <w:t>l</w:t>
      </w:r>
      <w:r w:rsidRPr="00562699">
        <w:rPr>
          <w:lang w:val="fr-FR"/>
        </w:rPr>
        <w:t>es cas difficiles</w:t>
      </w:r>
      <w:r w:rsidR="00F046A1" w:rsidRPr="00562699">
        <w:rPr>
          <w:lang w:val="fr-FR"/>
        </w:rPr>
        <w:t xml:space="preserve">, qui </w:t>
      </w:r>
      <w:r w:rsidRPr="00562699">
        <w:rPr>
          <w:lang w:val="fr-FR"/>
        </w:rPr>
        <w:t>transmett</w:t>
      </w:r>
      <w:r w:rsidR="00145BED" w:rsidRPr="00562699">
        <w:rPr>
          <w:lang w:val="fr-FR"/>
        </w:rPr>
        <w:t>raient</w:t>
      </w:r>
      <w:r w:rsidRPr="00562699">
        <w:rPr>
          <w:lang w:val="fr-FR"/>
        </w:rPr>
        <w:t xml:space="preserve"> des versions adaptées </w:t>
      </w:r>
      <w:r w:rsidR="00145BED" w:rsidRPr="00562699">
        <w:rPr>
          <w:lang w:val="fr-FR"/>
        </w:rPr>
        <w:t xml:space="preserve">des </w:t>
      </w:r>
      <w:r w:rsidRPr="00562699">
        <w:rPr>
          <w:lang w:val="fr-FR"/>
        </w:rPr>
        <w:t xml:space="preserve">questions </w:t>
      </w:r>
      <w:r w:rsidR="00145BED" w:rsidRPr="00562699">
        <w:rPr>
          <w:lang w:val="fr-FR"/>
        </w:rPr>
        <w:t xml:space="preserve">posées par </w:t>
      </w:r>
      <w:r w:rsidRPr="00562699">
        <w:rPr>
          <w:lang w:val="fr-FR"/>
        </w:rPr>
        <w:t xml:space="preserve">leurs examinateurs ou </w:t>
      </w:r>
      <w:r w:rsidR="00145BED" w:rsidRPr="00562699">
        <w:rPr>
          <w:lang w:val="fr-FR"/>
        </w:rPr>
        <w:t xml:space="preserve">proposeraient </w:t>
      </w:r>
      <w:r w:rsidRPr="00562699">
        <w:rPr>
          <w:lang w:val="fr-FR"/>
        </w:rPr>
        <w:t xml:space="preserve">des idées en réponse </w:t>
      </w:r>
      <w:r w:rsidR="00F046A1" w:rsidRPr="00562699">
        <w:rPr>
          <w:lang w:val="fr-FR"/>
        </w:rPr>
        <w:t xml:space="preserve">aux </w:t>
      </w:r>
      <w:r w:rsidRPr="00562699">
        <w:rPr>
          <w:lang w:val="fr-FR"/>
        </w:rPr>
        <w:t>questions d</w:t>
      </w:r>
      <w:r w:rsidR="003C64A0">
        <w:rPr>
          <w:lang w:val="fr-FR"/>
        </w:rPr>
        <w:t>’</w:t>
      </w:r>
      <w:r w:rsidRPr="00562699">
        <w:rPr>
          <w:lang w:val="fr-FR"/>
        </w:rPr>
        <w:t>autres administrations.</w:t>
      </w:r>
    </w:p>
    <w:p w14:paraId="40329D82" w14:textId="3E6D03D8" w:rsidR="009246D2" w:rsidRPr="00562699" w:rsidRDefault="00930DF2" w:rsidP="00170395">
      <w:pPr>
        <w:pStyle w:val="ONUMFS"/>
        <w:rPr>
          <w:lang w:val="fr-FR"/>
        </w:rPr>
      </w:pPr>
      <w:r w:rsidRPr="00562699">
        <w:rPr>
          <w:lang w:val="fr-FR"/>
        </w:rPr>
        <w:t xml:space="preserve">Le forum devrait probablement être plus </w:t>
      </w:r>
      <w:r w:rsidR="00F046A1" w:rsidRPr="00562699">
        <w:rPr>
          <w:lang w:val="fr-FR"/>
        </w:rPr>
        <w:t>sécurisé</w:t>
      </w:r>
      <w:r w:rsidRPr="00562699">
        <w:rPr>
          <w:lang w:val="fr-FR"/>
        </w:rPr>
        <w:t xml:space="preserve"> que le forum électronique du sous</w:t>
      </w:r>
      <w:r w:rsidR="001B4A2C">
        <w:rPr>
          <w:lang w:val="fr-FR"/>
        </w:rPr>
        <w:noBreakHyphen/>
      </w:r>
      <w:r w:rsidRPr="00562699">
        <w:rPr>
          <w:lang w:val="fr-FR"/>
        </w:rPr>
        <w:t>grou</w:t>
      </w:r>
      <w:r w:rsidR="00B85EF1" w:rsidRPr="00562699">
        <w:rPr>
          <w:lang w:val="fr-FR"/>
        </w:rPr>
        <w:t>pe</w:t>
      </w:r>
      <w:r w:rsidR="00B85EF1">
        <w:rPr>
          <w:lang w:val="fr-FR"/>
        </w:rPr>
        <w:t xml:space="preserve">.  </w:t>
      </w:r>
      <w:r w:rsidR="00B85EF1" w:rsidRPr="00562699">
        <w:rPr>
          <w:lang w:val="fr-FR"/>
        </w:rPr>
        <w:t>En</w:t>
      </w:r>
      <w:r w:rsidRPr="00562699">
        <w:rPr>
          <w:lang w:val="fr-FR"/>
        </w:rPr>
        <w:t xml:space="preserve"> outre, les discussions devraient éviter de donner des détails sur des cas précis, mais ce type de problème devrait être gérable </w:t>
      </w:r>
      <w:r w:rsidR="00145BED" w:rsidRPr="00562699">
        <w:rPr>
          <w:lang w:val="fr-FR"/>
        </w:rPr>
        <w:t xml:space="preserve">grâce au </w:t>
      </w:r>
      <w:r w:rsidRPr="00562699">
        <w:rPr>
          <w:lang w:val="fr-FR"/>
        </w:rPr>
        <w:t>professionnalisme du type d</w:t>
      </w:r>
      <w:r w:rsidR="003C64A0">
        <w:rPr>
          <w:lang w:val="fr-FR"/>
        </w:rPr>
        <w:t>’</w:t>
      </w:r>
      <w:r w:rsidRPr="00562699">
        <w:rPr>
          <w:lang w:val="fr-FR"/>
        </w:rPr>
        <w:t>utilisateur</w:t>
      </w:r>
      <w:r w:rsidR="00145BED" w:rsidRPr="00562699">
        <w:rPr>
          <w:lang w:val="fr-FR"/>
        </w:rPr>
        <w:t xml:space="preserve">s </w:t>
      </w:r>
      <w:r w:rsidR="00F046A1" w:rsidRPr="00562699">
        <w:rPr>
          <w:lang w:val="fr-FR"/>
        </w:rPr>
        <w:t xml:space="preserve">censés </w:t>
      </w:r>
      <w:r w:rsidRPr="00562699">
        <w:rPr>
          <w:lang w:val="fr-FR"/>
        </w:rPr>
        <w:t>y particip</w:t>
      </w:r>
      <w:r w:rsidR="00B85EF1" w:rsidRPr="00562699">
        <w:rPr>
          <w:lang w:val="fr-FR"/>
        </w:rPr>
        <w:t>er</w:t>
      </w:r>
      <w:r w:rsidR="00B85EF1">
        <w:rPr>
          <w:lang w:val="fr-FR"/>
        </w:rPr>
        <w:t xml:space="preserve">.  </w:t>
      </w:r>
      <w:r w:rsidR="00B85EF1" w:rsidRPr="00562699">
        <w:rPr>
          <w:lang w:val="fr-FR"/>
        </w:rPr>
        <w:t>Ce</w:t>
      </w:r>
      <w:r w:rsidRPr="00562699">
        <w:rPr>
          <w:lang w:val="fr-FR"/>
        </w:rPr>
        <w:t xml:space="preserve">rtains </w:t>
      </w:r>
      <w:r w:rsidR="00F046A1" w:rsidRPr="00562699">
        <w:rPr>
          <w:lang w:val="fr-FR"/>
        </w:rPr>
        <w:t>o</w:t>
      </w:r>
      <w:r w:rsidRPr="00562699">
        <w:rPr>
          <w:lang w:val="fr-FR"/>
        </w:rPr>
        <w:t>ffices pourraient souhaiter que leurs agents représentent officiellement l</w:t>
      </w:r>
      <w:r w:rsidR="003C64A0">
        <w:rPr>
          <w:lang w:val="fr-FR"/>
        </w:rPr>
        <w:t>’</w:t>
      </w:r>
      <w:r w:rsidRPr="00562699">
        <w:rPr>
          <w:lang w:val="fr-FR"/>
        </w:rPr>
        <w:t xml:space="preserve">administration et auraient du mal à autoriser des </w:t>
      </w:r>
      <w:r w:rsidR="00145BED" w:rsidRPr="00562699">
        <w:rPr>
          <w:lang w:val="fr-FR"/>
        </w:rPr>
        <w:t>agents</w:t>
      </w:r>
      <w:r w:rsidRPr="00562699">
        <w:rPr>
          <w:lang w:val="fr-FR"/>
        </w:rPr>
        <w:t xml:space="preserve"> </w:t>
      </w:r>
      <w:r w:rsidR="00145BED" w:rsidRPr="00562699">
        <w:rPr>
          <w:lang w:val="fr-FR"/>
        </w:rPr>
        <w:t xml:space="preserve">individuels </w:t>
      </w:r>
      <w:r w:rsidRPr="00562699">
        <w:rPr>
          <w:lang w:val="fr-FR"/>
        </w:rPr>
        <w:t>à soumettre des questions ou des observations sans un processus d</w:t>
      </w:r>
      <w:r w:rsidR="003C64A0">
        <w:rPr>
          <w:lang w:val="fr-FR"/>
        </w:rPr>
        <w:t>’</w:t>
      </w:r>
      <w:r w:rsidRPr="00562699">
        <w:rPr>
          <w:lang w:val="fr-FR"/>
        </w:rPr>
        <w:t>accord interne susceptible de rendre leur participation moins effica</w:t>
      </w:r>
      <w:r w:rsidR="00B85EF1" w:rsidRPr="00562699">
        <w:rPr>
          <w:lang w:val="fr-FR"/>
        </w:rPr>
        <w:t>ce</w:t>
      </w:r>
      <w:r w:rsidR="00B85EF1">
        <w:rPr>
          <w:lang w:val="fr-FR"/>
        </w:rPr>
        <w:t xml:space="preserve">.  </w:t>
      </w:r>
      <w:r w:rsidR="00B85EF1" w:rsidRPr="00562699">
        <w:rPr>
          <w:lang w:val="fr-FR"/>
        </w:rPr>
        <w:t>Il</w:t>
      </w:r>
      <w:r w:rsidRPr="00562699">
        <w:rPr>
          <w:lang w:val="fr-FR"/>
        </w:rPr>
        <w:t xml:space="preserve"> a été observé que, dans le cadre de discussions similaires au sein des </w:t>
      </w:r>
      <w:r w:rsidR="00FC5335" w:rsidRPr="00562699">
        <w:rPr>
          <w:lang w:val="fr-FR"/>
        </w:rPr>
        <w:t>o</w:t>
      </w:r>
      <w:r w:rsidRPr="00562699">
        <w:rPr>
          <w:lang w:val="fr-FR"/>
        </w:rPr>
        <w:t xml:space="preserve">ffices, la présentation des points de vue finalement </w:t>
      </w:r>
      <w:r w:rsidR="00FC5335" w:rsidRPr="00562699">
        <w:rPr>
          <w:lang w:val="fr-FR"/>
        </w:rPr>
        <w:t xml:space="preserve">jugés </w:t>
      </w:r>
      <w:r w:rsidR="003C64A0">
        <w:rPr>
          <w:lang w:val="fr-FR"/>
        </w:rPr>
        <w:t>“</w:t>
      </w:r>
      <w:r w:rsidR="003C64A0" w:rsidRPr="00562699">
        <w:rPr>
          <w:lang w:val="fr-FR"/>
        </w:rPr>
        <w:t>i</w:t>
      </w:r>
      <w:r w:rsidRPr="00562699">
        <w:rPr>
          <w:lang w:val="fr-FR"/>
        </w:rPr>
        <w:t>ncorrect</w:t>
      </w:r>
      <w:r w:rsidR="003C64A0" w:rsidRPr="00562699">
        <w:rPr>
          <w:lang w:val="fr-FR"/>
        </w:rPr>
        <w:t>s</w:t>
      </w:r>
      <w:r w:rsidR="003C64A0">
        <w:rPr>
          <w:lang w:val="fr-FR"/>
        </w:rPr>
        <w:t>”</w:t>
      </w:r>
      <w:r w:rsidRPr="00562699">
        <w:rPr>
          <w:lang w:val="fr-FR"/>
        </w:rPr>
        <w:t xml:space="preserve"> ou moins souhaitable</w:t>
      </w:r>
      <w:r w:rsidR="00FC5335" w:rsidRPr="00562699">
        <w:rPr>
          <w:lang w:val="fr-FR"/>
        </w:rPr>
        <w:t>s</w:t>
      </w:r>
      <w:r w:rsidRPr="00562699">
        <w:rPr>
          <w:lang w:val="fr-FR"/>
        </w:rPr>
        <w:t xml:space="preserve"> était souvent utile pour aider à déterminer </w:t>
      </w:r>
      <w:r w:rsidR="00FC5335" w:rsidRPr="00562699">
        <w:rPr>
          <w:lang w:val="fr-FR"/>
        </w:rPr>
        <w:t xml:space="preserve">toute la portée </w:t>
      </w:r>
      <w:r w:rsidRPr="00562699">
        <w:rPr>
          <w:lang w:val="fr-FR"/>
        </w:rPr>
        <w:t>des questions</w:t>
      </w:r>
      <w:r w:rsidR="00FC5335" w:rsidRPr="00562699">
        <w:rPr>
          <w:lang w:val="fr-FR"/>
        </w:rPr>
        <w:t>,</w:t>
      </w:r>
      <w:r w:rsidRPr="00562699">
        <w:rPr>
          <w:lang w:val="fr-FR"/>
        </w:rPr>
        <w:t xml:space="preserve"> et que </w:t>
      </w:r>
      <w:r w:rsidR="00FC5335" w:rsidRPr="00562699">
        <w:rPr>
          <w:lang w:val="fr-FR"/>
        </w:rPr>
        <w:t xml:space="preserve">des réponses personnelles rapides pouvaient </w:t>
      </w:r>
      <w:r w:rsidRPr="00562699">
        <w:rPr>
          <w:lang w:val="fr-FR"/>
        </w:rPr>
        <w:t>être précieus</w:t>
      </w:r>
      <w:r w:rsidR="00B85EF1" w:rsidRPr="00562699">
        <w:rPr>
          <w:lang w:val="fr-FR"/>
        </w:rPr>
        <w:t>es</w:t>
      </w:r>
      <w:r w:rsidR="00B85EF1">
        <w:rPr>
          <w:lang w:val="fr-FR"/>
        </w:rPr>
        <w:t xml:space="preserve">.  </w:t>
      </w:r>
      <w:r w:rsidR="00B85EF1" w:rsidRPr="00562699">
        <w:rPr>
          <w:lang w:val="fr-FR"/>
        </w:rPr>
        <w:t>En</w:t>
      </w:r>
      <w:r w:rsidRPr="00562699">
        <w:rPr>
          <w:lang w:val="fr-FR"/>
        </w:rPr>
        <w:t xml:space="preserve"> tout état de cause, </w:t>
      </w:r>
      <w:r w:rsidR="00FC5335" w:rsidRPr="00562699">
        <w:rPr>
          <w:lang w:val="fr-FR"/>
        </w:rPr>
        <w:t>l</w:t>
      </w:r>
      <w:r w:rsidR="003C64A0">
        <w:rPr>
          <w:lang w:val="fr-FR"/>
        </w:rPr>
        <w:t>’</w:t>
      </w:r>
      <w:r w:rsidR="00FC5335" w:rsidRPr="00562699">
        <w:rPr>
          <w:lang w:val="fr-FR"/>
        </w:rPr>
        <w:t>administration</w:t>
      </w:r>
      <w:r w:rsidRPr="00562699">
        <w:rPr>
          <w:lang w:val="fr-FR"/>
        </w:rPr>
        <w:t xml:space="preserve"> compétente pour le cas </w:t>
      </w:r>
      <w:r w:rsidR="00FC5335" w:rsidRPr="00562699">
        <w:rPr>
          <w:lang w:val="fr-FR"/>
        </w:rPr>
        <w:t>concerné</w:t>
      </w:r>
      <w:r w:rsidRPr="00562699">
        <w:rPr>
          <w:lang w:val="fr-FR"/>
        </w:rPr>
        <w:t xml:space="preserve"> devra</w:t>
      </w:r>
      <w:r w:rsidR="00FC5335" w:rsidRPr="00562699">
        <w:rPr>
          <w:lang w:val="fr-FR"/>
        </w:rPr>
        <w:t>it</w:t>
      </w:r>
      <w:r w:rsidRPr="00562699">
        <w:rPr>
          <w:lang w:val="fr-FR"/>
        </w:rPr>
        <w:t xml:space="preserve"> conserver la responsabilité de toute décision prise, que l</w:t>
      </w:r>
      <w:r w:rsidR="003C64A0">
        <w:rPr>
          <w:lang w:val="fr-FR"/>
        </w:rPr>
        <w:t>’</w:t>
      </w:r>
      <w:r w:rsidRPr="00562699">
        <w:rPr>
          <w:lang w:val="fr-FR"/>
        </w:rPr>
        <w:t xml:space="preserve">approche ait </w:t>
      </w:r>
      <w:r w:rsidR="00FC5335" w:rsidRPr="00562699">
        <w:rPr>
          <w:lang w:val="fr-FR"/>
        </w:rPr>
        <w:t xml:space="preserve">ou non </w:t>
      </w:r>
      <w:r w:rsidRPr="00562699">
        <w:rPr>
          <w:lang w:val="fr-FR"/>
        </w:rPr>
        <w:t>été suggérée par un agent d</w:t>
      </w:r>
      <w:r w:rsidR="003C64A0">
        <w:rPr>
          <w:lang w:val="fr-FR"/>
        </w:rPr>
        <w:t>’</w:t>
      </w:r>
      <w:r w:rsidRPr="00562699">
        <w:rPr>
          <w:lang w:val="fr-FR"/>
        </w:rPr>
        <w:t>une autre administrati</w:t>
      </w:r>
      <w:r w:rsidR="00B85EF1" w:rsidRPr="00562699">
        <w:rPr>
          <w:lang w:val="fr-FR"/>
        </w:rPr>
        <w:t>on</w:t>
      </w:r>
      <w:r w:rsidR="00B85EF1">
        <w:rPr>
          <w:lang w:val="fr-FR"/>
        </w:rPr>
        <w:t xml:space="preserve">.  </w:t>
      </w:r>
      <w:r w:rsidR="00B85EF1" w:rsidRPr="00562699">
        <w:rPr>
          <w:lang w:val="fr-FR"/>
        </w:rPr>
        <w:t>Pa</w:t>
      </w:r>
      <w:r w:rsidR="00FC5335" w:rsidRPr="00562699">
        <w:rPr>
          <w:lang w:val="fr-FR"/>
        </w:rPr>
        <w:t>r ailleurs</w:t>
      </w:r>
      <w:r w:rsidRPr="00562699">
        <w:rPr>
          <w:lang w:val="fr-FR"/>
        </w:rPr>
        <w:t>, à long terme, l</w:t>
      </w:r>
      <w:r w:rsidR="003C64A0">
        <w:rPr>
          <w:lang w:val="fr-FR"/>
        </w:rPr>
        <w:t>’</w:t>
      </w:r>
      <w:r w:rsidRPr="00562699">
        <w:rPr>
          <w:lang w:val="fr-FR"/>
        </w:rPr>
        <w:t xml:space="preserve">accès au forum devrait être </w:t>
      </w:r>
      <w:r w:rsidR="00FC5335" w:rsidRPr="00562699">
        <w:rPr>
          <w:lang w:val="fr-FR"/>
        </w:rPr>
        <w:t>étendu</w:t>
      </w:r>
      <w:r w:rsidRPr="00562699">
        <w:rPr>
          <w:lang w:val="fr-FR"/>
        </w:rPr>
        <w:t xml:space="preserve"> à tous les </w:t>
      </w:r>
      <w:r w:rsidR="00FC5335" w:rsidRPr="00562699">
        <w:rPr>
          <w:lang w:val="fr-FR"/>
        </w:rPr>
        <w:t>o</w:t>
      </w:r>
      <w:r w:rsidRPr="00562699">
        <w:rPr>
          <w:lang w:val="fr-FR"/>
        </w:rPr>
        <w:t xml:space="preserve">ffices </w:t>
      </w:r>
      <w:r w:rsidR="00F046A1" w:rsidRPr="00562699">
        <w:rPr>
          <w:lang w:val="fr-FR"/>
        </w:rPr>
        <w:t>si</w:t>
      </w:r>
      <w:r w:rsidRPr="00562699">
        <w:rPr>
          <w:lang w:val="fr-FR"/>
        </w:rPr>
        <w:t xml:space="preserve"> </w:t>
      </w:r>
      <w:r w:rsidR="00FC5335" w:rsidRPr="00562699">
        <w:rPr>
          <w:lang w:val="fr-FR"/>
        </w:rPr>
        <w:t>d</w:t>
      </w:r>
      <w:r w:rsidRPr="00562699">
        <w:rPr>
          <w:lang w:val="fr-FR"/>
        </w:rPr>
        <w:t xml:space="preserve">es questions concernant les </w:t>
      </w:r>
      <w:r w:rsidR="00FC5335" w:rsidRPr="00562699">
        <w:rPr>
          <w:lang w:val="fr-FR"/>
        </w:rPr>
        <w:t>o</w:t>
      </w:r>
      <w:r w:rsidRPr="00562699">
        <w:rPr>
          <w:lang w:val="fr-FR"/>
        </w:rPr>
        <w:t xml:space="preserve">ffices récepteurs </w:t>
      </w:r>
      <w:r w:rsidR="00F046A1" w:rsidRPr="00562699">
        <w:rPr>
          <w:lang w:val="fr-FR"/>
        </w:rPr>
        <w:t>devaient</w:t>
      </w:r>
      <w:r w:rsidRPr="00562699">
        <w:rPr>
          <w:lang w:val="fr-FR"/>
        </w:rPr>
        <w:t xml:space="preserve"> être examinées.</w:t>
      </w:r>
    </w:p>
    <w:p w14:paraId="70D15DEA" w14:textId="546315B5" w:rsidR="009246D2" w:rsidRPr="00562699" w:rsidRDefault="00930DF2" w:rsidP="00170395">
      <w:pPr>
        <w:pStyle w:val="ONUMFS"/>
        <w:ind w:left="567"/>
        <w:rPr>
          <w:lang w:val="fr-FR"/>
        </w:rPr>
      </w:pPr>
      <w:r w:rsidRPr="00562699">
        <w:rPr>
          <w:lang w:val="fr-FR"/>
        </w:rPr>
        <w:t>Le sous</w:t>
      </w:r>
      <w:r w:rsidR="001B4A2C">
        <w:rPr>
          <w:lang w:val="fr-FR"/>
        </w:rPr>
        <w:noBreakHyphen/>
      </w:r>
      <w:r w:rsidRPr="00562699">
        <w:rPr>
          <w:lang w:val="fr-FR"/>
        </w:rPr>
        <w:t xml:space="preserve">groupe a invité le Bureau </w:t>
      </w:r>
      <w:r w:rsidR="00FC5335" w:rsidRPr="00562699">
        <w:rPr>
          <w:lang w:val="fr-FR"/>
        </w:rPr>
        <w:t>i</w:t>
      </w:r>
      <w:r w:rsidRPr="00562699">
        <w:rPr>
          <w:lang w:val="fr-FR"/>
        </w:rPr>
        <w:t>nternational à examiner plus avant les options techniques possibles avec l</w:t>
      </w:r>
      <w:r w:rsidR="003C64A0">
        <w:rPr>
          <w:lang w:val="fr-FR"/>
        </w:rPr>
        <w:t>’</w:t>
      </w:r>
      <w:r w:rsidRPr="00562699">
        <w:rPr>
          <w:lang w:val="fr-FR"/>
        </w:rPr>
        <w:t xml:space="preserve">Office de la propriété intellectuelle du Canada et à </w:t>
      </w:r>
      <w:r w:rsidR="00FC5335" w:rsidRPr="00562699">
        <w:rPr>
          <w:lang w:val="fr-FR"/>
        </w:rPr>
        <w:t>présenter</w:t>
      </w:r>
      <w:r w:rsidRPr="00562699">
        <w:rPr>
          <w:lang w:val="fr-FR"/>
        </w:rPr>
        <w:t xml:space="preserve"> de</w:t>
      </w:r>
      <w:r w:rsidR="00FC5335" w:rsidRPr="00562699">
        <w:rPr>
          <w:lang w:val="fr-FR"/>
        </w:rPr>
        <w:t xml:space="preserve"> nouvelles </w:t>
      </w:r>
      <w:r w:rsidRPr="00562699">
        <w:rPr>
          <w:lang w:val="fr-FR"/>
        </w:rPr>
        <w:t>propositions aux administrations internationales, par exemple par l</w:t>
      </w:r>
      <w:r w:rsidR="003C64A0">
        <w:rPr>
          <w:lang w:val="fr-FR"/>
        </w:rPr>
        <w:t>’</w:t>
      </w:r>
      <w:r w:rsidRPr="00562699">
        <w:rPr>
          <w:lang w:val="fr-FR"/>
        </w:rPr>
        <w:t>intermédiaire du forum électronique du sous</w:t>
      </w:r>
      <w:r w:rsidR="001B4A2C">
        <w:rPr>
          <w:lang w:val="fr-FR"/>
        </w:rPr>
        <w:noBreakHyphen/>
      </w:r>
      <w:r w:rsidRPr="00562699">
        <w:rPr>
          <w:lang w:val="fr-FR"/>
        </w:rPr>
        <w:t>groupe.</w:t>
      </w:r>
    </w:p>
    <w:p w14:paraId="2B0CC41C" w14:textId="615DADA0" w:rsidR="009246D2" w:rsidRDefault="00930DF2" w:rsidP="00170395">
      <w:pPr>
        <w:pStyle w:val="Heading1"/>
        <w:rPr>
          <w:lang w:val="fr-FR"/>
        </w:rPr>
      </w:pPr>
      <w:r w:rsidRPr="00562699">
        <w:rPr>
          <w:lang w:val="fr-FR"/>
        </w:rPr>
        <w:t>3</w:t>
      </w:r>
      <w:r w:rsidR="00FC5335" w:rsidRPr="00562699">
        <w:rPr>
          <w:lang w:val="fr-FR"/>
        </w:rPr>
        <w:t>.</w:t>
      </w:r>
      <w:r w:rsidR="00170395">
        <w:rPr>
          <w:lang w:val="fr-FR"/>
        </w:rPr>
        <w:tab/>
      </w:r>
      <w:r w:rsidR="00170395" w:rsidRPr="00562699">
        <w:rPr>
          <w:lang w:val="fr-FR"/>
        </w:rPr>
        <w:t>Caractéristiques des rapports de recherche internationale</w:t>
      </w:r>
    </w:p>
    <w:p w14:paraId="61DABD72" w14:textId="77777777" w:rsidR="00170395" w:rsidRPr="00170395" w:rsidRDefault="00170395" w:rsidP="00170395">
      <w:pPr>
        <w:rPr>
          <w:lang w:val="fr-FR"/>
        </w:rPr>
      </w:pPr>
    </w:p>
    <w:p w14:paraId="23CC2171" w14:textId="7DDCA901" w:rsidR="009246D2" w:rsidRPr="00562699" w:rsidRDefault="00930DF2" w:rsidP="00170395">
      <w:pPr>
        <w:pStyle w:val="ONUMFS"/>
        <w:rPr>
          <w:lang w:val="fr-FR"/>
        </w:rPr>
      </w:pPr>
      <w:r w:rsidRPr="00562699">
        <w:rPr>
          <w:lang w:val="fr-FR"/>
        </w:rPr>
        <w:t>Les administrations internationales se sont félicitées des rapports sur les caractéristiques des rapports de recherche internationale et ont indiqué que ces informations étaient util</w:t>
      </w:r>
      <w:r w:rsidR="00B85EF1" w:rsidRPr="00562699">
        <w:rPr>
          <w:lang w:val="fr-FR"/>
        </w:rPr>
        <w:t>es</w:t>
      </w:r>
      <w:r w:rsidR="00B85EF1">
        <w:rPr>
          <w:lang w:val="fr-FR"/>
        </w:rPr>
        <w:t xml:space="preserve">.  </w:t>
      </w:r>
      <w:r w:rsidR="00B85EF1" w:rsidRPr="00562699">
        <w:rPr>
          <w:lang w:val="fr-FR"/>
        </w:rPr>
        <w:t>Le</w:t>
      </w:r>
      <w:r w:rsidRPr="00562699">
        <w:rPr>
          <w:lang w:val="fr-FR"/>
        </w:rPr>
        <w:t>s caractéristiques n</w:t>
      </w:r>
      <w:r w:rsidR="003C64A0">
        <w:rPr>
          <w:lang w:val="fr-FR"/>
        </w:rPr>
        <w:t>’</w:t>
      </w:r>
      <w:r w:rsidRPr="00562699">
        <w:rPr>
          <w:lang w:val="fr-FR"/>
        </w:rPr>
        <w:t xml:space="preserve">offraient pas de mesures de qualité, mais </w:t>
      </w:r>
      <w:r w:rsidR="00F61017" w:rsidRPr="00562699">
        <w:rPr>
          <w:lang w:val="fr-FR"/>
        </w:rPr>
        <w:t>bien</w:t>
      </w:r>
      <w:r w:rsidRPr="00562699">
        <w:rPr>
          <w:lang w:val="fr-FR"/>
        </w:rPr>
        <w:t xml:space="preserve"> des informations utiles sur lesquelles fonder d</w:t>
      </w:r>
      <w:r w:rsidR="003C64A0">
        <w:rPr>
          <w:lang w:val="fr-FR"/>
        </w:rPr>
        <w:t>’</w:t>
      </w:r>
      <w:r w:rsidRPr="00562699">
        <w:rPr>
          <w:lang w:val="fr-FR"/>
        </w:rPr>
        <w:t>autres enquêt</w:t>
      </w:r>
      <w:r w:rsidR="00B85EF1" w:rsidRPr="00562699">
        <w:rPr>
          <w:lang w:val="fr-FR"/>
        </w:rPr>
        <w:t>es</w:t>
      </w:r>
      <w:r w:rsidR="00B85EF1">
        <w:rPr>
          <w:lang w:val="fr-FR"/>
        </w:rPr>
        <w:t xml:space="preserve">.  </w:t>
      </w:r>
      <w:r w:rsidR="00B85EF1" w:rsidRPr="00562699">
        <w:rPr>
          <w:lang w:val="fr-FR"/>
        </w:rPr>
        <w:t>Ce</w:t>
      </w:r>
      <w:r w:rsidRPr="00562699">
        <w:rPr>
          <w:lang w:val="fr-FR"/>
        </w:rPr>
        <w:t>pendant, l</w:t>
      </w:r>
      <w:r w:rsidR="003C64A0">
        <w:rPr>
          <w:lang w:val="fr-FR"/>
        </w:rPr>
        <w:t>’</w:t>
      </w:r>
      <w:r w:rsidRPr="00562699">
        <w:rPr>
          <w:lang w:val="fr-FR"/>
        </w:rPr>
        <w:t xml:space="preserve">éventail des rapports était parfois énorme, ce qui </w:t>
      </w:r>
      <w:r w:rsidR="00F61017" w:rsidRPr="00562699">
        <w:rPr>
          <w:lang w:val="fr-FR"/>
        </w:rPr>
        <w:t xml:space="preserve">rendait </w:t>
      </w:r>
      <w:r w:rsidRPr="00562699">
        <w:rPr>
          <w:lang w:val="fr-FR"/>
        </w:rPr>
        <w:t>les informations les plus pertinentes et les plus intéressantes</w:t>
      </w:r>
      <w:r w:rsidR="00F61017" w:rsidRPr="00562699">
        <w:rPr>
          <w:lang w:val="fr-FR"/>
        </w:rPr>
        <w:t xml:space="preserve"> difficiles à trouver et à identifi</w:t>
      </w:r>
      <w:r w:rsidR="00B85EF1" w:rsidRPr="00562699">
        <w:rPr>
          <w:lang w:val="fr-FR"/>
        </w:rPr>
        <w:t>er</w:t>
      </w:r>
      <w:r w:rsidR="00B85EF1">
        <w:rPr>
          <w:lang w:val="fr-FR"/>
        </w:rPr>
        <w:t xml:space="preserve">.  </w:t>
      </w:r>
      <w:r w:rsidR="00B85EF1" w:rsidRPr="00562699">
        <w:rPr>
          <w:lang w:val="fr-FR"/>
        </w:rPr>
        <w:t>Ce</w:t>
      </w:r>
      <w:r w:rsidRPr="00562699">
        <w:rPr>
          <w:lang w:val="fr-FR"/>
        </w:rPr>
        <w:t>rtaines des caractéristiques peuvent ne présenter que peu d</w:t>
      </w:r>
      <w:r w:rsidR="003C64A0">
        <w:rPr>
          <w:lang w:val="fr-FR"/>
        </w:rPr>
        <w:t>’</w:t>
      </w:r>
      <w:r w:rsidRPr="00562699">
        <w:rPr>
          <w:lang w:val="fr-FR"/>
        </w:rPr>
        <w:t>intérêt ou se recoupe</w:t>
      </w:r>
      <w:r w:rsidR="00F61017" w:rsidRPr="00562699">
        <w:rPr>
          <w:lang w:val="fr-FR"/>
        </w:rPr>
        <w:t>r dans une large mesu</w:t>
      </w:r>
      <w:r w:rsidR="00B85EF1" w:rsidRPr="00562699">
        <w:rPr>
          <w:lang w:val="fr-FR"/>
        </w:rPr>
        <w:t>re</w:t>
      </w:r>
      <w:r w:rsidR="00B85EF1">
        <w:rPr>
          <w:lang w:val="fr-FR"/>
        </w:rPr>
        <w:t xml:space="preserve">.  </w:t>
      </w:r>
      <w:r w:rsidR="00B85EF1" w:rsidRPr="00562699">
        <w:rPr>
          <w:lang w:val="fr-FR"/>
        </w:rPr>
        <w:t>Le</w:t>
      </w:r>
      <w:r w:rsidRPr="00562699">
        <w:rPr>
          <w:lang w:val="fr-FR"/>
        </w:rPr>
        <w:t xml:space="preserve">s comparaisons que les administrations </w:t>
      </w:r>
      <w:r w:rsidR="00F61017" w:rsidRPr="00562699">
        <w:rPr>
          <w:lang w:val="fr-FR"/>
        </w:rPr>
        <w:t xml:space="preserve">souhaiteraient </w:t>
      </w:r>
      <w:r w:rsidRPr="00562699">
        <w:rPr>
          <w:lang w:val="fr-FR"/>
        </w:rPr>
        <w:t>faire ne correspond</w:t>
      </w:r>
      <w:r w:rsidR="00F61017" w:rsidRPr="00562699">
        <w:rPr>
          <w:lang w:val="fr-FR"/>
        </w:rPr>
        <w:t>ai</w:t>
      </w:r>
      <w:r w:rsidRPr="00562699">
        <w:rPr>
          <w:lang w:val="fr-FR"/>
        </w:rPr>
        <w:t xml:space="preserve">ent pas nécessairement aux rubriques présentées </w:t>
      </w:r>
      <w:r w:rsidR="00F61017" w:rsidRPr="00562699">
        <w:rPr>
          <w:lang w:val="fr-FR"/>
        </w:rPr>
        <w:t xml:space="preserve">ensemble sur les </w:t>
      </w:r>
      <w:r w:rsidRPr="00562699">
        <w:rPr>
          <w:lang w:val="fr-FR"/>
        </w:rPr>
        <w:t xml:space="preserve">différents </w:t>
      </w:r>
      <w:r w:rsidR="00F61017" w:rsidRPr="00562699">
        <w:rPr>
          <w:lang w:val="fr-FR"/>
        </w:rPr>
        <w:t>graphiques individue</w:t>
      </w:r>
      <w:r w:rsidR="00B85EF1" w:rsidRPr="00562699">
        <w:rPr>
          <w:lang w:val="fr-FR"/>
        </w:rPr>
        <w:t>ls</w:t>
      </w:r>
      <w:r w:rsidR="00B85EF1">
        <w:rPr>
          <w:lang w:val="fr-FR"/>
        </w:rPr>
        <w:t xml:space="preserve">.  </w:t>
      </w:r>
      <w:r w:rsidR="00B85EF1" w:rsidRPr="00562699">
        <w:rPr>
          <w:lang w:val="fr-FR"/>
        </w:rPr>
        <w:t>Le</w:t>
      </w:r>
      <w:r w:rsidRPr="00562699">
        <w:rPr>
          <w:lang w:val="fr-FR"/>
        </w:rPr>
        <w:t xml:space="preserve">s administrations aimeraient </w:t>
      </w:r>
      <w:r w:rsidR="00F61017" w:rsidRPr="00562699">
        <w:rPr>
          <w:lang w:val="fr-FR"/>
        </w:rPr>
        <w:t>être en mesure de</w:t>
      </w:r>
      <w:r w:rsidRPr="00562699">
        <w:rPr>
          <w:lang w:val="fr-FR"/>
        </w:rPr>
        <w:t xml:space="preserve"> sélectionner les </w:t>
      </w:r>
      <w:r w:rsidR="00F61017" w:rsidRPr="00562699">
        <w:rPr>
          <w:lang w:val="fr-FR"/>
        </w:rPr>
        <w:t>graphiques</w:t>
      </w:r>
      <w:r w:rsidRPr="00562699">
        <w:rPr>
          <w:lang w:val="fr-FR"/>
        </w:rPr>
        <w:t xml:space="preserve"> spécifiques </w:t>
      </w:r>
      <w:r w:rsidR="00F61017" w:rsidRPr="00562699">
        <w:rPr>
          <w:lang w:val="fr-FR"/>
        </w:rPr>
        <w:t xml:space="preserve">qui les intéressent en utilisant un </w:t>
      </w:r>
      <w:r w:rsidRPr="00562699">
        <w:rPr>
          <w:lang w:val="fr-FR"/>
        </w:rPr>
        <w:t>outil tel que le Centre de données statistiques de propriété intellectuel</w:t>
      </w:r>
      <w:r w:rsidR="00B85EF1" w:rsidRPr="00562699">
        <w:rPr>
          <w:lang w:val="fr-FR"/>
        </w:rPr>
        <w:t>le</w:t>
      </w:r>
      <w:r w:rsidR="00B85EF1">
        <w:rPr>
          <w:lang w:val="fr-FR"/>
        </w:rPr>
        <w:t xml:space="preserve">.  </w:t>
      </w:r>
      <w:r w:rsidR="00B85EF1" w:rsidRPr="00562699">
        <w:rPr>
          <w:lang w:val="fr-FR"/>
        </w:rPr>
        <w:t xml:space="preserve">À </w:t>
      </w:r>
      <w:r w:rsidRPr="00562699">
        <w:rPr>
          <w:lang w:val="fr-FR"/>
        </w:rPr>
        <w:t>défaut, un meilleur accès à des versions suffisamment structurées des données sous</w:t>
      </w:r>
      <w:r w:rsidR="001B4A2C">
        <w:rPr>
          <w:lang w:val="fr-FR"/>
        </w:rPr>
        <w:noBreakHyphen/>
      </w:r>
      <w:r w:rsidRPr="00562699">
        <w:rPr>
          <w:lang w:val="fr-FR"/>
        </w:rPr>
        <w:t xml:space="preserve">jacentes </w:t>
      </w:r>
      <w:r w:rsidR="00F61017" w:rsidRPr="00562699">
        <w:rPr>
          <w:lang w:val="fr-FR"/>
        </w:rPr>
        <w:t xml:space="preserve">serait utile à certains offices </w:t>
      </w:r>
      <w:r w:rsidRPr="00562699">
        <w:rPr>
          <w:lang w:val="fr-FR"/>
        </w:rPr>
        <w:t xml:space="preserve">afin de préparer </w:t>
      </w:r>
      <w:r w:rsidR="00F61017" w:rsidRPr="00562699">
        <w:rPr>
          <w:lang w:val="fr-FR"/>
        </w:rPr>
        <w:t>des</w:t>
      </w:r>
      <w:r w:rsidRPr="00562699">
        <w:rPr>
          <w:lang w:val="fr-FR"/>
        </w:rPr>
        <w:t xml:space="preserve"> points de vue </w:t>
      </w:r>
      <w:r w:rsidR="00F61017" w:rsidRPr="00562699">
        <w:rPr>
          <w:lang w:val="fr-FR"/>
        </w:rPr>
        <w:t>alternatifs.</w:t>
      </w:r>
    </w:p>
    <w:p w14:paraId="692BB986" w14:textId="654B16BA" w:rsidR="009246D2" w:rsidRPr="00562699" w:rsidRDefault="00930DF2" w:rsidP="00170395">
      <w:pPr>
        <w:pStyle w:val="ONUMFS"/>
        <w:rPr>
          <w:lang w:val="fr-FR"/>
        </w:rPr>
      </w:pPr>
      <w:r w:rsidRPr="00562699">
        <w:rPr>
          <w:lang w:val="fr-FR"/>
        </w:rPr>
        <w:t xml:space="preserve">Une autre option concernant la langue des citations serait le pourcentage de rapports de recherche comportant au moins une citation de brevet dans une langue </w:t>
      </w:r>
      <w:r w:rsidR="00F61017" w:rsidRPr="00562699">
        <w:rPr>
          <w:lang w:val="fr-FR"/>
        </w:rPr>
        <w:t>différente de</w:t>
      </w:r>
      <w:r w:rsidRPr="00562699">
        <w:rPr>
          <w:lang w:val="fr-FR"/>
        </w:rPr>
        <w:t xml:space="preserve"> celle dans laquelle </w:t>
      </w:r>
      <w:r w:rsidR="00F61017" w:rsidRPr="00562699">
        <w:rPr>
          <w:lang w:val="fr-FR"/>
        </w:rPr>
        <w:t xml:space="preserve">la recherche sur </w:t>
      </w:r>
      <w:r w:rsidRPr="00562699">
        <w:rPr>
          <w:lang w:val="fr-FR"/>
        </w:rPr>
        <w:t xml:space="preserve">la demande internationale a </w:t>
      </w:r>
      <w:r w:rsidR="00F61017" w:rsidRPr="00562699">
        <w:rPr>
          <w:lang w:val="fr-FR"/>
        </w:rPr>
        <w:t>été men</w:t>
      </w:r>
      <w:r w:rsidR="00B85EF1" w:rsidRPr="00562699">
        <w:rPr>
          <w:lang w:val="fr-FR"/>
        </w:rPr>
        <w:t>ée</w:t>
      </w:r>
      <w:r w:rsidR="00B85EF1">
        <w:rPr>
          <w:lang w:val="fr-FR"/>
        </w:rPr>
        <w:t xml:space="preserve">.  </w:t>
      </w:r>
      <w:r w:rsidR="00B85EF1" w:rsidRPr="00562699">
        <w:rPr>
          <w:lang w:val="fr-FR"/>
        </w:rPr>
        <w:t>To</w:t>
      </w:r>
      <w:r w:rsidRPr="00562699">
        <w:rPr>
          <w:lang w:val="fr-FR"/>
        </w:rPr>
        <w:t>utefois, les caract</w:t>
      </w:r>
      <w:r w:rsidR="00F61017" w:rsidRPr="00562699">
        <w:rPr>
          <w:lang w:val="fr-FR"/>
        </w:rPr>
        <w:t xml:space="preserve">éristiques </w:t>
      </w:r>
      <w:r w:rsidRPr="00562699">
        <w:rPr>
          <w:lang w:val="fr-FR"/>
        </w:rPr>
        <w:t xml:space="preserve">les plus utiles seraient </w:t>
      </w:r>
      <w:r w:rsidR="00F61017" w:rsidRPr="00562699">
        <w:rPr>
          <w:lang w:val="fr-FR"/>
        </w:rPr>
        <w:t>celles</w:t>
      </w:r>
      <w:r w:rsidRPr="00562699">
        <w:rPr>
          <w:lang w:val="fr-FR"/>
        </w:rPr>
        <w:t xml:space="preserve"> qui compareraient les citations utilisées </w:t>
      </w:r>
      <w:r w:rsidR="00F046A1" w:rsidRPr="00562699">
        <w:rPr>
          <w:lang w:val="fr-FR"/>
        </w:rPr>
        <w:t>au cours de</w:t>
      </w:r>
      <w:r w:rsidRPr="00562699">
        <w:rPr>
          <w:lang w:val="fr-FR"/>
        </w:rPr>
        <w:t xml:space="preserve"> la phase nationale </w:t>
      </w:r>
      <w:r w:rsidR="00F61017" w:rsidRPr="00562699">
        <w:rPr>
          <w:lang w:val="fr-FR"/>
        </w:rPr>
        <w:t>avec</w:t>
      </w:r>
      <w:r w:rsidRPr="00562699">
        <w:rPr>
          <w:lang w:val="fr-FR"/>
        </w:rPr>
        <w:t xml:space="preserve"> celles du rapport de recherche internationale.</w:t>
      </w:r>
    </w:p>
    <w:p w14:paraId="4D7942D7" w14:textId="4CE12033" w:rsidR="009246D2" w:rsidRPr="00562699" w:rsidRDefault="00930DF2" w:rsidP="00170395">
      <w:pPr>
        <w:pStyle w:val="ONUMFS"/>
        <w:rPr>
          <w:lang w:val="fr-FR"/>
        </w:rPr>
      </w:pPr>
      <w:r w:rsidRPr="00562699">
        <w:rPr>
          <w:lang w:val="fr-FR"/>
        </w:rPr>
        <w:lastRenderedPageBreak/>
        <w:t xml:space="preserve">Une administration a rappelé </w:t>
      </w:r>
      <w:r w:rsidR="00F61017" w:rsidRPr="00562699">
        <w:rPr>
          <w:lang w:val="fr-FR"/>
        </w:rPr>
        <w:t>que</w:t>
      </w:r>
      <w:r w:rsidRPr="00562699">
        <w:rPr>
          <w:lang w:val="fr-FR"/>
        </w:rPr>
        <w:t xml:space="preserve"> la description des données indiquait que les demandes internationales </w:t>
      </w:r>
      <w:r w:rsidR="00F61017" w:rsidRPr="00562699">
        <w:rPr>
          <w:lang w:val="fr-FR"/>
        </w:rPr>
        <w:t xml:space="preserve">ne contenant aucune citation enregistrée étaient ignorées </w:t>
      </w:r>
      <w:r w:rsidR="003C64A0">
        <w:rPr>
          <w:lang w:val="fr-FR"/>
        </w:rPr>
        <w:t>“</w:t>
      </w:r>
      <w:r w:rsidR="003C64A0" w:rsidRPr="00562699">
        <w:rPr>
          <w:lang w:val="fr-FR"/>
        </w:rPr>
        <w:t>é</w:t>
      </w:r>
      <w:r w:rsidR="00F61017" w:rsidRPr="00562699">
        <w:rPr>
          <w:lang w:val="fr-FR"/>
        </w:rPr>
        <w:t>tant donné qu</w:t>
      </w:r>
      <w:r w:rsidR="003C64A0">
        <w:rPr>
          <w:lang w:val="fr-FR"/>
        </w:rPr>
        <w:t>’</w:t>
      </w:r>
      <w:r w:rsidRPr="00562699">
        <w:rPr>
          <w:lang w:val="fr-FR"/>
        </w:rPr>
        <w:t>aucune recherche internationale significative n</w:t>
      </w:r>
      <w:r w:rsidR="003C64A0">
        <w:rPr>
          <w:lang w:val="fr-FR"/>
        </w:rPr>
        <w:t>’</w:t>
      </w:r>
      <w:r w:rsidRPr="00562699">
        <w:rPr>
          <w:lang w:val="fr-FR"/>
        </w:rPr>
        <w:t>a été effectuée pour ces demande</w:t>
      </w:r>
      <w:r w:rsidR="003C64A0" w:rsidRPr="00562699">
        <w:rPr>
          <w:lang w:val="fr-FR"/>
        </w:rPr>
        <w:t>s</w:t>
      </w:r>
      <w:r w:rsidR="003C64A0">
        <w:rPr>
          <w:lang w:val="fr-FR"/>
        </w:rPr>
        <w:t>”</w:t>
      </w:r>
      <w:r w:rsidR="00F61017" w:rsidRPr="00562699">
        <w:rPr>
          <w:lang w:val="fr-FR"/>
        </w:rPr>
        <w:t>.  Or, l</w:t>
      </w:r>
      <w:r w:rsidR="003C64A0">
        <w:rPr>
          <w:lang w:val="fr-FR"/>
        </w:rPr>
        <w:t>’</w:t>
      </w:r>
      <w:r w:rsidR="00F61017" w:rsidRPr="00562699">
        <w:rPr>
          <w:lang w:val="fr-FR"/>
        </w:rPr>
        <w:t xml:space="preserve">absence de citations était en soi </w:t>
      </w:r>
      <w:r w:rsidRPr="00562699">
        <w:rPr>
          <w:lang w:val="fr-FR"/>
        </w:rPr>
        <w:t>un élément d</w:t>
      </w:r>
      <w:r w:rsidR="003C64A0">
        <w:rPr>
          <w:lang w:val="fr-FR"/>
        </w:rPr>
        <w:t>’</w:t>
      </w:r>
      <w:r w:rsidRPr="00562699">
        <w:rPr>
          <w:lang w:val="fr-FR"/>
        </w:rPr>
        <w:t>information pertinent, sur lequel des informations seraient utiles.</w:t>
      </w:r>
    </w:p>
    <w:p w14:paraId="400600EE" w14:textId="21DC168B" w:rsidR="009246D2" w:rsidRPr="00562699" w:rsidRDefault="00930DF2" w:rsidP="00170395">
      <w:pPr>
        <w:pStyle w:val="ONUMFS"/>
        <w:rPr>
          <w:lang w:val="fr-FR"/>
        </w:rPr>
      </w:pPr>
      <w:bookmarkStart w:id="9" w:name="_Ref1409370"/>
      <w:r w:rsidRPr="00562699">
        <w:rPr>
          <w:lang w:val="fr-FR"/>
        </w:rPr>
        <w:t xml:space="preserve">Il a été observé que </w:t>
      </w:r>
      <w:r w:rsidR="00F046A1" w:rsidRPr="00562699">
        <w:rPr>
          <w:lang w:val="fr-FR"/>
        </w:rPr>
        <w:t xml:space="preserve">la petite taille </w:t>
      </w:r>
      <w:r w:rsidRPr="00562699">
        <w:rPr>
          <w:lang w:val="fr-FR"/>
        </w:rPr>
        <w:t>de</w:t>
      </w:r>
      <w:r w:rsidR="00F046A1" w:rsidRPr="00562699">
        <w:rPr>
          <w:lang w:val="fr-FR"/>
        </w:rPr>
        <w:t>s</w:t>
      </w:r>
      <w:r w:rsidRPr="00562699">
        <w:rPr>
          <w:lang w:val="fr-FR"/>
        </w:rPr>
        <w:t xml:space="preserve"> échantillons, comme le nombre de rapports publiés chaque année par certaines administrations, pouvait </w:t>
      </w:r>
      <w:r w:rsidR="00F61017" w:rsidRPr="00562699">
        <w:rPr>
          <w:lang w:val="fr-FR"/>
        </w:rPr>
        <w:t>être trompeu</w:t>
      </w:r>
      <w:bookmarkEnd w:id="9"/>
      <w:r w:rsidR="00B85EF1" w:rsidRPr="00562699">
        <w:rPr>
          <w:lang w:val="fr-FR"/>
        </w:rPr>
        <w:t>se</w:t>
      </w:r>
      <w:r w:rsidR="00B85EF1">
        <w:rPr>
          <w:lang w:val="fr-FR"/>
        </w:rPr>
        <w:t xml:space="preserve">.  </w:t>
      </w:r>
      <w:r w:rsidR="00B85EF1" w:rsidRPr="00562699">
        <w:rPr>
          <w:lang w:val="fr-FR"/>
        </w:rPr>
        <w:t>Un</w:t>
      </w:r>
      <w:r w:rsidRPr="00562699">
        <w:rPr>
          <w:lang w:val="fr-FR"/>
        </w:rPr>
        <w:t xml:space="preserve">e administration a indiqué </w:t>
      </w:r>
      <w:r w:rsidR="00F61017" w:rsidRPr="00562699">
        <w:rPr>
          <w:lang w:val="fr-FR"/>
        </w:rPr>
        <w:t xml:space="preserve">son </w:t>
      </w:r>
      <w:r w:rsidRPr="00562699">
        <w:rPr>
          <w:lang w:val="fr-FR"/>
        </w:rPr>
        <w:t xml:space="preserve">intention de prendre des mesures </w:t>
      </w:r>
      <w:r w:rsidR="00F61017" w:rsidRPr="00562699">
        <w:rPr>
          <w:lang w:val="fr-FR"/>
        </w:rPr>
        <w:t>en vue d</w:t>
      </w:r>
      <w:r w:rsidR="003C64A0">
        <w:rPr>
          <w:lang w:val="fr-FR"/>
        </w:rPr>
        <w:t>’</w:t>
      </w:r>
      <w:r w:rsidRPr="00562699">
        <w:rPr>
          <w:lang w:val="fr-FR"/>
        </w:rPr>
        <w:t>accroître le nombre de demandes pour lesquelles elle effectuait des recherches internationales.</w:t>
      </w:r>
    </w:p>
    <w:p w14:paraId="415E8799" w14:textId="48A5971A" w:rsidR="009246D2" w:rsidRPr="00562699" w:rsidRDefault="00930DF2" w:rsidP="00170395">
      <w:pPr>
        <w:pStyle w:val="ONUMFS"/>
        <w:ind w:left="567"/>
        <w:rPr>
          <w:lang w:val="fr-FR"/>
        </w:rPr>
      </w:pPr>
      <w:r w:rsidRPr="00562699">
        <w:rPr>
          <w:lang w:val="fr-FR"/>
        </w:rPr>
        <w:t>Le sous</w:t>
      </w:r>
      <w:r w:rsidR="001B4A2C">
        <w:rPr>
          <w:lang w:val="fr-FR"/>
        </w:rPr>
        <w:noBreakHyphen/>
      </w:r>
      <w:r w:rsidRPr="00562699">
        <w:rPr>
          <w:lang w:val="fr-FR"/>
        </w:rPr>
        <w:t>groupe a invité le Bureau international à continuer d</w:t>
      </w:r>
      <w:r w:rsidR="003C64A0">
        <w:rPr>
          <w:lang w:val="fr-FR"/>
        </w:rPr>
        <w:t>’</w:t>
      </w:r>
      <w:r w:rsidRPr="00562699">
        <w:rPr>
          <w:lang w:val="fr-FR"/>
        </w:rPr>
        <w:t>établir des rapports sur les caractéristiques des rapports de recherche internationale et d</w:t>
      </w:r>
      <w:r w:rsidR="003C64A0">
        <w:rPr>
          <w:lang w:val="fr-FR"/>
        </w:rPr>
        <w:t>’</w:t>
      </w:r>
      <w:r w:rsidRPr="00562699">
        <w:rPr>
          <w:lang w:val="fr-FR"/>
        </w:rPr>
        <w:t>étudier les moyens d</w:t>
      </w:r>
      <w:r w:rsidR="003C64A0">
        <w:rPr>
          <w:lang w:val="fr-FR"/>
        </w:rPr>
        <w:t>’</w:t>
      </w:r>
      <w:r w:rsidRPr="00562699">
        <w:rPr>
          <w:lang w:val="fr-FR"/>
        </w:rPr>
        <w:t xml:space="preserve">améliorer la </w:t>
      </w:r>
      <w:r w:rsidR="00C346E2" w:rsidRPr="00562699">
        <w:rPr>
          <w:lang w:val="fr-FR"/>
        </w:rPr>
        <w:t>fourniture</w:t>
      </w:r>
      <w:r w:rsidRPr="00562699">
        <w:rPr>
          <w:lang w:val="fr-FR"/>
        </w:rPr>
        <w:t xml:space="preserve"> de</w:t>
      </w:r>
      <w:r w:rsidR="00C346E2" w:rsidRPr="00562699">
        <w:rPr>
          <w:lang w:val="fr-FR"/>
        </w:rPr>
        <w:t>s informations</w:t>
      </w:r>
      <w:r w:rsidRPr="00562699">
        <w:rPr>
          <w:lang w:val="fr-FR"/>
        </w:rPr>
        <w:t>, en tenant compte des observations ci</w:t>
      </w:r>
      <w:r w:rsidR="001B4A2C">
        <w:rPr>
          <w:lang w:val="fr-FR"/>
        </w:rPr>
        <w:noBreakHyphen/>
      </w:r>
      <w:r w:rsidRPr="00562699">
        <w:rPr>
          <w:lang w:val="fr-FR"/>
        </w:rPr>
        <w:t>dessus.</w:t>
      </w:r>
    </w:p>
    <w:p w14:paraId="6284C9F4" w14:textId="2E232BA6" w:rsidR="009246D2" w:rsidRDefault="00930DF2" w:rsidP="00170395">
      <w:pPr>
        <w:pStyle w:val="Heading1"/>
        <w:rPr>
          <w:lang w:val="fr-FR"/>
        </w:rPr>
      </w:pPr>
      <w:r w:rsidRPr="00562699">
        <w:rPr>
          <w:lang w:val="fr-FR"/>
        </w:rPr>
        <w:t>4.</w:t>
      </w:r>
      <w:r w:rsidRPr="00562699">
        <w:rPr>
          <w:lang w:val="fr-FR"/>
        </w:rPr>
        <w:tab/>
      </w:r>
      <w:r w:rsidR="00170395" w:rsidRPr="00562699">
        <w:rPr>
          <w:lang w:val="fr-FR"/>
        </w:rPr>
        <w:t>Unité de l</w:t>
      </w:r>
      <w:r w:rsidR="00170395">
        <w:rPr>
          <w:lang w:val="fr-FR"/>
        </w:rPr>
        <w:t>’</w:t>
      </w:r>
      <w:r w:rsidR="00170395" w:rsidRPr="00562699">
        <w:rPr>
          <w:lang w:val="fr-FR"/>
        </w:rPr>
        <w:t>invention</w:t>
      </w:r>
    </w:p>
    <w:p w14:paraId="164E5793" w14:textId="77777777" w:rsidR="00170395" w:rsidRPr="00170395" w:rsidRDefault="00170395" w:rsidP="00170395">
      <w:pPr>
        <w:rPr>
          <w:lang w:val="fr-FR"/>
        </w:rPr>
      </w:pPr>
    </w:p>
    <w:p w14:paraId="1B447986" w14:textId="536C2F6D" w:rsidR="009246D2" w:rsidRPr="00562699" w:rsidRDefault="00930DF2" w:rsidP="00170395">
      <w:pPr>
        <w:pStyle w:val="ONUMFS"/>
        <w:rPr>
          <w:lang w:val="fr-FR"/>
        </w:rPr>
      </w:pPr>
      <w:bookmarkStart w:id="10" w:name="_Ref1409380"/>
      <w:r w:rsidRPr="00562699">
        <w:rPr>
          <w:lang w:val="fr-FR"/>
        </w:rPr>
        <w:t>L</w:t>
      </w:r>
      <w:r w:rsidR="003C64A0">
        <w:rPr>
          <w:lang w:val="fr-FR"/>
        </w:rPr>
        <w:t>’</w:t>
      </w:r>
      <w:r w:rsidRPr="00562699">
        <w:rPr>
          <w:lang w:val="fr-FR"/>
        </w:rPr>
        <w:t>Office européen des brevets a présenté les résultats des travaux effectués par le Groupe d</w:t>
      </w:r>
      <w:r w:rsidR="003C64A0">
        <w:rPr>
          <w:lang w:val="fr-FR"/>
        </w:rPr>
        <w:t>’</w:t>
      </w:r>
      <w:r w:rsidR="00C346E2" w:rsidRPr="00562699">
        <w:rPr>
          <w:lang w:val="fr-FR"/>
        </w:rPr>
        <w:t>e</w:t>
      </w:r>
      <w:r w:rsidRPr="00562699">
        <w:rPr>
          <w:lang w:val="fr-FR"/>
        </w:rPr>
        <w:t>xperts de l</w:t>
      </w:r>
      <w:r w:rsidR="003C64A0">
        <w:rPr>
          <w:lang w:val="fr-FR"/>
        </w:rPr>
        <w:t>’</w:t>
      </w:r>
      <w:r w:rsidR="00C346E2" w:rsidRPr="00562699">
        <w:rPr>
          <w:lang w:val="fr-FR"/>
        </w:rPr>
        <w:t>h</w:t>
      </w:r>
      <w:r w:rsidRPr="00562699">
        <w:rPr>
          <w:lang w:val="fr-FR"/>
        </w:rPr>
        <w:t xml:space="preserve">armonisation des brevets (PHEP) dans le cadre de la coopération </w:t>
      </w:r>
      <w:r w:rsidR="00C346E2" w:rsidRPr="00562699">
        <w:rPr>
          <w:lang w:val="fr-FR"/>
        </w:rPr>
        <w:t>au niveau d</w:t>
      </w:r>
      <w:r w:rsidRPr="00562699">
        <w:rPr>
          <w:lang w:val="fr-FR"/>
        </w:rPr>
        <w:t>e l</w:t>
      </w:r>
      <w:r w:rsidR="003C64A0">
        <w:rPr>
          <w:lang w:val="fr-FR"/>
        </w:rPr>
        <w:t>’</w:t>
      </w:r>
      <w:r w:rsidRPr="00562699">
        <w:rPr>
          <w:lang w:val="fr-FR"/>
        </w:rPr>
        <w:t>IP5 en vue d</w:t>
      </w:r>
      <w:r w:rsidR="003C64A0">
        <w:rPr>
          <w:lang w:val="fr-FR"/>
        </w:rPr>
        <w:t>’</w:t>
      </w:r>
      <w:r w:rsidRPr="00562699">
        <w:rPr>
          <w:lang w:val="fr-FR"/>
        </w:rPr>
        <w:t xml:space="preserve">harmoniser les pratiques en </w:t>
      </w:r>
      <w:r w:rsidR="00C346E2" w:rsidRPr="00562699">
        <w:rPr>
          <w:lang w:val="fr-FR"/>
        </w:rPr>
        <w:t>matière d</w:t>
      </w:r>
      <w:r w:rsidR="003C64A0">
        <w:rPr>
          <w:lang w:val="fr-FR"/>
        </w:rPr>
        <w:t>’</w:t>
      </w:r>
      <w:r w:rsidRPr="00562699">
        <w:rPr>
          <w:lang w:val="fr-FR"/>
        </w:rPr>
        <w:t xml:space="preserve">évaluation et </w:t>
      </w:r>
      <w:r w:rsidR="00C346E2" w:rsidRPr="00562699">
        <w:rPr>
          <w:lang w:val="fr-FR"/>
        </w:rPr>
        <w:t>de</w:t>
      </w:r>
      <w:r w:rsidRPr="00562699">
        <w:rPr>
          <w:lang w:val="fr-FR"/>
        </w:rPr>
        <w:t xml:space="preserve"> présentation d</w:t>
      </w:r>
      <w:r w:rsidR="003C64A0">
        <w:rPr>
          <w:lang w:val="fr-FR"/>
        </w:rPr>
        <w:t>’</w:t>
      </w:r>
      <w:r w:rsidRPr="00562699">
        <w:rPr>
          <w:lang w:val="fr-FR"/>
        </w:rPr>
        <w:t xml:space="preserve">un </w:t>
      </w:r>
      <w:r w:rsidR="003C64A0">
        <w:rPr>
          <w:lang w:val="fr-FR"/>
        </w:rPr>
        <w:t>“</w:t>
      </w:r>
      <w:r w:rsidR="003C64A0" w:rsidRPr="00562699">
        <w:rPr>
          <w:lang w:val="fr-FR"/>
        </w:rPr>
        <w:t>r</w:t>
      </w:r>
      <w:r w:rsidR="00C346E2" w:rsidRPr="00562699">
        <w:rPr>
          <w:lang w:val="fr-FR"/>
        </w:rPr>
        <w:t xml:space="preserve">aisonnement </w:t>
      </w:r>
      <w:r w:rsidRPr="00562699">
        <w:rPr>
          <w:lang w:val="fr-FR"/>
        </w:rPr>
        <w:t>minim</w:t>
      </w:r>
      <w:r w:rsidR="00C346E2" w:rsidRPr="00562699">
        <w:rPr>
          <w:lang w:val="fr-FR"/>
        </w:rPr>
        <w:t>u</w:t>
      </w:r>
      <w:r w:rsidR="003C64A0" w:rsidRPr="00562699">
        <w:rPr>
          <w:lang w:val="fr-FR"/>
        </w:rPr>
        <w:t>m</w:t>
      </w:r>
      <w:r w:rsidR="003C64A0">
        <w:rPr>
          <w:lang w:val="fr-FR"/>
        </w:rPr>
        <w:t>”</w:t>
      </w:r>
      <w:r w:rsidRPr="00562699">
        <w:rPr>
          <w:lang w:val="fr-FR"/>
        </w:rPr>
        <w:t xml:space="preserve"> concernant l</w:t>
      </w:r>
      <w:r w:rsidR="003C64A0">
        <w:rPr>
          <w:lang w:val="fr-FR"/>
        </w:rPr>
        <w:t>’</w:t>
      </w:r>
      <w:r w:rsidRPr="00562699">
        <w:rPr>
          <w:lang w:val="fr-FR"/>
        </w:rPr>
        <w:t>unité de l</w:t>
      </w:r>
      <w:r w:rsidR="003C64A0">
        <w:rPr>
          <w:lang w:val="fr-FR"/>
        </w:rPr>
        <w:t>’</w:t>
      </w:r>
      <w:r w:rsidRPr="00562699">
        <w:rPr>
          <w:lang w:val="fr-FR"/>
        </w:rPr>
        <w:t>invention dans les demandes internationales</w:t>
      </w:r>
      <w:r w:rsidRPr="00562699">
        <w:rPr>
          <w:rStyle w:val="FootnoteReference"/>
          <w:lang w:val="fr-FR"/>
        </w:rPr>
        <w:footnoteReference w:id="4"/>
      </w:r>
      <w:r w:rsidR="00C346E2" w:rsidRPr="00562699">
        <w:rPr>
          <w:lang w:val="fr-FR"/>
        </w:rPr>
        <w:t>.</w:t>
      </w:r>
      <w:r w:rsidR="00743A53" w:rsidRPr="00562699">
        <w:rPr>
          <w:lang w:val="fr-FR"/>
        </w:rPr>
        <w:t xml:space="preserve">  </w:t>
      </w:r>
      <w:r w:rsidRPr="00562699">
        <w:rPr>
          <w:lang w:val="fr-FR"/>
        </w:rPr>
        <w:t xml:space="preserve">Ces travaux ont </w:t>
      </w:r>
      <w:r w:rsidR="00C346E2" w:rsidRPr="00562699">
        <w:rPr>
          <w:lang w:val="fr-FR"/>
        </w:rPr>
        <w:t>été menés durant</w:t>
      </w:r>
      <w:r w:rsidRPr="00562699">
        <w:rPr>
          <w:lang w:val="fr-FR"/>
        </w:rPr>
        <w:t xml:space="preserve"> plusieurs années </w:t>
      </w:r>
      <w:r w:rsidR="00C346E2" w:rsidRPr="00562699">
        <w:rPr>
          <w:lang w:val="fr-FR"/>
        </w:rPr>
        <w:t>sur la base d</w:t>
      </w:r>
      <w:r w:rsidR="003C64A0">
        <w:rPr>
          <w:lang w:val="fr-FR"/>
        </w:rPr>
        <w:t>’</w:t>
      </w:r>
      <w:r w:rsidRPr="00562699">
        <w:rPr>
          <w:lang w:val="fr-FR"/>
        </w:rPr>
        <w:t>un certain nombre d</w:t>
      </w:r>
      <w:r w:rsidR="003C64A0">
        <w:rPr>
          <w:lang w:val="fr-FR"/>
        </w:rPr>
        <w:t>’</w:t>
      </w:r>
      <w:r w:rsidRPr="00562699">
        <w:rPr>
          <w:lang w:val="fr-FR"/>
        </w:rPr>
        <w:t>études de cas avec la participation de groupes d</w:t>
      </w:r>
      <w:r w:rsidR="003C64A0">
        <w:rPr>
          <w:lang w:val="fr-FR"/>
        </w:rPr>
        <w:t>’</w:t>
      </w:r>
      <w:r w:rsidRPr="00562699">
        <w:rPr>
          <w:lang w:val="fr-FR"/>
        </w:rPr>
        <w:t>utilisateu</w:t>
      </w:r>
      <w:r w:rsidR="00B85EF1" w:rsidRPr="00562699">
        <w:rPr>
          <w:lang w:val="fr-FR"/>
        </w:rPr>
        <w:t>rs</w:t>
      </w:r>
      <w:r w:rsidR="00B85EF1">
        <w:rPr>
          <w:lang w:val="fr-FR"/>
        </w:rPr>
        <w:t xml:space="preserve">.  </w:t>
      </w:r>
      <w:r w:rsidR="00B85EF1" w:rsidRPr="00562699">
        <w:rPr>
          <w:lang w:val="fr-FR"/>
        </w:rPr>
        <w:t>En</w:t>
      </w:r>
      <w:r w:rsidRPr="00562699">
        <w:rPr>
          <w:lang w:val="fr-FR"/>
        </w:rPr>
        <w:t xml:space="preserve"> conséquence, les </w:t>
      </w:r>
      <w:r w:rsidR="00C346E2" w:rsidRPr="00562699">
        <w:rPr>
          <w:lang w:val="fr-FR"/>
        </w:rPr>
        <w:t>o</w:t>
      </w:r>
      <w:r w:rsidRPr="00562699">
        <w:rPr>
          <w:lang w:val="fr-FR"/>
        </w:rPr>
        <w:t xml:space="preserve">ffices sont parvenus à un accord sur </w:t>
      </w:r>
      <w:r w:rsidR="00C346E2" w:rsidRPr="00562699">
        <w:rPr>
          <w:lang w:val="fr-FR"/>
        </w:rPr>
        <w:t xml:space="preserve">la manière </w:t>
      </w:r>
      <w:r w:rsidRPr="00562699">
        <w:rPr>
          <w:lang w:val="fr-FR"/>
        </w:rPr>
        <w:t>de présenter une chaîne logique et complète de raisonnement, en utilisant des exemples tirés de divers domaines technologiqu</w:t>
      </w:r>
      <w:bookmarkEnd w:id="10"/>
      <w:r w:rsidR="00B85EF1" w:rsidRPr="00562699">
        <w:rPr>
          <w:lang w:val="fr-FR"/>
        </w:rPr>
        <w:t>es</w:t>
      </w:r>
      <w:r w:rsidR="00B85EF1">
        <w:rPr>
          <w:lang w:val="fr-FR"/>
        </w:rPr>
        <w:t xml:space="preserve">.  </w:t>
      </w:r>
      <w:r w:rsidR="00B85EF1" w:rsidRPr="00562699">
        <w:rPr>
          <w:lang w:val="fr-FR"/>
        </w:rPr>
        <w:t>Le</w:t>
      </w:r>
      <w:r w:rsidRPr="00562699">
        <w:rPr>
          <w:lang w:val="fr-FR"/>
        </w:rPr>
        <w:t xml:space="preserve">s </w:t>
      </w:r>
      <w:r w:rsidR="00C346E2" w:rsidRPr="00562699">
        <w:rPr>
          <w:lang w:val="fr-FR"/>
        </w:rPr>
        <w:t>o</w:t>
      </w:r>
      <w:r w:rsidRPr="00562699">
        <w:rPr>
          <w:lang w:val="fr-FR"/>
        </w:rPr>
        <w:t>ffices de l</w:t>
      </w:r>
      <w:r w:rsidR="003C64A0">
        <w:rPr>
          <w:lang w:val="fr-FR"/>
        </w:rPr>
        <w:t>’</w:t>
      </w:r>
      <w:r w:rsidRPr="00562699">
        <w:rPr>
          <w:lang w:val="fr-FR"/>
        </w:rPr>
        <w:t xml:space="preserve">IP5 souhaitaient désormais </w:t>
      </w:r>
      <w:r w:rsidR="00C346E2" w:rsidRPr="00562699">
        <w:rPr>
          <w:lang w:val="fr-FR"/>
        </w:rPr>
        <w:t xml:space="preserve">arriver à </w:t>
      </w:r>
      <w:r w:rsidRPr="00562699">
        <w:rPr>
          <w:lang w:val="fr-FR"/>
        </w:rPr>
        <w:t xml:space="preserve">des résultats </w:t>
      </w:r>
      <w:r w:rsidR="00C346E2" w:rsidRPr="00562699">
        <w:rPr>
          <w:lang w:val="fr-FR"/>
        </w:rPr>
        <w:t>afin d</w:t>
      </w:r>
      <w:r w:rsidR="003C64A0">
        <w:rPr>
          <w:lang w:val="fr-FR"/>
        </w:rPr>
        <w:t>’</w:t>
      </w:r>
      <w:r w:rsidRPr="00562699">
        <w:rPr>
          <w:lang w:val="fr-FR"/>
        </w:rPr>
        <w:t>actualiser les Directives concernant la recherche internationale et l</w:t>
      </w:r>
      <w:r w:rsidR="003C64A0">
        <w:rPr>
          <w:lang w:val="fr-FR"/>
        </w:rPr>
        <w:t>’</w:t>
      </w:r>
      <w:r w:rsidRPr="00562699">
        <w:rPr>
          <w:lang w:val="fr-FR"/>
        </w:rPr>
        <w:t xml:space="preserve">examen préliminaire </w:t>
      </w:r>
      <w:r w:rsidR="00C346E2" w:rsidRPr="00562699">
        <w:rPr>
          <w:lang w:val="fr-FR"/>
        </w:rPr>
        <w:t>i</w:t>
      </w:r>
      <w:r w:rsidRPr="00562699">
        <w:rPr>
          <w:lang w:val="fr-FR"/>
        </w:rPr>
        <w:t xml:space="preserve">nternational </w:t>
      </w:r>
      <w:r w:rsidR="004D6D6F" w:rsidRPr="00562699">
        <w:rPr>
          <w:lang w:val="fr-FR"/>
        </w:rPr>
        <w:t>selon</w:t>
      </w:r>
      <w:r w:rsidR="003C64A0" w:rsidRPr="00562699">
        <w:rPr>
          <w:lang w:val="fr-FR"/>
        </w:rPr>
        <w:t xml:space="preserve"> le</w:t>
      </w:r>
      <w:r w:rsidR="003C64A0">
        <w:rPr>
          <w:lang w:val="fr-FR"/>
        </w:rPr>
        <w:t> </w:t>
      </w:r>
      <w:r w:rsidR="003C64A0" w:rsidRPr="00562699">
        <w:rPr>
          <w:lang w:val="fr-FR"/>
        </w:rPr>
        <w:t>PCT</w:t>
      </w:r>
      <w:r w:rsidRPr="00562699">
        <w:rPr>
          <w:lang w:val="fr-FR"/>
        </w:rPr>
        <w:t>.</w:t>
      </w:r>
    </w:p>
    <w:p w14:paraId="2CF6C207" w14:textId="38364AC7" w:rsidR="009246D2" w:rsidRPr="00562699" w:rsidRDefault="00930DF2" w:rsidP="00170395">
      <w:pPr>
        <w:pStyle w:val="ONUMFS"/>
        <w:rPr>
          <w:lang w:val="fr-FR"/>
        </w:rPr>
      </w:pPr>
      <w:r w:rsidRPr="00562699">
        <w:rPr>
          <w:lang w:val="fr-FR"/>
        </w:rPr>
        <w:t xml:space="preserve">Les administrations internationales ont remercié les </w:t>
      </w:r>
      <w:r w:rsidR="00C346E2" w:rsidRPr="00562699">
        <w:rPr>
          <w:lang w:val="fr-FR"/>
        </w:rPr>
        <w:t>o</w:t>
      </w:r>
      <w:r w:rsidRPr="00562699">
        <w:rPr>
          <w:lang w:val="fr-FR"/>
        </w:rPr>
        <w:t>ffices de l</w:t>
      </w:r>
      <w:r w:rsidR="003C64A0">
        <w:rPr>
          <w:lang w:val="fr-FR"/>
        </w:rPr>
        <w:t>’</w:t>
      </w:r>
      <w:r w:rsidRPr="00562699">
        <w:rPr>
          <w:lang w:val="fr-FR"/>
        </w:rPr>
        <w:t>IP</w:t>
      </w:r>
      <w:r w:rsidR="009D49D9">
        <w:rPr>
          <w:lang w:val="fr-FR"/>
        </w:rPr>
        <w:t> </w:t>
      </w:r>
      <w:r w:rsidRPr="00562699">
        <w:rPr>
          <w:lang w:val="fr-FR"/>
        </w:rPr>
        <w:t>5 pour le travail considérable qu</w:t>
      </w:r>
      <w:r w:rsidR="003C64A0">
        <w:rPr>
          <w:lang w:val="fr-FR"/>
        </w:rPr>
        <w:t>’</w:t>
      </w:r>
      <w:r w:rsidR="00F046A1" w:rsidRPr="00562699">
        <w:rPr>
          <w:lang w:val="fr-FR"/>
        </w:rPr>
        <w:t>ils</w:t>
      </w:r>
      <w:r w:rsidR="00C346E2" w:rsidRPr="00562699">
        <w:rPr>
          <w:lang w:val="fr-FR"/>
        </w:rPr>
        <w:t xml:space="preserve"> ont </w:t>
      </w:r>
      <w:r w:rsidRPr="00562699">
        <w:rPr>
          <w:lang w:val="fr-FR"/>
        </w:rPr>
        <w:t xml:space="preserve">accompli </w:t>
      </w:r>
      <w:r w:rsidR="00C346E2" w:rsidRPr="00562699">
        <w:rPr>
          <w:lang w:val="fr-FR"/>
        </w:rPr>
        <w:t>en vue de</w:t>
      </w:r>
      <w:r w:rsidRPr="00562699">
        <w:rPr>
          <w:lang w:val="fr-FR"/>
        </w:rPr>
        <w:t xml:space="preserve"> préparer les études de c</w:t>
      </w:r>
      <w:r w:rsidR="00B85EF1" w:rsidRPr="00562699">
        <w:rPr>
          <w:lang w:val="fr-FR"/>
        </w:rPr>
        <w:t>as</w:t>
      </w:r>
      <w:r w:rsidR="00B85EF1">
        <w:rPr>
          <w:lang w:val="fr-FR"/>
        </w:rPr>
        <w:t xml:space="preserve">.  </w:t>
      </w:r>
      <w:r w:rsidR="00B85EF1" w:rsidRPr="00562699">
        <w:rPr>
          <w:lang w:val="fr-FR"/>
        </w:rPr>
        <w:t>Le</w:t>
      </w:r>
      <w:r w:rsidRPr="00562699">
        <w:rPr>
          <w:lang w:val="fr-FR"/>
        </w:rPr>
        <w:t>s propositions étaient intéressantes, mais des travaux supplémentaires ser</w:t>
      </w:r>
      <w:r w:rsidR="00F046A1" w:rsidRPr="00562699">
        <w:rPr>
          <w:lang w:val="fr-FR"/>
        </w:rPr>
        <w:t>o</w:t>
      </w:r>
      <w:r w:rsidRPr="00562699">
        <w:rPr>
          <w:lang w:val="fr-FR"/>
        </w:rPr>
        <w:t>nt nécessaires pour préparer les propositions de modification</w:t>
      </w:r>
      <w:r w:rsidR="00C346E2" w:rsidRPr="00562699">
        <w:rPr>
          <w:lang w:val="fr-FR"/>
        </w:rPr>
        <w:t>s</w:t>
      </w:r>
      <w:r w:rsidRPr="00562699">
        <w:rPr>
          <w:lang w:val="fr-FR"/>
        </w:rPr>
        <w:t xml:space="preserve"> à envisager en vue de leur inclusion dans les </w:t>
      </w:r>
      <w:r w:rsidR="004722D4">
        <w:rPr>
          <w:lang w:val="fr-FR"/>
        </w:rPr>
        <w:t>d</w:t>
      </w:r>
      <w:r w:rsidR="00C346E2" w:rsidRPr="00562699">
        <w:rPr>
          <w:lang w:val="fr-FR"/>
        </w:rPr>
        <w:t>irectiv</w:t>
      </w:r>
      <w:r w:rsidR="00B85EF1" w:rsidRPr="00562699">
        <w:rPr>
          <w:lang w:val="fr-FR"/>
        </w:rPr>
        <w:t>es</w:t>
      </w:r>
      <w:r w:rsidR="00B85EF1">
        <w:rPr>
          <w:lang w:val="fr-FR"/>
        </w:rPr>
        <w:t xml:space="preserve">.  </w:t>
      </w:r>
      <w:r w:rsidR="00B85EF1" w:rsidRPr="00562699">
        <w:rPr>
          <w:lang w:val="fr-FR"/>
        </w:rPr>
        <w:t>Un</w:t>
      </w:r>
      <w:r w:rsidRPr="00562699">
        <w:rPr>
          <w:lang w:val="fr-FR"/>
        </w:rPr>
        <w:t>e administration a fait observer qu</w:t>
      </w:r>
      <w:r w:rsidR="003C64A0">
        <w:rPr>
          <w:lang w:val="fr-FR"/>
        </w:rPr>
        <w:t>’</w:t>
      </w:r>
      <w:r w:rsidRPr="00562699">
        <w:rPr>
          <w:lang w:val="fr-FR"/>
        </w:rPr>
        <w:t xml:space="preserve">une étude de cas dans le domaine de la biotechnologie serait particulièrement utile </w:t>
      </w:r>
      <w:r w:rsidR="00C346E2" w:rsidRPr="00562699">
        <w:rPr>
          <w:lang w:val="fr-FR"/>
        </w:rPr>
        <w:t>étant donné que</w:t>
      </w:r>
      <w:r w:rsidRPr="00562699">
        <w:rPr>
          <w:lang w:val="fr-FR"/>
        </w:rPr>
        <w:t xml:space="preserve"> ce domaine rencontr</w:t>
      </w:r>
      <w:r w:rsidR="00F046A1" w:rsidRPr="00562699">
        <w:rPr>
          <w:lang w:val="fr-FR"/>
        </w:rPr>
        <w:t>ait</w:t>
      </w:r>
      <w:r w:rsidRPr="00562699">
        <w:rPr>
          <w:lang w:val="fr-FR"/>
        </w:rPr>
        <w:t xml:space="preserve"> souvent des difficultés particulières en ce qui concerne l</w:t>
      </w:r>
      <w:r w:rsidR="003C64A0">
        <w:rPr>
          <w:lang w:val="fr-FR"/>
        </w:rPr>
        <w:t>’</w:t>
      </w:r>
      <w:r w:rsidRPr="00562699">
        <w:rPr>
          <w:lang w:val="fr-FR"/>
        </w:rPr>
        <w:t>évaluation de l</w:t>
      </w:r>
      <w:r w:rsidR="003C64A0">
        <w:rPr>
          <w:lang w:val="fr-FR"/>
        </w:rPr>
        <w:t>’</w:t>
      </w:r>
      <w:r w:rsidRPr="00562699">
        <w:rPr>
          <w:lang w:val="fr-FR"/>
        </w:rPr>
        <w:t>unité de l</w:t>
      </w:r>
      <w:r w:rsidR="003C64A0">
        <w:rPr>
          <w:lang w:val="fr-FR"/>
        </w:rPr>
        <w:t>’</w:t>
      </w:r>
      <w:r w:rsidRPr="00562699">
        <w:rPr>
          <w:lang w:val="fr-FR"/>
        </w:rPr>
        <w:t>invention.</w:t>
      </w:r>
      <w:r w:rsidR="00743A53" w:rsidRPr="00562699">
        <w:rPr>
          <w:lang w:val="fr-FR"/>
        </w:rPr>
        <w:t xml:space="preserve">  </w:t>
      </w:r>
      <w:r w:rsidRPr="00562699">
        <w:rPr>
          <w:lang w:val="fr-FR"/>
        </w:rPr>
        <w:t>L</w:t>
      </w:r>
      <w:r w:rsidR="003C64A0">
        <w:rPr>
          <w:lang w:val="fr-FR"/>
        </w:rPr>
        <w:t>’</w:t>
      </w:r>
      <w:r w:rsidRPr="00562699">
        <w:rPr>
          <w:lang w:val="fr-FR"/>
        </w:rPr>
        <w:t>Office européen des brevets a confirmé que des exemples de biotechnologie étaient inclus.</w:t>
      </w:r>
    </w:p>
    <w:p w14:paraId="117E50CD" w14:textId="5FF19518" w:rsidR="009246D2" w:rsidRPr="00562699" w:rsidRDefault="00930DF2" w:rsidP="00170395">
      <w:pPr>
        <w:pStyle w:val="ONUMFS"/>
        <w:rPr>
          <w:lang w:val="fr-FR"/>
        </w:rPr>
      </w:pPr>
      <w:r w:rsidRPr="00562699">
        <w:rPr>
          <w:lang w:val="fr-FR"/>
        </w:rPr>
        <w:t>IP</w:t>
      </w:r>
      <w:r w:rsidR="00953186">
        <w:rPr>
          <w:lang w:val="fr-FR"/>
        </w:rPr>
        <w:t> </w:t>
      </w:r>
      <w:proofErr w:type="spellStart"/>
      <w:r w:rsidRPr="00562699">
        <w:rPr>
          <w:lang w:val="fr-FR"/>
        </w:rPr>
        <w:t>Australia</w:t>
      </w:r>
      <w:proofErr w:type="spellEnd"/>
      <w:r w:rsidRPr="00562699">
        <w:rPr>
          <w:lang w:val="fr-FR"/>
        </w:rPr>
        <w:t xml:space="preserve"> a présenté des propositions de modification des Directives concernant la recherche internationale et l</w:t>
      </w:r>
      <w:r w:rsidR="003C64A0">
        <w:rPr>
          <w:lang w:val="fr-FR"/>
        </w:rPr>
        <w:t>’</w:t>
      </w:r>
      <w:r w:rsidRPr="00562699">
        <w:rPr>
          <w:lang w:val="fr-FR"/>
        </w:rPr>
        <w:t xml:space="preserve">examen préliminaire </w:t>
      </w:r>
      <w:r w:rsidR="008F0C32" w:rsidRPr="00562699">
        <w:rPr>
          <w:lang w:val="fr-FR"/>
        </w:rPr>
        <w:t>i</w:t>
      </w:r>
      <w:r w:rsidRPr="00562699">
        <w:rPr>
          <w:lang w:val="fr-FR"/>
        </w:rPr>
        <w:t xml:space="preserve">nternational </w:t>
      </w:r>
      <w:r w:rsidR="004D6D6F" w:rsidRPr="00562699">
        <w:rPr>
          <w:lang w:val="fr-FR"/>
        </w:rPr>
        <w:t>selon</w:t>
      </w:r>
      <w:r w:rsidR="003C64A0" w:rsidRPr="00562699">
        <w:rPr>
          <w:lang w:val="fr-FR"/>
        </w:rPr>
        <w:t xml:space="preserve"> le</w:t>
      </w:r>
      <w:r w:rsidR="003C64A0">
        <w:rPr>
          <w:lang w:val="fr-FR"/>
        </w:rPr>
        <w:t> </w:t>
      </w:r>
      <w:r w:rsidR="003C64A0" w:rsidRPr="00562699">
        <w:rPr>
          <w:lang w:val="fr-FR"/>
        </w:rPr>
        <w:t>PCT</w:t>
      </w:r>
      <w:r w:rsidRPr="00562699">
        <w:rPr>
          <w:lang w:val="fr-FR"/>
        </w:rPr>
        <w:t xml:space="preserve"> </w:t>
      </w:r>
      <w:r w:rsidR="008F0C32" w:rsidRPr="00562699">
        <w:rPr>
          <w:lang w:val="fr-FR"/>
        </w:rPr>
        <w:t xml:space="preserve">qui ont trait à </w:t>
      </w:r>
      <w:r w:rsidRPr="00562699">
        <w:rPr>
          <w:lang w:val="fr-FR"/>
        </w:rPr>
        <w:t>l</w:t>
      </w:r>
      <w:r w:rsidR="003C64A0">
        <w:rPr>
          <w:lang w:val="fr-FR"/>
        </w:rPr>
        <w:t>’</w:t>
      </w:r>
      <w:r w:rsidRPr="00562699">
        <w:rPr>
          <w:lang w:val="fr-FR"/>
        </w:rPr>
        <w:t>unité de l</w:t>
      </w:r>
      <w:r w:rsidR="003C64A0">
        <w:rPr>
          <w:lang w:val="fr-FR"/>
        </w:rPr>
        <w:t>’</w:t>
      </w:r>
      <w:r w:rsidRPr="00562699">
        <w:rPr>
          <w:lang w:val="fr-FR"/>
        </w:rPr>
        <w:t xml:space="preserve">invention, </w:t>
      </w:r>
      <w:r w:rsidR="008F0C32" w:rsidRPr="00562699">
        <w:rPr>
          <w:lang w:val="fr-FR"/>
        </w:rPr>
        <w:t>notamment</w:t>
      </w:r>
      <w:r w:rsidRPr="00562699">
        <w:rPr>
          <w:lang w:val="fr-FR"/>
        </w:rPr>
        <w:t xml:space="preserve"> un certain nombre de nouveaux exemples, qui </w:t>
      </w:r>
      <w:r w:rsidR="008F0C32" w:rsidRPr="00562699">
        <w:rPr>
          <w:lang w:val="fr-FR"/>
        </w:rPr>
        <w:t xml:space="preserve">ont émergé des </w:t>
      </w:r>
      <w:r w:rsidRPr="00562699">
        <w:rPr>
          <w:lang w:val="fr-FR"/>
        </w:rPr>
        <w:t>discussions au sein du sous</w:t>
      </w:r>
      <w:r w:rsidR="001B4A2C">
        <w:rPr>
          <w:lang w:val="fr-FR"/>
        </w:rPr>
        <w:noBreakHyphen/>
      </w:r>
      <w:r w:rsidRPr="00562699">
        <w:rPr>
          <w:lang w:val="fr-FR"/>
        </w:rPr>
        <w:t xml:space="preserve">groupe </w:t>
      </w:r>
      <w:r w:rsidR="003C64A0" w:rsidRPr="00562699">
        <w:rPr>
          <w:lang w:val="fr-FR"/>
        </w:rPr>
        <w:t>depuis</w:t>
      </w:r>
      <w:r w:rsidR="003C64A0">
        <w:rPr>
          <w:lang w:val="fr-FR"/>
        </w:rPr>
        <w:t> </w:t>
      </w:r>
      <w:r w:rsidR="003C64A0" w:rsidRPr="00562699">
        <w:rPr>
          <w:lang w:val="fr-FR"/>
        </w:rPr>
        <w:t>2014</w:t>
      </w:r>
      <w:r w:rsidRPr="00562699">
        <w:rPr>
          <w:lang w:val="fr-FR"/>
        </w:rPr>
        <w:t>.</w:t>
      </w:r>
      <w:r w:rsidR="00743A53" w:rsidRPr="00562699">
        <w:rPr>
          <w:lang w:val="fr-FR"/>
        </w:rPr>
        <w:t xml:space="preserve">  </w:t>
      </w:r>
      <w:r w:rsidRPr="00562699">
        <w:rPr>
          <w:lang w:val="fr-FR"/>
        </w:rPr>
        <w:t>IP</w:t>
      </w:r>
      <w:r w:rsidR="00953186">
        <w:rPr>
          <w:lang w:val="fr-FR"/>
        </w:rPr>
        <w:t> </w:t>
      </w:r>
      <w:proofErr w:type="spellStart"/>
      <w:r w:rsidRPr="00562699">
        <w:rPr>
          <w:lang w:val="fr-FR"/>
        </w:rPr>
        <w:t>Australia</w:t>
      </w:r>
      <w:proofErr w:type="spellEnd"/>
      <w:r w:rsidRPr="00562699">
        <w:rPr>
          <w:lang w:val="fr-FR"/>
        </w:rPr>
        <w:t xml:space="preserve"> a noté qu</w:t>
      </w:r>
      <w:r w:rsidR="003C64A0">
        <w:rPr>
          <w:lang w:val="fr-FR"/>
        </w:rPr>
        <w:t>’</w:t>
      </w:r>
      <w:r w:rsidRPr="00562699">
        <w:rPr>
          <w:lang w:val="fr-FR"/>
        </w:rPr>
        <w:t>un petit nombre d</w:t>
      </w:r>
      <w:r w:rsidR="003C64A0">
        <w:rPr>
          <w:lang w:val="fr-FR"/>
        </w:rPr>
        <w:t>’</w:t>
      </w:r>
      <w:r w:rsidRPr="00562699">
        <w:rPr>
          <w:lang w:val="fr-FR"/>
        </w:rPr>
        <w:t>observations mineures avaient été reçues récemment, mais a estimé que ces observations pouvaient être facilement traité</w:t>
      </w:r>
      <w:r w:rsidR="00B85EF1" w:rsidRPr="00562699">
        <w:rPr>
          <w:lang w:val="fr-FR"/>
        </w:rPr>
        <w:t>es</w:t>
      </w:r>
      <w:r w:rsidR="00B85EF1">
        <w:rPr>
          <w:lang w:val="fr-FR"/>
        </w:rPr>
        <w:t xml:space="preserve">.  </w:t>
      </w:r>
      <w:r w:rsidR="00B85EF1" w:rsidRPr="00562699">
        <w:rPr>
          <w:lang w:val="fr-FR"/>
        </w:rPr>
        <w:t>Le</w:t>
      </w:r>
      <w:r w:rsidRPr="00562699">
        <w:rPr>
          <w:lang w:val="fr-FR"/>
        </w:rPr>
        <w:t xml:space="preserve">s propositions </w:t>
      </w:r>
      <w:r w:rsidR="008F0C32" w:rsidRPr="00562699">
        <w:rPr>
          <w:lang w:val="fr-FR"/>
        </w:rPr>
        <w:t>étaient</w:t>
      </w:r>
      <w:r w:rsidRPr="00562699">
        <w:rPr>
          <w:lang w:val="fr-FR"/>
        </w:rPr>
        <w:t xml:space="preserve"> donc</w:t>
      </w:r>
      <w:r w:rsidR="008F0C32" w:rsidRPr="00562699">
        <w:rPr>
          <w:lang w:val="fr-FR"/>
        </w:rPr>
        <w:t>,</w:t>
      </w:r>
      <w:r w:rsidRPr="00562699">
        <w:rPr>
          <w:lang w:val="fr-FR"/>
        </w:rPr>
        <w:t xml:space="preserve"> pour l</w:t>
      </w:r>
      <w:r w:rsidR="003C64A0">
        <w:rPr>
          <w:lang w:val="fr-FR"/>
        </w:rPr>
        <w:t>’</w:t>
      </w:r>
      <w:r w:rsidRPr="00562699">
        <w:rPr>
          <w:lang w:val="fr-FR"/>
        </w:rPr>
        <w:t>essentiel</w:t>
      </w:r>
      <w:r w:rsidR="008F0C32" w:rsidRPr="00562699">
        <w:rPr>
          <w:lang w:val="fr-FR"/>
        </w:rPr>
        <w:t>,</w:t>
      </w:r>
      <w:r w:rsidRPr="00562699">
        <w:rPr>
          <w:lang w:val="fr-FR"/>
        </w:rPr>
        <w:t xml:space="preserve"> prêtes à être examinées en vue de leur inclusion dans les </w:t>
      </w:r>
      <w:r w:rsidR="009D49D9">
        <w:rPr>
          <w:lang w:val="fr-FR"/>
        </w:rPr>
        <w:t>d</w:t>
      </w:r>
      <w:r w:rsidR="008F0C32" w:rsidRPr="00562699">
        <w:rPr>
          <w:lang w:val="fr-FR"/>
        </w:rPr>
        <w:t>irectives dans les meilleurs délais</w:t>
      </w:r>
      <w:r w:rsidRPr="00562699">
        <w:rPr>
          <w:lang w:val="fr-FR"/>
        </w:rPr>
        <w:t>.</w:t>
      </w:r>
    </w:p>
    <w:p w14:paraId="35EE7C2D" w14:textId="3FF8159B" w:rsidR="009246D2" w:rsidRPr="00562699" w:rsidRDefault="00930DF2" w:rsidP="00170395">
      <w:pPr>
        <w:pStyle w:val="ONUMFS"/>
        <w:rPr>
          <w:lang w:val="fr-FR"/>
        </w:rPr>
      </w:pPr>
      <w:r w:rsidRPr="00562699">
        <w:rPr>
          <w:lang w:val="fr-FR"/>
        </w:rPr>
        <w:t>Un certain nombre d</w:t>
      </w:r>
      <w:r w:rsidR="003C64A0">
        <w:rPr>
          <w:lang w:val="fr-FR"/>
        </w:rPr>
        <w:t>’</w:t>
      </w:r>
      <w:r w:rsidRPr="00562699">
        <w:rPr>
          <w:lang w:val="fr-FR"/>
        </w:rPr>
        <w:t xml:space="preserve">administrations ont fait part de leur soutien aux propositions et </w:t>
      </w:r>
      <w:r w:rsidR="008F0C32" w:rsidRPr="00562699">
        <w:rPr>
          <w:lang w:val="fr-FR"/>
        </w:rPr>
        <w:t xml:space="preserve">à la présentation de </w:t>
      </w:r>
      <w:r w:rsidRPr="00562699">
        <w:rPr>
          <w:lang w:val="fr-FR"/>
        </w:rPr>
        <w:t xml:space="preserve">nouveaux exemples le plus rapidement possible, </w:t>
      </w:r>
      <w:r w:rsidR="008F0C32" w:rsidRPr="00562699">
        <w:rPr>
          <w:lang w:val="fr-FR"/>
        </w:rPr>
        <w:t xml:space="preserve">étant donné que </w:t>
      </w:r>
      <w:r w:rsidRPr="00562699">
        <w:rPr>
          <w:lang w:val="fr-FR"/>
        </w:rPr>
        <w:t xml:space="preserve">cela aiderait grandement les examinateurs à établir des rapports </w:t>
      </w:r>
      <w:r w:rsidR="008F0C32" w:rsidRPr="00562699">
        <w:rPr>
          <w:lang w:val="fr-FR"/>
        </w:rPr>
        <w:t xml:space="preserve">cohérents et </w:t>
      </w:r>
      <w:r w:rsidRPr="00562699">
        <w:rPr>
          <w:lang w:val="fr-FR"/>
        </w:rPr>
        <w:t>de qualité sur un sujet diffici</w:t>
      </w:r>
      <w:r w:rsidR="00B85EF1" w:rsidRPr="00562699">
        <w:rPr>
          <w:lang w:val="fr-FR"/>
        </w:rPr>
        <w:t>le</w:t>
      </w:r>
      <w:r w:rsidR="00B85EF1">
        <w:rPr>
          <w:lang w:val="fr-FR"/>
        </w:rPr>
        <w:t xml:space="preserve">.  </w:t>
      </w:r>
      <w:r w:rsidR="00B85EF1" w:rsidRPr="00562699">
        <w:rPr>
          <w:lang w:val="fr-FR"/>
        </w:rPr>
        <w:t>To</w:t>
      </w:r>
      <w:r w:rsidRPr="00562699">
        <w:rPr>
          <w:lang w:val="fr-FR"/>
        </w:rPr>
        <w:t>utefois, plusieurs administrations ont souligné l</w:t>
      </w:r>
      <w:r w:rsidR="003C64A0">
        <w:rPr>
          <w:lang w:val="fr-FR"/>
        </w:rPr>
        <w:t>’</w:t>
      </w:r>
      <w:r w:rsidRPr="00562699">
        <w:rPr>
          <w:lang w:val="fr-FR"/>
        </w:rPr>
        <w:t xml:space="preserve">importance </w:t>
      </w:r>
      <w:r w:rsidR="008F0C32" w:rsidRPr="00562699">
        <w:rPr>
          <w:lang w:val="fr-FR"/>
        </w:rPr>
        <w:t>de la pratique en matière en matière d</w:t>
      </w:r>
      <w:r w:rsidR="003C64A0">
        <w:rPr>
          <w:lang w:val="fr-FR"/>
        </w:rPr>
        <w:t>’</w:t>
      </w:r>
      <w:r w:rsidR="008F0C32" w:rsidRPr="00562699">
        <w:rPr>
          <w:lang w:val="fr-FR"/>
        </w:rPr>
        <w:t>unité de l</w:t>
      </w:r>
      <w:r w:rsidR="003C64A0">
        <w:rPr>
          <w:lang w:val="fr-FR"/>
        </w:rPr>
        <w:t>’</w:t>
      </w:r>
      <w:r w:rsidR="008F0C32" w:rsidRPr="00562699">
        <w:rPr>
          <w:lang w:val="fr-FR"/>
        </w:rPr>
        <w:t>invention pour d</w:t>
      </w:r>
      <w:r w:rsidR="003C64A0">
        <w:rPr>
          <w:lang w:val="fr-FR"/>
        </w:rPr>
        <w:t>’</w:t>
      </w:r>
      <w:r w:rsidR="008F0C32" w:rsidRPr="00562699">
        <w:rPr>
          <w:lang w:val="fr-FR"/>
        </w:rPr>
        <w:t xml:space="preserve">autres </w:t>
      </w:r>
      <w:r w:rsidRPr="00562699">
        <w:rPr>
          <w:lang w:val="fr-FR"/>
        </w:rPr>
        <w:t xml:space="preserve">parties, en particulier les déposants qui seraient invités à payer des taxes additionnelles en cas de constatation </w:t>
      </w:r>
      <w:r w:rsidR="008F0C32" w:rsidRPr="00562699">
        <w:rPr>
          <w:lang w:val="fr-FR"/>
        </w:rPr>
        <w:t>de défaut</w:t>
      </w:r>
      <w:r w:rsidRPr="00562699">
        <w:rPr>
          <w:lang w:val="fr-FR"/>
        </w:rPr>
        <w:t xml:space="preserve"> d</w:t>
      </w:r>
      <w:r w:rsidR="003C64A0">
        <w:rPr>
          <w:lang w:val="fr-FR"/>
        </w:rPr>
        <w:t>’</w:t>
      </w:r>
      <w:r w:rsidRPr="00562699">
        <w:rPr>
          <w:lang w:val="fr-FR"/>
        </w:rPr>
        <w:t>unité de l</w:t>
      </w:r>
      <w:r w:rsidR="003C64A0">
        <w:rPr>
          <w:lang w:val="fr-FR"/>
        </w:rPr>
        <w:t>’</w:t>
      </w:r>
      <w:r w:rsidRPr="00562699">
        <w:rPr>
          <w:lang w:val="fr-FR"/>
        </w:rPr>
        <w:t>inventi</w:t>
      </w:r>
      <w:r w:rsidR="00B85EF1" w:rsidRPr="00562699">
        <w:rPr>
          <w:lang w:val="fr-FR"/>
        </w:rPr>
        <w:t>on</w:t>
      </w:r>
      <w:r w:rsidR="00B85EF1">
        <w:rPr>
          <w:lang w:val="fr-FR"/>
        </w:rPr>
        <w:t xml:space="preserve">.  </w:t>
      </w:r>
      <w:r w:rsidR="00B85EF1" w:rsidRPr="00562699">
        <w:rPr>
          <w:lang w:val="fr-FR"/>
        </w:rPr>
        <w:lastRenderedPageBreak/>
        <w:t>Pa</w:t>
      </w:r>
      <w:r w:rsidRPr="00562699">
        <w:rPr>
          <w:lang w:val="fr-FR"/>
        </w:rPr>
        <w:t>r conséquent, il était important d</w:t>
      </w:r>
      <w:r w:rsidR="003C64A0">
        <w:rPr>
          <w:lang w:val="fr-FR"/>
        </w:rPr>
        <w:t>’</w:t>
      </w:r>
      <w:r w:rsidRPr="00562699">
        <w:rPr>
          <w:lang w:val="fr-FR"/>
        </w:rPr>
        <w:t xml:space="preserve">avoir une </w:t>
      </w:r>
      <w:r w:rsidR="008F0C32" w:rsidRPr="00562699">
        <w:rPr>
          <w:lang w:val="fr-FR"/>
        </w:rPr>
        <w:t xml:space="preserve">véritable </w:t>
      </w:r>
      <w:r w:rsidRPr="00562699">
        <w:rPr>
          <w:lang w:val="fr-FR"/>
        </w:rPr>
        <w:t>consultation avec les utilisateurs avant d</w:t>
      </w:r>
      <w:r w:rsidR="003C64A0">
        <w:rPr>
          <w:lang w:val="fr-FR"/>
        </w:rPr>
        <w:t>’</w:t>
      </w:r>
      <w:r w:rsidRPr="00562699">
        <w:rPr>
          <w:lang w:val="fr-FR"/>
        </w:rPr>
        <w:t xml:space="preserve">établir </w:t>
      </w:r>
      <w:r w:rsidR="008F0C32" w:rsidRPr="00562699">
        <w:rPr>
          <w:lang w:val="fr-FR"/>
        </w:rPr>
        <w:t xml:space="preserve">les </w:t>
      </w:r>
      <w:r w:rsidR="00F046A1" w:rsidRPr="00562699">
        <w:rPr>
          <w:lang w:val="fr-FR"/>
        </w:rPr>
        <w:t>D</w:t>
      </w:r>
      <w:r w:rsidR="008F0C32" w:rsidRPr="00562699">
        <w:rPr>
          <w:lang w:val="fr-FR"/>
        </w:rPr>
        <w:t xml:space="preserve">irectives. </w:t>
      </w:r>
      <w:r w:rsidR="00743A53" w:rsidRPr="00562699">
        <w:rPr>
          <w:lang w:val="fr-FR"/>
        </w:rPr>
        <w:t xml:space="preserve"> </w:t>
      </w:r>
      <w:r w:rsidRPr="00562699">
        <w:rPr>
          <w:lang w:val="fr-FR"/>
        </w:rPr>
        <w:t>L</w:t>
      </w:r>
      <w:r w:rsidR="003C64A0">
        <w:rPr>
          <w:lang w:val="fr-FR"/>
        </w:rPr>
        <w:t>’</w:t>
      </w:r>
      <w:r w:rsidRPr="00562699">
        <w:rPr>
          <w:lang w:val="fr-FR"/>
        </w:rPr>
        <w:t>OEB a suggéré qu</w:t>
      </w:r>
      <w:r w:rsidR="003C64A0">
        <w:rPr>
          <w:lang w:val="fr-FR"/>
        </w:rPr>
        <w:t>’</w:t>
      </w:r>
      <w:r w:rsidR="008F0C32" w:rsidRPr="00562699">
        <w:rPr>
          <w:lang w:val="fr-FR"/>
        </w:rPr>
        <w:t>un délai soit accordé pour la formulation d</w:t>
      </w:r>
      <w:r w:rsidR="003C64A0">
        <w:rPr>
          <w:lang w:val="fr-FR"/>
        </w:rPr>
        <w:t>’</w:t>
      </w:r>
      <w:r w:rsidRPr="00562699">
        <w:rPr>
          <w:lang w:val="fr-FR"/>
        </w:rPr>
        <w:t xml:space="preserve">observations finales sur les propositions </w:t>
      </w:r>
      <w:r w:rsidR="008F0C32" w:rsidRPr="00562699">
        <w:rPr>
          <w:lang w:val="fr-FR"/>
        </w:rPr>
        <w:t>présentées</w:t>
      </w:r>
      <w:r w:rsidRPr="00562699">
        <w:rPr>
          <w:lang w:val="fr-FR"/>
        </w:rPr>
        <w:t xml:space="preserve"> par IP</w:t>
      </w:r>
      <w:r w:rsidR="00953186">
        <w:rPr>
          <w:lang w:val="fr-FR"/>
        </w:rPr>
        <w:t> </w:t>
      </w:r>
      <w:proofErr w:type="spellStart"/>
      <w:r w:rsidRPr="00562699">
        <w:rPr>
          <w:lang w:val="fr-FR"/>
        </w:rPr>
        <w:t>Australia</w:t>
      </w:r>
      <w:proofErr w:type="spellEnd"/>
      <w:r w:rsidRPr="00562699">
        <w:rPr>
          <w:lang w:val="fr-FR"/>
        </w:rPr>
        <w:t xml:space="preserve"> afin de s</w:t>
      </w:r>
      <w:r w:rsidR="003C64A0">
        <w:rPr>
          <w:lang w:val="fr-FR"/>
        </w:rPr>
        <w:t>’</w:t>
      </w:r>
      <w:r w:rsidRPr="00562699">
        <w:rPr>
          <w:lang w:val="fr-FR"/>
        </w:rPr>
        <w:t>assurer qu</w:t>
      </w:r>
      <w:r w:rsidR="003C64A0">
        <w:rPr>
          <w:lang w:val="fr-FR"/>
        </w:rPr>
        <w:t>’</w:t>
      </w:r>
      <w:r w:rsidRPr="00562699">
        <w:rPr>
          <w:lang w:val="fr-FR"/>
        </w:rPr>
        <w:t xml:space="preserve">elles correspondent au </w:t>
      </w:r>
      <w:r w:rsidR="003C64A0">
        <w:rPr>
          <w:lang w:val="fr-FR"/>
        </w:rPr>
        <w:t>“</w:t>
      </w:r>
      <w:r w:rsidR="003C64A0" w:rsidRPr="00562699">
        <w:rPr>
          <w:lang w:val="fr-FR"/>
        </w:rPr>
        <w:t>r</w:t>
      </w:r>
      <w:r w:rsidRPr="00562699">
        <w:rPr>
          <w:lang w:val="fr-FR"/>
        </w:rPr>
        <w:t>aisonnement minimu</w:t>
      </w:r>
      <w:r w:rsidR="003C64A0" w:rsidRPr="00562699">
        <w:rPr>
          <w:lang w:val="fr-FR"/>
        </w:rPr>
        <w:t>m</w:t>
      </w:r>
      <w:r w:rsidR="003C64A0">
        <w:rPr>
          <w:lang w:val="fr-FR"/>
        </w:rPr>
        <w:t>”</w:t>
      </w:r>
      <w:r w:rsidRPr="00562699">
        <w:rPr>
          <w:lang w:val="fr-FR"/>
        </w:rPr>
        <w:t xml:space="preserve"> (voir le paragraphe</w:t>
      </w:r>
      <w:r w:rsidR="004E4E83" w:rsidRPr="00562699">
        <w:rPr>
          <w:lang w:val="fr-FR"/>
        </w:rPr>
        <w:t> </w:t>
      </w:r>
      <w:r w:rsidRPr="00562699">
        <w:rPr>
          <w:lang w:val="fr-FR"/>
        </w:rPr>
        <w:t>46 ci</w:t>
      </w:r>
      <w:r w:rsidR="001B4A2C">
        <w:rPr>
          <w:lang w:val="fr-FR"/>
        </w:rPr>
        <w:noBreakHyphen/>
      </w:r>
      <w:r w:rsidRPr="00562699">
        <w:rPr>
          <w:lang w:val="fr-FR"/>
        </w:rPr>
        <w:t>dessus).</w:t>
      </w:r>
    </w:p>
    <w:p w14:paraId="191E8A90" w14:textId="667BFCF2" w:rsidR="009246D2" w:rsidRPr="00562699" w:rsidRDefault="00930DF2" w:rsidP="00170395">
      <w:pPr>
        <w:pStyle w:val="ONUMFS"/>
        <w:rPr>
          <w:lang w:val="fr-FR"/>
        </w:rPr>
      </w:pPr>
      <w:r w:rsidRPr="00562699">
        <w:rPr>
          <w:lang w:val="fr-FR"/>
        </w:rPr>
        <w:t>L</w:t>
      </w:r>
      <w:r w:rsidR="003C64A0">
        <w:rPr>
          <w:lang w:val="fr-FR"/>
        </w:rPr>
        <w:t>’</w:t>
      </w:r>
      <w:r w:rsidRPr="00562699">
        <w:rPr>
          <w:lang w:val="fr-FR"/>
        </w:rPr>
        <w:t xml:space="preserve">importance des travaux menés par les </w:t>
      </w:r>
      <w:r w:rsidR="008F0C32" w:rsidRPr="00562699">
        <w:rPr>
          <w:lang w:val="fr-FR"/>
        </w:rPr>
        <w:t>o</w:t>
      </w:r>
      <w:r w:rsidRPr="00562699">
        <w:rPr>
          <w:lang w:val="fr-FR"/>
        </w:rPr>
        <w:t>ffices de l</w:t>
      </w:r>
      <w:r w:rsidR="003C64A0">
        <w:rPr>
          <w:lang w:val="fr-FR"/>
        </w:rPr>
        <w:t>’</w:t>
      </w:r>
      <w:r w:rsidRPr="00562699">
        <w:rPr>
          <w:lang w:val="fr-FR"/>
        </w:rPr>
        <w:t xml:space="preserve">IP5 a été reconnue et il serait hautement souhaitable </w:t>
      </w:r>
      <w:r w:rsidR="008F0C32" w:rsidRPr="00562699">
        <w:rPr>
          <w:lang w:val="fr-FR"/>
        </w:rPr>
        <w:t>d</w:t>
      </w:r>
      <w:r w:rsidR="003C64A0">
        <w:rPr>
          <w:lang w:val="fr-FR"/>
        </w:rPr>
        <w:t>’</w:t>
      </w:r>
      <w:r w:rsidR="008F0C32" w:rsidRPr="00562699">
        <w:rPr>
          <w:lang w:val="fr-FR"/>
        </w:rPr>
        <w:t xml:space="preserve">intégrer </w:t>
      </w:r>
      <w:r w:rsidRPr="00562699">
        <w:rPr>
          <w:lang w:val="fr-FR"/>
        </w:rPr>
        <w:t xml:space="preserve">dans les </w:t>
      </w:r>
      <w:r w:rsidR="008F0C32" w:rsidRPr="00562699">
        <w:rPr>
          <w:lang w:val="fr-FR"/>
        </w:rPr>
        <w:t>D</w:t>
      </w:r>
      <w:r w:rsidRPr="00562699">
        <w:rPr>
          <w:lang w:val="fr-FR"/>
        </w:rPr>
        <w:t>irectives</w:t>
      </w:r>
      <w:r w:rsidR="008F0C32" w:rsidRPr="00562699">
        <w:rPr>
          <w:lang w:val="fr-FR"/>
        </w:rPr>
        <w:t xml:space="preserve"> dans les meilleurs délais </w:t>
      </w:r>
      <w:r w:rsidRPr="00562699">
        <w:rPr>
          <w:lang w:val="fr-FR"/>
        </w:rPr>
        <w:t xml:space="preserve">des orientations </w:t>
      </w:r>
      <w:r w:rsidR="008F0C32" w:rsidRPr="00562699">
        <w:rPr>
          <w:lang w:val="fr-FR"/>
        </w:rPr>
        <w:t xml:space="preserve">fondées sur </w:t>
      </w:r>
      <w:r w:rsidRPr="00562699">
        <w:rPr>
          <w:lang w:val="fr-FR"/>
        </w:rPr>
        <w:t>ces travaux afin d</w:t>
      </w:r>
      <w:r w:rsidR="003C64A0">
        <w:rPr>
          <w:lang w:val="fr-FR"/>
        </w:rPr>
        <w:t>’</w:t>
      </w:r>
      <w:r w:rsidRPr="00562699">
        <w:rPr>
          <w:lang w:val="fr-FR"/>
        </w:rPr>
        <w:t>éviter tout</w:t>
      </w:r>
      <w:r w:rsidR="008F0C32" w:rsidRPr="00562699">
        <w:rPr>
          <w:lang w:val="fr-FR"/>
        </w:rPr>
        <w:t>e discordance</w:t>
      </w:r>
      <w:r w:rsidRPr="00562699">
        <w:rPr>
          <w:lang w:val="fr-FR"/>
        </w:rPr>
        <w:t xml:space="preserve"> entre les deux</w:t>
      </w:r>
      <w:r w:rsidR="00953186">
        <w:rPr>
          <w:lang w:val="fr-FR"/>
        </w:rPr>
        <w:t> </w:t>
      </w:r>
      <w:r w:rsidRPr="00562699">
        <w:rPr>
          <w:lang w:val="fr-FR"/>
        </w:rPr>
        <w:t>séries de propositio</w:t>
      </w:r>
      <w:r w:rsidR="00B85EF1" w:rsidRPr="00562699">
        <w:rPr>
          <w:lang w:val="fr-FR"/>
        </w:rPr>
        <w:t>ns</w:t>
      </w:r>
      <w:r w:rsidR="00B85EF1">
        <w:rPr>
          <w:lang w:val="fr-FR"/>
        </w:rPr>
        <w:t xml:space="preserve">.  </w:t>
      </w:r>
      <w:r w:rsidR="00B85EF1" w:rsidRPr="00562699">
        <w:rPr>
          <w:lang w:val="fr-FR"/>
        </w:rPr>
        <w:t>Ce</w:t>
      </w:r>
      <w:r w:rsidRPr="00562699">
        <w:rPr>
          <w:lang w:val="fr-FR"/>
        </w:rPr>
        <w:t xml:space="preserve">la étant, la plupart des administrations </w:t>
      </w:r>
      <w:r w:rsidR="008F0C32" w:rsidRPr="00562699">
        <w:rPr>
          <w:lang w:val="fr-FR"/>
        </w:rPr>
        <w:t xml:space="preserve">ont souhaité </w:t>
      </w:r>
      <w:r w:rsidRPr="00562699">
        <w:rPr>
          <w:lang w:val="fr-FR"/>
        </w:rPr>
        <w:t xml:space="preserve">que </w:t>
      </w:r>
      <w:r w:rsidR="008F0C32" w:rsidRPr="00562699">
        <w:rPr>
          <w:lang w:val="fr-FR"/>
        </w:rPr>
        <w:t>l</w:t>
      </w:r>
      <w:r w:rsidRPr="00562699">
        <w:rPr>
          <w:lang w:val="fr-FR"/>
        </w:rPr>
        <w:t>es propositions présentées par IP</w:t>
      </w:r>
      <w:r w:rsidR="00953186">
        <w:rPr>
          <w:lang w:val="fr-FR"/>
        </w:rPr>
        <w:t> </w:t>
      </w:r>
      <w:proofErr w:type="spellStart"/>
      <w:r w:rsidRPr="00562699">
        <w:rPr>
          <w:lang w:val="fr-FR"/>
        </w:rPr>
        <w:t>Australia</w:t>
      </w:r>
      <w:proofErr w:type="spellEnd"/>
      <w:r w:rsidRPr="00562699">
        <w:rPr>
          <w:lang w:val="fr-FR"/>
        </w:rPr>
        <w:t xml:space="preserve"> </w:t>
      </w:r>
      <w:r w:rsidR="008F0C32" w:rsidRPr="00562699">
        <w:rPr>
          <w:lang w:val="fr-FR"/>
        </w:rPr>
        <w:t>avancent le plus rapidement possible</w:t>
      </w:r>
      <w:r w:rsidRPr="00562699">
        <w:rPr>
          <w:lang w:val="fr-FR"/>
        </w:rPr>
        <w:t>.</w:t>
      </w:r>
    </w:p>
    <w:p w14:paraId="43B68357" w14:textId="09648EB5" w:rsidR="009246D2" w:rsidRPr="00562699" w:rsidRDefault="00930DF2" w:rsidP="00170395">
      <w:pPr>
        <w:pStyle w:val="ONUMFS"/>
        <w:ind w:left="567"/>
        <w:rPr>
          <w:lang w:val="fr-FR"/>
        </w:rPr>
      </w:pPr>
      <w:bookmarkStart w:id="11" w:name="_Ref1409392"/>
      <w:r w:rsidRPr="00562699">
        <w:rPr>
          <w:lang w:val="fr-FR"/>
        </w:rPr>
        <w:t>Le sous</w:t>
      </w:r>
      <w:r w:rsidR="001B4A2C">
        <w:rPr>
          <w:lang w:val="fr-FR"/>
        </w:rPr>
        <w:noBreakHyphen/>
      </w:r>
      <w:r w:rsidRPr="00562699">
        <w:rPr>
          <w:lang w:val="fr-FR"/>
        </w:rPr>
        <w:t>groupe a invité les administrations concernées à présenter des propositions spécifiques pour traiter les observations en suspens par l</w:t>
      </w:r>
      <w:r w:rsidR="003C64A0">
        <w:rPr>
          <w:lang w:val="fr-FR"/>
        </w:rPr>
        <w:t>’</w:t>
      </w:r>
      <w:r w:rsidRPr="00562699">
        <w:rPr>
          <w:lang w:val="fr-FR"/>
        </w:rPr>
        <w:t>intermédiaire du forum électronique dans un délai d</w:t>
      </w:r>
      <w:r w:rsidR="003C64A0">
        <w:rPr>
          <w:lang w:val="fr-FR"/>
        </w:rPr>
        <w:t>’</w:t>
      </w:r>
      <w:r w:rsidRPr="00562699">
        <w:rPr>
          <w:lang w:val="fr-FR"/>
        </w:rPr>
        <w:t>environ deux</w:t>
      </w:r>
      <w:r w:rsidR="00953186">
        <w:rPr>
          <w:lang w:val="fr-FR"/>
        </w:rPr>
        <w:t> </w:t>
      </w:r>
      <w:r w:rsidRPr="00562699">
        <w:rPr>
          <w:lang w:val="fr-FR"/>
        </w:rPr>
        <w:t xml:space="preserve">semaines, un accord </w:t>
      </w:r>
      <w:r w:rsidR="008F0C32" w:rsidRPr="00562699">
        <w:rPr>
          <w:lang w:val="fr-FR"/>
        </w:rPr>
        <w:t xml:space="preserve">devant intervenir </w:t>
      </w:r>
      <w:r w:rsidRPr="00562699">
        <w:rPr>
          <w:lang w:val="fr-FR"/>
        </w:rPr>
        <w:t>peu apr</w:t>
      </w:r>
      <w:r w:rsidR="00B85EF1" w:rsidRPr="00562699">
        <w:rPr>
          <w:lang w:val="fr-FR"/>
        </w:rPr>
        <w:t>ès</w:t>
      </w:r>
      <w:r w:rsidR="00B85EF1">
        <w:rPr>
          <w:lang w:val="fr-FR"/>
        </w:rPr>
        <w:t xml:space="preserve">.  </w:t>
      </w:r>
      <w:r w:rsidR="00B85EF1" w:rsidRPr="00562699">
        <w:rPr>
          <w:lang w:val="fr-FR"/>
        </w:rPr>
        <w:t>Da</w:t>
      </w:r>
      <w:r w:rsidRPr="00562699">
        <w:rPr>
          <w:lang w:val="fr-FR"/>
        </w:rPr>
        <w:t>ns la mesure du possible, d</w:t>
      </w:r>
      <w:r w:rsidR="003C64A0">
        <w:rPr>
          <w:lang w:val="fr-FR"/>
        </w:rPr>
        <w:t>’</w:t>
      </w:r>
      <w:r w:rsidRPr="00562699">
        <w:rPr>
          <w:lang w:val="fr-FR"/>
        </w:rPr>
        <w:t>autres propositions pourraient également être faites pour couvrir certains des résultats des travaux entrepris par</w:t>
      </w:r>
      <w:r w:rsidR="003C64A0" w:rsidRPr="00562699">
        <w:rPr>
          <w:lang w:val="fr-FR"/>
        </w:rPr>
        <w:t xml:space="preserve"> le</w:t>
      </w:r>
      <w:r w:rsidR="003C64A0">
        <w:rPr>
          <w:lang w:val="fr-FR"/>
        </w:rPr>
        <w:t> </w:t>
      </w:r>
      <w:r w:rsidR="003C64A0" w:rsidRPr="00562699">
        <w:rPr>
          <w:lang w:val="fr-FR"/>
        </w:rPr>
        <w:t>P</w:t>
      </w:r>
      <w:r w:rsidR="00B85EF1" w:rsidRPr="00562699">
        <w:rPr>
          <w:lang w:val="fr-FR"/>
        </w:rPr>
        <w:t>HEP</w:t>
      </w:r>
      <w:r w:rsidR="00B85EF1">
        <w:rPr>
          <w:lang w:val="fr-FR"/>
        </w:rPr>
        <w:t xml:space="preserve">.  </w:t>
      </w:r>
      <w:r w:rsidR="00B85EF1" w:rsidRPr="00562699">
        <w:rPr>
          <w:lang w:val="fr-FR"/>
        </w:rPr>
        <w:t>Le</w:t>
      </w:r>
      <w:r w:rsidRPr="00562699">
        <w:rPr>
          <w:lang w:val="fr-FR"/>
        </w:rPr>
        <w:t xml:space="preserve"> Bureau </w:t>
      </w:r>
      <w:r w:rsidR="008F0C32" w:rsidRPr="00562699">
        <w:rPr>
          <w:lang w:val="fr-FR"/>
        </w:rPr>
        <w:t>i</w:t>
      </w:r>
      <w:r w:rsidRPr="00562699">
        <w:rPr>
          <w:lang w:val="fr-FR"/>
        </w:rPr>
        <w:t xml:space="preserve">nternational devrait </w:t>
      </w:r>
      <w:r w:rsidR="008F0C32" w:rsidRPr="00562699">
        <w:rPr>
          <w:lang w:val="fr-FR"/>
        </w:rPr>
        <w:t>préparer</w:t>
      </w:r>
      <w:r w:rsidRPr="00562699">
        <w:rPr>
          <w:lang w:val="fr-FR"/>
        </w:rPr>
        <w:t xml:space="preserve"> une circulaire PCT sur la base du texte convenu</w:t>
      </w:r>
      <w:r w:rsidR="008F0C32" w:rsidRPr="00562699">
        <w:rPr>
          <w:lang w:val="fr-FR"/>
        </w:rPr>
        <w:t>, en vue d</w:t>
      </w:r>
      <w:r w:rsidR="003C64A0">
        <w:rPr>
          <w:lang w:val="fr-FR"/>
        </w:rPr>
        <w:t>’</w:t>
      </w:r>
      <w:r w:rsidR="008F0C32" w:rsidRPr="00562699">
        <w:rPr>
          <w:lang w:val="fr-FR"/>
        </w:rPr>
        <w:t xml:space="preserve">une </w:t>
      </w:r>
      <w:r w:rsidRPr="00562699">
        <w:rPr>
          <w:lang w:val="fr-FR"/>
        </w:rPr>
        <w:t xml:space="preserve">consultation </w:t>
      </w:r>
      <w:r w:rsidR="008F0C32" w:rsidRPr="00562699">
        <w:rPr>
          <w:lang w:val="fr-FR"/>
        </w:rPr>
        <w:t>d</w:t>
      </w:r>
      <w:r w:rsidRPr="00562699">
        <w:rPr>
          <w:lang w:val="fr-FR"/>
        </w:rPr>
        <w:t xml:space="preserve">es </w:t>
      </w:r>
      <w:r w:rsidR="008F0C32" w:rsidRPr="00562699">
        <w:rPr>
          <w:lang w:val="fr-FR"/>
        </w:rPr>
        <w:t>o</w:t>
      </w:r>
      <w:r w:rsidRPr="00562699">
        <w:rPr>
          <w:lang w:val="fr-FR"/>
        </w:rPr>
        <w:t xml:space="preserve">ffices désignés et </w:t>
      </w:r>
      <w:r w:rsidR="008F0C32" w:rsidRPr="00562699">
        <w:rPr>
          <w:lang w:val="fr-FR"/>
        </w:rPr>
        <w:t>d</w:t>
      </w:r>
      <w:r w:rsidRPr="00562699">
        <w:rPr>
          <w:lang w:val="fr-FR"/>
        </w:rPr>
        <w:t>es groupes d</w:t>
      </w:r>
      <w:r w:rsidR="003C64A0">
        <w:rPr>
          <w:lang w:val="fr-FR"/>
        </w:rPr>
        <w:t>’</w:t>
      </w:r>
      <w:r w:rsidRPr="00562699">
        <w:rPr>
          <w:lang w:val="fr-FR"/>
        </w:rPr>
        <w:t>utilisateu</w:t>
      </w:r>
      <w:bookmarkEnd w:id="11"/>
      <w:r w:rsidR="00B85EF1" w:rsidRPr="00562699">
        <w:rPr>
          <w:lang w:val="fr-FR"/>
        </w:rPr>
        <w:t>rs</w:t>
      </w:r>
      <w:r w:rsidR="00B85EF1">
        <w:rPr>
          <w:lang w:val="fr-FR"/>
        </w:rPr>
        <w:t xml:space="preserve">.  </w:t>
      </w:r>
      <w:r w:rsidR="00B85EF1" w:rsidRPr="00562699">
        <w:rPr>
          <w:lang w:val="fr-FR"/>
        </w:rPr>
        <w:t>To</w:t>
      </w:r>
      <w:r w:rsidRPr="00562699">
        <w:rPr>
          <w:lang w:val="fr-FR"/>
        </w:rPr>
        <w:t xml:space="preserve">ute question en suspens serait </w:t>
      </w:r>
      <w:r w:rsidR="00E609B1" w:rsidRPr="00562699">
        <w:rPr>
          <w:lang w:val="fr-FR"/>
        </w:rPr>
        <w:t>discutée</w:t>
      </w:r>
      <w:r w:rsidRPr="00562699">
        <w:rPr>
          <w:lang w:val="fr-FR"/>
        </w:rPr>
        <w:t xml:space="preserve"> plus avant dans le cadre du forum électronique du sous</w:t>
      </w:r>
      <w:r w:rsidR="001B4A2C">
        <w:rPr>
          <w:lang w:val="fr-FR"/>
        </w:rPr>
        <w:noBreakHyphen/>
      </w:r>
      <w:r w:rsidRPr="00562699">
        <w:rPr>
          <w:lang w:val="fr-FR"/>
        </w:rPr>
        <w:t xml:space="preserve">groupe </w:t>
      </w:r>
      <w:r w:rsidR="00E609B1" w:rsidRPr="00562699">
        <w:rPr>
          <w:lang w:val="fr-FR"/>
        </w:rPr>
        <w:t>afin de conclure</w:t>
      </w:r>
      <w:r w:rsidRPr="00562699">
        <w:rPr>
          <w:lang w:val="fr-FR"/>
        </w:rPr>
        <w:t xml:space="preserve"> cet examen à la réunion du sous</w:t>
      </w:r>
      <w:r w:rsidR="001B4A2C">
        <w:rPr>
          <w:lang w:val="fr-FR"/>
        </w:rPr>
        <w:noBreakHyphen/>
      </w:r>
      <w:r w:rsidRPr="00562699">
        <w:rPr>
          <w:lang w:val="fr-FR"/>
        </w:rPr>
        <w:t xml:space="preserve">groupe </w:t>
      </w:r>
      <w:r w:rsidR="00E609B1" w:rsidRPr="00562699">
        <w:rPr>
          <w:lang w:val="fr-FR"/>
        </w:rPr>
        <w:t xml:space="preserve">de </w:t>
      </w:r>
      <w:r w:rsidRPr="00562699">
        <w:rPr>
          <w:lang w:val="fr-FR"/>
        </w:rPr>
        <w:t>l</w:t>
      </w:r>
      <w:r w:rsidR="003C64A0">
        <w:rPr>
          <w:lang w:val="fr-FR"/>
        </w:rPr>
        <w:t>’</w:t>
      </w:r>
      <w:r w:rsidRPr="00562699">
        <w:rPr>
          <w:lang w:val="fr-FR"/>
        </w:rPr>
        <w:t>année prochaine.</w:t>
      </w:r>
    </w:p>
    <w:p w14:paraId="4BD96FF4" w14:textId="61EA8756" w:rsidR="009246D2" w:rsidRDefault="00930DF2" w:rsidP="00170395">
      <w:pPr>
        <w:pStyle w:val="Heading1"/>
        <w:rPr>
          <w:lang w:val="fr-FR"/>
        </w:rPr>
      </w:pPr>
      <w:r w:rsidRPr="00562699">
        <w:rPr>
          <w:lang w:val="fr-FR"/>
        </w:rPr>
        <w:t>5.</w:t>
      </w:r>
      <w:r w:rsidRPr="00562699">
        <w:rPr>
          <w:lang w:val="fr-FR"/>
        </w:rPr>
        <w:tab/>
      </w:r>
      <w:r w:rsidR="00170395" w:rsidRPr="00562699">
        <w:rPr>
          <w:lang w:val="fr-FR"/>
        </w:rPr>
        <w:t>Autres pistes en matière d</w:t>
      </w:r>
      <w:r w:rsidR="00170395">
        <w:rPr>
          <w:lang w:val="fr-FR"/>
        </w:rPr>
        <w:t>’</w:t>
      </w:r>
      <w:r w:rsidR="00170395" w:rsidRPr="00562699">
        <w:rPr>
          <w:lang w:val="fr-FR"/>
        </w:rPr>
        <w:t>amélioration de la qualité</w:t>
      </w:r>
    </w:p>
    <w:p w14:paraId="7D56E826" w14:textId="77777777" w:rsidR="00170395" w:rsidRPr="00170395" w:rsidRDefault="00170395" w:rsidP="00170395">
      <w:pPr>
        <w:rPr>
          <w:lang w:val="fr-FR"/>
        </w:rPr>
      </w:pPr>
    </w:p>
    <w:p w14:paraId="6FA8CB30" w14:textId="380CD121" w:rsidR="009246D2" w:rsidRPr="00562699" w:rsidRDefault="00930DF2" w:rsidP="00170395">
      <w:pPr>
        <w:pStyle w:val="ONUMFS"/>
        <w:rPr>
          <w:lang w:val="fr-FR"/>
        </w:rPr>
      </w:pPr>
      <w:r w:rsidRPr="00562699">
        <w:rPr>
          <w:lang w:val="fr-FR"/>
        </w:rPr>
        <w:t>Une administration a suggéré que le Sous</w:t>
      </w:r>
      <w:r w:rsidR="001B4A2C">
        <w:rPr>
          <w:lang w:val="fr-FR"/>
        </w:rPr>
        <w:noBreakHyphen/>
      </w:r>
      <w:r w:rsidRPr="00562699">
        <w:rPr>
          <w:lang w:val="fr-FR"/>
        </w:rPr>
        <w:t xml:space="preserve">groupe chargé de la qualité ou la Réunion des administrations internationales partagent des informations sur les initiatives en cours au sein de leurs </w:t>
      </w:r>
      <w:r w:rsidR="00E609B1" w:rsidRPr="00562699">
        <w:rPr>
          <w:lang w:val="fr-FR"/>
        </w:rPr>
        <w:t>o</w:t>
      </w:r>
      <w:r w:rsidRPr="00562699">
        <w:rPr>
          <w:lang w:val="fr-FR"/>
        </w:rPr>
        <w:t>ffices concernant l</w:t>
      </w:r>
      <w:r w:rsidR="003C64A0">
        <w:rPr>
          <w:lang w:val="fr-FR"/>
        </w:rPr>
        <w:t>’</w:t>
      </w:r>
      <w:r w:rsidRPr="00562699">
        <w:rPr>
          <w:lang w:val="fr-FR"/>
        </w:rPr>
        <w:t>utilisation de l</w:t>
      </w:r>
      <w:r w:rsidR="003C64A0">
        <w:rPr>
          <w:lang w:val="fr-FR"/>
        </w:rPr>
        <w:t>’</w:t>
      </w:r>
      <w:r w:rsidRPr="00562699">
        <w:rPr>
          <w:lang w:val="fr-FR"/>
        </w:rPr>
        <w:t>intelligence artificielle et étudient la manière dont ce</w:t>
      </w:r>
      <w:r w:rsidR="00E609B1" w:rsidRPr="00562699">
        <w:rPr>
          <w:lang w:val="fr-FR"/>
        </w:rPr>
        <w:t>lles</w:t>
      </w:r>
      <w:r w:rsidR="001B4A2C">
        <w:rPr>
          <w:lang w:val="fr-FR"/>
        </w:rPr>
        <w:noBreakHyphen/>
      </w:r>
      <w:r w:rsidRPr="00562699">
        <w:rPr>
          <w:lang w:val="fr-FR"/>
        </w:rPr>
        <w:t>ci pourraient améliorer leur travail en qualité d</w:t>
      </w:r>
      <w:r w:rsidR="003C64A0">
        <w:rPr>
          <w:lang w:val="fr-FR"/>
        </w:rPr>
        <w:t>’</w:t>
      </w:r>
      <w:r w:rsidRPr="00562699">
        <w:rPr>
          <w:lang w:val="fr-FR"/>
        </w:rPr>
        <w:t>administrations internationales.</w:t>
      </w:r>
    </w:p>
    <w:p w14:paraId="3987F1B1" w14:textId="7922F137" w:rsidR="009246D2" w:rsidRPr="00562699" w:rsidRDefault="00930DF2" w:rsidP="00170395">
      <w:pPr>
        <w:pStyle w:val="ONUMFS"/>
        <w:rPr>
          <w:lang w:val="fr-FR"/>
        </w:rPr>
      </w:pPr>
      <w:r w:rsidRPr="00562699">
        <w:rPr>
          <w:lang w:val="fr-FR"/>
        </w:rPr>
        <w:t>L</w:t>
      </w:r>
      <w:r w:rsidR="003C64A0">
        <w:rPr>
          <w:lang w:val="fr-FR"/>
        </w:rPr>
        <w:t>’</w:t>
      </w:r>
      <w:r w:rsidRPr="00562699">
        <w:rPr>
          <w:lang w:val="fr-FR"/>
        </w:rPr>
        <w:t>Office des brevets du Japon a rappelé les propositions préliminaires faites à la fin de sa présentation sur les systèmes de gestion de la qualité (voir le paragraphe</w:t>
      </w:r>
      <w:r w:rsidR="004E4E83" w:rsidRPr="00562699">
        <w:rPr>
          <w:lang w:val="fr-FR"/>
        </w:rPr>
        <w:t> </w:t>
      </w:r>
      <w:r w:rsidRPr="00562699">
        <w:rPr>
          <w:lang w:val="fr-FR"/>
        </w:rPr>
        <w:t>5 ci</w:t>
      </w:r>
      <w:r w:rsidR="001B4A2C">
        <w:rPr>
          <w:lang w:val="fr-FR"/>
        </w:rPr>
        <w:noBreakHyphen/>
      </w:r>
      <w:r w:rsidRPr="00562699">
        <w:rPr>
          <w:lang w:val="fr-FR"/>
        </w:rPr>
        <w:t xml:space="preserve">dessus) et a invité les administrations à </w:t>
      </w:r>
      <w:r w:rsidR="00E609B1" w:rsidRPr="00562699">
        <w:rPr>
          <w:lang w:val="fr-FR"/>
        </w:rPr>
        <w:t>formuler des observations en vue d</w:t>
      </w:r>
      <w:r w:rsidR="003C64A0">
        <w:rPr>
          <w:lang w:val="fr-FR"/>
        </w:rPr>
        <w:t>’</w:t>
      </w:r>
      <w:r w:rsidR="00E609B1" w:rsidRPr="00562699">
        <w:rPr>
          <w:lang w:val="fr-FR"/>
        </w:rPr>
        <w:t xml:space="preserve">élaborer les </w:t>
      </w:r>
      <w:r w:rsidRPr="00562699">
        <w:rPr>
          <w:lang w:val="fr-FR"/>
        </w:rPr>
        <w:t>propositions</w:t>
      </w:r>
      <w:r w:rsidR="00E609B1" w:rsidRPr="00562699">
        <w:rPr>
          <w:lang w:val="fr-FR"/>
        </w:rPr>
        <w:t xml:space="preserve"> correspondant</w:t>
      </w:r>
      <w:r w:rsidR="00B85EF1" w:rsidRPr="00562699">
        <w:rPr>
          <w:lang w:val="fr-FR"/>
        </w:rPr>
        <w:t>es</w:t>
      </w:r>
      <w:r w:rsidR="00B85EF1">
        <w:rPr>
          <w:lang w:val="fr-FR"/>
        </w:rPr>
        <w:t xml:space="preserve">.  </w:t>
      </w:r>
      <w:r w:rsidR="00B85EF1" w:rsidRPr="00562699">
        <w:rPr>
          <w:lang w:val="fr-FR"/>
        </w:rPr>
        <w:t>Un</w:t>
      </w:r>
      <w:r w:rsidRPr="00562699">
        <w:rPr>
          <w:lang w:val="fr-FR"/>
        </w:rPr>
        <w:t>e administration a fait observer que ces propositions comprenaient l</w:t>
      </w:r>
      <w:r w:rsidR="003C64A0">
        <w:rPr>
          <w:lang w:val="fr-FR"/>
        </w:rPr>
        <w:t>’</w:t>
      </w:r>
      <w:r w:rsidRPr="00562699">
        <w:rPr>
          <w:lang w:val="fr-FR"/>
        </w:rPr>
        <w:t>examen du système de gestion de la qualité d</w:t>
      </w:r>
      <w:r w:rsidR="003C64A0">
        <w:rPr>
          <w:lang w:val="fr-FR"/>
        </w:rPr>
        <w:t>’</w:t>
      </w:r>
      <w:r w:rsidRPr="00562699">
        <w:rPr>
          <w:lang w:val="fr-FR"/>
        </w:rPr>
        <w:t xml:space="preserve">une administration par plusieurs parties, ce qui pourrait offrir un prolongement dynamique et intéressant </w:t>
      </w:r>
      <w:r w:rsidR="0048504A" w:rsidRPr="00562699">
        <w:rPr>
          <w:lang w:val="fr-FR"/>
        </w:rPr>
        <w:t>a</w:t>
      </w:r>
      <w:r w:rsidRPr="00562699">
        <w:rPr>
          <w:lang w:val="fr-FR"/>
        </w:rPr>
        <w:t>u processus d</w:t>
      </w:r>
      <w:r w:rsidR="003C64A0">
        <w:rPr>
          <w:lang w:val="fr-FR"/>
        </w:rPr>
        <w:t>’</w:t>
      </w:r>
      <w:r w:rsidRPr="00562699">
        <w:rPr>
          <w:lang w:val="fr-FR"/>
        </w:rPr>
        <w:t>examen.</w:t>
      </w:r>
    </w:p>
    <w:p w14:paraId="2F4FD384" w14:textId="56F78A03" w:rsidR="009246D2" w:rsidRDefault="009246D2" w:rsidP="00170395">
      <w:pPr>
        <w:rPr>
          <w:lang w:val="fr-FR"/>
        </w:rPr>
      </w:pPr>
    </w:p>
    <w:p w14:paraId="7176754C" w14:textId="77777777" w:rsidR="00170395" w:rsidRPr="00562699" w:rsidRDefault="00170395" w:rsidP="00170395">
      <w:pPr>
        <w:rPr>
          <w:lang w:val="fr-FR"/>
        </w:rPr>
      </w:pPr>
    </w:p>
    <w:p w14:paraId="24723BFB" w14:textId="5DE4288C" w:rsidR="009246D2" w:rsidRPr="00562699" w:rsidRDefault="00930DF2" w:rsidP="00170395">
      <w:pPr>
        <w:pStyle w:val="Endofdocument-Annex"/>
        <w:rPr>
          <w:lang w:val="fr-FR"/>
        </w:rPr>
      </w:pPr>
      <w:r w:rsidRPr="00562699">
        <w:rPr>
          <w:lang w:val="fr-FR"/>
        </w:rPr>
        <w:t>[Fin de l</w:t>
      </w:r>
      <w:r w:rsidR="003C64A0">
        <w:rPr>
          <w:lang w:val="fr-FR"/>
        </w:rPr>
        <w:t>’</w:t>
      </w:r>
      <w:r w:rsidRPr="00562699">
        <w:rPr>
          <w:lang w:val="fr-FR"/>
        </w:rPr>
        <w:t>annexe et du document]</w:t>
      </w:r>
    </w:p>
    <w:sectPr w:rsidR="009246D2" w:rsidRPr="00562699" w:rsidSect="00273B5F">
      <w:headerReference w:type="default" r:id="rId10"/>
      <w:headerReference w:type="first" r:id="rId11"/>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A86C" w14:textId="77777777" w:rsidR="003C3DB0" w:rsidRDefault="003C3DB0">
      <w:r>
        <w:separator/>
      </w:r>
    </w:p>
  </w:endnote>
  <w:endnote w:type="continuationSeparator" w:id="0">
    <w:p w14:paraId="38BEC7F1" w14:textId="77777777" w:rsidR="003C3DB0" w:rsidRDefault="003C3DB0" w:rsidP="003B38C1">
      <w:r>
        <w:separator/>
      </w:r>
    </w:p>
    <w:p w14:paraId="0A0948B0" w14:textId="77777777" w:rsidR="003C3DB0" w:rsidRPr="0032113B" w:rsidRDefault="003C3DB0" w:rsidP="003B38C1">
      <w:pPr>
        <w:spacing w:after="60"/>
        <w:rPr>
          <w:sz w:val="17"/>
          <w:lang w:val="en-GB"/>
        </w:rPr>
      </w:pPr>
      <w:r w:rsidRPr="0032113B">
        <w:rPr>
          <w:sz w:val="17"/>
          <w:lang w:val="en-GB"/>
        </w:rPr>
        <w:t>[Endnote continued from previous page]</w:t>
      </w:r>
    </w:p>
  </w:endnote>
  <w:endnote w:type="continuationNotice" w:id="1">
    <w:p w14:paraId="38D44035" w14:textId="77777777" w:rsidR="003C3DB0" w:rsidRPr="0032113B" w:rsidRDefault="003C3DB0" w:rsidP="003B38C1">
      <w:pPr>
        <w:spacing w:before="60"/>
        <w:jc w:val="right"/>
        <w:rPr>
          <w:sz w:val="17"/>
          <w:szCs w:val="17"/>
          <w:lang w:val="en-GB"/>
        </w:rPr>
      </w:pPr>
      <w:r w:rsidRPr="0032113B">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EF84" w14:textId="77777777" w:rsidR="003C3DB0" w:rsidRDefault="003C3DB0">
      <w:r>
        <w:separator/>
      </w:r>
    </w:p>
  </w:footnote>
  <w:footnote w:type="continuationSeparator" w:id="0">
    <w:p w14:paraId="30349017" w14:textId="77777777" w:rsidR="003C3DB0" w:rsidRDefault="003C3DB0" w:rsidP="008B60B2">
      <w:r>
        <w:separator/>
      </w:r>
    </w:p>
    <w:p w14:paraId="6B888C9B" w14:textId="77777777" w:rsidR="003C3DB0" w:rsidRPr="0032113B" w:rsidRDefault="003C3DB0" w:rsidP="008B60B2">
      <w:pPr>
        <w:spacing w:after="60"/>
        <w:rPr>
          <w:sz w:val="17"/>
          <w:szCs w:val="17"/>
          <w:lang w:val="en-GB"/>
        </w:rPr>
      </w:pPr>
      <w:r w:rsidRPr="0032113B">
        <w:rPr>
          <w:sz w:val="17"/>
          <w:szCs w:val="17"/>
          <w:lang w:val="en-GB"/>
        </w:rPr>
        <w:t>[Footnote continued from previous page]</w:t>
      </w:r>
    </w:p>
  </w:footnote>
  <w:footnote w:type="continuationNotice" w:id="1">
    <w:p w14:paraId="09801107" w14:textId="77777777" w:rsidR="003C3DB0" w:rsidRPr="0032113B" w:rsidRDefault="003C3DB0" w:rsidP="008B60B2">
      <w:pPr>
        <w:spacing w:before="60"/>
        <w:jc w:val="right"/>
        <w:rPr>
          <w:sz w:val="17"/>
          <w:szCs w:val="17"/>
          <w:lang w:val="en-GB"/>
        </w:rPr>
      </w:pPr>
      <w:r w:rsidRPr="0032113B">
        <w:rPr>
          <w:sz w:val="17"/>
          <w:szCs w:val="17"/>
          <w:lang w:val="en-GB"/>
        </w:rPr>
        <w:t>[Footnote continued on next page]</w:t>
      </w:r>
    </w:p>
  </w:footnote>
  <w:footnote w:id="2">
    <w:p w14:paraId="3C1535EF" w14:textId="0B08775C" w:rsidR="004722D4" w:rsidRPr="00F05036" w:rsidRDefault="004722D4" w:rsidP="00CB23D2">
      <w:pPr>
        <w:pStyle w:val="FootnoteText"/>
      </w:pPr>
      <w:r w:rsidRPr="00F05036">
        <w:rPr>
          <w:rStyle w:val="FootnoteReference"/>
        </w:rPr>
        <w:footnoteRef/>
      </w:r>
      <w:r w:rsidRPr="00F05036">
        <w:t xml:space="preserve"> </w:t>
      </w:r>
      <w:r w:rsidRPr="00F05036">
        <w:tab/>
        <w:t>Un exemplaire de cette présentation est disponible sur le site</w:t>
      </w:r>
      <w:r>
        <w:t> </w:t>
      </w:r>
      <w:r w:rsidRPr="00F05036">
        <w:t>Web de l</w:t>
      </w:r>
      <w:r>
        <w:t>’</w:t>
      </w:r>
      <w:r w:rsidRPr="00F05036">
        <w:t>OMPI à l</w:t>
      </w:r>
      <w:r>
        <w:t>’</w:t>
      </w:r>
      <w:r w:rsidRPr="00F05036">
        <w:t>adresse</w:t>
      </w:r>
      <w:r>
        <w:t xml:space="preserve"> suivante :</w:t>
      </w:r>
      <w:r w:rsidR="0046577A">
        <w:t xml:space="preserve"> </w:t>
      </w:r>
      <w:hyperlink r:id="rId1" w:history="1">
        <w:r w:rsidR="0046577A" w:rsidRPr="0046577A">
          <w:rPr>
            <w:rStyle w:val="Hyperlink"/>
          </w:rPr>
          <w:t>https://www.wipo.int/meetings/fr/doc_details.jsp?doc_id=429001</w:t>
        </w:r>
      </w:hyperlink>
      <w:r w:rsidRPr="00F05036">
        <w:t xml:space="preserve"> </w:t>
      </w:r>
      <w:r>
        <w:t>(en anglais)</w:t>
      </w:r>
      <w:r w:rsidRPr="00F05036">
        <w:t>.</w:t>
      </w:r>
    </w:p>
  </w:footnote>
  <w:footnote w:id="3">
    <w:p w14:paraId="14C2D56A" w14:textId="349FD992" w:rsidR="004722D4" w:rsidRPr="004E4E83" w:rsidRDefault="004722D4" w:rsidP="007778C7">
      <w:pPr>
        <w:pStyle w:val="FootnoteText"/>
      </w:pPr>
      <w:r w:rsidRPr="004E4E83">
        <w:rPr>
          <w:rStyle w:val="FootnoteReference"/>
        </w:rPr>
        <w:footnoteRef/>
      </w:r>
      <w:r w:rsidRPr="004E4E83">
        <w:t xml:space="preserve"> </w:t>
      </w:r>
      <w:r w:rsidRPr="004E4E83">
        <w:tab/>
      </w:r>
      <w:hyperlink r:id="rId2" w:history="1">
        <w:r w:rsidR="0046577A" w:rsidRPr="0046577A">
          <w:rPr>
            <w:rStyle w:val="Hyperlink"/>
          </w:rPr>
          <w:t>https://www.wipo.int/meetings/fr/doc_details.jsp?doc_id=429049</w:t>
        </w:r>
      </w:hyperlink>
      <w:r w:rsidR="0046577A" w:rsidRPr="0046577A">
        <w:t xml:space="preserve"> </w:t>
      </w:r>
      <w:r w:rsidR="0046577A">
        <w:t>(en anglais),</w:t>
      </w:r>
      <w:r w:rsidRPr="004E4E83">
        <w:t xml:space="preserve"> </w:t>
      </w:r>
      <w:hyperlink r:id="rId3" w:history="1">
        <w:r w:rsidR="0046577A" w:rsidRPr="0046577A">
          <w:rPr>
            <w:rStyle w:val="Hyperlink"/>
          </w:rPr>
          <w:t>https://www.wipo.int/meetings/fr/doc_details.jsp?doc_id=429051</w:t>
        </w:r>
      </w:hyperlink>
      <w:r w:rsidR="0046577A" w:rsidRPr="0046577A">
        <w:t xml:space="preserve"> </w:t>
      </w:r>
      <w:r>
        <w:t>(en anglais)</w:t>
      </w:r>
      <w:r w:rsidRPr="004E4E83">
        <w:t xml:space="preserve"> et</w:t>
      </w:r>
      <w:r w:rsidR="0046577A">
        <w:t xml:space="preserve"> </w:t>
      </w:r>
      <w:hyperlink r:id="rId4" w:history="1">
        <w:r w:rsidR="0046577A" w:rsidRPr="0046577A">
          <w:rPr>
            <w:rStyle w:val="Hyperlink"/>
          </w:rPr>
          <w:t>https://www.wipo.int/meetings/fr/doc_details.jsp?doc_id=429351</w:t>
        </w:r>
      </w:hyperlink>
      <w:r w:rsidRPr="004E4E83">
        <w:t xml:space="preserve"> </w:t>
      </w:r>
      <w:r>
        <w:t>(en anglais)</w:t>
      </w:r>
      <w:r w:rsidRPr="004E4E83">
        <w:t>.</w:t>
      </w:r>
    </w:p>
  </w:footnote>
  <w:footnote w:id="4">
    <w:p w14:paraId="1181F0D8" w14:textId="3C2953DB" w:rsidR="004722D4" w:rsidRPr="00930DF2" w:rsidRDefault="004722D4" w:rsidP="00930DF2">
      <w:pPr>
        <w:pStyle w:val="FootnoteText"/>
      </w:pPr>
      <w:r w:rsidRPr="004E4E83">
        <w:rPr>
          <w:rStyle w:val="FootnoteReference"/>
        </w:rPr>
        <w:footnoteRef/>
      </w:r>
      <w:r w:rsidRPr="004E4E83">
        <w:t xml:space="preserve"> </w:t>
      </w:r>
      <w:r w:rsidRPr="004E4E83">
        <w:tab/>
        <w:t>Un exposé est disponible sur le site</w:t>
      </w:r>
      <w:r>
        <w:t> </w:t>
      </w:r>
      <w:r w:rsidRPr="004E4E83">
        <w:t>Web de l</w:t>
      </w:r>
      <w:r>
        <w:t>’</w:t>
      </w:r>
      <w:r w:rsidRPr="004E4E83">
        <w:t>OMPI à l</w:t>
      </w:r>
      <w:r>
        <w:t>’</w:t>
      </w:r>
      <w:r w:rsidRPr="004E4E83">
        <w:t>adresse suivante</w:t>
      </w:r>
      <w:r>
        <w:t> :</w:t>
      </w:r>
      <w:r w:rsidR="0046577A">
        <w:t xml:space="preserve"> </w:t>
      </w:r>
      <w:hyperlink r:id="rId5" w:history="1">
        <w:r w:rsidR="0046577A" w:rsidRPr="0046577A">
          <w:rPr>
            <w:rStyle w:val="Hyperlink"/>
          </w:rPr>
          <w:t>https://www.wipo.int/meetings/fr/doc_details.jsp?doc_id=429371</w:t>
        </w:r>
      </w:hyperlink>
      <w:r w:rsidRPr="004E4E83">
        <w:t xml:space="preserve"> </w:t>
      </w:r>
      <w:r>
        <w:t>(en anglais)</w:t>
      </w:r>
      <w:r w:rsidR="0046577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95E5F" w14:textId="77777777" w:rsidR="004722D4" w:rsidRDefault="004722D4" w:rsidP="00477D6B">
    <w:pPr>
      <w:jc w:val="right"/>
    </w:pPr>
    <w:bookmarkStart w:id="4" w:name="Code2"/>
    <w:bookmarkEnd w:id="4"/>
    <w:r>
      <w:t>PCT/WG/12/2</w:t>
    </w:r>
  </w:p>
  <w:p w14:paraId="0A564E56" w14:textId="77777777" w:rsidR="004722D4" w:rsidRDefault="004722D4"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2C07FB55" w14:textId="77777777" w:rsidR="004722D4" w:rsidRDefault="004722D4" w:rsidP="00477D6B">
    <w:pPr>
      <w:jc w:val="right"/>
    </w:pPr>
  </w:p>
  <w:p w14:paraId="4941A74C" w14:textId="77777777" w:rsidR="004722D4" w:rsidRDefault="004722D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DB2BC" w14:textId="77777777" w:rsidR="004722D4" w:rsidRDefault="004722D4" w:rsidP="00477D6B">
    <w:pPr>
      <w:jc w:val="right"/>
    </w:pPr>
    <w:r>
      <w:t>PCT/WG/12/2</w:t>
    </w:r>
  </w:p>
  <w:p w14:paraId="028EA5F3" w14:textId="7C9DE04B" w:rsidR="004722D4" w:rsidRDefault="004722D4" w:rsidP="00477D6B">
    <w:pPr>
      <w:jc w:val="right"/>
    </w:pPr>
    <w:r>
      <w:t xml:space="preserve">Annexe, page </w:t>
    </w:r>
    <w:r>
      <w:fldChar w:fldCharType="begin"/>
    </w:r>
    <w:r>
      <w:instrText xml:space="preserve"> PAGE  \* MERGEFORMAT </w:instrText>
    </w:r>
    <w:r>
      <w:fldChar w:fldCharType="separate"/>
    </w:r>
    <w:r w:rsidR="0032113B">
      <w:rPr>
        <w:noProof/>
      </w:rPr>
      <w:t>28</w:t>
    </w:r>
    <w:r>
      <w:fldChar w:fldCharType="end"/>
    </w:r>
  </w:p>
  <w:p w14:paraId="358111FA" w14:textId="77777777" w:rsidR="004722D4" w:rsidRDefault="004722D4" w:rsidP="00477D6B">
    <w:pPr>
      <w:jc w:val="right"/>
    </w:pPr>
  </w:p>
  <w:p w14:paraId="339B6E3A" w14:textId="77777777" w:rsidR="004722D4" w:rsidRDefault="004722D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3E62" w14:textId="77777777" w:rsidR="004722D4" w:rsidRDefault="004722D4" w:rsidP="008D1E3B">
    <w:pPr>
      <w:pStyle w:val="Header"/>
      <w:jc w:val="right"/>
    </w:pPr>
    <w:r>
      <w:t>PCT/WG/12/2</w:t>
    </w:r>
  </w:p>
  <w:p w14:paraId="67B62AB6" w14:textId="77777777" w:rsidR="004722D4" w:rsidRDefault="004722D4" w:rsidP="008D1E3B">
    <w:pPr>
      <w:pStyle w:val="Header"/>
      <w:jc w:val="right"/>
    </w:pPr>
    <w:r>
      <w:t>ANNEXE</w:t>
    </w:r>
  </w:p>
  <w:p w14:paraId="529184B9" w14:textId="77777777" w:rsidR="004722D4" w:rsidRDefault="004722D4">
    <w:pPr>
      <w:pStyle w:val="Header"/>
    </w:pPr>
  </w:p>
  <w:p w14:paraId="339D89AB" w14:textId="77777777" w:rsidR="004722D4" w:rsidRDefault="0047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3"/>
  </w:num>
  <w:num w:numId="13">
    <w:abstractNumId w:val="5"/>
  </w:num>
  <w:num w:numId="14">
    <w:abstractNumId w:val="1"/>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Patents &amp; Innovation\PCT"/>
    <w:docVar w:name="TextBaseURL" w:val="empty"/>
    <w:docVar w:name="UILng" w:val="en"/>
  </w:docVars>
  <w:rsids>
    <w:rsidRoot w:val="008C4B63"/>
    <w:rsid w:val="00001CC9"/>
    <w:rsid w:val="00014D92"/>
    <w:rsid w:val="00024B96"/>
    <w:rsid w:val="00031D83"/>
    <w:rsid w:val="00033DEA"/>
    <w:rsid w:val="00043CAA"/>
    <w:rsid w:val="0004572F"/>
    <w:rsid w:val="00075432"/>
    <w:rsid w:val="000968ED"/>
    <w:rsid w:val="0009762B"/>
    <w:rsid w:val="000A30EC"/>
    <w:rsid w:val="000C6CD0"/>
    <w:rsid w:val="000F5E56"/>
    <w:rsid w:val="001362EE"/>
    <w:rsid w:val="00141A5E"/>
    <w:rsid w:val="00145BED"/>
    <w:rsid w:val="00146D4A"/>
    <w:rsid w:val="001647D5"/>
    <w:rsid w:val="0016563A"/>
    <w:rsid w:val="00170395"/>
    <w:rsid w:val="00170514"/>
    <w:rsid w:val="001832A6"/>
    <w:rsid w:val="00183389"/>
    <w:rsid w:val="001942EB"/>
    <w:rsid w:val="001B4A2C"/>
    <w:rsid w:val="001C7C1E"/>
    <w:rsid w:val="0021217E"/>
    <w:rsid w:val="0024674C"/>
    <w:rsid w:val="002634C4"/>
    <w:rsid w:val="00267910"/>
    <w:rsid w:val="00271762"/>
    <w:rsid w:val="00273B5F"/>
    <w:rsid w:val="002921B6"/>
    <w:rsid w:val="002928D3"/>
    <w:rsid w:val="002E0FA9"/>
    <w:rsid w:val="002E3A50"/>
    <w:rsid w:val="002F1FE6"/>
    <w:rsid w:val="002F4E68"/>
    <w:rsid w:val="00312F7F"/>
    <w:rsid w:val="0032113B"/>
    <w:rsid w:val="00332CAD"/>
    <w:rsid w:val="00336D7C"/>
    <w:rsid w:val="00361450"/>
    <w:rsid w:val="003673CF"/>
    <w:rsid w:val="003845C1"/>
    <w:rsid w:val="00390F75"/>
    <w:rsid w:val="003A26C6"/>
    <w:rsid w:val="003A6F89"/>
    <w:rsid w:val="003A7A6D"/>
    <w:rsid w:val="003B38C1"/>
    <w:rsid w:val="003C3DB0"/>
    <w:rsid w:val="003C64A0"/>
    <w:rsid w:val="003D5922"/>
    <w:rsid w:val="00423E3E"/>
    <w:rsid w:val="00425351"/>
    <w:rsid w:val="00427AF4"/>
    <w:rsid w:val="00431D79"/>
    <w:rsid w:val="00432AD2"/>
    <w:rsid w:val="004558EC"/>
    <w:rsid w:val="00455B59"/>
    <w:rsid w:val="004647DA"/>
    <w:rsid w:val="0046577A"/>
    <w:rsid w:val="004722D4"/>
    <w:rsid w:val="00474062"/>
    <w:rsid w:val="00477D6B"/>
    <w:rsid w:val="0048504A"/>
    <w:rsid w:val="00487E18"/>
    <w:rsid w:val="00494680"/>
    <w:rsid w:val="004B3221"/>
    <w:rsid w:val="004C6264"/>
    <w:rsid w:val="004D3A82"/>
    <w:rsid w:val="004D6BF9"/>
    <w:rsid w:val="004D6D6F"/>
    <w:rsid w:val="004E4E83"/>
    <w:rsid w:val="005019FF"/>
    <w:rsid w:val="0050605C"/>
    <w:rsid w:val="00520DD2"/>
    <w:rsid w:val="0053057A"/>
    <w:rsid w:val="00542EE4"/>
    <w:rsid w:val="00560A29"/>
    <w:rsid w:val="00560BF2"/>
    <w:rsid w:val="00562699"/>
    <w:rsid w:val="00584C91"/>
    <w:rsid w:val="005855E5"/>
    <w:rsid w:val="005859F2"/>
    <w:rsid w:val="00597802"/>
    <w:rsid w:val="005A2D98"/>
    <w:rsid w:val="005C6649"/>
    <w:rsid w:val="005E7C35"/>
    <w:rsid w:val="00605827"/>
    <w:rsid w:val="00642058"/>
    <w:rsid w:val="00646050"/>
    <w:rsid w:val="0065563A"/>
    <w:rsid w:val="006713CA"/>
    <w:rsid w:val="00672065"/>
    <w:rsid w:val="00676C5C"/>
    <w:rsid w:val="00677545"/>
    <w:rsid w:val="00693C01"/>
    <w:rsid w:val="006D0365"/>
    <w:rsid w:val="006E6E8F"/>
    <w:rsid w:val="00702B5F"/>
    <w:rsid w:val="00707621"/>
    <w:rsid w:val="00743A53"/>
    <w:rsid w:val="00752928"/>
    <w:rsid w:val="00754608"/>
    <w:rsid w:val="007633CB"/>
    <w:rsid w:val="007778C7"/>
    <w:rsid w:val="0078566E"/>
    <w:rsid w:val="00791FFB"/>
    <w:rsid w:val="007A79D8"/>
    <w:rsid w:val="007C1294"/>
    <w:rsid w:val="007C46FC"/>
    <w:rsid w:val="007D1613"/>
    <w:rsid w:val="007E4C0E"/>
    <w:rsid w:val="007F604B"/>
    <w:rsid w:val="00802FE2"/>
    <w:rsid w:val="008351C3"/>
    <w:rsid w:val="00835F36"/>
    <w:rsid w:val="0084617F"/>
    <w:rsid w:val="008A134B"/>
    <w:rsid w:val="008B2CC1"/>
    <w:rsid w:val="008B60B2"/>
    <w:rsid w:val="008C4B63"/>
    <w:rsid w:val="008D1E3B"/>
    <w:rsid w:val="008E3DE8"/>
    <w:rsid w:val="008E7B05"/>
    <w:rsid w:val="008F0C32"/>
    <w:rsid w:val="0090629E"/>
    <w:rsid w:val="0090731E"/>
    <w:rsid w:val="00916EE2"/>
    <w:rsid w:val="00920A33"/>
    <w:rsid w:val="009246D2"/>
    <w:rsid w:val="00930DF2"/>
    <w:rsid w:val="00935447"/>
    <w:rsid w:val="00935875"/>
    <w:rsid w:val="009411DD"/>
    <w:rsid w:val="00953186"/>
    <w:rsid w:val="00961CAE"/>
    <w:rsid w:val="00966A22"/>
    <w:rsid w:val="0096722F"/>
    <w:rsid w:val="00970CA3"/>
    <w:rsid w:val="00980843"/>
    <w:rsid w:val="00981FAA"/>
    <w:rsid w:val="009851CD"/>
    <w:rsid w:val="009901D6"/>
    <w:rsid w:val="00990EBE"/>
    <w:rsid w:val="009922EE"/>
    <w:rsid w:val="009D49D9"/>
    <w:rsid w:val="009E2791"/>
    <w:rsid w:val="009E30FE"/>
    <w:rsid w:val="009E3F6F"/>
    <w:rsid w:val="009F499F"/>
    <w:rsid w:val="009F7F9C"/>
    <w:rsid w:val="00A02B08"/>
    <w:rsid w:val="00A0558B"/>
    <w:rsid w:val="00A37342"/>
    <w:rsid w:val="00A42DAF"/>
    <w:rsid w:val="00A45BD8"/>
    <w:rsid w:val="00A810DD"/>
    <w:rsid w:val="00A869B7"/>
    <w:rsid w:val="00AC205C"/>
    <w:rsid w:val="00AE092D"/>
    <w:rsid w:val="00AF0A6B"/>
    <w:rsid w:val="00B05A69"/>
    <w:rsid w:val="00B17626"/>
    <w:rsid w:val="00B85EF1"/>
    <w:rsid w:val="00B94A85"/>
    <w:rsid w:val="00B9734B"/>
    <w:rsid w:val="00BA30E2"/>
    <w:rsid w:val="00BC0015"/>
    <w:rsid w:val="00BF448B"/>
    <w:rsid w:val="00C11BFE"/>
    <w:rsid w:val="00C346E2"/>
    <w:rsid w:val="00C35D4B"/>
    <w:rsid w:val="00C454E8"/>
    <w:rsid w:val="00C5068F"/>
    <w:rsid w:val="00C520E9"/>
    <w:rsid w:val="00C52FCB"/>
    <w:rsid w:val="00C86D74"/>
    <w:rsid w:val="00CB23D2"/>
    <w:rsid w:val="00CB3FD2"/>
    <w:rsid w:val="00CC5CB1"/>
    <w:rsid w:val="00CD04F1"/>
    <w:rsid w:val="00CF43CB"/>
    <w:rsid w:val="00D0340F"/>
    <w:rsid w:val="00D11B18"/>
    <w:rsid w:val="00D35BB4"/>
    <w:rsid w:val="00D362ED"/>
    <w:rsid w:val="00D45252"/>
    <w:rsid w:val="00D47B0D"/>
    <w:rsid w:val="00D71B4D"/>
    <w:rsid w:val="00D92891"/>
    <w:rsid w:val="00D93D55"/>
    <w:rsid w:val="00DA4B9D"/>
    <w:rsid w:val="00DE3A00"/>
    <w:rsid w:val="00DE483F"/>
    <w:rsid w:val="00DF363F"/>
    <w:rsid w:val="00E11170"/>
    <w:rsid w:val="00E131E1"/>
    <w:rsid w:val="00E15015"/>
    <w:rsid w:val="00E152A8"/>
    <w:rsid w:val="00E15B8E"/>
    <w:rsid w:val="00E2030E"/>
    <w:rsid w:val="00E335FE"/>
    <w:rsid w:val="00E40E01"/>
    <w:rsid w:val="00E609B1"/>
    <w:rsid w:val="00E621C3"/>
    <w:rsid w:val="00E71082"/>
    <w:rsid w:val="00E746C2"/>
    <w:rsid w:val="00E8713F"/>
    <w:rsid w:val="00E90393"/>
    <w:rsid w:val="00EA7D6E"/>
    <w:rsid w:val="00EB6189"/>
    <w:rsid w:val="00EC4E49"/>
    <w:rsid w:val="00ED77FB"/>
    <w:rsid w:val="00EE45FA"/>
    <w:rsid w:val="00EE4F64"/>
    <w:rsid w:val="00F046A1"/>
    <w:rsid w:val="00F05036"/>
    <w:rsid w:val="00F143AA"/>
    <w:rsid w:val="00F34EEF"/>
    <w:rsid w:val="00F60F39"/>
    <w:rsid w:val="00F61017"/>
    <w:rsid w:val="00F66152"/>
    <w:rsid w:val="00F71288"/>
    <w:rsid w:val="00F7357B"/>
    <w:rsid w:val="00F7448C"/>
    <w:rsid w:val="00F960DD"/>
    <w:rsid w:val="00FB09FD"/>
    <w:rsid w:val="00FB39CA"/>
    <w:rsid w:val="00FB6026"/>
    <w:rsid w:val="00FC5335"/>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E3DE6"/>
  <w15:docId w15:val="{D1BFE555-FD27-4409-A3E2-D0BC57D1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B5F"/>
    <w:rPr>
      <w:rFonts w:ascii="Arial" w:eastAsia="SimSun" w:hAnsi="Arial" w:cs="Arial"/>
      <w:sz w:val="22"/>
      <w:lang w:eastAsia="zh-CN"/>
    </w:rPr>
  </w:style>
  <w:style w:type="paragraph" w:styleId="Heading1">
    <w:name w:val="heading 1"/>
    <w:basedOn w:val="Normal"/>
    <w:next w:val="Normal"/>
    <w:link w:val="Heading1Char"/>
    <w:qFormat/>
    <w:rsid w:val="00273B5F"/>
    <w:pPr>
      <w:keepNext/>
      <w:spacing w:before="240" w:after="60"/>
      <w:outlineLvl w:val="0"/>
    </w:pPr>
    <w:rPr>
      <w:b/>
      <w:bCs/>
      <w:caps/>
      <w:kern w:val="32"/>
      <w:szCs w:val="32"/>
    </w:rPr>
  </w:style>
  <w:style w:type="paragraph" w:styleId="Heading2">
    <w:name w:val="heading 2"/>
    <w:basedOn w:val="Normal"/>
    <w:next w:val="Normal"/>
    <w:link w:val="Heading2Char"/>
    <w:qFormat/>
    <w:rsid w:val="00273B5F"/>
    <w:pPr>
      <w:keepNext/>
      <w:spacing w:before="240" w:after="60"/>
      <w:outlineLvl w:val="1"/>
    </w:pPr>
    <w:rPr>
      <w:bCs/>
      <w:iCs/>
      <w:caps/>
      <w:szCs w:val="28"/>
    </w:rPr>
  </w:style>
  <w:style w:type="paragraph" w:styleId="Heading3">
    <w:name w:val="heading 3"/>
    <w:basedOn w:val="Normal"/>
    <w:next w:val="Normal"/>
    <w:qFormat/>
    <w:rsid w:val="00273B5F"/>
    <w:pPr>
      <w:keepNext/>
      <w:spacing w:before="240" w:after="60"/>
      <w:outlineLvl w:val="2"/>
    </w:pPr>
    <w:rPr>
      <w:bCs/>
      <w:szCs w:val="26"/>
      <w:u w:val="single"/>
    </w:rPr>
  </w:style>
  <w:style w:type="paragraph" w:styleId="Heading4">
    <w:name w:val="heading 4"/>
    <w:basedOn w:val="Normal"/>
    <w:next w:val="Normal"/>
    <w:qFormat/>
    <w:rsid w:val="00273B5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73B5F"/>
    <w:pPr>
      <w:ind w:left="5534"/>
    </w:pPr>
    <w:rPr>
      <w:lang w:val="en-US"/>
    </w:rPr>
  </w:style>
  <w:style w:type="paragraph" w:styleId="BodyText">
    <w:name w:val="Body Text"/>
    <w:basedOn w:val="Normal"/>
    <w:rsid w:val="00273B5F"/>
    <w:pPr>
      <w:spacing w:after="220"/>
    </w:pPr>
  </w:style>
  <w:style w:type="paragraph" w:styleId="Caption">
    <w:name w:val="caption"/>
    <w:basedOn w:val="Normal"/>
    <w:next w:val="Normal"/>
    <w:qFormat/>
    <w:rsid w:val="00273B5F"/>
    <w:rPr>
      <w:b/>
      <w:bCs/>
      <w:sz w:val="18"/>
    </w:rPr>
  </w:style>
  <w:style w:type="paragraph" w:styleId="CommentText">
    <w:name w:val="annotation text"/>
    <w:basedOn w:val="Normal"/>
    <w:link w:val="CommentTextChar"/>
    <w:semiHidden/>
    <w:rsid w:val="00273B5F"/>
    <w:rPr>
      <w:sz w:val="18"/>
    </w:rPr>
  </w:style>
  <w:style w:type="paragraph" w:styleId="EndnoteText">
    <w:name w:val="endnote text"/>
    <w:basedOn w:val="Normal"/>
    <w:semiHidden/>
    <w:rsid w:val="00273B5F"/>
    <w:rPr>
      <w:sz w:val="18"/>
    </w:rPr>
  </w:style>
  <w:style w:type="paragraph" w:styleId="Footer">
    <w:name w:val="footer"/>
    <w:basedOn w:val="Normal"/>
    <w:semiHidden/>
    <w:rsid w:val="00273B5F"/>
    <w:pPr>
      <w:tabs>
        <w:tab w:val="center" w:pos="4320"/>
        <w:tab w:val="right" w:pos="8640"/>
      </w:tabs>
    </w:pPr>
  </w:style>
  <w:style w:type="paragraph" w:styleId="FootnoteText">
    <w:name w:val="footnote text"/>
    <w:basedOn w:val="Normal"/>
    <w:link w:val="FootnoteTextChar"/>
    <w:semiHidden/>
    <w:rsid w:val="00273B5F"/>
    <w:rPr>
      <w:sz w:val="18"/>
    </w:rPr>
  </w:style>
  <w:style w:type="paragraph" w:styleId="Header">
    <w:name w:val="header"/>
    <w:basedOn w:val="Normal"/>
    <w:semiHidden/>
    <w:rsid w:val="00273B5F"/>
    <w:pPr>
      <w:tabs>
        <w:tab w:val="center" w:pos="4536"/>
        <w:tab w:val="right" w:pos="9072"/>
      </w:tabs>
    </w:pPr>
  </w:style>
  <w:style w:type="paragraph" w:styleId="ListNumber">
    <w:name w:val="List Number"/>
    <w:basedOn w:val="Normal"/>
    <w:semiHidden/>
    <w:rsid w:val="00273B5F"/>
    <w:pPr>
      <w:numPr>
        <w:numId w:val="13"/>
      </w:numPr>
    </w:pPr>
  </w:style>
  <w:style w:type="paragraph" w:customStyle="1" w:styleId="ONUME">
    <w:name w:val="ONUM E"/>
    <w:basedOn w:val="BodyText"/>
    <w:link w:val="ONUMEChar"/>
    <w:rsid w:val="00273B5F"/>
    <w:pPr>
      <w:numPr>
        <w:numId w:val="14"/>
      </w:numPr>
    </w:pPr>
  </w:style>
  <w:style w:type="paragraph" w:customStyle="1" w:styleId="ONUMFS">
    <w:name w:val="ONUM FS"/>
    <w:basedOn w:val="BodyText"/>
    <w:rsid w:val="00273B5F"/>
    <w:pPr>
      <w:numPr>
        <w:numId w:val="15"/>
      </w:numPr>
    </w:pPr>
  </w:style>
  <w:style w:type="paragraph" w:styleId="Salutation">
    <w:name w:val="Salutation"/>
    <w:basedOn w:val="Normal"/>
    <w:next w:val="Normal"/>
    <w:semiHidden/>
    <w:rsid w:val="00273B5F"/>
  </w:style>
  <w:style w:type="paragraph" w:styleId="Signature">
    <w:name w:val="Signature"/>
    <w:basedOn w:val="Normal"/>
    <w:semiHidden/>
    <w:rsid w:val="00273B5F"/>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8D1E3B"/>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8D1E3B"/>
    <w:rPr>
      <w:rFonts w:ascii="Arial" w:eastAsia="SimSun" w:hAnsi="Arial" w:cs="Arial"/>
      <w:sz w:val="18"/>
      <w:lang w:eastAsia="zh-CN"/>
    </w:rPr>
  </w:style>
  <w:style w:type="character" w:customStyle="1" w:styleId="ONUMEChar">
    <w:name w:val="ONUM E Char"/>
    <w:link w:val="ONUME"/>
    <w:locked/>
    <w:rsid w:val="008D1E3B"/>
    <w:rPr>
      <w:rFonts w:ascii="Arial" w:eastAsia="SimSun" w:hAnsi="Arial" w:cs="Arial"/>
      <w:sz w:val="22"/>
      <w:lang w:eastAsia="zh-CN"/>
    </w:rPr>
  </w:style>
  <w:style w:type="character" w:styleId="FootnoteReference">
    <w:name w:val="footnote reference"/>
    <w:basedOn w:val="DefaultParagraphFont"/>
    <w:unhideWhenUsed/>
    <w:rsid w:val="008D1E3B"/>
    <w:rPr>
      <w:vertAlign w:val="superscript"/>
    </w:rPr>
  </w:style>
  <w:style w:type="character" w:styleId="Hyperlink">
    <w:name w:val="Hyperlink"/>
    <w:basedOn w:val="DefaultParagraphFont"/>
    <w:unhideWhenUsed/>
    <w:rsid w:val="008D1E3B"/>
    <w:rPr>
      <w:color w:val="0000FF" w:themeColor="hyperlink"/>
      <w:u w:val="single"/>
    </w:rPr>
  </w:style>
  <w:style w:type="character" w:customStyle="1" w:styleId="Heading2Char">
    <w:name w:val="Heading 2 Char"/>
    <w:basedOn w:val="DefaultParagraphFont"/>
    <w:link w:val="Heading2"/>
    <w:rsid w:val="00743A53"/>
    <w:rPr>
      <w:rFonts w:ascii="Arial" w:eastAsia="SimSun" w:hAnsi="Arial" w:cs="Arial"/>
      <w:bCs/>
      <w:iCs/>
      <w:caps/>
      <w:sz w:val="22"/>
      <w:szCs w:val="28"/>
      <w:lang w:eastAsia="zh-CN"/>
    </w:rPr>
  </w:style>
  <w:style w:type="paragraph" w:customStyle="1" w:styleId="Default">
    <w:name w:val="Default"/>
    <w:rsid w:val="00743A53"/>
    <w:pPr>
      <w:autoSpaceDE w:val="0"/>
      <w:autoSpaceDN w:val="0"/>
      <w:adjustRightInd w:val="0"/>
    </w:pPr>
    <w:rPr>
      <w:rFonts w:ascii="Arial" w:hAnsi="Arial" w:cs="Arial"/>
      <w:color w:val="000000"/>
      <w:sz w:val="24"/>
      <w:szCs w:val="24"/>
      <w:lang w:val="en-AU" w:eastAsia="en-AU"/>
    </w:rPr>
  </w:style>
  <w:style w:type="paragraph" w:styleId="ListParagraph">
    <w:name w:val="List Paragraph"/>
    <w:basedOn w:val="Normal"/>
    <w:uiPriority w:val="34"/>
    <w:qFormat/>
    <w:rsid w:val="00273B5F"/>
    <w:pPr>
      <w:ind w:left="720"/>
      <w:contextualSpacing/>
    </w:pPr>
  </w:style>
  <w:style w:type="paragraph" w:customStyle="1" w:styleId="Meetingplacedate">
    <w:name w:val="Meeting place &amp; date"/>
    <w:basedOn w:val="Normal"/>
    <w:next w:val="Normal"/>
    <w:rsid w:val="00273B5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73B5F"/>
    <w:pPr>
      <w:spacing w:line="336" w:lineRule="exact"/>
      <w:ind w:left="1021"/>
    </w:pPr>
    <w:rPr>
      <w:rFonts w:eastAsia="Times New Roman" w:cs="Times New Roman"/>
      <w:b/>
      <w:sz w:val="28"/>
      <w:lang w:val="fr-FR" w:eastAsia="en-US"/>
    </w:rPr>
  </w:style>
  <w:style w:type="character" w:styleId="CommentReference">
    <w:name w:val="annotation reference"/>
    <w:basedOn w:val="DefaultParagraphFont"/>
    <w:semiHidden/>
    <w:unhideWhenUsed/>
    <w:rsid w:val="00024B96"/>
    <w:rPr>
      <w:sz w:val="16"/>
      <w:szCs w:val="16"/>
    </w:rPr>
  </w:style>
  <w:style w:type="paragraph" w:styleId="CommentSubject">
    <w:name w:val="annotation subject"/>
    <w:basedOn w:val="CommentText"/>
    <w:next w:val="CommentText"/>
    <w:link w:val="CommentSubjectChar"/>
    <w:semiHidden/>
    <w:unhideWhenUsed/>
    <w:rsid w:val="00024B96"/>
    <w:rPr>
      <w:b/>
      <w:bCs/>
      <w:sz w:val="20"/>
    </w:rPr>
  </w:style>
  <w:style w:type="character" w:customStyle="1" w:styleId="CommentTextChar">
    <w:name w:val="Comment Text Char"/>
    <w:basedOn w:val="DefaultParagraphFont"/>
    <w:link w:val="CommentText"/>
    <w:semiHidden/>
    <w:rsid w:val="00024B96"/>
    <w:rPr>
      <w:rFonts w:ascii="Arial" w:eastAsia="SimSun" w:hAnsi="Arial" w:cs="Arial"/>
      <w:sz w:val="18"/>
      <w:lang w:eastAsia="zh-CN"/>
    </w:rPr>
  </w:style>
  <w:style w:type="character" w:customStyle="1" w:styleId="CommentSubjectChar">
    <w:name w:val="Comment Subject Char"/>
    <w:basedOn w:val="CommentTextChar"/>
    <w:link w:val="CommentSubject"/>
    <w:semiHidden/>
    <w:rsid w:val="00024B96"/>
    <w:rPr>
      <w:rFonts w:ascii="Arial" w:eastAsia="SimSun" w:hAnsi="Arial" w:cs="Arial"/>
      <w:b/>
      <w:bCs/>
      <w:sz w:val="18"/>
      <w:lang w:eastAsia="zh-CN"/>
    </w:rPr>
  </w:style>
  <w:style w:type="paragraph" w:styleId="Revision">
    <w:name w:val="Revision"/>
    <w:hidden/>
    <w:uiPriority w:val="99"/>
    <w:semiHidden/>
    <w:rsid w:val="00273B5F"/>
    <w:rPr>
      <w:rFonts w:ascii="Arial" w:eastAsia="SimSun" w:hAnsi="Arial" w:cs="Arial"/>
      <w:sz w:val="22"/>
      <w:lang w:eastAsia="zh-CN"/>
    </w:rPr>
  </w:style>
  <w:style w:type="character" w:customStyle="1" w:styleId="inserted">
    <w:name w:val="inserted"/>
    <w:basedOn w:val="DefaultParagraphFont"/>
    <w:uiPriority w:val="1"/>
    <w:qFormat/>
    <w:rsid w:val="00CC5CB1"/>
    <w:rPr>
      <w:color w:val="0000FF"/>
      <w:sz w:val="22"/>
      <w:szCs w:val="22"/>
      <w:u w:val="single"/>
      <w:lang w:val="fr-FR"/>
    </w:rPr>
  </w:style>
  <w:style w:type="character" w:customStyle="1" w:styleId="deleted">
    <w:name w:val="deleted"/>
    <w:basedOn w:val="DefaultParagraphFont"/>
    <w:uiPriority w:val="1"/>
    <w:qFormat/>
    <w:rsid w:val="00170395"/>
    <w:rPr>
      <w:strike/>
      <w:color w:val="FF0000"/>
      <w:lang w:val="fr-FR"/>
    </w:rPr>
  </w:style>
  <w:style w:type="character" w:styleId="FollowedHyperlink">
    <w:name w:val="FollowedHyperlink"/>
    <w:basedOn w:val="DefaultParagraphFont"/>
    <w:semiHidden/>
    <w:unhideWhenUsed/>
    <w:rsid w:val="00465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429051" TargetMode="External"/><Relationship Id="rId2" Type="http://schemas.openxmlformats.org/officeDocument/2006/relationships/hyperlink" Target="https://www.wipo.int/meetings/fr/doc_details.jsp?doc_id=429049" TargetMode="External"/><Relationship Id="rId1" Type="http://schemas.openxmlformats.org/officeDocument/2006/relationships/hyperlink" Target="https://www.wipo.int/meetings/fr/doc_details.jsp?doc_id=429001" TargetMode="External"/><Relationship Id="rId5" Type="http://schemas.openxmlformats.org/officeDocument/2006/relationships/hyperlink" Target="https://www.wipo.int/meetings/fr/doc_details.jsp?doc_id=429371" TargetMode="External"/><Relationship Id="rId4" Type="http://schemas.openxmlformats.org/officeDocument/2006/relationships/hyperlink" Target="https://www.wipo.int/meetings/fr/doc_details.jsp?doc_id=429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4D49-6660-4BEE-928C-74361E6B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14330</Words>
  <Characters>81687</Characters>
  <Application>Microsoft Office Word</Application>
  <DocSecurity>0</DocSecurity>
  <Lines>680</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PCT/WG/12/2</vt:lpstr>
      <vt:lpstr>PCT/WG/12/2</vt:lpstr>
    </vt:vector>
  </TitlesOfParts>
  <Company>WIPO</Company>
  <LinksUpToDate>false</LinksUpToDate>
  <CharactersWithSpaces>95826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dc:title>
  <dc:subject>Meeting of International Authorities Under the PCT:  Report on the Twenty-Sixth Session</dc:subject>
  <dc:creator>COUTURE Sébastien</dc:creator>
  <cp:keywords>FOR OFFICIAL USE ONLY</cp:keywords>
  <cp:lastModifiedBy>BAUDIN Claudine</cp:lastModifiedBy>
  <cp:revision>3</cp:revision>
  <cp:lastPrinted>2019-04-09T08:54:00Z</cp:lastPrinted>
  <dcterms:created xsi:type="dcterms:W3CDTF">2019-04-11T12:51:00Z</dcterms:created>
  <dcterms:modified xsi:type="dcterms:W3CDTF">2019-04-11T13:37:00Z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