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A86F5" w14:textId="77777777" w:rsidR="00660161" w:rsidRPr="00C3136F" w:rsidRDefault="00424D32" w:rsidP="00424D32">
      <w:pPr>
        <w:spacing w:before="360" w:after="240"/>
        <w:jc w:val="right"/>
      </w:pPr>
      <w:bookmarkStart w:id="0" w:name="TitleOfDoc"/>
      <w:bookmarkStart w:id="1" w:name="_GoBack"/>
      <w:bookmarkEnd w:id="1"/>
      <w:r w:rsidRPr="00C3136F">
        <w:rPr>
          <w:noProof/>
          <w:lang w:val="en-GB" w:eastAsia="en-GB"/>
        </w:rPr>
        <w:drawing>
          <wp:inline distT="0" distB="0" distL="0" distR="0" wp14:anchorId="19858006" wp14:editId="318D269F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91459" w14:textId="77777777" w:rsidR="00660161" w:rsidRPr="00C3136F" w:rsidRDefault="00424D32" w:rsidP="00424D32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CH"/>
        </w:rPr>
      </w:pPr>
      <w:r w:rsidRPr="00C3136F">
        <w:rPr>
          <w:rFonts w:ascii="Arial Black" w:hAnsi="Arial Black"/>
          <w:caps/>
          <w:sz w:val="15"/>
          <w:lang w:val="fr-CH"/>
        </w:rPr>
        <w:t>PCT/WG/14/</w:t>
      </w:r>
      <w:bookmarkStart w:id="2" w:name="Code"/>
      <w:r w:rsidRPr="00C3136F">
        <w:rPr>
          <w:rFonts w:ascii="Arial Black" w:hAnsi="Arial Black"/>
          <w:caps/>
          <w:sz w:val="15"/>
          <w:lang w:val="fr-CH"/>
        </w:rPr>
        <w:t>15</w:t>
      </w:r>
    </w:p>
    <w:bookmarkEnd w:id="2"/>
    <w:p w14:paraId="4554844A" w14:textId="208C02B8" w:rsidR="00660161" w:rsidRPr="00C3136F" w:rsidRDefault="00424D32" w:rsidP="00424D32">
      <w:pPr>
        <w:jc w:val="right"/>
        <w:rPr>
          <w:lang w:val="fr-CH"/>
        </w:rPr>
      </w:pPr>
      <w:r w:rsidRPr="00C3136F">
        <w:rPr>
          <w:rFonts w:ascii="Arial Black" w:hAnsi="Arial Black"/>
          <w:caps/>
          <w:sz w:val="15"/>
          <w:lang w:val="fr-CH"/>
        </w:rPr>
        <w:t>ORIGINAL</w:t>
      </w:r>
      <w:r w:rsidR="00660161" w:rsidRPr="00C3136F">
        <w:rPr>
          <w:rFonts w:ascii="Arial Black" w:hAnsi="Arial Black"/>
          <w:caps/>
          <w:sz w:val="15"/>
          <w:lang w:val="fr-CH"/>
        </w:rPr>
        <w:t> :</w:t>
      </w:r>
      <w:r w:rsidRPr="00C3136F">
        <w:rPr>
          <w:rFonts w:ascii="Arial Black" w:hAnsi="Arial Black"/>
          <w:caps/>
          <w:sz w:val="15"/>
          <w:lang w:val="fr-CH"/>
        </w:rPr>
        <w:t xml:space="preserve"> </w:t>
      </w:r>
      <w:bookmarkStart w:id="3" w:name="Original"/>
      <w:r w:rsidRPr="00C3136F">
        <w:rPr>
          <w:rFonts w:ascii="Arial Black" w:hAnsi="Arial Black"/>
          <w:caps/>
          <w:sz w:val="15"/>
          <w:lang w:val="fr-CH"/>
        </w:rPr>
        <w:t>anglais</w:t>
      </w:r>
    </w:p>
    <w:bookmarkEnd w:id="3"/>
    <w:p w14:paraId="5013ECD8" w14:textId="53613E4A" w:rsidR="00660161" w:rsidRPr="00C3136F" w:rsidRDefault="00424D32" w:rsidP="00424D32">
      <w:pPr>
        <w:spacing w:after="1200"/>
        <w:jc w:val="right"/>
        <w:rPr>
          <w:lang w:val="fr-CH"/>
        </w:rPr>
      </w:pPr>
      <w:r w:rsidRPr="00C3136F">
        <w:rPr>
          <w:rFonts w:ascii="Arial Black" w:hAnsi="Arial Black"/>
          <w:caps/>
          <w:sz w:val="15"/>
          <w:lang w:val="fr-CH"/>
        </w:rPr>
        <w:t>DATE</w:t>
      </w:r>
      <w:r w:rsidR="00660161" w:rsidRPr="00C3136F">
        <w:rPr>
          <w:rFonts w:ascii="Arial Black" w:hAnsi="Arial Black"/>
          <w:caps/>
          <w:sz w:val="15"/>
          <w:lang w:val="fr-CH"/>
        </w:rPr>
        <w:t> :</w:t>
      </w:r>
      <w:r w:rsidRPr="00C3136F">
        <w:rPr>
          <w:rFonts w:ascii="Arial Black" w:hAnsi="Arial Black"/>
          <w:caps/>
          <w:sz w:val="15"/>
          <w:lang w:val="fr-CH"/>
        </w:rPr>
        <w:t xml:space="preserve"> </w:t>
      </w:r>
      <w:bookmarkStart w:id="4" w:name="Date"/>
      <w:r w:rsidRPr="00C3136F">
        <w:rPr>
          <w:rFonts w:ascii="Arial Black" w:hAnsi="Arial Black"/>
          <w:caps/>
          <w:sz w:val="15"/>
          <w:lang w:val="fr-CH"/>
        </w:rPr>
        <w:t>3</w:t>
      </w:r>
      <w:r w:rsidR="00660161" w:rsidRPr="00C3136F">
        <w:rPr>
          <w:rFonts w:ascii="Arial Black" w:hAnsi="Arial Black"/>
          <w:caps/>
          <w:sz w:val="15"/>
          <w:lang w:val="fr-CH"/>
        </w:rPr>
        <w:t>1 mai 20</w:t>
      </w:r>
      <w:r w:rsidRPr="00C3136F">
        <w:rPr>
          <w:rFonts w:ascii="Arial Black" w:hAnsi="Arial Black"/>
          <w:caps/>
          <w:sz w:val="15"/>
          <w:lang w:val="fr-CH"/>
        </w:rPr>
        <w:t>21</w:t>
      </w:r>
    </w:p>
    <w:bookmarkEnd w:id="4"/>
    <w:p w14:paraId="5D1A6550" w14:textId="77777777" w:rsidR="00660161" w:rsidRPr="00C3136F" w:rsidRDefault="00424D32" w:rsidP="00424D32">
      <w:pPr>
        <w:pStyle w:val="Heading1"/>
        <w:spacing w:before="0" w:after="600"/>
        <w:rPr>
          <w:lang w:val="fr-CH"/>
        </w:rPr>
      </w:pPr>
      <w:r w:rsidRPr="00C3136F">
        <w:rPr>
          <w:caps w:val="0"/>
          <w:sz w:val="28"/>
          <w:lang w:val="fr-CH"/>
        </w:rPr>
        <w:t>Groupe de travail du Traité de coopération en matière de brevets (PCT)</w:t>
      </w:r>
    </w:p>
    <w:p w14:paraId="17685662" w14:textId="546D3A71" w:rsidR="00660161" w:rsidRPr="00C3136F" w:rsidRDefault="00424D32" w:rsidP="00424D32">
      <w:pPr>
        <w:outlineLvl w:val="1"/>
        <w:rPr>
          <w:b/>
          <w:sz w:val="24"/>
          <w:szCs w:val="24"/>
          <w:lang w:val="fr-CH"/>
        </w:rPr>
      </w:pPr>
      <w:r w:rsidRPr="00C3136F">
        <w:rPr>
          <w:b/>
          <w:sz w:val="24"/>
          <w:szCs w:val="24"/>
          <w:lang w:val="fr-CH"/>
        </w:rPr>
        <w:t>Quatorz</w:t>
      </w:r>
      <w:r w:rsidR="00660161" w:rsidRPr="00C3136F">
        <w:rPr>
          <w:b/>
          <w:sz w:val="24"/>
          <w:szCs w:val="24"/>
          <w:lang w:val="fr-CH"/>
        </w:rPr>
        <w:t>ième session</w:t>
      </w:r>
    </w:p>
    <w:p w14:paraId="169A13E4" w14:textId="47F0D60B" w:rsidR="00660161" w:rsidRPr="00C3136F" w:rsidRDefault="00424D32" w:rsidP="00424D32">
      <w:pPr>
        <w:spacing w:after="720"/>
        <w:outlineLvl w:val="1"/>
        <w:rPr>
          <w:b/>
          <w:sz w:val="24"/>
          <w:szCs w:val="24"/>
          <w:lang w:val="fr-CH"/>
        </w:rPr>
      </w:pPr>
      <w:r w:rsidRPr="00C3136F">
        <w:rPr>
          <w:b/>
          <w:sz w:val="24"/>
          <w:szCs w:val="24"/>
          <w:lang w:val="fr-CH"/>
        </w:rPr>
        <w:t>Genève, 14 – 17</w:t>
      </w:r>
      <w:r w:rsidR="00660161" w:rsidRPr="00C3136F">
        <w:rPr>
          <w:b/>
          <w:sz w:val="24"/>
          <w:szCs w:val="24"/>
          <w:lang w:val="fr-CH"/>
        </w:rPr>
        <w:t> </w:t>
      </w:r>
      <w:r w:rsidRPr="00C3136F">
        <w:rPr>
          <w:b/>
          <w:sz w:val="24"/>
          <w:szCs w:val="24"/>
          <w:lang w:val="fr-CH"/>
        </w:rPr>
        <w:t>juin</w:t>
      </w:r>
      <w:r w:rsidR="00660161" w:rsidRPr="00C3136F">
        <w:rPr>
          <w:b/>
          <w:sz w:val="24"/>
          <w:szCs w:val="24"/>
          <w:lang w:val="fr-CH"/>
        </w:rPr>
        <w:t> </w:t>
      </w:r>
      <w:r w:rsidRPr="00C3136F">
        <w:rPr>
          <w:b/>
          <w:sz w:val="24"/>
          <w:szCs w:val="24"/>
          <w:lang w:val="fr-CH"/>
        </w:rPr>
        <w:t>2021</w:t>
      </w:r>
    </w:p>
    <w:p w14:paraId="07254C5E" w14:textId="0BE07929" w:rsidR="00660161" w:rsidRPr="00C3136F" w:rsidRDefault="00424D32" w:rsidP="00424D32">
      <w:pPr>
        <w:spacing w:after="360"/>
        <w:outlineLvl w:val="0"/>
        <w:rPr>
          <w:caps/>
          <w:sz w:val="24"/>
          <w:lang w:val="fr-CH"/>
        </w:rPr>
      </w:pPr>
      <w:r w:rsidRPr="00C3136F">
        <w:rPr>
          <w:caps/>
          <w:sz w:val="24"/>
          <w:lang w:val="fr-CH"/>
        </w:rPr>
        <w:t>ENQUÊTE SUR L</w:t>
      </w:r>
      <w:r w:rsidR="00660161" w:rsidRPr="00C3136F">
        <w:rPr>
          <w:caps/>
          <w:sz w:val="24"/>
          <w:lang w:val="fr-CH"/>
        </w:rPr>
        <w:t>’</w:t>
      </w:r>
      <w:r w:rsidRPr="00C3136F">
        <w:rPr>
          <w:caps/>
          <w:sz w:val="24"/>
          <w:lang w:val="fr-CH"/>
        </w:rPr>
        <w:t>UTILISATION DES RESSOURCES D</w:t>
      </w:r>
      <w:r w:rsidR="00660161" w:rsidRPr="00C3136F">
        <w:rPr>
          <w:caps/>
          <w:sz w:val="24"/>
          <w:lang w:val="fr-CH"/>
        </w:rPr>
        <w:t>’</w:t>
      </w:r>
      <w:r w:rsidRPr="00C3136F">
        <w:rPr>
          <w:caps/>
          <w:sz w:val="24"/>
          <w:lang w:val="fr-CH"/>
        </w:rPr>
        <w:t>APPRENTISSAGE EN LIGNE POUR LA FORMATION DES EXAMINATEURS DE BREVETS sur le fond</w:t>
      </w:r>
    </w:p>
    <w:p w14:paraId="38C1BED3" w14:textId="1B32CE69" w:rsidR="00660161" w:rsidRPr="00C3136F" w:rsidRDefault="00424D32" w:rsidP="00424D32">
      <w:pPr>
        <w:spacing w:after="960"/>
        <w:rPr>
          <w:i/>
          <w:lang w:val="fr-CH"/>
        </w:rPr>
      </w:pPr>
      <w:bookmarkStart w:id="5" w:name="Prepared"/>
      <w:bookmarkEnd w:id="0"/>
      <w:r w:rsidRPr="00C3136F">
        <w:rPr>
          <w:i/>
          <w:lang w:val="fr-CH"/>
        </w:rPr>
        <w:t>Document établi par le Bureau international</w:t>
      </w:r>
    </w:p>
    <w:bookmarkEnd w:id="5"/>
    <w:p w14:paraId="6F1F7D95" w14:textId="77777777" w:rsidR="00660161" w:rsidRPr="00C3136F" w:rsidRDefault="00424D32" w:rsidP="00424D32">
      <w:pPr>
        <w:pStyle w:val="Heading1"/>
      </w:pPr>
      <w:r w:rsidRPr="00C3136F">
        <w:t>Résumé</w:t>
      </w:r>
    </w:p>
    <w:p w14:paraId="7421DD63" w14:textId="3E2FA7CD" w:rsidR="00660161" w:rsidRPr="00C3136F" w:rsidRDefault="00424D32" w:rsidP="00424D32">
      <w:pPr>
        <w:pStyle w:val="ONUME"/>
        <w:rPr>
          <w:lang w:val="fr-CH"/>
        </w:rPr>
      </w:pPr>
      <w:r w:rsidRPr="00C3136F">
        <w:rPr>
          <w:lang w:val="fr-CH"/>
        </w:rPr>
        <w:t xml:space="preserve">Le présent document </w:t>
      </w:r>
      <w:r w:rsidR="00CA2B25" w:rsidRPr="00C3136F">
        <w:rPr>
          <w:lang w:val="fr-CH"/>
        </w:rPr>
        <w:t>propose une</w:t>
      </w:r>
      <w:r w:rsidRPr="00C3136F">
        <w:rPr>
          <w:lang w:val="fr-CH"/>
        </w:rPr>
        <w:t xml:space="preserve"> évalu</w:t>
      </w:r>
      <w:r w:rsidR="00CA2B25" w:rsidRPr="00C3136F">
        <w:rPr>
          <w:lang w:val="fr-CH"/>
        </w:rPr>
        <w:t>ation de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enquête concernant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utilisation des ressources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 pour la formation des examinateurs de brevets sur le fo</w:t>
      </w:r>
      <w:r w:rsidR="00531693" w:rsidRPr="00C3136F">
        <w:rPr>
          <w:lang w:val="fr-CH"/>
        </w:rPr>
        <w:t>nd.  Le</w:t>
      </w:r>
      <w:r w:rsidRPr="00C3136F">
        <w:rPr>
          <w:lang w:val="fr-CH"/>
        </w:rPr>
        <w:t>s offices ayant utilisé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 ont trouvé</w:t>
      </w:r>
      <w:r w:rsidR="00CA2B25" w:rsidRPr="00C3136F">
        <w:rPr>
          <w:lang w:val="fr-CH"/>
        </w:rPr>
        <w:t xml:space="preserve"> cette </w:t>
      </w:r>
      <w:r w:rsidR="00CA2B25" w:rsidRPr="00C3136F">
        <w:rPr>
          <w:szCs w:val="22"/>
          <w:lang w:val="fr-CH"/>
        </w:rPr>
        <w:t>possibilité</w:t>
      </w:r>
      <w:r w:rsidRPr="00C3136F">
        <w:rPr>
          <w:lang w:val="fr-CH"/>
        </w:rPr>
        <w:t xml:space="preserve"> uti</w:t>
      </w:r>
      <w:r w:rsidR="00531693" w:rsidRPr="00C3136F">
        <w:rPr>
          <w:lang w:val="fr-CH"/>
        </w:rPr>
        <w:t>le.  No</w:t>
      </w:r>
      <w:r w:rsidRPr="00C3136F">
        <w:rPr>
          <w:lang w:val="fr-CH"/>
        </w:rPr>
        <w:t>tamment, aucun office n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 xml:space="preserve">a soulevé de préoccupations quant à la vitesse </w:t>
      </w:r>
      <w:r w:rsidR="00CA2B25" w:rsidRPr="00C3136F">
        <w:rPr>
          <w:lang w:val="fr-CH"/>
        </w:rPr>
        <w:t>ou</w:t>
      </w:r>
      <w:r w:rsidRPr="00C3136F">
        <w:rPr>
          <w:lang w:val="fr-CH"/>
        </w:rPr>
        <w:t xml:space="preserve"> à la fiabilité des connexions Internet pour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utilisation de ces outi</w:t>
      </w:r>
      <w:r w:rsidR="00531693" w:rsidRPr="00C3136F">
        <w:rPr>
          <w:lang w:val="fr-CH"/>
        </w:rPr>
        <w:t>ls.  Le</w:t>
      </w:r>
      <w:r w:rsidRPr="00C3136F">
        <w:rPr>
          <w:lang w:val="fr-CH"/>
        </w:rPr>
        <w:t>s offices ayant peu utilisé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 dans le passé envisagent de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utiliser davantage à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aven</w:t>
      </w:r>
      <w:r w:rsidR="00531693" w:rsidRPr="00C3136F">
        <w:rPr>
          <w:lang w:val="fr-CH"/>
        </w:rPr>
        <w:t>ir.  Le</w:t>
      </w:r>
      <w:r w:rsidRPr="00C3136F">
        <w:rPr>
          <w:lang w:val="fr-CH"/>
        </w:rPr>
        <w:t>s offices ont toutefois relevé des problèmes concernant la certification,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évaluation et le suivi de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</w:t>
      </w:r>
      <w:r w:rsidR="00531693" w:rsidRPr="00C3136F">
        <w:rPr>
          <w:lang w:val="fr-CH"/>
        </w:rPr>
        <w:t>ne.  Le</w:t>
      </w:r>
      <w:r w:rsidRPr="00C3136F">
        <w:rPr>
          <w:lang w:val="fr-CH"/>
        </w:rPr>
        <w:t>s États membres sont invités à envisager la création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 xml:space="preserve">un </w:t>
      </w:r>
      <w:r w:rsidR="008203EB" w:rsidRPr="00C3136F">
        <w:rPr>
          <w:lang w:val="fr-CH"/>
        </w:rPr>
        <w:t>registre</w:t>
      </w:r>
      <w:r w:rsidRPr="00C3136F">
        <w:rPr>
          <w:lang w:val="fr-CH"/>
        </w:rPr>
        <w:t xml:space="preserve"> indépendant de</w:t>
      </w:r>
      <w:r w:rsidR="00CA2B25" w:rsidRPr="00C3136F">
        <w:rPr>
          <w:lang w:val="fr-CH"/>
        </w:rPr>
        <w:t>s</w:t>
      </w:r>
      <w:r w:rsidRPr="00C3136F">
        <w:rPr>
          <w:lang w:val="fr-CH"/>
        </w:rPr>
        <w:t xml:space="preserve"> ressources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ligne.</w:t>
      </w:r>
    </w:p>
    <w:p w14:paraId="250A4518" w14:textId="77777777" w:rsidR="00660161" w:rsidRPr="00C3136F" w:rsidRDefault="00A10B94" w:rsidP="00A10B94">
      <w:pPr>
        <w:pStyle w:val="Heading1"/>
      </w:pPr>
      <w:r w:rsidRPr="00C3136F">
        <w:t>Introduction</w:t>
      </w:r>
    </w:p>
    <w:p w14:paraId="04F2032B" w14:textId="75E0F80B" w:rsidR="00660161" w:rsidRPr="00C3136F" w:rsidRDefault="00CC6440" w:rsidP="00424D32">
      <w:pPr>
        <w:pStyle w:val="ONUME"/>
        <w:rPr>
          <w:lang w:val="fr-CH"/>
        </w:rPr>
      </w:pPr>
      <w:r w:rsidRPr="00C3136F">
        <w:rPr>
          <w:lang w:val="fr-CH"/>
        </w:rPr>
        <w:t>À</w:t>
      </w:r>
      <w:r w:rsidR="00424D32" w:rsidRPr="00C3136F">
        <w:rPr>
          <w:lang w:val="fr-CH"/>
        </w:rPr>
        <w:t xml:space="preserve"> sa douz</w:t>
      </w:r>
      <w:r w:rsidR="00660161" w:rsidRPr="00C3136F">
        <w:rPr>
          <w:lang w:val="fr-CH"/>
        </w:rPr>
        <w:t>ième session</w:t>
      </w:r>
      <w:r w:rsidR="00424D32" w:rsidRPr="00C3136F">
        <w:rPr>
          <w:lang w:val="fr-CH"/>
        </w:rPr>
        <w:t>, le Groupe de travail</w:t>
      </w:r>
      <w:r w:rsidR="00660161" w:rsidRPr="00C3136F">
        <w:rPr>
          <w:lang w:val="fr-CH"/>
        </w:rPr>
        <w:t xml:space="preserve"> du PCT</w:t>
      </w:r>
      <w:r w:rsidR="00424D32" w:rsidRPr="00C3136F">
        <w:rPr>
          <w:lang w:val="fr-CH"/>
        </w:rPr>
        <w:t xml:space="preserve"> a examiné l</w:t>
      </w:r>
      <w:r w:rsidR="008203EB" w:rsidRPr="00C3136F">
        <w:rPr>
          <w:lang w:val="fr-CH"/>
        </w:rPr>
        <w:t>a</w:t>
      </w:r>
      <w:r w:rsidR="00424D32" w:rsidRPr="00C3136F">
        <w:rPr>
          <w:lang w:val="fr-CH"/>
        </w:rPr>
        <w:t xml:space="preserve"> </w:t>
      </w:r>
      <w:r w:rsidR="008203EB" w:rsidRPr="00C3136F">
        <w:rPr>
          <w:lang w:val="fr-CH"/>
        </w:rPr>
        <w:t xml:space="preserve">compilation </w:t>
      </w:r>
      <w:r w:rsidR="00424D32" w:rsidRPr="00C3136F">
        <w:rPr>
          <w:lang w:val="fr-CH"/>
        </w:rPr>
        <w:t xml:space="preserve">des ressources </w:t>
      </w:r>
      <w:r w:rsidR="008203EB" w:rsidRPr="00C3136F">
        <w:rPr>
          <w:lang w:val="fr-CH"/>
        </w:rPr>
        <w:t>d’apprentissage</w:t>
      </w:r>
      <w:r w:rsidR="00424D32" w:rsidRPr="00C3136F">
        <w:rPr>
          <w:lang w:val="fr-CH"/>
        </w:rPr>
        <w:t xml:space="preserve"> en ligne géré</w:t>
      </w:r>
      <w:r w:rsidR="008203EB" w:rsidRPr="00C3136F">
        <w:rPr>
          <w:lang w:val="fr-CH"/>
        </w:rPr>
        <w:t>e</w:t>
      </w:r>
      <w:r w:rsidR="00424D32" w:rsidRPr="00C3136F">
        <w:rPr>
          <w:lang w:val="fr-CH"/>
        </w:rPr>
        <w:t xml:space="preserve"> par le Bureau international et l</w:t>
      </w:r>
      <w:r w:rsidR="00660161" w:rsidRPr="00C3136F">
        <w:rPr>
          <w:lang w:val="fr-CH"/>
        </w:rPr>
        <w:t>’</w:t>
      </w:r>
      <w:r w:rsidR="00424D32" w:rsidRPr="00C3136F">
        <w:rPr>
          <w:lang w:val="fr-CH"/>
        </w:rPr>
        <w:t xml:space="preserve">utilité de </w:t>
      </w:r>
      <w:r w:rsidR="00CA2B25" w:rsidRPr="00C3136F">
        <w:rPr>
          <w:lang w:val="fr-CH"/>
        </w:rPr>
        <w:t>l</w:t>
      </w:r>
      <w:r w:rsidR="00660161" w:rsidRPr="00C3136F">
        <w:rPr>
          <w:lang w:val="fr-CH"/>
        </w:rPr>
        <w:t>’</w:t>
      </w:r>
      <w:r w:rsidR="00CA2B25" w:rsidRPr="00C3136F">
        <w:rPr>
          <w:lang w:val="fr-CH"/>
        </w:rPr>
        <w:t xml:space="preserve">apprentissage </w:t>
      </w:r>
      <w:r w:rsidR="00424D32" w:rsidRPr="00C3136F">
        <w:rPr>
          <w:lang w:val="fr-CH"/>
        </w:rPr>
        <w:t>en ligne pour l</w:t>
      </w:r>
      <w:r w:rsidR="00CA2B25" w:rsidRPr="00C3136F">
        <w:rPr>
          <w:lang w:val="fr-CH"/>
        </w:rPr>
        <w:t>a formation d</w:t>
      </w:r>
      <w:r w:rsidR="00424D32" w:rsidRPr="00C3136F">
        <w:rPr>
          <w:lang w:val="fr-CH"/>
        </w:rPr>
        <w:t>es examinateurs (voir le document PCT/WG/12/6).</w:t>
      </w:r>
      <w:r w:rsidR="00E23647" w:rsidRPr="00C3136F">
        <w:rPr>
          <w:lang w:val="fr-CH"/>
        </w:rPr>
        <w:t xml:space="preserve">  </w:t>
      </w:r>
      <w:r w:rsidR="00424D32" w:rsidRPr="00C3136F">
        <w:rPr>
          <w:lang w:val="fr-CH"/>
        </w:rPr>
        <w:t>Les paragraphes</w:t>
      </w:r>
      <w:r w:rsidR="00660161" w:rsidRPr="00C3136F">
        <w:rPr>
          <w:lang w:val="fr-CH"/>
        </w:rPr>
        <w:t> </w:t>
      </w:r>
      <w:r w:rsidR="00424D32" w:rsidRPr="00C3136F">
        <w:rPr>
          <w:lang w:val="fr-CH"/>
        </w:rPr>
        <w:t>21 à 23 de ce document renvoyaient à la réalisation d</w:t>
      </w:r>
      <w:r w:rsidR="00660161" w:rsidRPr="00C3136F">
        <w:rPr>
          <w:lang w:val="fr-CH"/>
        </w:rPr>
        <w:t>’</w:t>
      </w:r>
      <w:r w:rsidR="00424D32" w:rsidRPr="00C3136F">
        <w:rPr>
          <w:lang w:val="fr-CH"/>
        </w:rPr>
        <w:t xml:space="preserve">une enquête sur les politiques </w:t>
      </w:r>
      <w:r w:rsidR="00CA2B25" w:rsidRPr="00C3136F">
        <w:rPr>
          <w:lang w:val="fr-CH"/>
        </w:rPr>
        <w:t>relatives à la</w:t>
      </w:r>
      <w:r w:rsidR="00424D32" w:rsidRPr="00C3136F">
        <w:rPr>
          <w:lang w:val="fr-CH"/>
        </w:rPr>
        <w:t xml:space="preserve"> mise au point et </w:t>
      </w:r>
      <w:r w:rsidR="00CA2B25" w:rsidRPr="00C3136F">
        <w:rPr>
          <w:lang w:val="fr-CH"/>
        </w:rPr>
        <w:t>à l</w:t>
      </w:r>
      <w:r w:rsidR="00660161" w:rsidRPr="00C3136F">
        <w:rPr>
          <w:lang w:val="fr-CH"/>
        </w:rPr>
        <w:t>’</w:t>
      </w:r>
      <w:r w:rsidR="00424D32" w:rsidRPr="00C3136F">
        <w:rPr>
          <w:lang w:val="fr-CH"/>
        </w:rPr>
        <w:t xml:space="preserve">utilisation de moyens de formation en ligne, </w:t>
      </w:r>
      <w:r w:rsidR="00CA2B25" w:rsidRPr="00C3136F">
        <w:rPr>
          <w:lang w:val="fr-CH"/>
        </w:rPr>
        <w:t>et sont reproduits</w:t>
      </w:r>
      <w:r w:rsidR="00424D32" w:rsidRPr="00C3136F">
        <w:rPr>
          <w:lang w:val="fr-CH"/>
        </w:rPr>
        <w:t xml:space="preserve"> ci</w:t>
      </w:r>
      <w:r w:rsidR="00660161" w:rsidRPr="00C3136F">
        <w:rPr>
          <w:lang w:val="fr-CH"/>
        </w:rPr>
        <w:t>-</w:t>
      </w:r>
      <w:r w:rsidR="00424D32" w:rsidRPr="00C3136F">
        <w:rPr>
          <w:lang w:val="fr-CH"/>
        </w:rPr>
        <w:t>dessous</w:t>
      </w:r>
      <w:r w:rsidR="00660161" w:rsidRPr="00C3136F">
        <w:rPr>
          <w:lang w:val="fr-CH"/>
        </w:rPr>
        <w:t> :</w:t>
      </w:r>
    </w:p>
    <w:p w14:paraId="161721BA" w14:textId="296FDFBC" w:rsidR="00660161" w:rsidRPr="00C3136F" w:rsidRDefault="00660161" w:rsidP="00424D32">
      <w:pPr>
        <w:pStyle w:val="Default"/>
        <w:ind w:left="567"/>
        <w:rPr>
          <w:color w:val="auto"/>
          <w:sz w:val="22"/>
          <w:szCs w:val="22"/>
          <w:lang w:val="fr-CH"/>
        </w:rPr>
      </w:pPr>
      <w:r w:rsidRPr="00C3136F">
        <w:rPr>
          <w:color w:val="auto"/>
          <w:sz w:val="22"/>
          <w:szCs w:val="22"/>
          <w:lang w:val="fr-CH"/>
        </w:rPr>
        <w:lastRenderedPageBreak/>
        <w:t>“</w:t>
      </w:r>
      <w:r w:rsidR="00A10B94" w:rsidRPr="00C3136F">
        <w:rPr>
          <w:color w:val="auto"/>
          <w:sz w:val="22"/>
          <w:szCs w:val="22"/>
          <w:lang w:val="fr-CH"/>
        </w:rPr>
        <w:t>21.</w:t>
      </w:r>
      <w:r w:rsidR="00A10B94" w:rsidRPr="00C3136F">
        <w:rPr>
          <w:color w:val="auto"/>
          <w:sz w:val="22"/>
          <w:szCs w:val="22"/>
          <w:lang w:val="fr-CH"/>
        </w:rPr>
        <w:tab/>
      </w:r>
      <w:r w:rsidR="00424D32" w:rsidRPr="00C3136F">
        <w:rPr>
          <w:color w:val="auto"/>
          <w:sz w:val="22"/>
          <w:szCs w:val="22"/>
          <w:lang w:val="fr-CH"/>
        </w:rPr>
        <w:t>La disponibilité des ressources en ligne n</w:t>
      </w:r>
      <w:r w:rsidRPr="00C3136F">
        <w:rPr>
          <w:color w:val="auto"/>
          <w:sz w:val="22"/>
          <w:szCs w:val="22"/>
          <w:lang w:val="fr-CH"/>
        </w:rPr>
        <w:t>’</w:t>
      </w:r>
      <w:r w:rsidR="00424D32" w:rsidRPr="00C3136F">
        <w:rPr>
          <w:color w:val="auto"/>
          <w:sz w:val="22"/>
          <w:szCs w:val="22"/>
          <w:lang w:val="fr-CH"/>
        </w:rPr>
        <w:t>a cessé d</w:t>
      </w:r>
      <w:r w:rsidRPr="00C3136F">
        <w:rPr>
          <w:color w:val="auto"/>
          <w:sz w:val="22"/>
          <w:szCs w:val="22"/>
          <w:lang w:val="fr-CH"/>
        </w:rPr>
        <w:t>’</w:t>
      </w:r>
      <w:r w:rsidR="00424D32" w:rsidRPr="00C3136F">
        <w:rPr>
          <w:color w:val="auto"/>
          <w:sz w:val="22"/>
          <w:szCs w:val="22"/>
          <w:lang w:val="fr-CH"/>
        </w:rPr>
        <w:t>augmenter au cours des dernières années et certaines ressources sont devenues plus complex</w:t>
      </w:r>
      <w:r w:rsidR="00531693" w:rsidRPr="00C3136F">
        <w:rPr>
          <w:color w:val="auto"/>
          <w:sz w:val="22"/>
          <w:szCs w:val="22"/>
          <w:lang w:val="fr-CH"/>
        </w:rPr>
        <w:t>es.  Pl</w:t>
      </w:r>
      <w:r w:rsidR="00424D32" w:rsidRPr="00C3136F">
        <w:rPr>
          <w:color w:val="auto"/>
          <w:sz w:val="22"/>
          <w:szCs w:val="22"/>
          <w:lang w:val="fr-CH"/>
        </w:rPr>
        <w:t>usieurs offices ont entrepris d</w:t>
      </w:r>
      <w:r w:rsidRPr="00C3136F">
        <w:rPr>
          <w:color w:val="auto"/>
          <w:sz w:val="22"/>
          <w:szCs w:val="22"/>
          <w:lang w:val="fr-CH"/>
        </w:rPr>
        <w:t>’</w:t>
      </w:r>
      <w:r w:rsidR="00424D32" w:rsidRPr="00C3136F">
        <w:rPr>
          <w:color w:val="auto"/>
          <w:sz w:val="22"/>
          <w:szCs w:val="22"/>
          <w:lang w:val="fr-CH"/>
        </w:rPr>
        <w:t>élaborer des ressources en ligne dans le cadre de leurs efforts visant à mettre au point une infrastructure de formation pour les examinateurs nouvellement recrutés et les examinateurs expériment</w:t>
      </w:r>
      <w:r w:rsidR="00531693" w:rsidRPr="00C3136F">
        <w:rPr>
          <w:color w:val="auto"/>
          <w:sz w:val="22"/>
          <w:szCs w:val="22"/>
          <w:lang w:val="fr-CH"/>
        </w:rPr>
        <w:t>és.  Bi</w:t>
      </w:r>
      <w:r w:rsidR="00424D32" w:rsidRPr="00C3136F">
        <w:rPr>
          <w:color w:val="auto"/>
          <w:sz w:val="22"/>
          <w:szCs w:val="22"/>
          <w:lang w:val="fr-CH"/>
        </w:rPr>
        <w:t>en que les ressources élaborées par les institutions de propriété intellectuelle couvrent généralement les compétences de base des examinateurs de brevets, d</w:t>
      </w:r>
      <w:r w:rsidRPr="00C3136F">
        <w:rPr>
          <w:color w:val="auto"/>
          <w:sz w:val="22"/>
          <w:szCs w:val="22"/>
          <w:lang w:val="fr-CH"/>
        </w:rPr>
        <w:t>’</w:t>
      </w:r>
      <w:r w:rsidR="00424D32" w:rsidRPr="00C3136F">
        <w:rPr>
          <w:color w:val="auto"/>
          <w:sz w:val="22"/>
          <w:szCs w:val="22"/>
          <w:lang w:val="fr-CH"/>
        </w:rPr>
        <w:t>autres institutions (autres que les institutions de propriété intellectuelle) ont mis au point de nouvelles solutions d</w:t>
      </w:r>
      <w:r w:rsidRPr="00C3136F">
        <w:rPr>
          <w:color w:val="auto"/>
          <w:sz w:val="22"/>
          <w:szCs w:val="22"/>
          <w:lang w:val="fr-CH"/>
        </w:rPr>
        <w:t>’</w:t>
      </w:r>
      <w:r w:rsidR="00424D32" w:rsidRPr="00C3136F">
        <w:rPr>
          <w:color w:val="auto"/>
          <w:sz w:val="22"/>
          <w:szCs w:val="22"/>
          <w:lang w:val="fr-CH"/>
        </w:rPr>
        <w:t>apprentissage en ligne qui non seulement s</w:t>
      </w:r>
      <w:r w:rsidRPr="00C3136F">
        <w:rPr>
          <w:color w:val="auto"/>
          <w:sz w:val="22"/>
          <w:szCs w:val="22"/>
          <w:lang w:val="fr-CH"/>
        </w:rPr>
        <w:t>’</w:t>
      </w:r>
      <w:r w:rsidR="00424D32" w:rsidRPr="00C3136F">
        <w:rPr>
          <w:color w:val="auto"/>
          <w:sz w:val="22"/>
          <w:szCs w:val="22"/>
          <w:lang w:val="fr-CH"/>
        </w:rPr>
        <w:t>adressent aux examinateurs de brevets, mais portent aussi sur des compétences utiles aux examinateurs, par exemple des compétences spécifiques relatives à certaines technologies, comme les recherches dans les bases de données spécialisées dans les séquences biologiques</w:t>
      </w:r>
      <w:r w:rsidR="00A10B94" w:rsidRPr="00C3136F">
        <w:rPr>
          <w:color w:val="auto"/>
          <w:sz w:val="22"/>
          <w:szCs w:val="22"/>
          <w:lang w:val="fr-CH"/>
        </w:rPr>
        <w:t>.</w:t>
      </w:r>
    </w:p>
    <w:p w14:paraId="1075A4A8" w14:textId="77777777" w:rsidR="00660161" w:rsidRPr="00C3136F" w:rsidRDefault="00660161" w:rsidP="00E23647">
      <w:pPr>
        <w:pStyle w:val="ONUME"/>
        <w:numPr>
          <w:ilvl w:val="0"/>
          <w:numId w:val="0"/>
        </w:numPr>
        <w:ind w:left="567"/>
        <w:rPr>
          <w:szCs w:val="22"/>
          <w:lang w:val="fr-CH"/>
        </w:rPr>
      </w:pPr>
    </w:p>
    <w:p w14:paraId="3813423B" w14:textId="4B85EAE8" w:rsidR="00660161" w:rsidRPr="00C3136F" w:rsidRDefault="00660161" w:rsidP="00424D32">
      <w:pPr>
        <w:pStyle w:val="Default"/>
        <w:ind w:left="567"/>
        <w:rPr>
          <w:color w:val="auto"/>
          <w:sz w:val="22"/>
          <w:szCs w:val="22"/>
          <w:lang w:val="fr-CH"/>
        </w:rPr>
      </w:pPr>
      <w:r w:rsidRPr="00C3136F">
        <w:rPr>
          <w:color w:val="auto"/>
          <w:sz w:val="22"/>
          <w:szCs w:val="22"/>
          <w:lang w:val="fr-CH"/>
        </w:rPr>
        <w:t>“</w:t>
      </w:r>
      <w:r w:rsidR="00A10B94" w:rsidRPr="00C3136F">
        <w:rPr>
          <w:color w:val="auto"/>
          <w:sz w:val="22"/>
          <w:szCs w:val="22"/>
          <w:lang w:val="fr-CH"/>
        </w:rPr>
        <w:t>22.</w:t>
      </w:r>
      <w:r w:rsidR="00A10B94" w:rsidRPr="00C3136F">
        <w:rPr>
          <w:color w:val="auto"/>
          <w:sz w:val="22"/>
          <w:szCs w:val="22"/>
          <w:lang w:val="fr-CH"/>
        </w:rPr>
        <w:tab/>
      </w:r>
      <w:r w:rsidR="00424D32" w:rsidRPr="00C3136F">
        <w:rPr>
          <w:color w:val="auto"/>
          <w:sz w:val="22"/>
          <w:szCs w:val="22"/>
          <w:lang w:val="fr-CH"/>
        </w:rPr>
        <w:t>Toutefois, les plus petits offices ne disposent pas de moyens suffisants pour élaborer leurs propres ressources en lig</w:t>
      </w:r>
      <w:r w:rsidR="00531693" w:rsidRPr="00C3136F">
        <w:rPr>
          <w:color w:val="auto"/>
          <w:sz w:val="22"/>
          <w:szCs w:val="22"/>
          <w:lang w:val="fr-CH"/>
        </w:rPr>
        <w:t>ne.  Ce</w:t>
      </w:r>
      <w:r w:rsidR="00424D32" w:rsidRPr="00C3136F">
        <w:rPr>
          <w:color w:val="auto"/>
          <w:sz w:val="22"/>
          <w:szCs w:val="22"/>
          <w:lang w:val="fr-CH"/>
        </w:rPr>
        <w:t>s offices pourraient grandement bénéficier de ces ressources, mais il semblerait qu</w:t>
      </w:r>
      <w:r w:rsidRPr="00C3136F">
        <w:rPr>
          <w:color w:val="auto"/>
          <w:sz w:val="22"/>
          <w:szCs w:val="22"/>
          <w:lang w:val="fr-CH"/>
        </w:rPr>
        <w:t>’</w:t>
      </w:r>
      <w:r w:rsidR="00424D32" w:rsidRPr="00C3136F">
        <w:rPr>
          <w:color w:val="auto"/>
          <w:sz w:val="22"/>
          <w:szCs w:val="22"/>
          <w:lang w:val="fr-CH"/>
        </w:rPr>
        <w:t>ils n</w:t>
      </w:r>
      <w:r w:rsidRPr="00C3136F">
        <w:rPr>
          <w:color w:val="auto"/>
          <w:sz w:val="22"/>
          <w:szCs w:val="22"/>
          <w:lang w:val="fr-CH"/>
        </w:rPr>
        <w:t>’</w:t>
      </w:r>
      <w:r w:rsidR="00424D32" w:rsidRPr="00C3136F">
        <w:rPr>
          <w:color w:val="auto"/>
          <w:sz w:val="22"/>
          <w:szCs w:val="22"/>
          <w:lang w:val="fr-CH"/>
        </w:rPr>
        <w:t>exploitent pas pleinement cette possibilité ou qu</w:t>
      </w:r>
      <w:r w:rsidRPr="00C3136F">
        <w:rPr>
          <w:color w:val="auto"/>
          <w:sz w:val="22"/>
          <w:szCs w:val="22"/>
          <w:lang w:val="fr-CH"/>
        </w:rPr>
        <w:t>’</w:t>
      </w:r>
      <w:r w:rsidR="00424D32" w:rsidRPr="00C3136F">
        <w:rPr>
          <w:color w:val="auto"/>
          <w:sz w:val="22"/>
          <w:szCs w:val="22"/>
          <w:lang w:val="fr-CH"/>
        </w:rPr>
        <w:t>ils n</w:t>
      </w:r>
      <w:r w:rsidRPr="00C3136F">
        <w:rPr>
          <w:color w:val="auto"/>
          <w:sz w:val="22"/>
          <w:szCs w:val="22"/>
          <w:lang w:val="fr-CH"/>
        </w:rPr>
        <w:t>’</w:t>
      </w:r>
      <w:r w:rsidR="00424D32" w:rsidRPr="00C3136F">
        <w:rPr>
          <w:color w:val="auto"/>
          <w:sz w:val="22"/>
          <w:szCs w:val="22"/>
          <w:lang w:val="fr-CH"/>
        </w:rPr>
        <w:t>en aient même pas connaissance</w:t>
      </w:r>
      <w:r w:rsidR="00A10B94" w:rsidRPr="00C3136F">
        <w:rPr>
          <w:color w:val="auto"/>
          <w:sz w:val="22"/>
          <w:szCs w:val="22"/>
          <w:lang w:val="fr-CH"/>
        </w:rPr>
        <w:t>.</w:t>
      </w:r>
    </w:p>
    <w:p w14:paraId="55E09398" w14:textId="77777777" w:rsidR="00660161" w:rsidRPr="00C3136F" w:rsidRDefault="00660161" w:rsidP="00424D32">
      <w:pPr>
        <w:pStyle w:val="Default"/>
        <w:rPr>
          <w:color w:val="auto"/>
          <w:sz w:val="22"/>
          <w:szCs w:val="22"/>
          <w:lang w:val="fr-CH"/>
        </w:rPr>
      </w:pPr>
    </w:p>
    <w:p w14:paraId="29FCFF63" w14:textId="38C6417E" w:rsidR="00660161" w:rsidRPr="00C3136F" w:rsidRDefault="00145F46" w:rsidP="00CC6440">
      <w:pPr>
        <w:pStyle w:val="Default"/>
        <w:ind w:left="567"/>
        <w:rPr>
          <w:color w:val="auto"/>
          <w:sz w:val="22"/>
          <w:szCs w:val="22"/>
          <w:lang w:val="fr-CH"/>
        </w:rPr>
      </w:pPr>
      <w:r w:rsidRPr="00C3136F">
        <w:rPr>
          <w:color w:val="auto"/>
          <w:sz w:val="22"/>
          <w:szCs w:val="22"/>
          <w:lang w:val="fr-CH"/>
        </w:rPr>
        <w:t xml:space="preserve">“23. </w:t>
      </w:r>
      <w:r w:rsidR="00B1424B" w:rsidRPr="00C3136F">
        <w:rPr>
          <w:color w:val="auto"/>
          <w:sz w:val="22"/>
          <w:szCs w:val="22"/>
          <w:lang w:val="fr-CH"/>
        </w:rPr>
        <w:t xml:space="preserve"> </w:t>
      </w:r>
      <w:r w:rsidRPr="00C3136F">
        <w:rPr>
          <w:color w:val="auto"/>
          <w:sz w:val="22"/>
          <w:szCs w:val="22"/>
          <w:lang w:val="fr-CH"/>
        </w:rPr>
        <w:tab/>
      </w:r>
      <w:r w:rsidR="00424D32" w:rsidRPr="00C3136F">
        <w:rPr>
          <w:color w:val="auto"/>
          <w:sz w:val="22"/>
          <w:szCs w:val="22"/>
          <w:lang w:val="fr-CH"/>
        </w:rPr>
        <w:t>Le Bureau international propose donc de réaliser une enquête ponctuelle afin d</w:t>
      </w:r>
      <w:r w:rsidR="00660161" w:rsidRPr="00C3136F">
        <w:rPr>
          <w:color w:val="auto"/>
          <w:sz w:val="22"/>
          <w:szCs w:val="22"/>
          <w:lang w:val="fr-CH"/>
        </w:rPr>
        <w:t>’</w:t>
      </w:r>
      <w:r w:rsidR="00424D32" w:rsidRPr="00C3136F">
        <w:rPr>
          <w:color w:val="auto"/>
          <w:sz w:val="22"/>
          <w:szCs w:val="22"/>
          <w:lang w:val="fr-CH"/>
        </w:rPr>
        <w:t>étudier les politiques mises en œuvre par les offices concernant l</w:t>
      </w:r>
      <w:r w:rsidR="00660161" w:rsidRPr="00C3136F">
        <w:rPr>
          <w:color w:val="auto"/>
          <w:sz w:val="22"/>
          <w:szCs w:val="22"/>
          <w:lang w:val="fr-CH"/>
        </w:rPr>
        <w:t>’</w:t>
      </w:r>
      <w:r w:rsidR="00424D32" w:rsidRPr="00C3136F">
        <w:rPr>
          <w:color w:val="auto"/>
          <w:sz w:val="22"/>
          <w:szCs w:val="22"/>
          <w:lang w:val="fr-CH"/>
        </w:rPr>
        <w:t>utilisation de ressources d</w:t>
      </w:r>
      <w:r w:rsidR="00660161" w:rsidRPr="00C3136F">
        <w:rPr>
          <w:color w:val="auto"/>
          <w:sz w:val="22"/>
          <w:szCs w:val="22"/>
          <w:lang w:val="fr-CH"/>
        </w:rPr>
        <w:t>’</w:t>
      </w:r>
      <w:r w:rsidR="00424D32" w:rsidRPr="00C3136F">
        <w:rPr>
          <w:color w:val="auto"/>
          <w:sz w:val="22"/>
          <w:szCs w:val="22"/>
          <w:lang w:val="fr-CH"/>
        </w:rPr>
        <w:t>apprentissage en ligne provenant de différentes sources pour la formation de leurs examinateurs de breve</w:t>
      </w:r>
      <w:r w:rsidR="00531693" w:rsidRPr="00C3136F">
        <w:rPr>
          <w:color w:val="auto"/>
          <w:sz w:val="22"/>
          <w:szCs w:val="22"/>
          <w:lang w:val="fr-CH"/>
        </w:rPr>
        <w:t>ts.  Ce</w:t>
      </w:r>
      <w:r w:rsidR="00424D32" w:rsidRPr="00C3136F">
        <w:rPr>
          <w:color w:val="auto"/>
          <w:sz w:val="22"/>
          <w:szCs w:val="22"/>
          <w:lang w:val="fr-CH"/>
        </w:rPr>
        <w:t xml:space="preserve">tte enquête porterait aussi sur les politiques mises en </w:t>
      </w:r>
      <w:r w:rsidR="00CC6440" w:rsidRPr="00C3136F">
        <w:rPr>
          <w:color w:val="auto"/>
          <w:sz w:val="22"/>
          <w:szCs w:val="22"/>
          <w:lang w:val="fr-CH"/>
        </w:rPr>
        <w:t>œuvre</w:t>
      </w:r>
      <w:r w:rsidR="00424D32" w:rsidRPr="00C3136F">
        <w:rPr>
          <w:color w:val="auto"/>
          <w:sz w:val="22"/>
          <w:szCs w:val="22"/>
          <w:lang w:val="fr-CH"/>
        </w:rPr>
        <w:t xml:space="preserve"> par les offices dans le cadre de leur infrastructure de formation pour élaborer des ressources en ligne et pour partager ces ressources avec d</w:t>
      </w:r>
      <w:r w:rsidR="00660161" w:rsidRPr="00C3136F">
        <w:rPr>
          <w:color w:val="auto"/>
          <w:sz w:val="22"/>
          <w:szCs w:val="22"/>
          <w:lang w:val="fr-CH"/>
        </w:rPr>
        <w:t>’</w:t>
      </w:r>
      <w:r w:rsidR="00424D32" w:rsidRPr="00C3136F">
        <w:rPr>
          <w:color w:val="auto"/>
          <w:sz w:val="22"/>
          <w:szCs w:val="22"/>
          <w:lang w:val="fr-CH"/>
        </w:rPr>
        <w:t>autres offices intéressés ou utilisateurs potentie</w:t>
      </w:r>
      <w:r w:rsidR="00531693" w:rsidRPr="00C3136F">
        <w:rPr>
          <w:color w:val="auto"/>
          <w:sz w:val="22"/>
          <w:szCs w:val="22"/>
          <w:lang w:val="fr-CH"/>
        </w:rPr>
        <w:t>ls.  L’e</w:t>
      </w:r>
      <w:r w:rsidR="00424D32" w:rsidRPr="00C3136F">
        <w:rPr>
          <w:color w:val="auto"/>
          <w:sz w:val="22"/>
          <w:szCs w:val="22"/>
          <w:lang w:val="fr-CH"/>
        </w:rPr>
        <w:t>nquête permettrait en outre de recueillir les vues des offices sur l</w:t>
      </w:r>
      <w:r w:rsidR="00660161" w:rsidRPr="00C3136F">
        <w:rPr>
          <w:color w:val="auto"/>
          <w:sz w:val="22"/>
          <w:szCs w:val="22"/>
          <w:lang w:val="fr-CH"/>
        </w:rPr>
        <w:t>’</w:t>
      </w:r>
      <w:r w:rsidR="00424D32" w:rsidRPr="00C3136F">
        <w:rPr>
          <w:color w:val="auto"/>
          <w:sz w:val="22"/>
          <w:szCs w:val="22"/>
          <w:lang w:val="fr-CH"/>
        </w:rPr>
        <w:t>utilité de l</w:t>
      </w:r>
      <w:r w:rsidR="00660161" w:rsidRPr="00C3136F">
        <w:rPr>
          <w:color w:val="auto"/>
          <w:sz w:val="22"/>
          <w:szCs w:val="22"/>
          <w:lang w:val="fr-CH"/>
        </w:rPr>
        <w:t>’</w:t>
      </w:r>
      <w:r w:rsidR="00424D32" w:rsidRPr="00C3136F">
        <w:rPr>
          <w:color w:val="auto"/>
          <w:sz w:val="22"/>
          <w:szCs w:val="22"/>
          <w:lang w:val="fr-CH"/>
        </w:rPr>
        <w:t>apprentissage en ligne, sur les lacunes des ressources en ligne existantes et sur la coopération en ce qui concerne l</w:t>
      </w:r>
      <w:r w:rsidR="00660161" w:rsidRPr="00C3136F">
        <w:rPr>
          <w:color w:val="auto"/>
          <w:sz w:val="22"/>
          <w:szCs w:val="22"/>
          <w:lang w:val="fr-CH"/>
        </w:rPr>
        <w:t>’</w:t>
      </w:r>
      <w:r w:rsidR="00424D32" w:rsidRPr="00C3136F">
        <w:rPr>
          <w:color w:val="auto"/>
          <w:sz w:val="22"/>
          <w:szCs w:val="22"/>
          <w:lang w:val="fr-CH"/>
        </w:rPr>
        <w:t>élaboration et le partage de ces ressources</w:t>
      </w:r>
      <w:r w:rsidR="00A10B94" w:rsidRPr="00C3136F">
        <w:rPr>
          <w:color w:val="auto"/>
          <w:sz w:val="22"/>
          <w:szCs w:val="22"/>
          <w:lang w:val="fr-CH"/>
        </w:rPr>
        <w:t>.</w:t>
      </w:r>
      <w:r w:rsidRPr="00C3136F">
        <w:rPr>
          <w:color w:val="auto"/>
          <w:sz w:val="22"/>
          <w:szCs w:val="22"/>
          <w:lang w:val="fr-CH"/>
        </w:rPr>
        <w:t>”</w:t>
      </w:r>
    </w:p>
    <w:p w14:paraId="69DE43E4" w14:textId="77777777" w:rsidR="00660161" w:rsidRPr="00C3136F" w:rsidRDefault="00660161" w:rsidP="00CC6440">
      <w:pPr>
        <w:pStyle w:val="Default"/>
        <w:rPr>
          <w:color w:val="auto"/>
          <w:lang w:val="fr-CH"/>
        </w:rPr>
      </w:pPr>
    </w:p>
    <w:p w14:paraId="2D7B5660" w14:textId="59D22CB6" w:rsidR="00660161" w:rsidRPr="00C3136F" w:rsidRDefault="008203EB" w:rsidP="00CA2B25">
      <w:pPr>
        <w:pStyle w:val="ONUME"/>
        <w:rPr>
          <w:lang w:val="fr-CH"/>
        </w:rPr>
      </w:pPr>
      <w:r w:rsidRPr="00C3136F">
        <w:rPr>
          <w:lang w:val="fr-CH"/>
        </w:rPr>
        <w:t>À</w:t>
      </w:r>
      <w:r w:rsidR="00CA2B25" w:rsidRPr="00C3136F">
        <w:rPr>
          <w:lang w:val="fr-CH"/>
        </w:rPr>
        <w:t xml:space="preserve"> sa douz</w:t>
      </w:r>
      <w:r w:rsidR="00660161" w:rsidRPr="00C3136F">
        <w:rPr>
          <w:lang w:val="fr-CH"/>
        </w:rPr>
        <w:t>ième session</w:t>
      </w:r>
      <w:r w:rsidR="00CA2B25" w:rsidRPr="00C3136F">
        <w:rPr>
          <w:lang w:val="fr-CH"/>
        </w:rPr>
        <w:t>, le groupe de travail a approuvé la proposition du Bureau international de réaliser l</w:t>
      </w:r>
      <w:r w:rsidR="00660161" w:rsidRPr="00C3136F">
        <w:rPr>
          <w:lang w:val="fr-CH"/>
        </w:rPr>
        <w:t>’</w:t>
      </w:r>
      <w:r w:rsidR="00CA2B25" w:rsidRPr="00C3136F">
        <w:rPr>
          <w:lang w:val="fr-CH"/>
        </w:rPr>
        <w:t>enquête décrite au paragraphe</w:t>
      </w:r>
      <w:r w:rsidR="00660161" w:rsidRPr="00C3136F">
        <w:rPr>
          <w:lang w:val="fr-CH"/>
        </w:rPr>
        <w:t> </w:t>
      </w:r>
      <w:r w:rsidR="00CA2B25" w:rsidRPr="00C3136F">
        <w:rPr>
          <w:lang w:val="fr-CH"/>
        </w:rPr>
        <w:t>23 du document PCT/WG/12/6 (voir le paragraphe</w:t>
      </w:r>
      <w:r w:rsidR="00660161" w:rsidRPr="00C3136F">
        <w:rPr>
          <w:lang w:val="fr-CH"/>
        </w:rPr>
        <w:t> </w:t>
      </w:r>
      <w:r w:rsidR="00CA2B25" w:rsidRPr="00C3136F">
        <w:rPr>
          <w:lang w:val="fr-CH"/>
        </w:rPr>
        <w:t>173.b) du rapport de la session, document PCT/WG/12/25).</w:t>
      </w:r>
    </w:p>
    <w:p w14:paraId="6BDF6072" w14:textId="76AB3E8B" w:rsidR="00660161" w:rsidRPr="00C3136F" w:rsidRDefault="00CA2B25" w:rsidP="00CA2B25">
      <w:pPr>
        <w:pStyle w:val="ONUME"/>
        <w:rPr>
          <w:lang w:val="fr-CH"/>
        </w:rPr>
      </w:pPr>
      <w:r w:rsidRPr="00C3136F">
        <w:rPr>
          <w:lang w:val="fr-CH"/>
        </w:rPr>
        <w:t>Le Bureau international a donc publié la circulaire C.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PCT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1588</w:t>
      </w:r>
      <w:r w:rsidR="008203EB" w:rsidRPr="00C3136F">
        <w:rPr>
          <w:lang w:val="fr-CH"/>
        </w:rPr>
        <w:t>, datée</w:t>
      </w:r>
      <w:r w:rsidRPr="00C3136F">
        <w:rPr>
          <w:lang w:val="fr-CH"/>
        </w:rPr>
        <w:t xml:space="preserve"> du 27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février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2020, pour demander des informations concernant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utilisation des ressources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 pour la formation des examinateurs de brevets sur le fo</w:t>
      </w:r>
      <w:r w:rsidR="00531693" w:rsidRPr="00C3136F">
        <w:rPr>
          <w:lang w:val="fr-CH"/>
        </w:rPr>
        <w:t>nd.  Ce</w:t>
      </w:r>
      <w:r w:rsidRPr="00C3136F">
        <w:rPr>
          <w:lang w:val="fr-CH"/>
        </w:rPr>
        <w:t>tte circulaire a reçu 19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réponses, dont quelques</w:t>
      </w:r>
      <w:r w:rsidR="00660161" w:rsidRPr="00C3136F">
        <w:rPr>
          <w:lang w:val="fr-CH"/>
        </w:rPr>
        <w:t>-</w:t>
      </w:r>
      <w:r w:rsidRPr="00C3136F">
        <w:rPr>
          <w:lang w:val="fr-CH"/>
        </w:rPr>
        <w:t>unes seulement provenaient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offices de propriété intellectuelle de pays en développement et de pays de la catégorie des moins avancés</w:t>
      </w:r>
      <w:r w:rsidR="005948CE" w:rsidRPr="00C3136F">
        <w:rPr>
          <w:lang w:val="fr-CH"/>
        </w:rPr>
        <w:t xml:space="preserve">.  </w:t>
      </w:r>
      <w:r w:rsidRPr="00C3136F">
        <w:rPr>
          <w:lang w:val="fr-CH"/>
        </w:rPr>
        <w:t>Le nombre limité de réponses peut être lié à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autres priorités découlant de la pandémie de COVID</w:t>
      </w:r>
      <w:r w:rsidR="00660161" w:rsidRPr="00C3136F">
        <w:rPr>
          <w:lang w:val="fr-CH"/>
        </w:rPr>
        <w:t>-</w:t>
      </w:r>
      <w:r w:rsidRPr="00C3136F">
        <w:rPr>
          <w:lang w:val="fr-CH"/>
        </w:rPr>
        <w:t>19.</w:t>
      </w:r>
    </w:p>
    <w:p w14:paraId="25B51FB4" w14:textId="780377CE" w:rsidR="00660161" w:rsidRPr="00C3136F" w:rsidRDefault="005948CE" w:rsidP="006D7ABE">
      <w:pPr>
        <w:pStyle w:val="ONUME"/>
        <w:rPr>
          <w:lang w:val="fr-CH"/>
        </w:rPr>
      </w:pPr>
      <w:r w:rsidRPr="00C3136F">
        <w:rPr>
          <w:lang w:val="fr-CH"/>
        </w:rPr>
        <w:t xml:space="preserve">Face à </w:t>
      </w:r>
      <w:r w:rsidR="006D7ABE" w:rsidRPr="00C3136F">
        <w:rPr>
          <w:lang w:val="fr-CH"/>
        </w:rPr>
        <w:t>la pandémie de COVID</w:t>
      </w:r>
      <w:r w:rsidR="00660161" w:rsidRPr="00C3136F">
        <w:rPr>
          <w:lang w:val="fr-CH"/>
        </w:rPr>
        <w:t>-</w:t>
      </w:r>
      <w:r w:rsidR="006D7ABE" w:rsidRPr="00C3136F">
        <w:rPr>
          <w:lang w:val="fr-CH"/>
        </w:rPr>
        <w:t>19, les offices ont peut</w:t>
      </w:r>
      <w:r w:rsidR="00660161" w:rsidRPr="00C3136F">
        <w:rPr>
          <w:lang w:val="fr-CH"/>
        </w:rPr>
        <w:t>-</w:t>
      </w:r>
      <w:r w:rsidR="006D7ABE" w:rsidRPr="00C3136F">
        <w:rPr>
          <w:lang w:val="fr-CH"/>
        </w:rPr>
        <w:t>être revu leurs politiques en matière d</w:t>
      </w:r>
      <w:r w:rsidR="00660161" w:rsidRPr="00C3136F">
        <w:rPr>
          <w:lang w:val="fr-CH"/>
        </w:rPr>
        <w:t>’</w:t>
      </w:r>
      <w:r w:rsidR="006D7ABE" w:rsidRPr="00C3136F">
        <w:rPr>
          <w:lang w:val="fr-CH"/>
        </w:rPr>
        <w:t>apprentissage en lig</w:t>
      </w:r>
      <w:r w:rsidR="00531693" w:rsidRPr="00C3136F">
        <w:rPr>
          <w:lang w:val="fr-CH"/>
        </w:rPr>
        <w:t>ne.  Da</w:t>
      </w:r>
      <w:r w:rsidR="006D7ABE" w:rsidRPr="00C3136F">
        <w:rPr>
          <w:lang w:val="fr-CH"/>
        </w:rPr>
        <w:t>ns ce contexte, le Bureau international a proposé de répéter l</w:t>
      </w:r>
      <w:r w:rsidR="00660161" w:rsidRPr="00C3136F">
        <w:rPr>
          <w:lang w:val="fr-CH"/>
        </w:rPr>
        <w:t>’</w:t>
      </w:r>
      <w:r w:rsidR="006D7ABE" w:rsidRPr="00C3136F">
        <w:rPr>
          <w:lang w:val="fr-CH"/>
        </w:rPr>
        <w:t>enquête et d</w:t>
      </w:r>
      <w:r w:rsidRPr="00C3136F">
        <w:rPr>
          <w:lang w:val="fr-CH"/>
        </w:rPr>
        <w:t>’</w:t>
      </w:r>
      <w:r w:rsidR="006D7ABE" w:rsidRPr="00C3136F">
        <w:rPr>
          <w:lang w:val="fr-CH"/>
        </w:rPr>
        <w:t>e</w:t>
      </w:r>
      <w:r w:rsidRPr="00C3136F">
        <w:rPr>
          <w:lang w:val="fr-CH"/>
        </w:rPr>
        <w:t>n</w:t>
      </w:r>
      <w:r w:rsidR="006D7ABE" w:rsidRPr="00C3136F">
        <w:rPr>
          <w:lang w:val="fr-CH"/>
        </w:rPr>
        <w:t xml:space="preserve"> faire rapport à la quatorz</w:t>
      </w:r>
      <w:r w:rsidR="00660161" w:rsidRPr="00C3136F">
        <w:rPr>
          <w:lang w:val="fr-CH"/>
        </w:rPr>
        <w:t>ième session</w:t>
      </w:r>
      <w:r w:rsidR="006D7ABE" w:rsidRPr="00C3136F">
        <w:rPr>
          <w:lang w:val="fr-CH"/>
        </w:rPr>
        <w:t xml:space="preserve"> du groupe de travail </w:t>
      </w:r>
      <w:r w:rsidR="00660161" w:rsidRPr="00C3136F">
        <w:rPr>
          <w:lang w:val="fr-CH"/>
        </w:rPr>
        <w:t>en 2021</w:t>
      </w:r>
      <w:r w:rsidR="006D7ABE" w:rsidRPr="00C3136F">
        <w:rPr>
          <w:lang w:val="fr-CH"/>
        </w:rPr>
        <w:t xml:space="preserve"> (voir le document PCT/WG/13/11).</w:t>
      </w:r>
      <w:r w:rsidR="00A10B94" w:rsidRPr="00C3136F">
        <w:rPr>
          <w:lang w:val="fr-CH"/>
        </w:rPr>
        <w:t xml:space="preserve"> </w:t>
      </w:r>
      <w:r w:rsidR="00A72F36" w:rsidRPr="00C3136F">
        <w:rPr>
          <w:lang w:val="fr-CH"/>
        </w:rPr>
        <w:t xml:space="preserve"> </w:t>
      </w:r>
      <w:r w:rsidR="006D7ABE" w:rsidRPr="00C3136F">
        <w:rPr>
          <w:lang w:val="fr-CH"/>
        </w:rPr>
        <w:t>Le Bureau international a donc émis la circulaire C.</w:t>
      </w:r>
      <w:r w:rsidR="00660161" w:rsidRPr="00C3136F">
        <w:rPr>
          <w:lang w:val="fr-CH"/>
        </w:rPr>
        <w:t> </w:t>
      </w:r>
      <w:r w:rsidR="006D7ABE" w:rsidRPr="00C3136F">
        <w:rPr>
          <w:lang w:val="fr-CH"/>
        </w:rPr>
        <w:t>PCT</w:t>
      </w:r>
      <w:r w:rsidR="00660161" w:rsidRPr="00C3136F">
        <w:rPr>
          <w:lang w:val="fr-CH"/>
        </w:rPr>
        <w:t> </w:t>
      </w:r>
      <w:r w:rsidR="006D7ABE" w:rsidRPr="00C3136F">
        <w:rPr>
          <w:lang w:val="fr-CH"/>
        </w:rPr>
        <w:t>1620, datée du 6</w:t>
      </w:r>
      <w:r w:rsidR="00660161" w:rsidRPr="00C3136F">
        <w:rPr>
          <w:lang w:val="fr-CH"/>
        </w:rPr>
        <w:t> </w:t>
      </w:r>
      <w:r w:rsidR="006D7ABE" w:rsidRPr="00C3136F">
        <w:rPr>
          <w:lang w:val="fr-CH"/>
        </w:rPr>
        <w:t>avril</w:t>
      </w:r>
      <w:r w:rsidR="00660161" w:rsidRPr="00C3136F">
        <w:rPr>
          <w:lang w:val="fr-CH"/>
        </w:rPr>
        <w:t> </w:t>
      </w:r>
      <w:r w:rsidR="006D7ABE" w:rsidRPr="00C3136F">
        <w:rPr>
          <w:lang w:val="fr-CH"/>
        </w:rPr>
        <w:t>2021.</w:t>
      </w:r>
      <w:r w:rsidR="00A10B94" w:rsidRPr="00C3136F">
        <w:rPr>
          <w:lang w:val="fr-CH"/>
        </w:rPr>
        <w:t xml:space="preserve">  </w:t>
      </w:r>
      <w:r w:rsidR="006D7ABE" w:rsidRPr="00C3136F">
        <w:rPr>
          <w:lang w:val="fr-CH"/>
        </w:rPr>
        <w:t xml:space="preserve">Le questionnaire annexé à cette circulaire était essentiellement </w:t>
      </w:r>
      <w:r w:rsidRPr="00C3136F">
        <w:rPr>
          <w:lang w:val="fr-CH"/>
        </w:rPr>
        <w:t>l’</w:t>
      </w:r>
      <w:r w:rsidR="006D7ABE" w:rsidRPr="00C3136F">
        <w:rPr>
          <w:lang w:val="fr-CH"/>
        </w:rPr>
        <w:t xml:space="preserve">équivalent </w:t>
      </w:r>
      <w:r w:rsidRPr="00C3136F">
        <w:rPr>
          <w:lang w:val="fr-CH"/>
        </w:rPr>
        <w:t>d</w:t>
      </w:r>
      <w:r w:rsidR="006D7ABE" w:rsidRPr="00C3136F">
        <w:rPr>
          <w:lang w:val="fr-CH"/>
        </w:rPr>
        <w:t>u questionnaire accompagn</w:t>
      </w:r>
      <w:r w:rsidRPr="00C3136F">
        <w:rPr>
          <w:lang w:val="fr-CH"/>
        </w:rPr>
        <w:t>ant</w:t>
      </w:r>
      <w:r w:rsidR="006D7ABE" w:rsidRPr="00C3136F">
        <w:rPr>
          <w:lang w:val="fr-CH"/>
        </w:rPr>
        <w:t xml:space="preserve"> la circulaire C.</w:t>
      </w:r>
      <w:r w:rsidR="00660161" w:rsidRPr="00C3136F">
        <w:rPr>
          <w:lang w:val="fr-CH"/>
        </w:rPr>
        <w:t> </w:t>
      </w:r>
      <w:r w:rsidR="006D7ABE" w:rsidRPr="00C3136F">
        <w:rPr>
          <w:lang w:val="fr-CH"/>
        </w:rPr>
        <w:t>PCT</w:t>
      </w:r>
      <w:r w:rsidR="00660161" w:rsidRPr="00C3136F">
        <w:rPr>
          <w:lang w:val="fr-CH"/>
        </w:rPr>
        <w:t> </w:t>
      </w:r>
      <w:r w:rsidR="006D7ABE" w:rsidRPr="00C3136F">
        <w:rPr>
          <w:lang w:val="fr-CH"/>
        </w:rPr>
        <w:t>1588, à l</w:t>
      </w:r>
      <w:r w:rsidR="00660161" w:rsidRPr="00C3136F">
        <w:rPr>
          <w:lang w:val="fr-CH"/>
        </w:rPr>
        <w:t>’</w:t>
      </w:r>
      <w:r w:rsidR="006D7ABE" w:rsidRPr="00C3136F">
        <w:rPr>
          <w:lang w:val="fr-CH"/>
        </w:rPr>
        <w:t>exception d</w:t>
      </w:r>
      <w:r w:rsidR="00660161" w:rsidRPr="00C3136F">
        <w:rPr>
          <w:lang w:val="fr-CH"/>
        </w:rPr>
        <w:t>’</w:t>
      </w:r>
      <w:r w:rsidR="006D7ABE" w:rsidRPr="00C3136F">
        <w:rPr>
          <w:lang w:val="fr-CH"/>
        </w:rPr>
        <w:t>une mise à jour relative à la compilation des ressources d</w:t>
      </w:r>
      <w:r w:rsidR="00660161" w:rsidRPr="00C3136F">
        <w:rPr>
          <w:lang w:val="fr-CH"/>
        </w:rPr>
        <w:t>’</w:t>
      </w:r>
      <w:r w:rsidR="006D7ABE" w:rsidRPr="00C3136F">
        <w:rPr>
          <w:lang w:val="fr-CH"/>
        </w:rPr>
        <w:t xml:space="preserve">apprentissage </w:t>
      </w:r>
      <w:r w:rsidRPr="00C3136F">
        <w:rPr>
          <w:lang w:val="fr-CH"/>
        </w:rPr>
        <w:t>en ligne</w:t>
      </w:r>
      <w:r w:rsidR="006D7ABE" w:rsidRPr="00C3136F">
        <w:rPr>
          <w:lang w:val="fr-CH"/>
        </w:rPr>
        <w:t xml:space="preserve"> gérée par le Bureau international.</w:t>
      </w:r>
    </w:p>
    <w:p w14:paraId="526B4FF9" w14:textId="5110A935" w:rsidR="00660161" w:rsidRPr="00C3136F" w:rsidRDefault="006D7ABE" w:rsidP="006D7ABE">
      <w:pPr>
        <w:pStyle w:val="Heading1"/>
        <w:rPr>
          <w:lang w:val="fr-CH"/>
        </w:rPr>
      </w:pPr>
      <w:r w:rsidRPr="00C3136F">
        <w:rPr>
          <w:lang w:val="fr-CH"/>
        </w:rPr>
        <w:t>VUE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ENSEMBLE DES RÉPONSES À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ENQUÊTE</w:t>
      </w:r>
    </w:p>
    <w:p w14:paraId="34B0D5B8" w14:textId="5F1F7AF8" w:rsidR="00660161" w:rsidRPr="00C3136F" w:rsidRDefault="006D7ABE" w:rsidP="006D7ABE">
      <w:pPr>
        <w:pStyle w:val="ONUME"/>
        <w:rPr>
          <w:lang w:val="fr-CH"/>
        </w:rPr>
      </w:pPr>
      <w:r w:rsidRPr="00C3136F">
        <w:rPr>
          <w:lang w:val="fr-CH"/>
        </w:rPr>
        <w:t>Le Bureau international a reçu 31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réponses à la circulaire C.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PCT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1620.</w:t>
      </w:r>
      <w:r w:rsidR="00A10B94" w:rsidRPr="00C3136F">
        <w:rPr>
          <w:lang w:val="fr-CH"/>
        </w:rPr>
        <w:t xml:space="preserve"> </w:t>
      </w:r>
      <w:r w:rsidR="00A72F36" w:rsidRPr="00C3136F">
        <w:rPr>
          <w:lang w:val="fr-CH"/>
        </w:rPr>
        <w:t xml:space="preserve"> </w:t>
      </w:r>
      <w:r w:rsidRPr="00C3136F">
        <w:rPr>
          <w:lang w:val="fr-CH"/>
        </w:rPr>
        <w:t>Les réponses de 12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autres pays qui avaient répondu à la circulaire C.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PCT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1588</w:t>
      </w:r>
      <w:r w:rsidR="005948CE" w:rsidRPr="00C3136F">
        <w:rPr>
          <w:lang w:val="fr-CH"/>
        </w:rPr>
        <w:t>,</w:t>
      </w:r>
      <w:r w:rsidRPr="00C3136F">
        <w:rPr>
          <w:lang w:val="fr-CH"/>
        </w:rPr>
        <w:t xml:space="preserve"> mais pas à la circulaire C.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PCT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1620</w:t>
      </w:r>
      <w:r w:rsidR="005948CE" w:rsidRPr="00C3136F">
        <w:rPr>
          <w:lang w:val="fr-CH"/>
        </w:rPr>
        <w:t>,</w:t>
      </w:r>
      <w:r w:rsidRPr="00C3136F">
        <w:rPr>
          <w:lang w:val="fr-CH"/>
        </w:rPr>
        <w:t xml:space="preserve"> ont également été prises en considération pour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évaluation de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 xml:space="preserve">enquête, </w:t>
      </w:r>
      <w:r w:rsidR="005948CE" w:rsidRPr="00C3136F">
        <w:rPr>
          <w:lang w:val="fr-CH"/>
        </w:rPr>
        <w:t>puisque</w:t>
      </w:r>
      <w:r w:rsidRPr="00C3136F">
        <w:rPr>
          <w:lang w:val="fr-CH"/>
        </w:rPr>
        <w:t xml:space="preserve"> les deux</w:t>
      </w:r>
      <w:r w:rsidR="00B1424B" w:rsidRPr="00C3136F">
        <w:rPr>
          <w:lang w:val="fr-CH"/>
        </w:rPr>
        <w:t> </w:t>
      </w:r>
      <w:r w:rsidRPr="00C3136F">
        <w:rPr>
          <w:lang w:val="fr-CH"/>
        </w:rPr>
        <w:t>circulaires étaient accompagnées de questionnaires identiqu</w:t>
      </w:r>
      <w:r w:rsidR="00531693" w:rsidRPr="00C3136F">
        <w:rPr>
          <w:lang w:val="fr-CH"/>
        </w:rPr>
        <w:t>es.  Su</w:t>
      </w:r>
      <w:r w:rsidRPr="00C3136F">
        <w:rPr>
          <w:lang w:val="fr-CH"/>
        </w:rPr>
        <w:t>r les 43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 xml:space="preserve">réponses </w:t>
      </w:r>
      <w:r w:rsidR="005948CE" w:rsidRPr="00C3136F">
        <w:rPr>
          <w:lang w:val="fr-CH"/>
        </w:rPr>
        <w:lastRenderedPageBreak/>
        <w:t xml:space="preserve">reçues </w:t>
      </w:r>
      <w:r w:rsidRPr="00C3136F">
        <w:rPr>
          <w:lang w:val="fr-CH"/>
        </w:rPr>
        <w:t>aux deux</w:t>
      </w:r>
      <w:r w:rsidR="00B1424B" w:rsidRPr="00C3136F">
        <w:rPr>
          <w:lang w:val="fr-CH"/>
        </w:rPr>
        <w:t> </w:t>
      </w:r>
      <w:r w:rsidRPr="00C3136F">
        <w:rPr>
          <w:lang w:val="fr-CH"/>
        </w:rPr>
        <w:t>enquêtes, seules 18 provenaient de pays en développement, de pays de la catégorie des moins avancés ou de pays en transition.</w:t>
      </w:r>
    </w:p>
    <w:p w14:paraId="62194730" w14:textId="00893D59" w:rsidR="00660161" w:rsidRPr="00C3136F" w:rsidRDefault="006D7ABE" w:rsidP="006D7ABE">
      <w:pPr>
        <w:pStyle w:val="ONUME"/>
        <w:rPr>
          <w:lang w:val="fr-CH"/>
        </w:rPr>
      </w:pPr>
      <w:r w:rsidRPr="00C3136F">
        <w:rPr>
          <w:lang w:val="fr-CH"/>
        </w:rPr>
        <w:t>Une analyse statistique et une compilation de citations de commentaires provenant des 42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réponses aux deux</w:t>
      </w:r>
      <w:r w:rsidR="00B1424B" w:rsidRPr="00C3136F">
        <w:rPr>
          <w:lang w:val="fr-CH"/>
        </w:rPr>
        <w:t> </w:t>
      </w:r>
      <w:r w:rsidRPr="00C3136F">
        <w:rPr>
          <w:lang w:val="fr-CH"/>
        </w:rPr>
        <w:t xml:space="preserve">circulaires sont disponibles sur la </w:t>
      </w:r>
      <w:r w:rsidR="00660161" w:rsidRPr="00C3136F">
        <w:rPr>
          <w:lang w:val="fr-CH"/>
        </w:rPr>
        <w:t>page W</w:t>
      </w:r>
      <w:r w:rsidRPr="00C3136F">
        <w:rPr>
          <w:lang w:val="fr-CH"/>
        </w:rPr>
        <w:t>eb de cette sessi</w:t>
      </w:r>
      <w:r w:rsidR="00531693" w:rsidRPr="00C3136F">
        <w:rPr>
          <w:lang w:val="fr-CH"/>
        </w:rPr>
        <w:t>on.  Le</w:t>
      </w:r>
      <w:r w:rsidRPr="00C3136F">
        <w:rPr>
          <w:lang w:val="fr-CH"/>
        </w:rPr>
        <w:t>s réponses à la circulaire C.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PCT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1588 ont été signalées séparément afin de les distinguer des autres réponses.</w:t>
      </w:r>
    </w:p>
    <w:p w14:paraId="179AC18C" w14:textId="5F385B48" w:rsidR="00660161" w:rsidRPr="00C3136F" w:rsidRDefault="006D7ABE" w:rsidP="006D7ABE">
      <w:pPr>
        <w:pStyle w:val="ONUME"/>
        <w:rPr>
          <w:lang w:val="fr-CH"/>
        </w:rPr>
      </w:pPr>
      <w:r w:rsidRPr="00C3136F">
        <w:rPr>
          <w:lang w:val="fr-CH"/>
        </w:rPr>
        <w:t>Les paragraphes suivants résument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évaluation des réponses aux questionnaires.</w:t>
      </w:r>
    </w:p>
    <w:p w14:paraId="412AD141" w14:textId="77407DEF" w:rsidR="00660161" w:rsidRPr="00C3136F" w:rsidRDefault="006D7ABE" w:rsidP="006D7ABE">
      <w:pPr>
        <w:pStyle w:val="Heading2"/>
        <w:rPr>
          <w:lang w:val="fr-CH"/>
        </w:rPr>
      </w:pPr>
      <w:r w:rsidRPr="00C3136F">
        <w:rPr>
          <w:lang w:val="fr-CH"/>
        </w:rPr>
        <w:t>POLITIQUES CONCERNANT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UTILISATION DES RESSOURCES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</w:t>
      </w:r>
    </w:p>
    <w:p w14:paraId="03CD5AA0" w14:textId="71F5FDB8" w:rsidR="00660161" w:rsidRPr="00C3136F" w:rsidRDefault="006D7ABE" w:rsidP="006D7ABE">
      <w:pPr>
        <w:pStyle w:val="ONUME"/>
        <w:rPr>
          <w:lang w:val="fr-CH"/>
        </w:rPr>
      </w:pPr>
      <w:r w:rsidRPr="00C3136F">
        <w:rPr>
          <w:lang w:val="fr-CH"/>
        </w:rPr>
        <w:t>Vingt</w:t>
      </w:r>
      <w:r w:rsidR="00660161" w:rsidRPr="00C3136F">
        <w:rPr>
          <w:lang w:val="fr-CH"/>
        </w:rPr>
        <w:t>-</w:t>
      </w:r>
      <w:r w:rsidRPr="00C3136F">
        <w:rPr>
          <w:lang w:val="fr-CH"/>
        </w:rPr>
        <w:t>huit offices ont répondu qu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ils avaient établi une politique sur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utilisation obligatoire ou volontaire des ressources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ligne, tandis que 15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offices ont répondu qu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ils n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avaient pas mis en place une telle politique.</w:t>
      </w:r>
    </w:p>
    <w:p w14:paraId="2700668D" w14:textId="76F4851B" w:rsidR="00660161" w:rsidRPr="00C3136F" w:rsidRDefault="006D7ABE" w:rsidP="006D7ABE">
      <w:pPr>
        <w:pStyle w:val="ONUME"/>
        <w:rPr>
          <w:lang w:val="fr-CH"/>
        </w:rPr>
      </w:pPr>
      <w:r w:rsidRPr="00C3136F">
        <w:rPr>
          <w:lang w:val="fr-CH"/>
        </w:rPr>
        <w:t>Pour 18 des 28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offices dotés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une politique en la matière,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utilisation de certaines ressources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 est obligatoire pour la formation initiale des examinateurs, et pour huit</w:t>
      </w:r>
      <w:r w:rsidR="00B1424B" w:rsidRPr="00C3136F">
        <w:rPr>
          <w:lang w:val="fr-CH"/>
        </w:rPr>
        <w:t> </w:t>
      </w:r>
      <w:r w:rsidRPr="00C3136F">
        <w:rPr>
          <w:lang w:val="fr-CH"/>
        </w:rPr>
        <w:t>de</w:t>
      </w:r>
      <w:r w:rsidR="005948CE" w:rsidRPr="00C3136F">
        <w:rPr>
          <w:lang w:val="fr-CH"/>
        </w:rPr>
        <w:t xml:space="preserve"> ce</w:t>
      </w:r>
      <w:r w:rsidRPr="00C3136F">
        <w:rPr>
          <w:lang w:val="fr-CH"/>
        </w:rPr>
        <w:t>s 28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offices elle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est également pour la formation postérieure à la formation initia</w:t>
      </w:r>
      <w:r w:rsidR="00531693" w:rsidRPr="00C3136F">
        <w:rPr>
          <w:lang w:val="fr-CH"/>
        </w:rPr>
        <w:t>le.  Po</w:t>
      </w:r>
      <w:r w:rsidRPr="00C3136F">
        <w:rPr>
          <w:lang w:val="fr-CH"/>
        </w:rPr>
        <w:t>ur six</w:t>
      </w:r>
      <w:r w:rsidR="00B1424B" w:rsidRPr="00C3136F">
        <w:rPr>
          <w:lang w:val="fr-CH"/>
        </w:rPr>
        <w:t> </w:t>
      </w:r>
      <w:r w:rsidRPr="00C3136F">
        <w:rPr>
          <w:lang w:val="fr-CH"/>
        </w:rPr>
        <w:t>offices,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utilisation des ressources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 n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est pas obligatoire.</w:t>
      </w:r>
    </w:p>
    <w:p w14:paraId="021A2C99" w14:textId="30F621C2" w:rsidR="00660161" w:rsidRPr="00C3136F" w:rsidRDefault="005C160C" w:rsidP="005C160C">
      <w:pPr>
        <w:pStyle w:val="ONUME"/>
        <w:rPr>
          <w:lang w:val="fr-CH"/>
        </w:rPr>
      </w:pPr>
      <w:r w:rsidRPr="00C3136F">
        <w:rPr>
          <w:lang w:val="fr-CH"/>
        </w:rPr>
        <w:t>On peut déjà considérer qu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un office recommandant simp</w:t>
      </w:r>
      <w:r w:rsidR="005948CE" w:rsidRPr="00C3136F">
        <w:rPr>
          <w:lang w:val="fr-CH"/>
        </w:rPr>
        <w:t>l</w:t>
      </w:r>
      <w:r w:rsidRPr="00C3136F">
        <w:rPr>
          <w:lang w:val="fr-CH"/>
        </w:rPr>
        <w:t>ement à ses examinateurs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utiliser des ressources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 sur une base volontaire, ou prévoyant des mesures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incitation dans ce sens, est doté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une politique concernant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utilisation de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</w:t>
      </w:r>
      <w:r w:rsidR="00531693" w:rsidRPr="00C3136F">
        <w:rPr>
          <w:lang w:val="fr-CH"/>
        </w:rPr>
        <w:t>ne.  C’e</w:t>
      </w:r>
      <w:r w:rsidRPr="00C3136F">
        <w:rPr>
          <w:lang w:val="fr-CH"/>
        </w:rPr>
        <w:t xml:space="preserve">st </w:t>
      </w:r>
      <w:r w:rsidR="005948CE" w:rsidRPr="00C3136F">
        <w:rPr>
          <w:lang w:val="fr-CH"/>
        </w:rPr>
        <w:t>ce que font les</w:t>
      </w:r>
      <w:r w:rsidRPr="00C3136F">
        <w:rPr>
          <w:lang w:val="fr-CH"/>
        </w:rPr>
        <w:t xml:space="preserve"> 28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offices</w:t>
      </w:r>
      <w:r w:rsidR="005948CE" w:rsidRPr="00C3136F">
        <w:rPr>
          <w:lang w:val="fr-CH"/>
        </w:rPr>
        <w:t xml:space="preserve"> susmentionnés</w:t>
      </w:r>
      <w:r w:rsidRPr="00C3136F">
        <w:rPr>
          <w:lang w:val="fr-CH"/>
        </w:rPr>
        <w:t>, dont 20 ont même approuvé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utilisation de certaines ressources, principalement les centres de formation en ligne de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Office européen des brevets et de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O</w:t>
      </w:r>
      <w:r w:rsidR="00531693" w:rsidRPr="00C3136F">
        <w:rPr>
          <w:lang w:val="fr-CH"/>
        </w:rPr>
        <w:t>MPI.  Ce</w:t>
      </w:r>
      <w:r w:rsidRPr="00C3136F">
        <w:rPr>
          <w:lang w:val="fr-CH"/>
        </w:rPr>
        <w:t xml:space="preserve">rtains offices ont également approuvé les </w:t>
      </w:r>
      <w:r w:rsidR="005948CE" w:rsidRPr="00C3136F">
        <w:rPr>
          <w:lang w:val="fr-CH"/>
        </w:rPr>
        <w:t>plateformes</w:t>
      </w:r>
      <w:r w:rsidRPr="00C3136F">
        <w:rPr>
          <w:lang w:val="fr-CH"/>
        </w:rPr>
        <w:t xml:space="preserve"> de formation en ligne de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Office de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 xml:space="preserve">Union européenne pour la propriété intellectuelle et du fournisseur de bases de données commerciales </w:t>
      </w:r>
      <w:r w:rsidR="00531693" w:rsidRPr="00C3136F">
        <w:rPr>
          <w:lang w:val="fr-CH"/>
        </w:rPr>
        <w:t>STN.  Un</w:t>
      </w:r>
      <w:r w:rsidRPr="00C3136F">
        <w:rPr>
          <w:lang w:val="fr-CH"/>
        </w:rPr>
        <w:t xml:space="preserve"> office a également approuvé des </w:t>
      </w:r>
      <w:r w:rsidR="005948CE" w:rsidRPr="00C3136F">
        <w:rPr>
          <w:lang w:val="fr-CH"/>
        </w:rPr>
        <w:t xml:space="preserve">plateformes </w:t>
      </w:r>
      <w:r w:rsidRPr="00C3136F">
        <w:rPr>
          <w:lang w:val="fr-CH"/>
        </w:rPr>
        <w:t>de formation en ligne non lié</w:t>
      </w:r>
      <w:r w:rsidR="005948CE" w:rsidRPr="00C3136F">
        <w:rPr>
          <w:lang w:val="fr-CH"/>
        </w:rPr>
        <w:t>e</w:t>
      </w:r>
      <w:r w:rsidRPr="00C3136F">
        <w:rPr>
          <w:lang w:val="fr-CH"/>
        </w:rPr>
        <w:t xml:space="preserve">s à la propriété intellectuelle, comme </w:t>
      </w:r>
      <w:hyperlink r:id="rId9" w:history="1">
        <w:r w:rsidRPr="005C160C">
          <w:rPr>
            <w:rStyle w:val="Hyperlink"/>
            <w:lang w:val="fr-CH"/>
          </w:rPr>
          <w:t>coursera.org</w:t>
        </w:r>
      </w:hyperlink>
      <w:r w:rsidRPr="005C160C">
        <w:rPr>
          <w:color w:val="808080"/>
          <w:lang w:val="fr-CH"/>
        </w:rPr>
        <w:t>.</w:t>
      </w:r>
    </w:p>
    <w:p w14:paraId="0DA45D7D" w14:textId="6DA2F676" w:rsidR="00660161" w:rsidRPr="00C3136F" w:rsidRDefault="0008136D" w:rsidP="0008136D">
      <w:pPr>
        <w:pStyle w:val="ONUME"/>
        <w:rPr>
          <w:lang w:val="fr-CH"/>
        </w:rPr>
      </w:pPr>
      <w:r w:rsidRPr="00C3136F">
        <w:rPr>
          <w:lang w:val="fr-CH"/>
        </w:rPr>
        <w:t>Des incitations à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utilisation volontaire de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 pourraient former un autre aspect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une politique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utilisation dans ce domai</w:t>
      </w:r>
      <w:r w:rsidR="00531693" w:rsidRPr="00C3136F">
        <w:rPr>
          <w:lang w:val="fr-CH"/>
        </w:rPr>
        <w:t>ne.  Tr</w:t>
      </w:r>
      <w:r w:rsidRPr="00C3136F">
        <w:rPr>
          <w:lang w:val="fr-CH"/>
        </w:rPr>
        <w:t>ente</w:t>
      </w:r>
      <w:r w:rsidR="00660161" w:rsidRPr="00C3136F">
        <w:rPr>
          <w:lang w:val="fr-CH"/>
        </w:rPr>
        <w:t>-</w:t>
      </w:r>
      <w:r w:rsidRPr="00C3136F">
        <w:rPr>
          <w:lang w:val="fr-CH"/>
        </w:rPr>
        <w:t>six offices ont répondu que le</w:t>
      </w:r>
      <w:r w:rsidR="005948CE" w:rsidRPr="00C3136F">
        <w:rPr>
          <w:lang w:val="fr-CH"/>
        </w:rPr>
        <w:t>ur</w:t>
      </w:r>
      <w:r w:rsidRPr="00C3136F">
        <w:rPr>
          <w:lang w:val="fr-CH"/>
        </w:rPr>
        <w:t>s examinateurs sont autorisés à consacrer une partie de leur temps de travail à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 xml:space="preserve">apprentissage en ligne </w:t>
      </w:r>
      <w:proofErr w:type="gramStart"/>
      <w:r w:rsidRPr="00C3136F">
        <w:rPr>
          <w:lang w:val="fr-CH"/>
        </w:rPr>
        <w:t xml:space="preserve">volontaire; </w:t>
      </w:r>
      <w:r w:rsidR="00B1424B" w:rsidRPr="00C3136F">
        <w:rPr>
          <w:lang w:val="fr-CH"/>
        </w:rPr>
        <w:t xml:space="preserve"> </w:t>
      </w:r>
      <w:r w:rsidRPr="00C3136F">
        <w:rPr>
          <w:lang w:val="fr-CH"/>
        </w:rPr>
        <w:t>sept</w:t>
      </w:r>
      <w:proofErr w:type="gramEnd"/>
      <w:r w:rsidR="00B1424B" w:rsidRPr="00C3136F">
        <w:rPr>
          <w:lang w:val="fr-CH"/>
        </w:rPr>
        <w:t> </w:t>
      </w:r>
      <w:r w:rsidRPr="00C3136F">
        <w:rPr>
          <w:lang w:val="fr-CH"/>
        </w:rPr>
        <w:t>offices ne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autorisent p</w:t>
      </w:r>
      <w:r w:rsidR="00531693" w:rsidRPr="00C3136F">
        <w:rPr>
          <w:lang w:val="fr-CH"/>
        </w:rPr>
        <w:t>as.  Il</w:t>
      </w:r>
      <w:r w:rsidRPr="00C3136F">
        <w:rPr>
          <w:lang w:val="fr-CH"/>
        </w:rPr>
        <w:t xml:space="preserve"> apparaît donc que les offices dotés au moins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une politique implicite concernant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utilisation des ressources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 sont effectivement plus nombreux que les 28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 xml:space="preserve">offices ayant expressément confirmé </w:t>
      </w:r>
      <w:r w:rsidR="005948CE" w:rsidRPr="00C3136F">
        <w:rPr>
          <w:lang w:val="fr-CH"/>
        </w:rPr>
        <w:t>avoir mis en place une</w:t>
      </w:r>
      <w:r w:rsidRPr="00C3136F">
        <w:rPr>
          <w:lang w:val="fr-CH"/>
        </w:rPr>
        <w:t xml:space="preserve"> telle politique.</w:t>
      </w:r>
    </w:p>
    <w:p w14:paraId="13D457EC" w14:textId="6CFDD387" w:rsidR="00660161" w:rsidRPr="00C3136F" w:rsidRDefault="0008136D" w:rsidP="0008136D">
      <w:pPr>
        <w:pStyle w:val="ONUME"/>
        <w:rPr>
          <w:lang w:val="fr-CH"/>
        </w:rPr>
      </w:pPr>
      <w:r w:rsidRPr="00C3136F">
        <w:rPr>
          <w:lang w:val="fr-CH"/>
        </w:rPr>
        <w:t>Huit offices ont mis en place des incitations supplémentair</w:t>
      </w:r>
      <w:r w:rsidR="00531693" w:rsidRPr="00C3136F">
        <w:rPr>
          <w:lang w:val="fr-CH"/>
        </w:rPr>
        <w:t>es.  Ce</w:t>
      </w:r>
      <w:r w:rsidRPr="00C3136F">
        <w:rPr>
          <w:lang w:val="fr-CH"/>
        </w:rPr>
        <w:t xml:space="preserve">s incitations vont de la prise en </w:t>
      </w:r>
      <w:r w:rsidR="005948CE" w:rsidRPr="00C3136F">
        <w:rPr>
          <w:lang w:val="fr-CH"/>
        </w:rPr>
        <w:t>considération de l’apprentissage lors</w:t>
      </w:r>
      <w:r w:rsidRPr="00C3136F">
        <w:rPr>
          <w:lang w:val="fr-CH"/>
        </w:rPr>
        <w:t xml:space="preserve"> de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 xml:space="preserve">évaluation annuelle des performances, </w:t>
      </w:r>
      <w:r w:rsidR="005948CE" w:rsidRPr="00C3136F">
        <w:rPr>
          <w:lang w:val="fr-CH"/>
        </w:rPr>
        <w:t>avec</w:t>
      </w:r>
      <w:r w:rsidRPr="00C3136F">
        <w:rPr>
          <w:lang w:val="fr-CH"/>
        </w:rPr>
        <w:t xml:space="preserve"> la détermination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une partie de la prime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encouragement annuelle ou la réduction des objectifs de rendement mensuels, aux possibilités de participation à des activités de formation externes.</w:t>
      </w:r>
    </w:p>
    <w:p w14:paraId="5D43A271" w14:textId="3E5C286A" w:rsidR="00660161" w:rsidRPr="00C3136F" w:rsidRDefault="0008136D" w:rsidP="0008136D">
      <w:pPr>
        <w:pStyle w:val="ONUME"/>
        <w:rPr>
          <w:lang w:val="fr-CH"/>
        </w:rPr>
      </w:pPr>
      <w:r w:rsidRPr="00C3136F">
        <w:rPr>
          <w:lang w:val="fr-CH"/>
        </w:rPr>
        <w:t>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après les commentaires concernant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utilité de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ligne, il apparaît que de nombreux offices considèrent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utilisation systématique</w:t>
      </w:r>
      <w:r w:rsidR="005948CE" w:rsidRPr="00C3136F">
        <w:rPr>
          <w:lang w:val="fr-CH"/>
        </w:rPr>
        <w:t xml:space="preserve"> de</w:t>
      </w:r>
      <w:r w:rsidRPr="00C3136F">
        <w:rPr>
          <w:lang w:val="fr-CH"/>
        </w:rPr>
        <w:t xml:space="preserve"> cette forme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comme un élément très efficace de la formation des examinateurs débutan</w:t>
      </w:r>
      <w:r w:rsidR="00531693" w:rsidRPr="00C3136F">
        <w:rPr>
          <w:lang w:val="fr-CH"/>
        </w:rPr>
        <w:t>ts.  Le</w:t>
      </w:r>
      <w:r w:rsidRPr="00C3136F">
        <w:rPr>
          <w:lang w:val="fr-CH"/>
        </w:rPr>
        <w:t>s raisons en sont multiples</w:t>
      </w:r>
      <w:r w:rsidR="00660161" w:rsidRPr="00C3136F">
        <w:rPr>
          <w:lang w:val="fr-CH"/>
        </w:rPr>
        <w:t> :</w:t>
      </w:r>
      <w:r w:rsidRPr="00C3136F">
        <w:rPr>
          <w:lang w:val="fr-CH"/>
        </w:rPr>
        <w:t xml:space="preserve">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établissement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 xml:space="preserve">une base commune pour tous les </w:t>
      </w:r>
      <w:r w:rsidR="005948CE" w:rsidRPr="00C3136F">
        <w:rPr>
          <w:lang w:val="fr-CH"/>
        </w:rPr>
        <w:t>participants</w:t>
      </w:r>
      <w:r w:rsidRPr="00C3136F">
        <w:rPr>
          <w:lang w:val="fr-CH"/>
        </w:rPr>
        <w:t>,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avantage de suivre les cours à son propre rythme, la possibilité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améliorer continuellement les activités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 xml:space="preserve">apprentissage grâce aux observations des </w:t>
      </w:r>
      <w:r w:rsidR="005948CE" w:rsidRPr="00C3136F">
        <w:rPr>
          <w:lang w:val="fr-CH"/>
        </w:rPr>
        <w:t xml:space="preserve">participants </w:t>
      </w:r>
      <w:r w:rsidRPr="00C3136F">
        <w:rPr>
          <w:lang w:val="fr-CH"/>
        </w:rPr>
        <w:t>et de mener des évaluations normalisées dans le cadre des activités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ligne.</w:t>
      </w:r>
    </w:p>
    <w:p w14:paraId="6AFCAD1D" w14:textId="784E05CE" w:rsidR="00660161" w:rsidRPr="00C3136F" w:rsidRDefault="0008136D" w:rsidP="00FD1408">
      <w:pPr>
        <w:pStyle w:val="ONUME"/>
        <w:rPr>
          <w:lang w:val="fr-CH"/>
        </w:rPr>
      </w:pPr>
      <w:r w:rsidRPr="00C3136F">
        <w:rPr>
          <w:lang w:val="fr-CH"/>
        </w:rPr>
        <w:lastRenderedPageBreak/>
        <w:t>Malgré ces aspects bénéfiques de la formation en ligne, de nombreux offices s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accordent à dire qu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elle ne peut être qu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une composante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un cadre de formati</w:t>
      </w:r>
      <w:r w:rsidR="00531693" w:rsidRPr="00C3136F">
        <w:rPr>
          <w:lang w:val="fr-CH"/>
        </w:rPr>
        <w:t>on.  Pl</w:t>
      </w:r>
      <w:r w:rsidR="00FD1408" w:rsidRPr="00C3136F">
        <w:rPr>
          <w:lang w:val="fr-CH"/>
        </w:rPr>
        <w:t>usieurs commentaires soulignent que l</w:t>
      </w:r>
      <w:r w:rsidR="00660161" w:rsidRPr="00C3136F">
        <w:rPr>
          <w:lang w:val="fr-CH"/>
        </w:rPr>
        <w:t>’</w:t>
      </w:r>
      <w:r w:rsidR="00FD1408" w:rsidRPr="00C3136F">
        <w:rPr>
          <w:lang w:val="fr-CH"/>
        </w:rPr>
        <w:t>apprentissage en ligne ne peut pas remplacer</w:t>
      </w:r>
      <w:r w:rsidR="00C3136F" w:rsidRPr="00C3136F">
        <w:rPr>
          <w:lang w:val="fr-CH"/>
        </w:rPr>
        <w:t>,</w:t>
      </w:r>
      <w:r w:rsidR="00FD1408" w:rsidRPr="00C3136F">
        <w:rPr>
          <w:lang w:val="fr-CH"/>
        </w:rPr>
        <w:t xml:space="preserve"> mais seulement compléter</w:t>
      </w:r>
      <w:r w:rsidR="00C3136F" w:rsidRPr="00C3136F">
        <w:rPr>
          <w:lang w:val="fr-CH"/>
        </w:rPr>
        <w:t>,</w:t>
      </w:r>
      <w:r w:rsidR="00FD1408" w:rsidRPr="00C3136F">
        <w:rPr>
          <w:lang w:val="fr-CH"/>
        </w:rPr>
        <w:t xml:space="preserve"> l</w:t>
      </w:r>
      <w:r w:rsidR="00660161" w:rsidRPr="00C3136F">
        <w:rPr>
          <w:lang w:val="fr-CH"/>
        </w:rPr>
        <w:t>’</w:t>
      </w:r>
      <w:r w:rsidR="00FD1408" w:rsidRPr="00C3136F">
        <w:rPr>
          <w:lang w:val="fr-CH"/>
        </w:rPr>
        <w:t>apprentissage en présentiel, q</w:t>
      </w:r>
      <w:r w:rsidR="00C3136F" w:rsidRPr="00C3136F">
        <w:rPr>
          <w:lang w:val="fr-CH"/>
        </w:rPr>
        <w:t>ui</w:t>
      </w:r>
      <w:r w:rsidR="00FD1408" w:rsidRPr="00C3136F">
        <w:rPr>
          <w:lang w:val="fr-CH"/>
        </w:rPr>
        <w:t xml:space="preserve"> prévoit une interaction directe entre les </w:t>
      </w:r>
      <w:r w:rsidR="00C3136F" w:rsidRPr="00C3136F">
        <w:rPr>
          <w:lang w:val="fr-CH"/>
        </w:rPr>
        <w:t xml:space="preserve">participants </w:t>
      </w:r>
      <w:r w:rsidR="00FD1408" w:rsidRPr="00C3136F">
        <w:rPr>
          <w:lang w:val="fr-CH"/>
        </w:rPr>
        <w:t>et les formateurs dans une salle de classe, ou le mentorat par des examinateurs expérimentés.</w:t>
      </w:r>
    </w:p>
    <w:p w14:paraId="4BEE92AC" w14:textId="7A9F428C" w:rsidR="00660161" w:rsidRPr="00C3136F" w:rsidRDefault="00FD1408" w:rsidP="00FD1408">
      <w:pPr>
        <w:pStyle w:val="Heading2"/>
        <w:rPr>
          <w:lang w:val="fr-CH"/>
        </w:rPr>
      </w:pPr>
      <w:r w:rsidRPr="00C3136F">
        <w:rPr>
          <w:lang w:val="fr-CH"/>
        </w:rPr>
        <w:t>MISE AU POINT DES RESSOURCES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</w:t>
      </w:r>
      <w:r w:rsidR="00C3136F" w:rsidRPr="00C3136F">
        <w:rPr>
          <w:lang w:val="fr-CH"/>
        </w:rPr>
        <w:t xml:space="preserve"> </w:t>
      </w:r>
      <w:r w:rsidRPr="00C3136F">
        <w:rPr>
          <w:lang w:val="fr-CH"/>
        </w:rPr>
        <w:t>ET ACCÈS A CES RESSOURCES</w:t>
      </w:r>
    </w:p>
    <w:p w14:paraId="6DC61DE7" w14:textId="05EAD883" w:rsidR="00660161" w:rsidRPr="00C3136F" w:rsidRDefault="00FD1408" w:rsidP="00FD1408">
      <w:pPr>
        <w:pStyle w:val="ONUME"/>
        <w:rPr>
          <w:lang w:val="fr-CH"/>
        </w:rPr>
      </w:pPr>
      <w:r w:rsidRPr="00C3136F">
        <w:rPr>
          <w:lang w:val="fr-CH"/>
        </w:rPr>
        <w:t>Cinq offices ont mis au point toutes les ressources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 utilisées pour la formation de leurs examinateurs, et 11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offices ont mis au point au moins certaines de ces ressources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ligne, tandis que 27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offices n</w:t>
      </w:r>
      <w:r w:rsidR="00660161" w:rsidRPr="00C3136F">
        <w:rPr>
          <w:lang w:val="fr-CH"/>
        </w:rPr>
        <w:t>’</w:t>
      </w:r>
      <w:r w:rsidR="00C3136F" w:rsidRPr="00C3136F">
        <w:rPr>
          <w:lang w:val="fr-CH"/>
        </w:rPr>
        <w:t xml:space="preserve">en </w:t>
      </w:r>
      <w:r w:rsidRPr="00C3136F">
        <w:rPr>
          <w:lang w:val="fr-CH"/>
        </w:rPr>
        <w:t>ont mis au point aucune.</w:t>
      </w:r>
    </w:p>
    <w:p w14:paraId="652C5F18" w14:textId="0416C4B7" w:rsidR="00660161" w:rsidRPr="00C3136F" w:rsidRDefault="00FD1408" w:rsidP="00FD1408">
      <w:pPr>
        <w:pStyle w:val="ONUME"/>
        <w:rPr>
          <w:lang w:val="fr-CH"/>
        </w:rPr>
      </w:pPr>
      <w:r w:rsidRPr="00C3136F">
        <w:rPr>
          <w:lang w:val="fr-CH"/>
        </w:rPr>
        <w:t>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accès à ces ressources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 va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un accès en ligne totalement gratuit à toutes les ressources (un seul office) à un accès contrôlé, c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est</w:t>
      </w:r>
      <w:r w:rsidR="00660161" w:rsidRPr="00C3136F">
        <w:rPr>
          <w:lang w:val="fr-CH"/>
        </w:rPr>
        <w:t>-</w:t>
      </w:r>
      <w:r w:rsidRPr="00C3136F">
        <w:rPr>
          <w:lang w:val="fr-CH"/>
        </w:rPr>
        <w:t>à</w:t>
      </w:r>
      <w:r w:rsidR="00660161" w:rsidRPr="00C3136F">
        <w:rPr>
          <w:lang w:val="fr-CH"/>
        </w:rPr>
        <w:t>-</w:t>
      </w:r>
      <w:r w:rsidRPr="00C3136F">
        <w:rPr>
          <w:lang w:val="fr-CH"/>
        </w:rPr>
        <w:t>dire un accès nécessitant la paiement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une taxe ou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un droit en raison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un accord bilatéral entre offic</w:t>
      </w:r>
      <w:r w:rsidR="00531693" w:rsidRPr="00C3136F">
        <w:rPr>
          <w:lang w:val="fr-CH"/>
        </w:rPr>
        <w:t>es.  Su</w:t>
      </w:r>
      <w:r w:rsidRPr="00C3136F">
        <w:rPr>
          <w:lang w:val="fr-CH"/>
        </w:rPr>
        <w:t>r les 16</w:t>
      </w:r>
      <w:r w:rsidR="00660161" w:rsidRPr="00C3136F">
        <w:rPr>
          <w:lang w:val="fr-CH"/>
        </w:rPr>
        <w:t> </w:t>
      </w:r>
      <w:r w:rsidRPr="00C3136F">
        <w:rPr>
          <w:lang w:val="fr-CH"/>
        </w:rPr>
        <w:t>offices ayant mis au point des ressources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ligne, 10 n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accordent aucun accès à ces ressources aux utilisateurs externes.</w:t>
      </w:r>
    </w:p>
    <w:p w14:paraId="53C14316" w14:textId="6B444834" w:rsidR="00660161" w:rsidRPr="00C3136F" w:rsidRDefault="00FD1408" w:rsidP="00FD1408">
      <w:pPr>
        <w:pStyle w:val="ONUME"/>
        <w:rPr>
          <w:lang w:val="fr-CH"/>
        </w:rPr>
      </w:pPr>
      <w:r w:rsidRPr="00C3136F">
        <w:rPr>
          <w:lang w:val="fr-CH"/>
        </w:rPr>
        <w:t xml:space="preserve">Il ressort des commentaires reçus que, en particulier, les offices de petite </w:t>
      </w:r>
      <w:r w:rsidR="00C3136F" w:rsidRPr="00C3136F">
        <w:rPr>
          <w:lang w:val="fr-CH"/>
        </w:rPr>
        <w:t>ou</w:t>
      </w:r>
      <w:r w:rsidRPr="00C3136F">
        <w:rPr>
          <w:lang w:val="fr-CH"/>
        </w:rPr>
        <w:t xml:space="preserve"> moyenne taille, ont moins de ressources pour concevoir eux</w:t>
      </w:r>
      <w:r w:rsidR="00660161" w:rsidRPr="00C3136F">
        <w:rPr>
          <w:lang w:val="fr-CH"/>
        </w:rPr>
        <w:t>-</w:t>
      </w:r>
      <w:r w:rsidRPr="00C3136F">
        <w:rPr>
          <w:lang w:val="fr-CH"/>
        </w:rPr>
        <w:t>mêmes des ressources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ligne,</w:t>
      </w:r>
      <w:r w:rsidR="00C3136F" w:rsidRPr="00C3136F">
        <w:rPr>
          <w:lang w:val="fr-CH"/>
        </w:rPr>
        <w:t xml:space="preserve"> et</w:t>
      </w:r>
      <w:r w:rsidRPr="00C3136F">
        <w:rPr>
          <w:lang w:val="fr-CH"/>
        </w:rPr>
        <w:t xml:space="preserve"> apprécient grandement de pouvoir accéder à des ressources en ligne externes pour la formation de leurs exper</w:t>
      </w:r>
      <w:r w:rsidR="00531693" w:rsidRPr="00C3136F">
        <w:rPr>
          <w:lang w:val="fr-CH"/>
        </w:rPr>
        <w:t>ts.  Il</w:t>
      </w:r>
      <w:r w:rsidRPr="00C3136F">
        <w:rPr>
          <w:lang w:val="fr-CH"/>
        </w:rPr>
        <w:t xml:space="preserve"> serait donc très utile que davantage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offices mettent leurs ressources de formation à la disposition des utilisateurs des autres offices, sans aucune restricti</w:t>
      </w:r>
      <w:r w:rsidR="00531693" w:rsidRPr="00C3136F">
        <w:rPr>
          <w:lang w:val="fr-CH"/>
        </w:rPr>
        <w:t>on.  Ce</w:t>
      </w:r>
      <w:r w:rsidRPr="00C3136F">
        <w:rPr>
          <w:lang w:val="fr-CH"/>
        </w:rPr>
        <w:t>la peut contribuer au partage des meilleures pratiques entre les offices, tant pour les pratiques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examen que pour les pratiques et techniques de formation en ligne, comme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indiquent certains commentaires.</w:t>
      </w:r>
    </w:p>
    <w:p w14:paraId="450FF9CA" w14:textId="4DD53572" w:rsidR="00660161" w:rsidRPr="00C3136F" w:rsidRDefault="00FD1408" w:rsidP="00FD1408">
      <w:pPr>
        <w:pStyle w:val="ONUME"/>
        <w:keepLines/>
        <w:rPr>
          <w:lang w:val="fr-CH"/>
        </w:rPr>
      </w:pPr>
      <w:bookmarkStart w:id="6" w:name="_Ref72517485"/>
      <w:r w:rsidRPr="00C3136F">
        <w:rPr>
          <w:lang w:val="fr-CH"/>
        </w:rPr>
        <w:t>Les offices qui envisagent un accès public peuvent également tenir compte du fait que le partage public des ressources et des méthodes de formation ajoute à la transparence de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examen, contribuant ainsi à accroître la confiance des utilisateu</w:t>
      </w:r>
      <w:bookmarkEnd w:id="6"/>
      <w:r w:rsidR="00531693" w:rsidRPr="00C3136F">
        <w:rPr>
          <w:lang w:val="fr-CH"/>
        </w:rPr>
        <w:t>rs.  Ce</w:t>
      </w:r>
      <w:r w:rsidRPr="00C3136F">
        <w:rPr>
          <w:lang w:val="fr-CH"/>
        </w:rPr>
        <w:t>la peut également contribuer grandement au renforcement des capacités des autres utilisateurs du système des brevets du pays concerné.</w:t>
      </w:r>
    </w:p>
    <w:p w14:paraId="76C460CE" w14:textId="07C8A3A7" w:rsidR="00660161" w:rsidRPr="00C3136F" w:rsidRDefault="00FD1408" w:rsidP="00FD1408">
      <w:pPr>
        <w:pStyle w:val="ONUME"/>
        <w:rPr>
          <w:lang w:val="fr-CH"/>
        </w:rPr>
      </w:pPr>
      <w:bookmarkStart w:id="7" w:name="_Ref73348412"/>
      <w:r w:rsidRPr="00C3136F">
        <w:rPr>
          <w:lang w:val="fr-CH"/>
        </w:rPr>
        <w:t>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autre part, comme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élaboration de ressources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apprentissage en ligne nécessite également des ressources financières ou humaines considérables, certains offices peuvent ne pas souhaiter les partager publiquement, mais uniquement avec des experts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autres offices des breve</w:t>
      </w:r>
      <w:bookmarkEnd w:id="7"/>
      <w:r w:rsidR="00531693" w:rsidRPr="00C3136F">
        <w:rPr>
          <w:lang w:val="fr-CH"/>
        </w:rPr>
        <w:t>ts.  Af</w:t>
      </w:r>
      <w:r w:rsidRPr="00C3136F">
        <w:rPr>
          <w:lang w:val="fr-CH"/>
        </w:rPr>
        <w:t>in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atténuer la charge administrative que représente pour ces offices la gestion des demandes et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accès à ces ressources, on pourrait envisager la création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un r</w:t>
      </w:r>
      <w:r w:rsidR="00C3136F" w:rsidRPr="00C3136F">
        <w:rPr>
          <w:lang w:val="fr-CH"/>
        </w:rPr>
        <w:t>egistre</w:t>
      </w:r>
      <w:r w:rsidRPr="00C3136F">
        <w:rPr>
          <w:lang w:val="fr-CH"/>
        </w:rPr>
        <w:t xml:space="preserve"> indépendant des ressources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 xml:space="preserve">apprentissage en ligne, qui </w:t>
      </w:r>
      <w:r w:rsidR="00C3136F" w:rsidRPr="00C3136F">
        <w:rPr>
          <w:lang w:val="fr-CH"/>
        </w:rPr>
        <w:t>permettrait l’</w:t>
      </w:r>
      <w:r w:rsidRPr="00C3136F">
        <w:rPr>
          <w:lang w:val="fr-CH"/>
        </w:rPr>
        <w:t xml:space="preserve">accès </w:t>
      </w:r>
      <w:r w:rsidR="00C3136F" w:rsidRPr="00C3136F">
        <w:rPr>
          <w:lang w:val="fr-CH"/>
        </w:rPr>
        <w:t>des</w:t>
      </w:r>
      <w:r w:rsidRPr="00C3136F">
        <w:rPr>
          <w:lang w:val="fr-CH"/>
        </w:rPr>
        <w:t xml:space="preserve"> utilisateurs accrédités.</w:t>
      </w:r>
    </w:p>
    <w:p w14:paraId="754FC927" w14:textId="427C672A" w:rsidR="00660161" w:rsidRPr="00C3136F" w:rsidRDefault="00FD1408" w:rsidP="005A3EE4">
      <w:pPr>
        <w:pStyle w:val="ONUME"/>
        <w:rPr>
          <w:lang w:val="fr-CH"/>
        </w:rPr>
      </w:pPr>
      <w:bookmarkStart w:id="8" w:name="_Ref72517495"/>
      <w:r w:rsidRPr="00C3136F">
        <w:rPr>
          <w:lang w:val="fr-CH"/>
        </w:rPr>
        <w:t xml:space="preserve">Ce </w:t>
      </w:r>
      <w:r w:rsidR="00C3136F" w:rsidRPr="00C3136F">
        <w:rPr>
          <w:lang w:val="fr-CH"/>
        </w:rPr>
        <w:t xml:space="preserve">registre </w:t>
      </w:r>
      <w:r w:rsidRPr="00C3136F">
        <w:rPr>
          <w:lang w:val="fr-CH"/>
        </w:rPr>
        <w:t>pourrait également gérer la traduction des ressources sélectionnées afin d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en faciliter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accès et l</w:t>
      </w:r>
      <w:r w:rsidR="00660161" w:rsidRPr="00C3136F">
        <w:rPr>
          <w:lang w:val="fr-CH"/>
        </w:rPr>
        <w:t>’</w:t>
      </w:r>
      <w:r w:rsidRPr="00C3136F">
        <w:rPr>
          <w:lang w:val="fr-CH"/>
        </w:rPr>
        <w:t>utilisati</w:t>
      </w:r>
      <w:r w:rsidR="00531693" w:rsidRPr="00C3136F">
        <w:rPr>
          <w:lang w:val="fr-CH"/>
        </w:rPr>
        <w:t>on.  Ce</w:t>
      </w:r>
      <w:r w:rsidR="005A3EE4" w:rsidRPr="00C3136F">
        <w:rPr>
          <w:lang w:val="fr-CH"/>
        </w:rPr>
        <w:t xml:space="preserve">la garantirait une disponibilité permanente de ces ressources, ce qui est essentiel </w:t>
      </w:r>
      <w:r w:rsidR="00C3136F" w:rsidRPr="00C3136F">
        <w:rPr>
          <w:lang w:val="fr-CH"/>
        </w:rPr>
        <w:t>à</w:t>
      </w:r>
      <w:r w:rsidR="005A3EE4" w:rsidRPr="00C3136F">
        <w:rPr>
          <w:lang w:val="fr-CH"/>
        </w:rPr>
        <w:t xml:space="preserve"> une utilisation systématique des ressources externes, comme le soulignait un commentai</w:t>
      </w:r>
      <w:r w:rsidR="00531693" w:rsidRPr="00C3136F">
        <w:rPr>
          <w:lang w:val="fr-CH"/>
        </w:rPr>
        <w:t>re.  Af</w:t>
      </w:r>
      <w:r w:rsidR="005A3EE4" w:rsidRPr="00C3136F">
        <w:rPr>
          <w:lang w:val="fr-CH"/>
        </w:rPr>
        <w:t>in d</w:t>
      </w:r>
      <w:r w:rsidR="00660161" w:rsidRPr="00C3136F">
        <w:rPr>
          <w:lang w:val="fr-CH"/>
        </w:rPr>
        <w:t>’</w:t>
      </w:r>
      <w:r w:rsidR="005A3EE4" w:rsidRPr="00C3136F">
        <w:rPr>
          <w:lang w:val="fr-CH"/>
        </w:rPr>
        <w:t>atténuer les problèmes de vitesse et de fiabilité des connexions Internet, certaines ressources pourraient être téléchargeables et intégrées dans des systèmes locaux de gestion de la formati</w:t>
      </w:r>
      <w:bookmarkEnd w:id="8"/>
      <w:r w:rsidR="00531693" w:rsidRPr="00C3136F">
        <w:rPr>
          <w:lang w:val="fr-CH"/>
        </w:rPr>
        <w:t>on.  Gl</w:t>
      </w:r>
      <w:r w:rsidR="005A3EE4" w:rsidRPr="00C3136F">
        <w:rPr>
          <w:lang w:val="fr-CH"/>
        </w:rPr>
        <w:t>obalement, un tel référentiel serait certainement bénéfique pour promouvoir l</w:t>
      </w:r>
      <w:r w:rsidR="00660161" w:rsidRPr="00C3136F">
        <w:rPr>
          <w:lang w:val="fr-CH"/>
        </w:rPr>
        <w:t>’</w:t>
      </w:r>
      <w:r w:rsidR="005A3EE4" w:rsidRPr="00C3136F">
        <w:rPr>
          <w:lang w:val="fr-CH"/>
        </w:rPr>
        <w:t>utilisation de l</w:t>
      </w:r>
      <w:r w:rsidR="00660161" w:rsidRPr="00C3136F">
        <w:rPr>
          <w:lang w:val="fr-CH"/>
        </w:rPr>
        <w:t>’</w:t>
      </w:r>
      <w:r w:rsidR="005A3EE4" w:rsidRPr="00C3136F">
        <w:rPr>
          <w:lang w:val="fr-CH"/>
        </w:rPr>
        <w:t>apprentissage en ligne auprès des offices qui n</w:t>
      </w:r>
      <w:r w:rsidR="00660161" w:rsidRPr="00C3136F">
        <w:rPr>
          <w:lang w:val="fr-CH"/>
        </w:rPr>
        <w:t>’</w:t>
      </w:r>
      <w:r w:rsidR="005A3EE4" w:rsidRPr="00C3136F">
        <w:rPr>
          <w:lang w:val="fr-CH"/>
        </w:rPr>
        <w:t>ont pas encore envisagé ce mode d</w:t>
      </w:r>
      <w:r w:rsidR="00660161" w:rsidRPr="00C3136F">
        <w:rPr>
          <w:lang w:val="fr-CH"/>
        </w:rPr>
        <w:t>’</w:t>
      </w:r>
      <w:r w:rsidR="005A3EE4" w:rsidRPr="00C3136F">
        <w:rPr>
          <w:lang w:val="fr-CH"/>
        </w:rPr>
        <w:t>apprentissage.</w:t>
      </w:r>
    </w:p>
    <w:p w14:paraId="431F1DBA" w14:textId="7CA0925C" w:rsidR="00660161" w:rsidRPr="00C3136F" w:rsidRDefault="00660161" w:rsidP="00660161">
      <w:pPr>
        <w:pStyle w:val="Heading2"/>
        <w:rPr>
          <w:lang w:val="fr-CH"/>
        </w:rPr>
      </w:pPr>
      <w:r w:rsidRPr="00C3136F">
        <w:rPr>
          <w:lang w:val="fr-CH"/>
        </w:rPr>
        <w:t>COMPILATION DES RESSOURCES D’APPRENTISSAGE EN LIGNE</w:t>
      </w:r>
    </w:p>
    <w:p w14:paraId="553CD068" w14:textId="12EE4C6A" w:rsidR="00660161" w:rsidRPr="00C3136F" w:rsidRDefault="00660161" w:rsidP="00660161">
      <w:pPr>
        <w:pStyle w:val="ONUME"/>
        <w:rPr>
          <w:lang w:val="fr-CH"/>
        </w:rPr>
      </w:pPr>
      <w:r w:rsidRPr="00C3136F">
        <w:rPr>
          <w:lang w:val="fr-CH"/>
        </w:rPr>
        <w:t>Le Bureau international gère une compilation des ressources d’apprentissage en ligne pour les examinateurs de brevets sur le fond, qui est mise à jour au moins deux</w:t>
      </w:r>
      <w:r w:rsidR="00B1424B" w:rsidRPr="00C3136F">
        <w:rPr>
          <w:lang w:val="fr-CH"/>
        </w:rPr>
        <w:t> </w:t>
      </w:r>
      <w:r w:rsidRPr="00C3136F">
        <w:rPr>
          <w:lang w:val="fr-CH"/>
        </w:rPr>
        <w:t>fois par an (pour la dernière mise à jour, voir le document PCT/WG/14/REFERENCE/E-LEARNING).</w:t>
      </w:r>
    </w:p>
    <w:p w14:paraId="3264445A" w14:textId="403EDC9C" w:rsidR="00660161" w:rsidRPr="00C3136F" w:rsidRDefault="00660161" w:rsidP="00660161">
      <w:pPr>
        <w:pStyle w:val="ONUME"/>
        <w:rPr>
          <w:lang w:val="fr-CH"/>
        </w:rPr>
      </w:pPr>
      <w:r w:rsidRPr="00C3136F">
        <w:rPr>
          <w:lang w:val="fr-CH"/>
        </w:rPr>
        <w:lastRenderedPageBreak/>
        <w:t>Les commentaires reçus sur cette compilation des ressources d’apprentissage en ligne indiquent que cet</w:t>
      </w:r>
      <w:r w:rsidR="00C3136F" w:rsidRPr="00C3136F">
        <w:rPr>
          <w:lang w:val="fr-CH"/>
        </w:rPr>
        <w:t>t</w:t>
      </w:r>
      <w:r w:rsidRPr="00C3136F">
        <w:rPr>
          <w:lang w:val="fr-CH"/>
        </w:rPr>
        <w:t>e compilation est très appréciée, exhaustiv</w:t>
      </w:r>
      <w:r w:rsidR="00C3136F" w:rsidRPr="00C3136F">
        <w:rPr>
          <w:lang w:val="fr-CH"/>
        </w:rPr>
        <w:t>e</w:t>
      </w:r>
      <w:r w:rsidRPr="00C3136F">
        <w:rPr>
          <w:lang w:val="fr-CH"/>
        </w:rPr>
        <w:t xml:space="preserve"> et </w:t>
      </w:r>
      <w:r w:rsidR="00C3136F" w:rsidRPr="00C3136F">
        <w:rPr>
          <w:lang w:val="fr-CH"/>
        </w:rPr>
        <w:t>utile</w:t>
      </w:r>
      <w:r w:rsidR="00531693" w:rsidRPr="00C3136F">
        <w:rPr>
          <w:lang w:val="fr-CH"/>
        </w:rPr>
        <w:t>.  Ce</w:t>
      </w:r>
      <w:r w:rsidRPr="00C3136F">
        <w:rPr>
          <w:lang w:val="fr-CH"/>
        </w:rPr>
        <w:t>rtains commentaires font référence aux projections à long terme concernant cette compilation et soulignent l’importance de la maintenir et de la mettre à jour régulièreme</w:t>
      </w:r>
      <w:r w:rsidR="00531693" w:rsidRPr="00C3136F">
        <w:rPr>
          <w:lang w:val="fr-CH"/>
        </w:rPr>
        <w:t>nt.  D’a</w:t>
      </w:r>
      <w:r w:rsidRPr="00C3136F">
        <w:rPr>
          <w:lang w:val="fr-CH"/>
        </w:rPr>
        <w:t>utres commentaires indiquent que de nombreuses ressources, bien qu’utiles, demandent peu d’engagement de la part du participant (“il suffit de regarder, d’écouter ou de lire</w:t>
      </w:r>
      <w:proofErr w:type="gramStart"/>
      <w:r w:rsidRPr="00C3136F">
        <w:rPr>
          <w:lang w:val="fr-CH"/>
        </w:rPr>
        <w:t xml:space="preserve">”; </w:t>
      </w:r>
      <w:r w:rsidR="00B1424B" w:rsidRPr="00C3136F">
        <w:rPr>
          <w:lang w:val="fr-CH"/>
        </w:rPr>
        <w:t xml:space="preserve"> </w:t>
      </w:r>
      <w:r w:rsidRPr="00C3136F">
        <w:rPr>
          <w:lang w:val="fr-CH"/>
        </w:rPr>
        <w:t>“</w:t>
      </w:r>
      <w:proofErr w:type="gramEnd"/>
      <w:r w:rsidRPr="00C3136F">
        <w:rPr>
          <w:lang w:val="fr-CH"/>
        </w:rPr>
        <w:t>peu d’interactivité pour renforcer l’apprentissage”), ou que seul un petit nombre d’entre elles comprennent des évaluations de la réussite de l’apprentissage.</w:t>
      </w:r>
    </w:p>
    <w:p w14:paraId="2F7DDA47" w14:textId="5C8703DC" w:rsidR="00660161" w:rsidRPr="00C3136F" w:rsidRDefault="00660161" w:rsidP="00660161">
      <w:pPr>
        <w:pStyle w:val="ONUME"/>
        <w:rPr>
          <w:lang w:val="fr-CH"/>
        </w:rPr>
      </w:pPr>
      <w:r w:rsidRPr="00C3136F">
        <w:rPr>
          <w:lang w:val="fr-CH"/>
        </w:rPr>
        <w:t>Le questionnaire comprenait une invitation à signaler d’autres ressources d’apprentissage en ligne pas encore incluses dans la compilation</w:t>
      </w:r>
      <w:r w:rsidR="00C3136F" w:rsidRPr="00C3136F">
        <w:rPr>
          <w:lang w:val="fr-CH"/>
        </w:rPr>
        <w:t xml:space="preserve"> mais</w:t>
      </w:r>
      <w:r w:rsidRPr="00C3136F">
        <w:rPr>
          <w:lang w:val="fr-CH"/>
        </w:rPr>
        <w:t xml:space="preserve"> qui conviendraient à la formation des examinateurs de brevets sur le fond</w:t>
      </w:r>
      <w:r w:rsidR="00C3136F" w:rsidRPr="00C3136F">
        <w:rPr>
          <w:lang w:val="fr-CH"/>
        </w:rPr>
        <w:t>.  L</w:t>
      </w:r>
      <w:r w:rsidRPr="00C3136F">
        <w:rPr>
          <w:lang w:val="fr-CH"/>
        </w:rPr>
        <w:t>es réponses</w:t>
      </w:r>
      <w:r w:rsidR="00C3136F" w:rsidRPr="00C3136F">
        <w:rPr>
          <w:lang w:val="fr-CH"/>
        </w:rPr>
        <w:t xml:space="preserve"> reçues</w:t>
      </w:r>
      <w:r w:rsidRPr="00C3136F">
        <w:rPr>
          <w:lang w:val="fr-CH"/>
        </w:rPr>
        <w:t xml:space="preserve"> n’incluent cependant pas de telles indications.</w:t>
      </w:r>
    </w:p>
    <w:p w14:paraId="491D4A1A" w14:textId="149BF3B2" w:rsidR="00660161" w:rsidRPr="00C3136F" w:rsidRDefault="00660161" w:rsidP="00660161">
      <w:pPr>
        <w:pStyle w:val="Heading2"/>
        <w:rPr>
          <w:lang w:val="fr-CH"/>
        </w:rPr>
      </w:pPr>
      <w:r w:rsidRPr="00C3136F">
        <w:rPr>
          <w:lang w:val="fr-CH"/>
        </w:rPr>
        <w:t>UTILITÉ ET AUTRES ASPECTS DES RESSOURCES D’APPRENTISSAGE EN LIGNE</w:t>
      </w:r>
    </w:p>
    <w:p w14:paraId="290BABFF" w14:textId="0BB7F3A8" w:rsidR="00660161" w:rsidRPr="00C3136F" w:rsidRDefault="00660161" w:rsidP="00660161">
      <w:pPr>
        <w:pStyle w:val="ONUME"/>
        <w:rPr>
          <w:lang w:val="fr-CH"/>
        </w:rPr>
      </w:pPr>
      <w:r w:rsidRPr="00C3136F">
        <w:rPr>
          <w:lang w:val="fr-CH"/>
        </w:rPr>
        <w:t>Plusieurs offices ont déclaré qu’ils avaient peu utilisé l’apprentissage en ligne mais qu’ils envisageaient d’y recourir davantage à l’avenir, notamment avec l’augmentation du télétravail.</w:t>
      </w:r>
    </w:p>
    <w:p w14:paraId="13E47597" w14:textId="77777777" w:rsidR="00660161" w:rsidRPr="00C3136F" w:rsidRDefault="00660161" w:rsidP="00660161">
      <w:pPr>
        <w:pStyle w:val="ONUME"/>
        <w:rPr>
          <w:lang w:val="fr-CH"/>
        </w:rPr>
      </w:pPr>
      <w:r w:rsidRPr="00C3136F">
        <w:rPr>
          <w:lang w:val="fr-CH"/>
        </w:rPr>
        <w:t>Il a également été noté que davantage de formations techniques étaient nécessaires.</w:t>
      </w:r>
    </w:p>
    <w:p w14:paraId="276501DA" w14:textId="02B28709" w:rsidR="00660161" w:rsidRPr="00C3136F" w:rsidRDefault="00660161" w:rsidP="00660161">
      <w:pPr>
        <w:pStyle w:val="ONUME"/>
        <w:rPr>
          <w:lang w:val="fr-CH"/>
        </w:rPr>
      </w:pPr>
      <w:r w:rsidRPr="00C3136F">
        <w:rPr>
          <w:lang w:val="fr-CH"/>
        </w:rPr>
        <w:t>Plusieurs commentaires font référence à la certification, qui inciterait les examinateurs à particip</w:t>
      </w:r>
      <w:r w:rsidR="00531693" w:rsidRPr="00C3136F">
        <w:rPr>
          <w:lang w:val="fr-CH"/>
        </w:rPr>
        <w:t>er.  El</w:t>
      </w:r>
      <w:r w:rsidRPr="00C3136F">
        <w:rPr>
          <w:lang w:val="fr-CH"/>
        </w:rPr>
        <w:t>le serait également utile aux offices qui suivent l’évolution de l’apprentissage de leur personn</w:t>
      </w:r>
      <w:r w:rsidR="00531693" w:rsidRPr="00C3136F">
        <w:rPr>
          <w:lang w:val="fr-CH"/>
        </w:rPr>
        <w:t>el.  Il</w:t>
      </w:r>
      <w:r w:rsidRPr="00C3136F">
        <w:rPr>
          <w:lang w:val="fr-CH"/>
        </w:rPr>
        <w:t xml:space="preserve"> a été déclaré que ce n’est pas seulement la participation qui devait être certifiée, mais le succès de l’apprentissage</w:t>
      </w:r>
      <w:r w:rsidR="00C3136F" w:rsidRPr="00C3136F">
        <w:rPr>
          <w:lang w:val="fr-CH"/>
        </w:rPr>
        <w:t>,</w:t>
      </w:r>
      <w:r w:rsidRPr="00C3136F">
        <w:rPr>
          <w:lang w:val="fr-CH"/>
        </w:rPr>
        <w:t xml:space="preserve"> selon une évaluation valable des compétences et des connaissances acquises.</w:t>
      </w:r>
    </w:p>
    <w:p w14:paraId="4D3E407A" w14:textId="0D330E0B" w:rsidR="00660161" w:rsidRPr="00C3136F" w:rsidRDefault="00660161" w:rsidP="00660161">
      <w:pPr>
        <w:pStyle w:val="ONUME"/>
        <w:rPr>
          <w:lang w:val="fr-CH"/>
        </w:rPr>
      </w:pPr>
      <w:r w:rsidRPr="00C3136F">
        <w:rPr>
          <w:lang w:val="fr-CH"/>
        </w:rPr>
        <w:t>De manière surprenante, aucun des commentaires n’a soulevé de problèmes liés à la vitesse et à la fiabilité des connexions Internet.</w:t>
      </w:r>
    </w:p>
    <w:p w14:paraId="23035A42" w14:textId="335EC862" w:rsidR="00660161" w:rsidRPr="00C3136F" w:rsidRDefault="00660161" w:rsidP="00660161">
      <w:pPr>
        <w:pStyle w:val="ONUME"/>
        <w:keepNext/>
        <w:ind w:left="5533"/>
        <w:rPr>
          <w:i/>
          <w:lang w:val="fr-CH"/>
        </w:rPr>
      </w:pPr>
      <w:r w:rsidRPr="00C3136F">
        <w:rPr>
          <w:i/>
          <w:lang w:val="fr-CH"/>
        </w:rPr>
        <w:t>Le groupe de travail est invité</w:t>
      </w:r>
      <w:r w:rsidR="00531693" w:rsidRPr="00C3136F">
        <w:rPr>
          <w:i/>
          <w:lang w:val="fr-CH"/>
        </w:rPr>
        <w:t xml:space="preserve"> à</w:t>
      </w:r>
      <w:r w:rsidRPr="00C3136F">
        <w:rPr>
          <w:i/>
          <w:lang w:val="fr-CH"/>
        </w:rPr>
        <w:t> :</w:t>
      </w:r>
    </w:p>
    <w:p w14:paraId="347F858A" w14:textId="0CC3282F" w:rsidR="00660161" w:rsidRPr="00C3136F" w:rsidRDefault="00660161" w:rsidP="00531693">
      <w:pPr>
        <w:pStyle w:val="ONUME"/>
        <w:keepNext/>
        <w:numPr>
          <w:ilvl w:val="2"/>
          <w:numId w:val="9"/>
        </w:numPr>
        <w:ind w:left="5529" w:firstLine="0"/>
        <w:rPr>
          <w:i/>
          <w:lang w:val="fr-CH"/>
        </w:rPr>
      </w:pPr>
      <w:proofErr w:type="gramStart"/>
      <w:r w:rsidRPr="00C3136F">
        <w:rPr>
          <w:i/>
          <w:lang w:val="fr-CH"/>
        </w:rPr>
        <w:t>prendre</w:t>
      </w:r>
      <w:proofErr w:type="gramEnd"/>
      <w:r w:rsidRPr="00C3136F">
        <w:rPr>
          <w:i/>
          <w:lang w:val="fr-CH"/>
        </w:rPr>
        <w:t xml:space="preserve"> note des résultats de l’enquête sur les ressources d’apprentissage en ligne pour la formation des examinateurs de brevets sur le fond; </w:t>
      </w:r>
      <w:r w:rsidR="00B1424B" w:rsidRPr="00C3136F">
        <w:rPr>
          <w:i/>
          <w:lang w:val="fr-CH"/>
        </w:rPr>
        <w:t xml:space="preserve"> </w:t>
      </w:r>
      <w:r w:rsidRPr="00C3136F">
        <w:rPr>
          <w:i/>
          <w:lang w:val="fr-CH"/>
        </w:rPr>
        <w:t>et</w:t>
      </w:r>
    </w:p>
    <w:p w14:paraId="6EE7D811" w14:textId="0BA09DCC" w:rsidR="00660161" w:rsidRPr="00C3136F" w:rsidRDefault="00660161" w:rsidP="00531693">
      <w:pPr>
        <w:pStyle w:val="ONUME"/>
        <w:numPr>
          <w:ilvl w:val="2"/>
          <w:numId w:val="9"/>
        </w:numPr>
        <w:ind w:left="5529" w:firstLine="0"/>
        <w:rPr>
          <w:i/>
          <w:lang w:val="fr-CH"/>
        </w:rPr>
      </w:pPr>
      <w:r w:rsidRPr="00C3136F">
        <w:rPr>
          <w:i/>
          <w:lang w:val="fr-CH"/>
        </w:rPr>
        <w:t xml:space="preserve">se prononcer sur la création d’un </w:t>
      </w:r>
      <w:r w:rsidR="00C3136F" w:rsidRPr="00C3136F">
        <w:rPr>
          <w:i/>
          <w:lang w:val="fr-CH"/>
        </w:rPr>
        <w:t>registre</w:t>
      </w:r>
      <w:r w:rsidRPr="00C3136F">
        <w:rPr>
          <w:i/>
          <w:lang w:val="fr-CH"/>
        </w:rPr>
        <w:t xml:space="preserve"> indépendant </w:t>
      </w:r>
      <w:r w:rsidR="00C3136F" w:rsidRPr="00C3136F">
        <w:rPr>
          <w:i/>
          <w:lang w:val="fr-CH"/>
        </w:rPr>
        <w:t>d</w:t>
      </w:r>
      <w:r w:rsidRPr="00C3136F">
        <w:rPr>
          <w:i/>
          <w:lang w:val="fr-CH"/>
        </w:rPr>
        <w:t xml:space="preserve">es ressources d’apprentissage en ligne, </w:t>
      </w:r>
      <w:r w:rsidR="00C3136F" w:rsidRPr="00C3136F">
        <w:rPr>
          <w:i/>
          <w:lang w:val="fr-CH"/>
        </w:rPr>
        <w:t>ainsi qu’il est</w:t>
      </w:r>
      <w:r w:rsidRPr="00C3136F">
        <w:rPr>
          <w:i/>
          <w:lang w:val="fr-CH"/>
        </w:rPr>
        <w:t xml:space="preserve"> indiqué aux paragraphes </w:t>
      </w:r>
      <w:r w:rsidRPr="00C3136F">
        <w:rPr>
          <w:i/>
        </w:rPr>
        <w:fldChar w:fldCharType="begin"/>
      </w:r>
      <w:r w:rsidRPr="00C3136F">
        <w:rPr>
          <w:i/>
          <w:lang w:val="fr-CH"/>
        </w:rPr>
        <w:instrText xml:space="preserve"> REF _Ref73348461 \r \h  \* MERGEFORMAT </w:instrText>
      </w:r>
      <w:r w:rsidRPr="00C3136F">
        <w:rPr>
          <w:i/>
        </w:rPr>
      </w:r>
      <w:r w:rsidRPr="00C3136F">
        <w:rPr>
          <w:i/>
        </w:rPr>
        <w:fldChar w:fldCharType="separate"/>
      </w:r>
      <w:r w:rsidRPr="00C3136F">
        <w:rPr>
          <w:bCs/>
          <w:i/>
          <w:lang w:val="fr-CH"/>
        </w:rPr>
        <w:t>16</w:t>
      </w:r>
      <w:r w:rsidRPr="00C3136F">
        <w:rPr>
          <w:b/>
          <w:bCs/>
          <w:i/>
          <w:lang w:val="fr-CH"/>
        </w:rPr>
        <w:t xml:space="preserve"> </w:t>
      </w:r>
      <w:r w:rsidRPr="00C3136F">
        <w:rPr>
          <w:i/>
        </w:rPr>
        <w:fldChar w:fldCharType="end"/>
      </w:r>
      <w:r w:rsidRPr="00C3136F">
        <w:rPr>
          <w:i/>
          <w:lang w:val="fr-CH"/>
        </w:rPr>
        <w:t xml:space="preserve">à </w:t>
      </w:r>
      <w:r w:rsidRPr="00C3136F">
        <w:rPr>
          <w:i/>
        </w:rPr>
        <w:fldChar w:fldCharType="begin"/>
      </w:r>
      <w:r w:rsidRPr="00C3136F">
        <w:rPr>
          <w:i/>
          <w:lang w:val="fr-CH"/>
        </w:rPr>
        <w:instrText xml:space="preserve"> REF _Ref72517495 \r \h  \* MERGEFORMAT </w:instrText>
      </w:r>
      <w:r w:rsidRPr="00C3136F">
        <w:rPr>
          <w:i/>
        </w:rPr>
      </w:r>
      <w:r w:rsidRPr="00C3136F">
        <w:rPr>
          <w:i/>
        </w:rPr>
        <w:fldChar w:fldCharType="separate"/>
      </w:r>
      <w:r w:rsidRPr="00C3136F">
        <w:rPr>
          <w:i/>
          <w:lang w:val="fr-CH"/>
        </w:rPr>
        <w:t>21</w:t>
      </w:r>
      <w:r w:rsidRPr="00C3136F">
        <w:rPr>
          <w:i/>
        </w:rPr>
        <w:fldChar w:fldCharType="end"/>
      </w:r>
      <w:r w:rsidRPr="00C3136F">
        <w:rPr>
          <w:i/>
          <w:lang w:val="fr-CH"/>
        </w:rPr>
        <w:t>.</w:t>
      </w:r>
    </w:p>
    <w:p w14:paraId="74F010C1" w14:textId="683C5DD0" w:rsidR="00660161" w:rsidRPr="00C3136F" w:rsidRDefault="00660161" w:rsidP="00660161">
      <w:pPr>
        <w:pStyle w:val="Endofdocument-Annex"/>
      </w:pPr>
      <w:r w:rsidRPr="00C3136F">
        <w:t>[Fin du document]</w:t>
      </w:r>
    </w:p>
    <w:p w14:paraId="38BFC47C" w14:textId="77777777" w:rsidR="00660161" w:rsidRDefault="00660161" w:rsidP="000E4A22">
      <w:pPr>
        <w:pStyle w:val="Endofdocument-Annex"/>
      </w:pPr>
    </w:p>
    <w:p w14:paraId="2FE19301" w14:textId="77777777" w:rsidR="00660161" w:rsidRDefault="00660161" w:rsidP="000E4A22">
      <w:pPr>
        <w:pStyle w:val="Endofdocument-Annex"/>
      </w:pPr>
    </w:p>
    <w:p w14:paraId="172E4306" w14:textId="606A6EE5" w:rsidR="001D4107" w:rsidRDefault="001D4107" w:rsidP="000E4A22">
      <w:pPr>
        <w:pStyle w:val="Endofdocument-Annex"/>
      </w:pPr>
    </w:p>
    <w:sectPr w:rsidR="001D4107" w:rsidSect="001951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1A45A" w14:textId="77777777" w:rsidR="00BD1745" w:rsidRDefault="00BD1745">
      <w:r>
        <w:separator/>
      </w:r>
    </w:p>
  </w:endnote>
  <w:endnote w:type="continuationSeparator" w:id="0">
    <w:p w14:paraId="78DB3B32" w14:textId="77777777" w:rsidR="00BD1745" w:rsidRDefault="00BD1745" w:rsidP="003B38C1">
      <w:r>
        <w:separator/>
      </w:r>
    </w:p>
    <w:p w14:paraId="0D7AEB59" w14:textId="77777777" w:rsidR="00BD1745" w:rsidRPr="003B38C1" w:rsidRDefault="00BD17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4C26A1" w14:textId="77777777" w:rsidR="00BD1745" w:rsidRPr="003B38C1" w:rsidRDefault="00BD17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279B5" w14:textId="77777777" w:rsidR="00660161" w:rsidRDefault="00660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E62B1" w14:textId="77777777" w:rsidR="00660161" w:rsidRDefault="006601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D26A5" w14:textId="77777777" w:rsidR="00660161" w:rsidRDefault="00660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62F0D" w14:textId="77777777" w:rsidR="00BD1745" w:rsidRDefault="00BD1745">
      <w:r>
        <w:separator/>
      </w:r>
    </w:p>
  </w:footnote>
  <w:footnote w:type="continuationSeparator" w:id="0">
    <w:p w14:paraId="5E436616" w14:textId="77777777" w:rsidR="00BD1745" w:rsidRDefault="00BD1745" w:rsidP="008B60B2">
      <w:r>
        <w:separator/>
      </w:r>
    </w:p>
    <w:p w14:paraId="5AB03D1F" w14:textId="77777777" w:rsidR="00BD1745" w:rsidRPr="00ED77FB" w:rsidRDefault="00BD17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F77CA8E" w14:textId="77777777" w:rsidR="00BD1745" w:rsidRPr="00ED77FB" w:rsidRDefault="00BD17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2E8B6" w14:textId="77777777" w:rsidR="001951BD" w:rsidRPr="00B25737" w:rsidRDefault="001951BD" w:rsidP="001951BD">
    <w:pPr>
      <w:jc w:val="right"/>
      <w:rPr>
        <w:caps/>
      </w:rPr>
    </w:pPr>
    <w:r>
      <w:rPr>
        <w:caps/>
      </w:rPr>
      <w:t>PCT/WG/14/15</w:t>
    </w:r>
  </w:p>
  <w:p w14:paraId="02066197" w14:textId="3740E717" w:rsidR="001951BD" w:rsidRDefault="001951BD" w:rsidP="001951BD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A26D4">
      <w:rPr>
        <w:noProof/>
      </w:rPr>
      <w:t>4</w:t>
    </w:r>
    <w:r>
      <w:fldChar w:fldCharType="end"/>
    </w:r>
  </w:p>
  <w:p w14:paraId="49DA9EAB" w14:textId="77777777" w:rsidR="001951BD" w:rsidRDefault="001951BD" w:rsidP="001951BD">
    <w:pPr>
      <w:jc w:val="right"/>
    </w:pPr>
  </w:p>
  <w:p w14:paraId="6305E488" w14:textId="77777777" w:rsidR="001951BD" w:rsidRDefault="001951BD" w:rsidP="001951B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6BF11" w14:textId="0A7C6692" w:rsidR="00D07C78" w:rsidRPr="00B25737" w:rsidRDefault="00B93EE0" w:rsidP="00477D6B">
    <w:pPr>
      <w:jc w:val="right"/>
      <w:rPr>
        <w:caps/>
      </w:rPr>
    </w:pPr>
    <w:bookmarkStart w:id="9" w:name="Code2"/>
    <w:r>
      <w:rPr>
        <w:caps/>
      </w:rPr>
      <w:t>PCT/WG/14/15</w:t>
    </w:r>
  </w:p>
  <w:bookmarkEnd w:id="9"/>
  <w:p w14:paraId="6EDCA473" w14:textId="00806E13" w:rsidR="00D07C78" w:rsidRDefault="00D07C78" w:rsidP="00477D6B">
    <w:pPr>
      <w:jc w:val="right"/>
    </w:pPr>
    <w:proofErr w:type="gramStart"/>
    <w:r>
      <w:t>page</w:t>
    </w:r>
    <w:proofErr w:type="gramEnd"/>
    <w:r w:rsidR="00660161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A26D4">
      <w:rPr>
        <w:noProof/>
      </w:rPr>
      <w:t>5</w:t>
    </w:r>
    <w:r>
      <w:fldChar w:fldCharType="end"/>
    </w:r>
  </w:p>
  <w:p w14:paraId="219DAF3D" w14:textId="77777777" w:rsidR="00D07C78" w:rsidRDefault="00D07C78" w:rsidP="00477D6B">
    <w:pPr>
      <w:jc w:val="right"/>
    </w:pPr>
  </w:p>
  <w:p w14:paraId="39587A85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A60FE" w14:textId="77777777" w:rsidR="00660161" w:rsidRDefault="00660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2C36EB"/>
    <w:multiLevelType w:val="multilevel"/>
    <w:tmpl w:val="00204A4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SimSu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10E6E"/>
    <w:multiLevelType w:val="hybridMultilevel"/>
    <w:tmpl w:val="952E7DBC"/>
    <w:lvl w:ilvl="0" w:tplc="C63EB100">
      <w:start w:val="1"/>
      <w:numFmt w:val="lowerRoman"/>
      <w:lvlText w:val="%1)"/>
      <w:lvlJc w:val="left"/>
      <w:pPr>
        <w:ind w:left="62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69" w:hanging="360"/>
      </w:pPr>
    </w:lvl>
    <w:lvl w:ilvl="2" w:tplc="0409001B">
      <w:start w:val="1"/>
      <w:numFmt w:val="lowerRoman"/>
      <w:lvlText w:val="%3."/>
      <w:lvlJc w:val="right"/>
      <w:pPr>
        <w:ind w:left="7689" w:hanging="180"/>
      </w:pPr>
    </w:lvl>
    <w:lvl w:ilvl="3" w:tplc="0409000F" w:tentative="1">
      <w:start w:val="1"/>
      <w:numFmt w:val="decimal"/>
      <w:lvlText w:val="%4."/>
      <w:lvlJc w:val="left"/>
      <w:pPr>
        <w:ind w:left="8409" w:hanging="360"/>
      </w:pPr>
    </w:lvl>
    <w:lvl w:ilvl="4" w:tplc="04090019" w:tentative="1">
      <w:start w:val="1"/>
      <w:numFmt w:val="lowerLetter"/>
      <w:lvlText w:val="%5."/>
      <w:lvlJc w:val="left"/>
      <w:pPr>
        <w:ind w:left="9129" w:hanging="360"/>
      </w:pPr>
    </w:lvl>
    <w:lvl w:ilvl="5" w:tplc="0409001B" w:tentative="1">
      <w:start w:val="1"/>
      <w:numFmt w:val="lowerRoman"/>
      <w:lvlText w:val="%6."/>
      <w:lvlJc w:val="right"/>
      <w:pPr>
        <w:ind w:left="9849" w:hanging="180"/>
      </w:pPr>
    </w:lvl>
    <w:lvl w:ilvl="6" w:tplc="0409000F" w:tentative="1">
      <w:start w:val="1"/>
      <w:numFmt w:val="decimal"/>
      <w:lvlText w:val="%7."/>
      <w:lvlJc w:val="left"/>
      <w:pPr>
        <w:ind w:left="10569" w:hanging="360"/>
      </w:pPr>
    </w:lvl>
    <w:lvl w:ilvl="7" w:tplc="04090019" w:tentative="1">
      <w:start w:val="1"/>
      <w:numFmt w:val="lowerLetter"/>
      <w:lvlText w:val="%8."/>
      <w:lvlJc w:val="left"/>
      <w:pPr>
        <w:ind w:left="11289" w:hanging="360"/>
      </w:pPr>
    </w:lvl>
    <w:lvl w:ilvl="8" w:tplc="040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8" w15:restartNumberingAfterBreak="0">
    <w:nsid w:val="75FA3F76"/>
    <w:multiLevelType w:val="hybridMultilevel"/>
    <w:tmpl w:val="90E8AB46"/>
    <w:lvl w:ilvl="0" w:tplc="C63EB100">
      <w:start w:val="1"/>
      <w:numFmt w:val="lowerRoman"/>
      <w:lvlText w:val="%1)"/>
      <w:lvlJc w:val="left"/>
      <w:pPr>
        <w:ind w:left="62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69" w:hanging="360"/>
      </w:pPr>
    </w:lvl>
    <w:lvl w:ilvl="2" w:tplc="C63EB100">
      <w:start w:val="1"/>
      <w:numFmt w:val="lowerRoman"/>
      <w:lvlText w:val="%3)"/>
      <w:lvlJc w:val="left"/>
      <w:pPr>
        <w:ind w:left="7689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8409" w:hanging="360"/>
      </w:pPr>
    </w:lvl>
    <w:lvl w:ilvl="4" w:tplc="04090019" w:tentative="1">
      <w:start w:val="1"/>
      <w:numFmt w:val="lowerLetter"/>
      <w:lvlText w:val="%5."/>
      <w:lvlJc w:val="left"/>
      <w:pPr>
        <w:ind w:left="9129" w:hanging="360"/>
      </w:pPr>
    </w:lvl>
    <w:lvl w:ilvl="5" w:tplc="0409001B" w:tentative="1">
      <w:start w:val="1"/>
      <w:numFmt w:val="lowerRoman"/>
      <w:lvlText w:val="%6."/>
      <w:lvlJc w:val="right"/>
      <w:pPr>
        <w:ind w:left="9849" w:hanging="180"/>
      </w:pPr>
    </w:lvl>
    <w:lvl w:ilvl="6" w:tplc="0409000F" w:tentative="1">
      <w:start w:val="1"/>
      <w:numFmt w:val="decimal"/>
      <w:lvlText w:val="%7."/>
      <w:lvlJc w:val="left"/>
      <w:pPr>
        <w:ind w:left="10569" w:hanging="360"/>
      </w:pPr>
    </w:lvl>
    <w:lvl w:ilvl="7" w:tplc="04090019" w:tentative="1">
      <w:start w:val="1"/>
      <w:numFmt w:val="lowerLetter"/>
      <w:lvlText w:val="%8."/>
      <w:lvlJc w:val="left"/>
      <w:pPr>
        <w:ind w:left="11289" w:hanging="360"/>
      </w:pPr>
    </w:lvl>
    <w:lvl w:ilvl="8" w:tplc="0409001B" w:tentative="1">
      <w:start w:val="1"/>
      <w:numFmt w:val="lowerRoman"/>
      <w:lvlText w:val="%9."/>
      <w:lvlJc w:val="right"/>
      <w:pPr>
        <w:ind w:left="1200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Madrid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CWS|TextBase TMs\WorkspaceFTS\Patents &amp; Innovation\IPC|TextBase TMs\WorkspaceFTS\Treaties &amp; Laws\WIPO Lex|TextBase TMs\WorkspaceFTS\Treaties &amp; Laws\WIPO Treaties|TextBase TMs\WorkspaceFTS\xLegacy\Academy|TextBase TMs\WorkspaceFTS\xLegacy\UPOV|Team Server TMs\French"/>
    <w:docVar w:name="TextBaseURL" w:val="empty"/>
    <w:docVar w:name="UILng" w:val="en"/>
  </w:docVars>
  <w:rsids>
    <w:rsidRoot w:val="00B93EE0"/>
    <w:rsid w:val="00043CAA"/>
    <w:rsid w:val="00056816"/>
    <w:rsid w:val="00075432"/>
    <w:rsid w:val="0008136D"/>
    <w:rsid w:val="00081800"/>
    <w:rsid w:val="000968ED"/>
    <w:rsid w:val="000A3D97"/>
    <w:rsid w:val="000E4A22"/>
    <w:rsid w:val="000F5D9F"/>
    <w:rsid w:val="000F5E56"/>
    <w:rsid w:val="001362EE"/>
    <w:rsid w:val="00145F46"/>
    <w:rsid w:val="001647D5"/>
    <w:rsid w:val="001832A6"/>
    <w:rsid w:val="001951BD"/>
    <w:rsid w:val="001D4107"/>
    <w:rsid w:val="00203D24"/>
    <w:rsid w:val="0021217E"/>
    <w:rsid w:val="00243430"/>
    <w:rsid w:val="002634C4"/>
    <w:rsid w:val="00266E90"/>
    <w:rsid w:val="002846EC"/>
    <w:rsid w:val="002928D3"/>
    <w:rsid w:val="002F0016"/>
    <w:rsid w:val="002F0508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4D32"/>
    <w:rsid w:val="00427AF4"/>
    <w:rsid w:val="004647DA"/>
    <w:rsid w:val="00474062"/>
    <w:rsid w:val="00477D6B"/>
    <w:rsid w:val="005019FF"/>
    <w:rsid w:val="0053057A"/>
    <w:rsid w:val="00531693"/>
    <w:rsid w:val="00556076"/>
    <w:rsid w:val="00556656"/>
    <w:rsid w:val="00560A29"/>
    <w:rsid w:val="0057600B"/>
    <w:rsid w:val="00592CF7"/>
    <w:rsid w:val="005948CE"/>
    <w:rsid w:val="005A3EE4"/>
    <w:rsid w:val="005A7B9B"/>
    <w:rsid w:val="005C160C"/>
    <w:rsid w:val="005C6649"/>
    <w:rsid w:val="00605827"/>
    <w:rsid w:val="00646050"/>
    <w:rsid w:val="00660161"/>
    <w:rsid w:val="006713CA"/>
    <w:rsid w:val="00676C5C"/>
    <w:rsid w:val="006A075D"/>
    <w:rsid w:val="006D7ABE"/>
    <w:rsid w:val="00720EFD"/>
    <w:rsid w:val="00793A7C"/>
    <w:rsid w:val="007A398A"/>
    <w:rsid w:val="007D1613"/>
    <w:rsid w:val="007E4C0E"/>
    <w:rsid w:val="008203EB"/>
    <w:rsid w:val="00855D34"/>
    <w:rsid w:val="008A134B"/>
    <w:rsid w:val="008A3298"/>
    <w:rsid w:val="008A75FD"/>
    <w:rsid w:val="008B1D8F"/>
    <w:rsid w:val="008B2CC1"/>
    <w:rsid w:val="008B60B2"/>
    <w:rsid w:val="008C180E"/>
    <w:rsid w:val="008D0E8D"/>
    <w:rsid w:val="0090731E"/>
    <w:rsid w:val="00916EE2"/>
    <w:rsid w:val="00932EE2"/>
    <w:rsid w:val="009621EF"/>
    <w:rsid w:val="00966A22"/>
    <w:rsid w:val="0096722F"/>
    <w:rsid w:val="00980843"/>
    <w:rsid w:val="009E2791"/>
    <w:rsid w:val="009E3F6F"/>
    <w:rsid w:val="009E6AA5"/>
    <w:rsid w:val="009F499F"/>
    <w:rsid w:val="00A10B94"/>
    <w:rsid w:val="00A131D2"/>
    <w:rsid w:val="00A37342"/>
    <w:rsid w:val="00A42DAF"/>
    <w:rsid w:val="00A45BD8"/>
    <w:rsid w:val="00A72F36"/>
    <w:rsid w:val="00A77FE7"/>
    <w:rsid w:val="00A869B7"/>
    <w:rsid w:val="00AC205C"/>
    <w:rsid w:val="00AF0A6B"/>
    <w:rsid w:val="00B05A69"/>
    <w:rsid w:val="00B1424B"/>
    <w:rsid w:val="00B25737"/>
    <w:rsid w:val="00B75281"/>
    <w:rsid w:val="00B77EB5"/>
    <w:rsid w:val="00B92F1F"/>
    <w:rsid w:val="00B93EE0"/>
    <w:rsid w:val="00B9734B"/>
    <w:rsid w:val="00BA30E2"/>
    <w:rsid w:val="00BD1745"/>
    <w:rsid w:val="00C11BFE"/>
    <w:rsid w:val="00C3136F"/>
    <w:rsid w:val="00C5068F"/>
    <w:rsid w:val="00C86D74"/>
    <w:rsid w:val="00CA26D4"/>
    <w:rsid w:val="00CA2B25"/>
    <w:rsid w:val="00CC6440"/>
    <w:rsid w:val="00CD04F1"/>
    <w:rsid w:val="00CF681A"/>
    <w:rsid w:val="00D07C78"/>
    <w:rsid w:val="00D11261"/>
    <w:rsid w:val="00D35C9B"/>
    <w:rsid w:val="00D40840"/>
    <w:rsid w:val="00D45252"/>
    <w:rsid w:val="00D71B4D"/>
    <w:rsid w:val="00D93D55"/>
    <w:rsid w:val="00DD7B7F"/>
    <w:rsid w:val="00DF30F9"/>
    <w:rsid w:val="00E068D6"/>
    <w:rsid w:val="00E15015"/>
    <w:rsid w:val="00E23647"/>
    <w:rsid w:val="00E335FE"/>
    <w:rsid w:val="00E66B37"/>
    <w:rsid w:val="00EA7D6E"/>
    <w:rsid w:val="00EB00F4"/>
    <w:rsid w:val="00EB2F76"/>
    <w:rsid w:val="00EC4E49"/>
    <w:rsid w:val="00ED77FB"/>
    <w:rsid w:val="00EE0CBF"/>
    <w:rsid w:val="00EE45FA"/>
    <w:rsid w:val="00F043DE"/>
    <w:rsid w:val="00F1085F"/>
    <w:rsid w:val="00F66152"/>
    <w:rsid w:val="00F874D6"/>
    <w:rsid w:val="00F9165B"/>
    <w:rsid w:val="00F96831"/>
    <w:rsid w:val="00F96888"/>
    <w:rsid w:val="00FD1408"/>
    <w:rsid w:val="00F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5A6C9B0"/>
  <w15:docId w15:val="{3AA6AEBD-E718-4154-8F2B-B58D3187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semiHidden/>
    <w:unhideWhenUsed/>
    <w:rsid w:val="000F5D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5D9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5D9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F5D9F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0F5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5D9F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0F5D9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24D32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paragraph" w:customStyle="1" w:styleId="Default">
    <w:name w:val="Default"/>
    <w:rsid w:val="00424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ursera.or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5A329-901D-452F-918B-2EE10E45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2233</Words>
  <Characters>13077</Characters>
  <Application>Microsoft Office Word</Application>
  <DocSecurity>0</DocSecurity>
  <Lines>209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PCT/WG/14/15</vt:lpstr>
    </vt:vector>
  </TitlesOfParts>
  <Company>WIPO</Company>
  <LinksUpToDate>false</LinksUpToDate>
  <CharactersWithSpaces>15307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PCT/WG/14/15</dc:title>
  <dc:subject>Survey on the Use of e-Learning Resources for the Training of Substantive Patent Examiners</dc:subject>
  <dc:creator>MARLOW Thomas</dc:creator>
  <cp:keywords>PUBLIC</cp:keywords>
  <cp:lastModifiedBy>SHOUSHA Sally</cp:lastModifiedBy>
  <cp:revision>2</cp:revision>
  <cp:lastPrinted>2011-02-15T11:56:00Z</cp:lastPrinted>
  <dcterms:created xsi:type="dcterms:W3CDTF">2021-06-02T15:21:00Z</dcterms:created>
  <dcterms:modified xsi:type="dcterms:W3CDTF">2021-06-02T15:21:00Z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eb8e991e-73af-46d6-b405-3c40dd0d978e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