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EEF2A" w14:textId="77777777" w:rsidR="008B2CC1" w:rsidRPr="00693E45" w:rsidRDefault="0040540C" w:rsidP="00D20C96">
      <w:pPr>
        <w:spacing w:before="360" w:after="240"/>
        <w:jc w:val="right"/>
        <w:rPr>
          <w:lang w:val="fr-FR"/>
        </w:rPr>
      </w:pPr>
      <w:r w:rsidRPr="00693E45">
        <w:rPr>
          <w:noProof/>
          <w:lang w:val="en-GB" w:eastAsia="en-GB"/>
        </w:rPr>
        <w:drawing>
          <wp:inline distT="0" distB="0" distL="0" distR="0" wp14:anchorId="6D7EC9BF" wp14:editId="340E9DD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299F2EE" w14:textId="77777777" w:rsidR="00B1090C" w:rsidRPr="00693E45" w:rsidRDefault="000453DC" w:rsidP="00D20C96">
      <w:pPr>
        <w:pBdr>
          <w:top w:val="single" w:sz="4" w:space="16" w:color="auto"/>
        </w:pBdr>
        <w:jc w:val="right"/>
        <w:rPr>
          <w:rFonts w:ascii="Arial Black" w:hAnsi="Arial Black"/>
          <w:caps/>
          <w:sz w:val="15"/>
          <w:lang w:val="fr-FR"/>
        </w:rPr>
      </w:pPr>
      <w:r w:rsidRPr="00693E45">
        <w:rPr>
          <w:rFonts w:ascii="Arial Black" w:hAnsi="Arial Black"/>
          <w:caps/>
          <w:sz w:val="15"/>
          <w:lang w:val="fr-FR"/>
        </w:rPr>
        <w:t>PCT/WG/1</w:t>
      </w:r>
      <w:r w:rsidR="00871401" w:rsidRPr="00693E45">
        <w:rPr>
          <w:rFonts w:ascii="Arial Black" w:hAnsi="Arial Black"/>
          <w:caps/>
          <w:sz w:val="15"/>
          <w:lang w:val="fr-FR"/>
        </w:rPr>
        <w:t>4</w:t>
      </w:r>
      <w:r w:rsidR="00D20C96" w:rsidRPr="00693E45">
        <w:rPr>
          <w:rFonts w:ascii="Arial Black" w:hAnsi="Arial Black"/>
          <w:caps/>
          <w:sz w:val="15"/>
          <w:lang w:val="fr-FR"/>
        </w:rPr>
        <w:t>/</w:t>
      </w:r>
      <w:bookmarkStart w:id="0" w:name="Code"/>
      <w:r w:rsidR="007F3D49" w:rsidRPr="00693E45">
        <w:rPr>
          <w:rFonts w:ascii="Arial Black" w:hAnsi="Arial Black"/>
          <w:caps/>
          <w:sz w:val="15"/>
          <w:lang w:val="fr-FR"/>
        </w:rPr>
        <w:t>2</w:t>
      </w:r>
    </w:p>
    <w:bookmarkEnd w:id="0"/>
    <w:p w14:paraId="270968AF" w14:textId="7220A086" w:rsidR="008B2CC1" w:rsidRPr="00693E45" w:rsidRDefault="00B1090C" w:rsidP="0040540C">
      <w:pPr>
        <w:jc w:val="right"/>
        <w:rPr>
          <w:lang w:val="fr-FR"/>
        </w:rPr>
      </w:pPr>
      <w:r w:rsidRPr="00693E45">
        <w:rPr>
          <w:rFonts w:ascii="Arial Black" w:hAnsi="Arial Black"/>
          <w:caps/>
          <w:sz w:val="15"/>
          <w:lang w:val="fr-FR"/>
        </w:rPr>
        <w:t>ORIGINAL</w:t>
      </w:r>
      <w:r w:rsidR="009B7882" w:rsidRPr="00693E45">
        <w:rPr>
          <w:rFonts w:ascii="Arial Black" w:hAnsi="Arial Black"/>
          <w:caps/>
          <w:sz w:val="15"/>
          <w:lang w:val="fr-FR"/>
        </w:rPr>
        <w:t> :</w:t>
      </w:r>
      <w:r w:rsidR="002956DE" w:rsidRPr="00693E45">
        <w:rPr>
          <w:rFonts w:ascii="Arial Black" w:hAnsi="Arial Black"/>
          <w:caps/>
          <w:sz w:val="15"/>
          <w:lang w:val="fr-FR"/>
        </w:rPr>
        <w:t xml:space="preserve"> </w:t>
      </w:r>
      <w:bookmarkStart w:id="1" w:name="Original"/>
      <w:r w:rsidR="007F3D49" w:rsidRPr="00693E45">
        <w:rPr>
          <w:rFonts w:ascii="Arial Black" w:hAnsi="Arial Black"/>
          <w:caps/>
          <w:sz w:val="15"/>
          <w:lang w:val="fr-FR"/>
        </w:rPr>
        <w:t>anglais</w:t>
      </w:r>
    </w:p>
    <w:bookmarkEnd w:id="1"/>
    <w:p w14:paraId="2F01BB58" w14:textId="70BA95EA" w:rsidR="008B2CC1" w:rsidRPr="00693E45" w:rsidRDefault="00B1090C" w:rsidP="00B1090C">
      <w:pPr>
        <w:spacing w:after="1200"/>
        <w:jc w:val="right"/>
        <w:rPr>
          <w:lang w:val="fr-FR"/>
        </w:rPr>
      </w:pPr>
      <w:r w:rsidRPr="00693E45">
        <w:rPr>
          <w:rFonts w:ascii="Arial Black" w:hAnsi="Arial Black"/>
          <w:caps/>
          <w:sz w:val="15"/>
          <w:lang w:val="fr-FR"/>
        </w:rPr>
        <w:t>DATE</w:t>
      </w:r>
      <w:r w:rsidR="009B7882" w:rsidRPr="00693E45">
        <w:rPr>
          <w:rFonts w:ascii="Arial Black" w:hAnsi="Arial Black"/>
          <w:caps/>
          <w:sz w:val="15"/>
          <w:lang w:val="fr-FR"/>
        </w:rPr>
        <w:t> :</w:t>
      </w:r>
      <w:r w:rsidR="002956DE" w:rsidRPr="00693E45">
        <w:rPr>
          <w:rFonts w:ascii="Arial Black" w:hAnsi="Arial Black"/>
          <w:caps/>
          <w:sz w:val="15"/>
          <w:lang w:val="fr-FR"/>
        </w:rPr>
        <w:t xml:space="preserve"> </w:t>
      </w:r>
      <w:bookmarkStart w:id="2" w:name="Date"/>
      <w:r w:rsidR="007F3D49" w:rsidRPr="00693E45">
        <w:rPr>
          <w:rFonts w:ascii="Arial Black" w:hAnsi="Arial Black"/>
          <w:caps/>
          <w:sz w:val="15"/>
          <w:lang w:val="fr-FR"/>
        </w:rPr>
        <w:t>10 mai 2021</w:t>
      </w:r>
    </w:p>
    <w:bookmarkEnd w:id="2"/>
    <w:p w14:paraId="707CFA87" w14:textId="77777777" w:rsidR="003845C1" w:rsidRPr="00693E45" w:rsidRDefault="000453DC" w:rsidP="00CB4729">
      <w:pPr>
        <w:pStyle w:val="Title"/>
      </w:pPr>
      <w:r w:rsidRPr="00693E45">
        <w:t>Groupe de travail du Traité de coopération en matière de brevets (PCT)</w:t>
      </w:r>
    </w:p>
    <w:p w14:paraId="05A40BE7" w14:textId="3B5E9A06" w:rsidR="00871401" w:rsidRPr="00693E45" w:rsidRDefault="00871401" w:rsidP="00871401">
      <w:pPr>
        <w:outlineLvl w:val="1"/>
        <w:rPr>
          <w:b/>
          <w:sz w:val="24"/>
          <w:szCs w:val="24"/>
          <w:lang w:val="fr-FR"/>
        </w:rPr>
      </w:pPr>
      <w:r w:rsidRPr="00693E45">
        <w:rPr>
          <w:b/>
          <w:sz w:val="24"/>
          <w:szCs w:val="24"/>
          <w:lang w:val="fr-FR"/>
        </w:rPr>
        <w:t>Quatorz</w:t>
      </w:r>
      <w:r w:rsidR="009B7882" w:rsidRPr="00693E45">
        <w:rPr>
          <w:b/>
          <w:sz w:val="24"/>
          <w:szCs w:val="24"/>
          <w:lang w:val="fr-FR"/>
        </w:rPr>
        <w:t>ième session</w:t>
      </w:r>
    </w:p>
    <w:p w14:paraId="01693DF7" w14:textId="41139908" w:rsidR="008B2CC1" w:rsidRPr="00693E45" w:rsidRDefault="000453DC" w:rsidP="000453DC">
      <w:pPr>
        <w:spacing w:after="720"/>
        <w:outlineLvl w:val="1"/>
        <w:rPr>
          <w:b/>
          <w:sz w:val="24"/>
          <w:szCs w:val="24"/>
          <w:lang w:val="fr-FR"/>
        </w:rPr>
      </w:pPr>
      <w:r w:rsidRPr="00693E45">
        <w:rPr>
          <w:b/>
          <w:sz w:val="24"/>
          <w:szCs w:val="24"/>
          <w:lang w:val="fr-FR"/>
        </w:rPr>
        <w:t xml:space="preserve">Genève, </w:t>
      </w:r>
      <w:r w:rsidR="00871401" w:rsidRPr="00693E45">
        <w:rPr>
          <w:b/>
          <w:sz w:val="24"/>
          <w:szCs w:val="24"/>
          <w:lang w:val="fr-FR"/>
        </w:rPr>
        <w:t>14</w:t>
      </w:r>
      <w:r w:rsidRPr="00693E45">
        <w:rPr>
          <w:b/>
          <w:sz w:val="24"/>
          <w:szCs w:val="24"/>
          <w:lang w:val="fr-FR"/>
        </w:rPr>
        <w:t xml:space="preserve"> – </w:t>
      </w:r>
      <w:r w:rsidR="00871401" w:rsidRPr="00693E45">
        <w:rPr>
          <w:b/>
          <w:sz w:val="24"/>
          <w:szCs w:val="24"/>
          <w:lang w:val="fr-FR"/>
        </w:rPr>
        <w:t>1</w:t>
      </w:r>
      <w:r w:rsidR="009B7882" w:rsidRPr="00693E45">
        <w:rPr>
          <w:b/>
          <w:sz w:val="24"/>
          <w:szCs w:val="24"/>
          <w:lang w:val="fr-FR"/>
        </w:rPr>
        <w:t>7 juin 20</w:t>
      </w:r>
      <w:r w:rsidR="00871401" w:rsidRPr="00693E45">
        <w:rPr>
          <w:b/>
          <w:sz w:val="24"/>
          <w:szCs w:val="24"/>
          <w:lang w:val="fr-FR"/>
        </w:rPr>
        <w:t>21</w:t>
      </w:r>
    </w:p>
    <w:p w14:paraId="3D7AE42E" w14:textId="1CBCC14D" w:rsidR="008B2CC1" w:rsidRPr="00693E45" w:rsidRDefault="007F3D49" w:rsidP="00B1090C">
      <w:pPr>
        <w:spacing w:after="360"/>
        <w:rPr>
          <w:caps/>
          <w:sz w:val="24"/>
          <w:lang w:val="fr-FR"/>
        </w:rPr>
      </w:pPr>
      <w:bookmarkStart w:id="3" w:name="TitleOfDoc"/>
      <w:r w:rsidRPr="00693E45">
        <w:rPr>
          <w:caps/>
          <w:sz w:val="24"/>
          <w:lang w:val="fr-FR"/>
        </w:rPr>
        <w:t>Rapport sur la vingt</w:t>
      </w:r>
      <w:r w:rsidR="00CB4729" w:rsidRPr="00693E45">
        <w:rPr>
          <w:caps/>
          <w:sz w:val="24"/>
          <w:lang w:val="fr-FR"/>
        </w:rPr>
        <w:noBreakHyphen/>
      </w:r>
      <w:r w:rsidRPr="00693E45">
        <w:rPr>
          <w:caps/>
          <w:sz w:val="24"/>
          <w:lang w:val="fr-FR"/>
        </w:rPr>
        <w:t>huiti</w:t>
      </w:r>
      <w:r w:rsidR="00913F6F">
        <w:rPr>
          <w:caps/>
          <w:sz w:val="24"/>
          <w:lang w:val="fr-FR"/>
        </w:rPr>
        <w:t>È</w:t>
      </w:r>
      <w:r w:rsidRPr="00693E45">
        <w:rPr>
          <w:caps/>
          <w:sz w:val="24"/>
          <w:lang w:val="fr-FR"/>
        </w:rPr>
        <w:t>me R</w:t>
      </w:r>
      <w:r w:rsidR="00913F6F">
        <w:rPr>
          <w:caps/>
          <w:sz w:val="24"/>
          <w:lang w:val="fr-FR"/>
        </w:rPr>
        <w:t>É</w:t>
      </w:r>
      <w:r w:rsidRPr="00693E45">
        <w:rPr>
          <w:caps/>
          <w:sz w:val="24"/>
          <w:lang w:val="fr-FR"/>
        </w:rPr>
        <w:t>union des administrations internationales institu</w:t>
      </w:r>
      <w:r w:rsidR="00913F6F">
        <w:rPr>
          <w:caps/>
          <w:sz w:val="24"/>
          <w:lang w:val="fr-FR"/>
        </w:rPr>
        <w:t>É</w:t>
      </w:r>
      <w:r w:rsidRPr="00693E45">
        <w:rPr>
          <w:caps/>
          <w:sz w:val="24"/>
          <w:lang w:val="fr-FR"/>
        </w:rPr>
        <w:t>es en vertu</w:t>
      </w:r>
      <w:r w:rsidR="009B7882" w:rsidRPr="00693E45">
        <w:rPr>
          <w:caps/>
          <w:sz w:val="24"/>
          <w:lang w:val="fr-FR"/>
        </w:rPr>
        <w:t xml:space="preserve"> du PCT</w:t>
      </w:r>
    </w:p>
    <w:p w14:paraId="2E907C13" w14:textId="77777777" w:rsidR="008B2CC1" w:rsidRPr="00693E45" w:rsidRDefault="007F3D49" w:rsidP="00963071">
      <w:pPr>
        <w:spacing w:after="960"/>
        <w:rPr>
          <w:i/>
          <w:lang w:val="fr-FR"/>
        </w:rPr>
      </w:pPr>
      <w:bookmarkStart w:id="4" w:name="Prepared"/>
      <w:bookmarkEnd w:id="3"/>
      <w:r w:rsidRPr="00693E45">
        <w:rPr>
          <w:i/>
          <w:lang w:val="fr-FR"/>
        </w:rPr>
        <w:t>Document établi par le Bureau international</w:t>
      </w:r>
    </w:p>
    <w:bookmarkEnd w:id="4"/>
    <w:p w14:paraId="77F4AF27" w14:textId="3AB702FE" w:rsidR="007F3D49" w:rsidRPr="00693E45" w:rsidRDefault="007E1979" w:rsidP="00CB4729">
      <w:pPr>
        <w:pStyle w:val="ONUMFS"/>
        <w:rPr>
          <w:lang w:val="fr-FR"/>
        </w:rPr>
      </w:pPr>
      <w:r w:rsidRPr="00693E45">
        <w:rPr>
          <w:lang w:val="fr-FR"/>
        </w:rPr>
        <w:t>L</w:t>
      </w:r>
      <w:r w:rsidR="009B7882" w:rsidRPr="00693E45">
        <w:rPr>
          <w:lang w:val="fr-FR"/>
        </w:rPr>
        <w:t>’</w:t>
      </w:r>
      <w:r w:rsidRPr="00693E45">
        <w:rPr>
          <w:lang w:val="fr-FR"/>
        </w:rPr>
        <w:t>annexe du présent document contient le résumé établi par</w:t>
      </w:r>
      <w:r w:rsidR="00B26312" w:rsidRPr="00693E45">
        <w:rPr>
          <w:lang w:val="fr-FR"/>
        </w:rPr>
        <w:t xml:space="preserve"> le président de la vingt</w:t>
      </w:r>
      <w:r w:rsidR="00CB4729" w:rsidRPr="00693E45">
        <w:rPr>
          <w:lang w:val="fr-FR"/>
        </w:rPr>
        <w:noBreakHyphen/>
      </w:r>
      <w:r w:rsidR="00B26312" w:rsidRPr="00693E45">
        <w:rPr>
          <w:lang w:val="fr-FR"/>
        </w:rPr>
        <w:t>huitième Réunion des administrations internationales instituées en vertu</w:t>
      </w:r>
      <w:r w:rsidR="009B7882" w:rsidRPr="00693E45">
        <w:rPr>
          <w:lang w:val="fr-FR"/>
        </w:rPr>
        <w:t xml:space="preserve"> du PCT</w:t>
      </w:r>
      <w:r w:rsidR="00B26312" w:rsidRPr="00693E45">
        <w:rPr>
          <w:lang w:val="fr-FR"/>
        </w:rPr>
        <w:t xml:space="preserve"> </w:t>
      </w:r>
      <w:r w:rsidR="007F3D49" w:rsidRPr="00693E45">
        <w:rPr>
          <w:lang w:val="fr-FR"/>
        </w:rPr>
        <w:t xml:space="preserve">(PCT/MIA), </w:t>
      </w:r>
      <w:r w:rsidR="00B26312" w:rsidRPr="00693E45">
        <w:rPr>
          <w:lang w:val="fr-FR"/>
        </w:rPr>
        <w:t xml:space="preserve">tenue à Genève sous </w:t>
      </w:r>
      <w:r w:rsidR="00FD5421" w:rsidRPr="00693E45">
        <w:rPr>
          <w:lang w:val="fr-FR"/>
        </w:rPr>
        <w:t xml:space="preserve">forme </w:t>
      </w:r>
      <w:r w:rsidR="00B26312" w:rsidRPr="00693E45">
        <w:rPr>
          <w:lang w:val="fr-FR"/>
        </w:rPr>
        <w:t>virtuelle, du 24 au 2</w:t>
      </w:r>
      <w:r w:rsidR="009B7882" w:rsidRPr="00693E45">
        <w:rPr>
          <w:lang w:val="fr-FR"/>
        </w:rPr>
        <w:t>6 mai 20</w:t>
      </w:r>
      <w:r w:rsidR="00B26312" w:rsidRPr="00693E45">
        <w:rPr>
          <w:lang w:val="fr-FR"/>
        </w:rPr>
        <w:t>21.  L</w:t>
      </w:r>
      <w:r w:rsidR="009B7882" w:rsidRPr="00693E45">
        <w:rPr>
          <w:lang w:val="fr-FR"/>
        </w:rPr>
        <w:t>’annexe I</w:t>
      </w:r>
      <w:r w:rsidR="00B26312" w:rsidRPr="00693E45">
        <w:rPr>
          <w:lang w:val="fr-FR"/>
        </w:rPr>
        <w:t>I contient le résumé présenté par le président de la onzième réunion informelle du Sous</w:t>
      </w:r>
      <w:r w:rsidR="00CB4729" w:rsidRPr="00693E45">
        <w:rPr>
          <w:lang w:val="fr-FR"/>
        </w:rPr>
        <w:noBreakHyphen/>
      </w:r>
      <w:r w:rsidR="00B26312" w:rsidRPr="00693E45">
        <w:rPr>
          <w:lang w:val="fr-FR"/>
        </w:rPr>
        <w:t xml:space="preserve">groupe de </w:t>
      </w:r>
      <w:r w:rsidR="00211679" w:rsidRPr="00693E45">
        <w:rPr>
          <w:lang w:val="fr-FR"/>
        </w:rPr>
        <w:t xml:space="preserve">la </w:t>
      </w:r>
      <w:r w:rsidR="00FD5421" w:rsidRPr="00693E45">
        <w:rPr>
          <w:lang w:val="fr-FR"/>
        </w:rPr>
        <w:t>Réunion</w:t>
      </w:r>
      <w:r w:rsidR="00B26312" w:rsidRPr="00693E45">
        <w:rPr>
          <w:lang w:val="fr-FR"/>
        </w:rPr>
        <w:t xml:space="preserve"> des administrations internationales chargé de la qualité </w:t>
      </w:r>
      <w:r w:rsidR="00CF5F81" w:rsidRPr="00693E45">
        <w:rPr>
          <w:lang w:val="fr-FR"/>
        </w:rPr>
        <w:t>qui a eu lieu à Genève les 22 et 2</w:t>
      </w:r>
      <w:r w:rsidR="009B7882" w:rsidRPr="00693E45">
        <w:rPr>
          <w:lang w:val="fr-FR"/>
        </w:rPr>
        <w:t>3 mars 20</w:t>
      </w:r>
      <w:r w:rsidR="00CF5F81" w:rsidRPr="00693E45">
        <w:rPr>
          <w:lang w:val="fr-FR"/>
        </w:rPr>
        <w:t xml:space="preserve">21, juste avant </w:t>
      </w:r>
      <w:r w:rsidR="00211679" w:rsidRPr="00693E45">
        <w:rPr>
          <w:lang w:val="fr-FR"/>
        </w:rPr>
        <w:t xml:space="preserve">la </w:t>
      </w:r>
      <w:r w:rsidR="00FD5421" w:rsidRPr="00693E45">
        <w:rPr>
          <w:lang w:val="fr-FR"/>
        </w:rPr>
        <w:t>Réunion</w:t>
      </w:r>
      <w:r w:rsidR="00CF5F81" w:rsidRPr="00693E45">
        <w:rPr>
          <w:lang w:val="fr-FR"/>
        </w:rPr>
        <w:t xml:space="preserve"> des administrations internationales.</w:t>
      </w:r>
    </w:p>
    <w:p w14:paraId="00F06B99" w14:textId="3CB67DE4" w:rsidR="007F3D49" w:rsidRPr="00693E45" w:rsidRDefault="007F3D49" w:rsidP="00CB4729">
      <w:pPr>
        <w:pStyle w:val="ONUMFS"/>
        <w:ind w:left="5533"/>
        <w:rPr>
          <w:i/>
        </w:rPr>
      </w:pPr>
      <w:r w:rsidRPr="00693E45">
        <w:rPr>
          <w:i/>
        </w:rPr>
        <w:t>Le groupe de travail est invité à prendre note du résumé établi par le président de la vingt</w:t>
      </w:r>
      <w:r w:rsidR="00CB4729" w:rsidRPr="00693E45">
        <w:rPr>
          <w:i/>
        </w:rPr>
        <w:noBreakHyphen/>
      </w:r>
      <w:r w:rsidRPr="00693E45">
        <w:rPr>
          <w:i/>
        </w:rPr>
        <w:t>huitième Réunion des administrations internationales</w:t>
      </w:r>
      <w:r w:rsidR="009B7882" w:rsidRPr="00693E45">
        <w:rPr>
          <w:i/>
        </w:rPr>
        <w:t xml:space="preserve"> du PCT</w:t>
      </w:r>
      <w:r w:rsidRPr="00693E45">
        <w:rPr>
          <w:i/>
        </w:rPr>
        <w:t xml:space="preserve"> (document PCT/MIA/28/9), reproduit dans l</w:t>
      </w:r>
      <w:r w:rsidR="009B7882" w:rsidRPr="00693E45">
        <w:rPr>
          <w:i/>
        </w:rPr>
        <w:t>’</w:t>
      </w:r>
      <w:r w:rsidRPr="00693E45">
        <w:rPr>
          <w:i/>
        </w:rPr>
        <w:t>annexe du présent document.</w:t>
      </w:r>
    </w:p>
    <w:p w14:paraId="225C8CF3" w14:textId="4A92F0DD" w:rsidR="007F3D49" w:rsidRPr="00693E45" w:rsidRDefault="007F3D49" w:rsidP="007F3D49">
      <w:pPr>
        <w:pStyle w:val="Endofdocument-Annex"/>
        <w:spacing w:before="720"/>
        <w:rPr>
          <w:lang w:val="fr-FR"/>
        </w:rPr>
        <w:sectPr w:rsidR="007F3D49" w:rsidRPr="00693E45" w:rsidSect="00CB472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693E45">
        <w:rPr>
          <w:lang w:val="fr-FR"/>
        </w:rPr>
        <w:t>[L</w:t>
      </w:r>
      <w:r w:rsidR="009B7882" w:rsidRPr="00693E45">
        <w:rPr>
          <w:lang w:val="fr-FR"/>
        </w:rPr>
        <w:t>’</w:t>
      </w:r>
      <w:r w:rsidRPr="00693E45">
        <w:rPr>
          <w:lang w:val="fr-FR"/>
        </w:rPr>
        <w:t>annexe suit]</w:t>
      </w:r>
    </w:p>
    <w:p w14:paraId="5397FAE1" w14:textId="77777777" w:rsidR="007F3D49" w:rsidRPr="00693E45" w:rsidRDefault="007F3D49" w:rsidP="007F3D49">
      <w:pPr>
        <w:rPr>
          <w:caps/>
          <w:lang w:val="fr-FR"/>
        </w:rPr>
      </w:pPr>
      <w:r w:rsidRPr="00693E45">
        <w:rPr>
          <w:caps/>
          <w:lang w:val="fr-FR"/>
        </w:rPr>
        <w:lastRenderedPageBreak/>
        <w:t>Réunion des administrations internationales instituées en vertu du Traité de coopération en matière de brevets (PCT)</w:t>
      </w:r>
    </w:p>
    <w:p w14:paraId="08805C5A" w14:textId="77777777" w:rsidR="007F3D49" w:rsidRPr="00693E45" w:rsidRDefault="007F3D49" w:rsidP="007F3D49">
      <w:pPr>
        <w:rPr>
          <w:lang w:val="fr-FR"/>
        </w:rPr>
      </w:pPr>
    </w:p>
    <w:p w14:paraId="3F6392F5" w14:textId="2027567E" w:rsidR="007F3D49" w:rsidRPr="00693E45" w:rsidRDefault="00E077E6" w:rsidP="007F3D49">
      <w:pPr>
        <w:rPr>
          <w:caps/>
          <w:lang w:val="fr-FR"/>
        </w:rPr>
      </w:pPr>
      <w:r w:rsidRPr="00693E45">
        <w:rPr>
          <w:caps/>
          <w:lang w:val="fr-FR"/>
        </w:rPr>
        <w:t>Vingt</w:t>
      </w:r>
      <w:r w:rsidR="00CB4729" w:rsidRPr="00693E45">
        <w:rPr>
          <w:caps/>
          <w:lang w:val="fr-FR"/>
        </w:rPr>
        <w:noBreakHyphen/>
      </w:r>
      <w:r w:rsidRPr="00693E45">
        <w:rPr>
          <w:caps/>
          <w:lang w:val="fr-FR"/>
        </w:rPr>
        <w:t>huit</w:t>
      </w:r>
      <w:r w:rsidR="009B7882" w:rsidRPr="00693E45">
        <w:rPr>
          <w:caps/>
          <w:lang w:val="fr-FR"/>
        </w:rPr>
        <w:t>ième session</w:t>
      </w:r>
      <w:r w:rsidR="007F3D49" w:rsidRPr="00693E45">
        <w:rPr>
          <w:caps/>
          <w:lang w:val="fr-FR"/>
        </w:rPr>
        <w:t xml:space="preserve">, </w:t>
      </w:r>
      <w:r w:rsidRPr="00693E45">
        <w:rPr>
          <w:caps/>
          <w:lang w:val="fr-FR"/>
        </w:rPr>
        <w:t>Genève</w:t>
      </w:r>
      <w:r w:rsidR="007F3D49" w:rsidRPr="00693E45">
        <w:rPr>
          <w:caps/>
          <w:lang w:val="fr-FR"/>
        </w:rPr>
        <w:t xml:space="preserve">, 24 </w:t>
      </w:r>
      <w:r w:rsidRPr="00693E45">
        <w:rPr>
          <w:caps/>
          <w:lang w:val="fr-FR"/>
        </w:rPr>
        <w:t>–</w:t>
      </w:r>
      <w:r w:rsidR="007F3D49" w:rsidRPr="00693E45">
        <w:rPr>
          <w:caps/>
          <w:lang w:val="fr-FR"/>
        </w:rPr>
        <w:t xml:space="preserve"> 26</w:t>
      </w:r>
      <w:r w:rsidRPr="00693E45">
        <w:rPr>
          <w:caps/>
          <w:lang w:val="fr-FR"/>
        </w:rPr>
        <w:t> mars </w:t>
      </w:r>
      <w:r w:rsidR="007F3D49" w:rsidRPr="00693E45">
        <w:rPr>
          <w:caps/>
          <w:lang w:val="fr-FR"/>
        </w:rPr>
        <w:t>2021</w:t>
      </w:r>
    </w:p>
    <w:p w14:paraId="6A098590" w14:textId="77777777" w:rsidR="007F3D49" w:rsidRPr="00693E45" w:rsidRDefault="007F3D49" w:rsidP="007F3D49">
      <w:pPr>
        <w:rPr>
          <w:caps/>
          <w:lang w:val="fr-FR"/>
        </w:rPr>
      </w:pPr>
    </w:p>
    <w:p w14:paraId="0A55C6DF" w14:textId="77777777" w:rsidR="007F3D49" w:rsidRPr="00693E45" w:rsidRDefault="007F3D49" w:rsidP="007F3D49">
      <w:pPr>
        <w:rPr>
          <w:lang w:val="fr-FR"/>
        </w:rPr>
      </w:pPr>
    </w:p>
    <w:p w14:paraId="17BB1F86" w14:textId="77777777" w:rsidR="007F3D49" w:rsidRPr="00693E45" w:rsidRDefault="007F3D49" w:rsidP="007F3D49">
      <w:pPr>
        <w:rPr>
          <w:caps/>
          <w:lang w:val="fr-FR"/>
        </w:rPr>
      </w:pPr>
      <w:r w:rsidRPr="00693E45">
        <w:rPr>
          <w:caps/>
          <w:lang w:val="fr-FR"/>
        </w:rPr>
        <w:t>Résumé présenté par le président</w:t>
      </w:r>
    </w:p>
    <w:p w14:paraId="00B5083D" w14:textId="0B8A80A6" w:rsidR="007F3D49" w:rsidRPr="00693E45" w:rsidRDefault="007F3D49" w:rsidP="007F3D49">
      <w:pPr>
        <w:rPr>
          <w:i/>
          <w:lang w:val="fr-FR"/>
        </w:rPr>
      </w:pPr>
      <w:r w:rsidRPr="00693E45">
        <w:rPr>
          <w:i/>
          <w:lang w:val="fr-FR"/>
        </w:rPr>
        <w:t>(</w:t>
      </w:r>
      <w:proofErr w:type="gramStart"/>
      <w:r w:rsidRPr="00693E45">
        <w:rPr>
          <w:i/>
          <w:lang w:val="fr-FR"/>
        </w:rPr>
        <w:t>la</w:t>
      </w:r>
      <w:proofErr w:type="gramEnd"/>
      <w:r w:rsidRPr="00693E45">
        <w:rPr>
          <w:i/>
          <w:lang w:val="fr-FR"/>
        </w:rPr>
        <w:t xml:space="preserve"> </w:t>
      </w:r>
      <w:r w:rsidR="00FD5421" w:rsidRPr="00693E45">
        <w:rPr>
          <w:i/>
          <w:lang w:val="fr-FR"/>
        </w:rPr>
        <w:t>Réunion</w:t>
      </w:r>
      <w:r w:rsidRPr="00693E45">
        <w:rPr>
          <w:i/>
          <w:lang w:val="fr-FR"/>
        </w:rPr>
        <w:t xml:space="preserve"> a pris note du résumé, tiré du document PCT/MIA/28/9)</w:t>
      </w:r>
    </w:p>
    <w:p w14:paraId="3C09B43F" w14:textId="77777777" w:rsidR="007F3D49" w:rsidRPr="00693E45" w:rsidRDefault="007F3D49" w:rsidP="007F3D49">
      <w:pPr>
        <w:rPr>
          <w:lang w:val="fr-FR"/>
        </w:rPr>
      </w:pPr>
    </w:p>
    <w:p w14:paraId="5B54B58B" w14:textId="77777777" w:rsidR="007F3D49" w:rsidRPr="00693E45" w:rsidRDefault="007F3D49" w:rsidP="007F3D49">
      <w:pPr>
        <w:pStyle w:val="Heading1"/>
        <w:rPr>
          <w:lang w:val="fr-FR"/>
        </w:rPr>
      </w:pPr>
      <w:r w:rsidRPr="00693E45">
        <w:rPr>
          <w:lang w:val="fr-FR"/>
        </w:rPr>
        <w:t>Introduction</w:t>
      </w:r>
    </w:p>
    <w:p w14:paraId="7A4A9A71" w14:textId="3036BF2D" w:rsidR="009B7882" w:rsidRPr="00693E45" w:rsidRDefault="00256AEE" w:rsidP="00CB4729">
      <w:pPr>
        <w:pStyle w:val="ONUMFS"/>
        <w:numPr>
          <w:ilvl w:val="0"/>
          <w:numId w:val="19"/>
        </w:numPr>
        <w:rPr>
          <w:lang w:val="fr-FR"/>
        </w:rPr>
      </w:pPr>
      <w:r w:rsidRPr="00693E45">
        <w:rPr>
          <w:lang w:val="fr-FR"/>
        </w:rPr>
        <w:t>La vingt</w:t>
      </w:r>
      <w:r w:rsidR="00CB4729" w:rsidRPr="00693E45">
        <w:rPr>
          <w:lang w:val="fr-FR"/>
        </w:rPr>
        <w:noBreakHyphen/>
      </w:r>
      <w:r w:rsidRPr="00693E45">
        <w:rPr>
          <w:lang w:val="fr-FR"/>
        </w:rPr>
        <w:t>huitième Réunion des administrations internationales instituées en vertu</w:t>
      </w:r>
      <w:r w:rsidR="009B7882" w:rsidRPr="00693E45">
        <w:rPr>
          <w:lang w:val="fr-FR"/>
        </w:rPr>
        <w:t xml:space="preserve"> du PCT</w:t>
      </w:r>
      <w:r w:rsidRPr="00693E45">
        <w:rPr>
          <w:lang w:val="fr-FR"/>
        </w:rPr>
        <w:t xml:space="preserve"> (ci</w:t>
      </w:r>
      <w:r w:rsidR="00CB4729" w:rsidRPr="00693E45">
        <w:rPr>
          <w:lang w:val="fr-FR"/>
        </w:rPr>
        <w:noBreakHyphen/>
      </w:r>
      <w:r w:rsidRPr="00693E45">
        <w:rPr>
          <w:lang w:val="fr-FR"/>
        </w:rPr>
        <w:t xml:space="preserve">après dénommée </w:t>
      </w:r>
      <w:r w:rsidR="007F3D49" w:rsidRPr="00693E45">
        <w:rPr>
          <w:lang w:val="fr-FR"/>
        </w:rPr>
        <w:t>“</w:t>
      </w:r>
      <w:r w:rsidR="00FD5421" w:rsidRPr="00693E45">
        <w:rPr>
          <w:lang w:val="fr-FR"/>
        </w:rPr>
        <w:t>Réunion</w:t>
      </w:r>
      <w:r w:rsidR="007F3D49" w:rsidRPr="00693E45">
        <w:rPr>
          <w:lang w:val="fr-FR"/>
        </w:rPr>
        <w:t xml:space="preserve">”) </w:t>
      </w:r>
      <w:r w:rsidRPr="00693E45">
        <w:rPr>
          <w:lang w:val="fr-FR"/>
        </w:rPr>
        <w:t>s</w:t>
      </w:r>
      <w:r w:rsidR="009B7882" w:rsidRPr="00693E45">
        <w:rPr>
          <w:lang w:val="fr-FR"/>
        </w:rPr>
        <w:t>’</w:t>
      </w:r>
      <w:r w:rsidRPr="00693E45">
        <w:rPr>
          <w:lang w:val="fr-FR"/>
        </w:rPr>
        <w:t>est tenue à Genève sous forme virtuelle, du 24 au 2</w:t>
      </w:r>
      <w:r w:rsidR="009B7882" w:rsidRPr="00693E45">
        <w:rPr>
          <w:lang w:val="fr-FR"/>
        </w:rPr>
        <w:t>6 mars 20</w:t>
      </w:r>
      <w:r w:rsidRPr="00693E45">
        <w:rPr>
          <w:lang w:val="fr-FR"/>
        </w:rPr>
        <w:t>21.</w:t>
      </w:r>
    </w:p>
    <w:p w14:paraId="43D67F2D" w14:textId="7E10DFD4" w:rsidR="007F3D49" w:rsidRPr="00693E45" w:rsidRDefault="00EA5C95" w:rsidP="00CB4729">
      <w:pPr>
        <w:pStyle w:val="ONUMFS"/>
        <w:rPr>
          <w:lang w:val="fr-FR"/>
        </w:rPr>
      </w:pPr>
      <w:r w:rsidRPr="00693E45">
        <w:rPr>
          <w:lang w:val="fr-FR"/>
        </w:rPr>
        <w:t>Les administrations chargées de la recherche internationale et de l</w:t>
      </w:r>
      <w:r w:rsidR="009B7882" w:rsidRPr="00693E45">
        <w:rPr>
          <w:lang w:val="fr-FR"/>
        </w:rPr>
        <w:t>’</w:t>
      </w:r>
      <w:r w:rsidRPr="00693E45">
        <w:rPr>
          <w:lang w:val="fr-FR"/>
        </w:rPr>
        <w:t>examen préliminaire international ci</w:t>
      </w:r>
      <w:r w:rsidR="00CB4729" w:rsidRPr="00693E45">
        <w:rPr>
          <w:lang w:val="fr-FR"/>
        </w:rPr>
        <w:noBreakHyphen/>
      </w:r>
      <w:r w:rsidRPr="00693E45">
        <w:rPr>
          <w:lang w:val="fr-FR"/>
        </w:rPr>
        <w:t>après ont participé à cette réunion</w:t>
      </w:r>
      <w:r w:rsidR="002A4BE8" w:rsidRPr="00693E45">
        <w:rPr>
          <w:lang w:val="fr-FR"/>
        </w:rPr>
        <w:t xml:space="preserve"> à distance</w:t>
      </w:r>
      <w:r w:rsidR="009B7882" w:rsidRPr="00693E45">
        <w:rPr>
          <w:lang w:val="fr-FR"/>
        </w:rPr>
        <w:t> :</w:t>
      </w:r>
      <w:r w:rsidRPr="00693E45">
        <w:rPr>
          <w:lang w:val="fr-FR"/>
        </w:rPr>
        <w:t xml:space="preserve"> </w:t>
      </w:r>
      <w:r w:rsidR="007F3D49" w:rsidRPr="00693E45">
        <w:rPr>
          <w:lang w:val="fr-FR"/>
        </w:rPr>
        <w:t xml:space="preserve">Administration nationale chinoise de la propriété intellectuelle (CNIPA), Institut des brevets de </w:t>
      </w:r>
      <w:proofErr w:type="spellStart"/>
      <w:r w:rsidR="007F3D49" w:rsidRPr="00693E45">
        <w:rPr>
          <w:lang w:val="fr-FR"/>
        </w:rPr>
        <w:t>Visegrad</w:t>
      </w:r>
      <w:proofErr w:type="spellEnd"/>
      <w:r w:rsidR="007F3D49" w:rsidRPr="00693E45">
        <w:rPr>
          <w:lang w:val="fr-FR"/>
        </w:rPr>
        <w:t>, Institut national de la propriété industrielle du Brésil, Institut national de la propriété industrielle du Chili, Institut nordique des brevets, Institut ukrainien de la propriété intellectuelle, IP</w:t>
      </w:r>
      <w:r w:rsidR="0091379C" w:rsidRPr="00693E45">
        <w:rPr>
          <w:lang w:val="fr-FR"/>
        </w:rPr>
        <w:t> </w:t>
      </w:r>
      <w:proofErr w:type="spellStart"/>
      <w:r w:rsidR="007F3D49" w:rsidRPr="00693E45">
        <w:rPr>
          <w:lang w:val="fr-FR"/>
        </w:rPr>
        <w:t>Australia</w:t>
      </w:r>
      <w:proofErr w:type="spellEnd"/>
      <w:r w:rsidR="007F3D49" w:rsidRPr="00693E45">
        <w:rPr>
          <w:lang w:val="fr-FR"/>
        </w:rPr>
        <w:t>, Office autrichien des brevets, Office coréen de la propriété intellectuelle, Office de la propriété intellectuelle d</w:t>
      </w:r>
      <w:r w:rsidR="009B7882" w:rsidRPr="00693E45">
        <w:rPr>
          <w:lang w:val="fr-FR"/>
        </w:rPr>
        <w:t>’</w:t>
      </w:r>
      <w:r w:rsidR="007F3D49" w:rsidRPr="00693E45">
        <w:rPr>
          <w:lang w:val="fr-FR"/>
        </w:rPr>
        <w:t>Israël, Office de la propriété intellectuelle de Singapour, Office de la propriété intellectuelle des Philippines, Office de la propriété intellectuelle du Canada, Office des brevets du Japon, Office des brevets et des marques des États</w:t>
      </w:r>
      <w:r w:rsidR="00CB4729" w:rsidRPr="00693E45">
        <w:rPr>
          <w:lang w:val="fr-FR"/>
        </w:rPr>
        <w:noBreakHyphen/>
      </w:r>
      <w:r w:rsidR="007F3D49" w:rsidRPr="00693E45">
        <w:rPr>
          <w:lang w:val="fr-FR"/>
        </w:rPr>
        <w:t>Unis d</w:t>
      </w:r>
      <w:r w:rsidR="009B7882" w:rsidRPr="00693E45">
        <w:rPr>
          <w:lang w:val="fr-FR"/>
        </w:rPr>
        <w:t>’</w:t>
      </w:r>
      <w:r w:rsidR="007F3D49" w:rsidRPr="00693E45">
        <w:rPr>
          <w:lang w:val="fr-FR"/>
        </w:rPr>
        <w:t>Amérique, Office égyptien des brevets, Office espagnol des brevets et des marques, Office européen des brevets, Office fédéral de la propriété intellectuelle de la Fédération de Russie, Office finlandais des brevets et de l</w:t>
      </w:r>
      <w:r w:rsidR="009B7882" w:rsidRPr="00693E45">
        <w:rPr>
          <w:lang w:val="fr-FR"/>
        </w:rPr>
        <w:t>’</w:t>
      </w:r>
      <w:r w:rsidR="007F3D49" w:rsidRPr="00693E45">
        <w:rPr>
          <w:lang w:val="fr-FR"/>
        </w:rPr>
        <w:t>enregistrement, Office indien des brevets, Office suédois de la propriété intellectuelle, Office turc des brevets et des marques.</w:t>
      </w:r>
    </w:p>
    <w:p w14:paraId="16D9C0F6" w14:textId="70791A08" w:rsidR="007F3D49" w:rsidRPr="00693E45" w:rsidRDefault="007F3D49" w:rsidP="00CB4729">
      <w:pPr>
        <w:pStyle w:val="ONUMFS"/>
        <w:rPr>
          <w:lang w:val="fr-FR"/>
        </w:rPr>
      </w:pPr>
      <w:r w:rsidRPr="00693E45">
        <w:rPr>
          <w:lang w:val="fr-FR"/>
        </w:rPr>
        <w:t>La liste des participants figure dans l</w:t>
      </w:r>
      <w:r w:rsidR="009B7882" w:rsidRPr="00693E45">
        <w:rPr>
          <w:lang w:val="fr-FR"/>
        </w:rPr>
        <w:t>’annexe I</w:t>
      </w:r>
      <w:r w:rsidRPr="00693E45">
        <w:rPr>
          <w:lang w:val="fr-FR"/>
        </w:rPr>
        <w:t xml:space="preserve"> du présent document.</w:t>
      </w:r>
    </w:p>
    <w:p w14:paraId="3ACC4827" w14:textId="77777777" w:rsidR="007F3D49" w:rsidRPr="00693E45" w:rsidRDefault="007F3D49" w:rsidP="007F3D49">
      <w:pPr>
        <w:pStyle w:val="Heading1"/>
        <w:rPr>
          <w:lang w:val="fr-FR"/>
        </w:rPr>
      </w:pPr>
      <w:r w:rsidRPr="00693E45">
        <w:rPr>
          <w:lang w:val="fr-FR"/>
        </w:rPr>
        <w:t>Ouverture de la session</w:t>
      </w:r>
    </w:p>
    <w:p w14:paraId="49F8CF24" w14:textId="6E091A3A" w:rsidR="007F3D49" w:rsidRPr="00693E45" w:rsidRDefault="007F3D49" w:rsidP="00CB4729">
      <w:pPr>
        <w:pStyle w:val="ONUMFS"/>
        <w:rPr>
          <w:lang w:val="fr-FR"/>
        </w:rPr>
      </w:pPr>
      <w:r w:rsidRPr="00693E45">
        <w:rPr>
          <w:lang w:val="fr-FR"/>
        </w:rPr>
        <w:t>M</w:t>
      </w:r>
      <w:r w:rsidR="006B7373" w:rsidRPr="00693E45">
        <w:rPr>
          <w:lang w:val="fr-FR"/>
        </w:rPr>
        <w:t>me</w:t>
      </w:r>
      <w:r w:rsidR="0091379C" w:rsidRPr="00693E45">
        <w:rPr>
          <w:lang w:val="fr-FR"/>
        </w:rPr>
        <w:t> </w:t>
      </w:r>
      <w:r w:rsidRPr="00693E45">
        <w:rPr>
          <w:lang w:val="fr-FR"/>
        </w:rPr>
        <w:t>Lisa</w:t>
      </w:r>
      <w:r w:rsidR="00C6045B" w:rsidRPr="00693E45">
        <w:rPr>
          <w:lang w:val="fr-FR"/>
        </w:rPr>
        <w:t> </w:t>
      </w:r>
      <w:proofErr w:type="spellStart"/>
      <w:r w:rsidRPr="00693E45">
        <w:rPr>
          <w:lang w:val="fr-FR"/>
        </w:rPr>
        <w:t>Jorgenson</w:t>
      </w:r>
      <w:proofErr w:type="spellEnd"/>
      <w:r w:rsidRPr="00693E45">
        <w:rPr>
          <w:lang w:val="fr-FR"/>
        </w:rPr>
        <w:t>,</w:t>
      </w:r>
      <w:r w:rsidR="006B7373" w:rsidRPr="00693E45">
        <w:rPr>
          <w:lang w:val="fr-FR"/>
        </w:rPr>
        <w:t xml:space="preserve"> vice</w:t>
      </w:r>
      <w:r w:rsidR="00CB4729" w:rsidRPr="00693E45">
        <w:rPr>
          <w:lang w:val="fr-FR"/>
        </w:rPr>
        <w:noBreakHyphen/>
      </w:r>
      <w:r w:rsidR="006B7373" w:rsidRPr="00693E45">
        <w:rPr>
          <w:lang w:val="fr-FR"/>
        </w:rPr>
        <w:t>directrice générale de l</w:t>
      </w:r>
      <w:r w:rsidR="009B7882" w:rsidRPr="00693E45">
        <w:rPr>
          <w:lang w:val="fr-FR"/>
        </w:rPr>
        <w:t>’</w:t>
      </w:r>
      <w:r w:rsidR="006B7373" w:rsidRPr="00693E45">
        <w:rPr>
          <w:lang w:val="fr-FR"/>
        </w:rPr>
        <w:t>OMPI, a souhaité la bienvenue aux participants au nom du Directeur général</w:t>
      </w:r>
      <w:r w:rsidR="002A4BE8" w:rsidRPr="00693E45">
        <w:rPr>
          <w:lang w:val="fr-FR"/>
        </w:rPr>
        <w:t xml:space="preserve"> de l</w:t>
      </w:r>
      <w:r w:rsidR="009B7882" w:rsidRPr="00693E45">
        <w:rPr>
          <w:lang w:val="fr-FR"/>
        </w:rPr>
        <w:t>’</w:t>
      </w:r>
      <w:r w:rsidR="002A4BE8" w:rsidRPr="00693E45">
        <w:rPr>
          <w:lang w:val="fr-FR"/>
        </w:rPr>
        <w:t>OMPI</w:t>
      </w:r>
      <w:r w:rsidR="006B7373" w:rsidRPr="00693E45">
        <w:rPr>
          <w:lang w:val="fr-FR"/>
        </w:rPr>
        <w:t>.</w:t>
      </w:r>
    </w:p>
    <w:p w14:paraId="692F8326" w14:textId="266784D4" w:rsidR="007F3D49" w:rsidRPr="00693E45" w:rsidRDefault="007F3D49" w:rsidP="007F3D49">
      <w:pPr>
        <w:pStyle w:val="Heading1"/>
        <w:rPr>
          <w:lang w:val="fr-FR"/>
        </w:rPr>
      </w:pPr>
      <w:r w:rsidRPr="00693E45">
        <w:rPr>
          <w:lang w:val="fr-FR"/>
        </w:rPr>
        <w:t>Élection d</w:t>
      </w:r>
      <w:r w:rsidR="009B7882" w:rsidRPr="00693E45">
        <w:rPr>
          <w:lang w:val="fr-FR"/>
        </w:rPr>
        <w:t>’</w:t>
      </w:r>
      <w:r w:rsidRPr="00693E45">
        <w:rPr>
          <w:lang w:val="fr-FR"/>
        </w:rPr>
        <w:t>un président</w:t>
      </w:r>
    </w:p>
    <w:p w14:paraId="5EC7384C" w14:textId="2BA4BCA0" w:rsidR="007F3D49" w:rsidRPr="00693E45" w:rsidRDefault="00F26773" w:rsidP="00CB4729">
      <w:pPr>
        <w:pStyle w:val="ONUMFS"/>
        <w:rPr>
          <w:lang w:val="fr-FR"/>
        </w:rPr>
      </w:pPr>
      <w:r w:rsidRPr="00693E45">
        <w:t xml:space="preserve">La </w:t>
      </w:r>
      <w:r w:rsidR="00FD5421" w:rsidRPr="00693E45">
        <w:t>Réunion</w:t>
      </w:r>
      <w:r w:rsidRPr="00693E45">
        <w:t xml:space="preserve"> a été présidée par Mme</w:t>
      </w:r>
      <w:r w:rsidR="0091379C" w:rsidRPr="00693E45">
        <w:t> </w:t>
      </w:r>
      <w:r w:rsidR="007F3D49" w:rsidRPr="00693E45">
        <w:t>Lisa</w:t>
      </w:r>
      <w:r w:rsidR="00C6045B" w:rsidRPr="00693E45">
        <w:t> </w:t>
      </w:r>
      <w:proofErr w:type="spellStart"/>
      <w:r w:rsidR="007F3D49" w:rsidRPr="00693E45">
        <w:t>Jorgenson</w:t>
      </w:r>
      <w:proofErr w:type="spellEnd"/>
      <w:r w:rsidR="007F3D49" w:rsidRPr="00693E45">
        <w:t xml:space="preserve">, </w:t>
      </w:r>
      <w:r w:rsidRPr="00693E45">
        <w:t>vice</w:t>
      </w:r>
      <w:r w:rsidR="00CB4729" w:rsidRPr="00693E45">
        <w:noBreakHyphen/>
      </w:r>
      <w:r w:rsidRPr="00693E45">
        <w:t>directrice générale chargée du</w:t>
      </w:r>
      <w:r w:rsidRPr="00693E45">
        <w:rPr>
          <w:lang w:val="fr-FR"/>
        </w:rPr>
        <w:t xml:space="preserve"> Secteur des brevets et de la technologie de l</w:t>
      </w:r>
      <w:r w:rsidR="009B7882" w:rsidRPr="00693E45">
        <w:rPr>
          <w:lang w:val="fr-FR"/>
        </w:rPr>
        <w:t>’</w:t>
      </w:r>
      <w:r w:rsidRPr="00693E45">
        <w:rPr>
          <w:lang w:val="fr-FR"/>
        </w:rPr>
        <w:t>OMPI.</w:t>
      </w:r>
    </w:p>
    <w:p w14:paraId="1BC7A03E" w14:textId="2A41766A" w:rsidR="007F3D49" w:rsidRPr="00693E45" w:rsidRDefault="007F3D49" w:rsidP="007F3D49">
      <w:pPr>
        <w:pStyle w:val="Heading1"/>
        <w:rPr>
          <w:lang w:val="fr-FR"/>
        </w:rPr>
      </w:pPr>
      <w:r w:rsidRPr="00693E45">
        <w:rPr>
          <w:lang w:val="fr-FR"/>
        </w:rPr>
        <w:t>Adoption de l</w:t>
      </w:r>
      <w:r w:rsidR="009B7882" w:rsidRPr="00693E45">
        <w:rPr>
          <w:lang w:val="fr-FR"/>
        </w:rPr>
        <w:t>’</w:t>
      </w:r>
      <w:r w:rsidRPr="00693E45">
        <w:rPr>
          <w:lang w:val="fr-FR"/>
        </w:rPr>
        <w:t>ordre du jour</w:t>
      </w:r>
    </w:p>
    <w:p w14:paraId="545B1BD3" w14:textId="3F05791C" w:rsidR="007F3D49" w:rsidRPr="00693E45" w:rsidRDefault="007F3D49"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adopté l</w:t>
      </w:r>
      <w:r w:rsidR="009B7882" w:rsidRPr="00693E45">
        <w:rPr>
          <w:lang w:val="fr-FR"/>
        </w:rPr>
        <w:t>’</w:t>
      </w:r>
      <w:r w:rsidRPr="00693E45">
        <w:rPr>
          <w:lang w:val="fr-FR"/>
        </w:rPr>
        <w:t>ordre du jour figurant dans le document PCT/MIA/28/1</w:t>
      </w:r>
      <w:r w:rsidR="0091379C" w:rsidRPr="00693E45">
        <w:rPr>
          <w:lang w:val="fr-FR"/>
        </w:rPr>
        <w:t> </w:t>
      </w:r>
      <w:r w:rsidRPr="00693E45">
        <w:rPr>
          <w:lang w:val="fr-FR"/>
        </w:rPr>
        <w:t>Prov.2.</w:t>
      </w:r>
    </w:p>
    <w:p w14:paraId="46475B6C" w14:textId="5997A2F8" w:rsidR="007F3D49" w:rsidRPr="00693E45" w:rsidRDefault="007F3D49" w:rsidP="007F3D49">
      <w:pPr>
        <w:pStyle w:val="Heading1"/>
        <w:rPr>
          <w:lang w:val="fr-FR"/>
        </w:rPr>
      </w:pPr>
      <w:r w:rsidRPr="00693E45">
        <w:rPr>
          <w:lang w:val="fr-FR"/>
        </w:rPr>
        <w:t>Statistiques concernant</w:t>
      </w:r>
      <w:r w:rsidR="009B7882" w:rsidRPr="00693E45">
        <w:rPr>
          <w:lang w:val="fr-FR"/>
        </w:rPr>
        <w:t xml:space="preserve"> le PCT</w:t>
      </w:r>
    </w:p>
    <w:p w14:paraId="3A8B1C0C" w14:textId="1CD4E3A5" w:rsidR="007F3D49" w:rsidRPr="00693E45" w:rsidRDefault="007F3D49"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de l</w:t>
      </w:r>
      <w:r w:rsidR="009B7882" w:rsidRPr="00693E45">
        <w:rPr>
          <w:lang w:val="fr-FR"/>
        </w:rPr>
        <w:t>’</w:t>
      </w:r>
      <w:r w:rsidRPr="00693E45">
        <w:rPr>
          <w:lang w:val="fr-FR"/>
        </w:rPr>
        <w:t>exposé du Bureau international sur les plus récentes statistiques concernant</w:t>
      </w:r>
      <w:r w:rsidR="009B7882" w:rsidRPr="00693E45">
        <w:rPr>
          <w:lang w:val="fr-FR"/>
        </w:rPr>
        <w:t xml:space="preserve"> le PCT</w:t>
      </w:r>
      <w:r w:rsidRPr="00693E45">
        <w:rPr>
          <w:rStyle w:val="FootnoteReference"/>
          <w:lang w:val="fr-FR"/>
        </w:rPr>
        <w:footnoteReference w:id="2"/>
      </w:r>
      <w:r w:rsidRPr="00693E45">
        <w:rPr>
          <w:lang w:val="fr-FR"/>
        </w:rPr>
        <w:t>.</w:t>
      </w:r>
    </w:p>
    <w:p w14:paraId="05BFBBB9" w14:textId="15AC1C8B" w:rsidR="007F3D49" w:rsidRPr="00693E45" w:rsidRDefault="007F3D49" w:rsidP="007F3D49">
      <w:pPr>
        <w:pStyle w:val="Heading1"/>
        <w:rPr>
          <w:lang w:val="fr-FR"/>
        </w:rPr>
      </w:pPr>
      <w:r w:rsidRPr="00693E45">
        <w:rPr>
          <w:lang w:val="fr-FR"/>
        </w:rPr>
        <w:t>Questions découlant du Sous</w:t>
      </w:r>
      <w:r w:rsidR="00CB4729" w:rsidRPr="00693E45">
        <w:rPr>
          <w:lang w:val="fr-FR"/>
        </w:rPr>
        <w:noBreakHyphen/>
      </w:r>
      <w:r w:rsidRPr="00693E45">
        <w:rPr>
          <w:lang w:val="fr-FR"/>
        </w:rPr>
        <w:t>groupe chargé de la qualité</w:t>
      </w:r>
    </w:p>
    <w:p w14:paraId="27916700" w14:textId="0E0D93BF" w:rsidR="007F3D49" w:rsidRPr="00693E45" w:rsidRDefault="00211CEE"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w:t>
      </w:r>
      <w:r w:rsidR="002A4BE8" w:rsidRPr="00693E45">
        <w:rPr>
          <w:lang w:val="fr-FR"/>
        </w:rPr>
        <w:t>avec approbation</w:t>
      </w:r>
      <w:r w:rsidRPr="00693E45">
        <w:rPr>
          <w:lang w:val="fr-FR"/>
        </w:rPr>
        <w:t xml:space="preserve"> du résumé établi par le président du Sous</w:t>
      </w:r>
      <w:r w:rsidR="00CB4729" w:rsidRPr="00693E45">
        <w:rPr>
          <w:lang w:val="fr-FR"/>
        </w:rPr>
        <w:noBreakHyphen/>
      </w:r>
      <w:r w:rsidRPr="00693E45">
        <w:rPr>
          <w:lang w:val="fr-FR"/>
        </w:rPr>
        <w:t>groupe chargé de la qualité reproduit à l</w:t>
      </w:r>
      <w:r w:rsidR="009B7882" w:rsidRPr="00693E45">
        <w:rPr>
          <w:lang w:val="fr-FR"/>
        </w:rPr>
        <w:t>’annexe I</w:t>
      </w:r>
      <w:r w:rsidRPr="00693E45">
        <w:rPr>
          <w:lang w:val="fr-FR"/>
        </w:rPr>
        <w:t xml:space="preserve">I du présent document, a fait siennes les recommandations contenues dans ledit résumé et a approuvé le </w:t>
      </w:r>
      <w:r w:rsidRPr="00693E45">
        <w:rPr>
          <w:lang w:val="fr-FR"/>
        </w:rPr>
        <w:lastRenderedPageBreak/>
        <w:t>renouvellement du mandat du sous</w:t>
      </w:r>
      <w:r w:rsidR="00CB4729" w:rsidRPr="00693E45">
        <w:rPr>
          <w:lang w:val="fr-FR"/>
        </w:rPr>
        <w:noBreakHyphen/>
      </w:r>
      <w:r w:rsidRPr="00693E45">
        <w:rPr>
          <w:lang w:val="fr-FR"/>
        </w:rPr>
        <w:t xml:space="preserve">groupe, ainsi que sa convocation </w:t>
      </w:r>
      <w:r w:rsidR="00480C9E" w:rsidRPr="00693E45">
        <w:rPr>
          <w:lang w:val="fr-FR"/>
        </w:rPr>
        <w:t>en réunion,</w:t>
      </w:r>
      <w:r w:rsidRPr="00693E45">
        <w:rPr>
          <w:lang w:val="fr-FR"/>
        </w:rPr>
        <w:t xml:space="preserve"> </w:t>
      </w:r>
      <w:r w:rsidR="009B7882" w:rsidRPr="00693E45">
        <w:rPr>
          <w:lang w:val="fr-FR"/>
        </w:rPr>
        <w:t>en 2022</w:t>
      </w:r>
      <w:r w:rsidRPr="00693E45">
        <w:rPr>
          <w:lang w:val="fr-FR"/>
        </w:rPr>
        <w:t xml:space="preserve">, </w:t>
      </w:r>
      <w:r w:rsidR="00480C9E" w:rsidRPr="00693E45">
        <w:rPr>
          <w:lang w:val="fr-FR"/>
        </w:rPr>
        <w:t>sous une forme qui sera déterminée à une date ultérieure.</w:t>
      </w:r>
    </w:p>
    <w:p w14:paraId="102926B9" w14:textId="7E339B50" w:rsidR="007F3D49" w:rsidRPr="00693E45" w:rsidRDefault="00A1270E" w:rsidP="007F3D49">
      <w:pPr>
        <w:pStyle w:val="Heading1"/>
        <w:rPr>
          <w:lang w:val="fr-FR"/>
        </w:rPr>
      </w:pPr>
      <w:r w:rsidRPr="00693E45">
        <w:rPr>
          <w:lang w:val="fr-FR"/>
        </w:rPr>
        <w:t xml:space="preserve">RAPPORTS DE RECHERCHE ET OPINIONS ÉCRITES AU FORMAT </w:t>
      </w:r>
      <w:r w:rsidR="007F3D49" w:rsidRPr="00693E45">
        <w:rPr>
          <w:lang w:val="fr-FR"/>
        </w:rPr>
        <w:t>XML</w:t>
      </w:r>
    </w:p>
    <w:p w14:paraId="15BF31C5" w14:textId="77777777" w:rsidR="007F3D49" w:rsidRPr="00693E45" w:rsidRDefault="007F3D49" w:rsidP="00CB4729">
      <w:pPr>
        <w:pStyle w:val="ONUMFS"/>
        <w:rPr>
          <w:lang w:val="fr-FR"/>
        </w:rPr>
      </w:pPr>
      <w:r w:rsidRPr="00693E45">
        <w:rPr>
          <w:lang w:val="fr-FR"/>
        </w:rPr>
        <w:t>Les délibérations ont eu lieu sur la base du document PCT/MIA/28/5.</w:t>
      </w:r>
    </w:p>
    <w:p w14:paraId="62E50CA2" w14:textId="645E1F4E" w:rsidR="007F3D49" w:rsidRPr="00693E45" w:rsidRDefault="00DB321C" w:rsidP="00CB4729">
      <w:pPr>
        <w:pStyle w:val="ONUMFS"/>
        <w:rPr>
          <w:lang w:val="fr-FR"/>
        </w:rPr>
      </w:pPr>
      <w:r w:rsidRPr="00693E45">
        <w:rPr>
          <w:lang w:val="fr-FR"/>
        </w:rPr>
        <w:t>Le Bureau international a rappelé que neuf</w:t>
      </w:r>
      <w:r w:rsidR="0091379C" w:rsidRPr="00693E45">
        <w:rPr>
          <w:lang w:val="fr-FR"/>
        </w:rPr>
        <w:t> </w:t>
      </w:r>
      <w:r w:rsidRPr="00693E45">
        <w:rPr>
          <w:lang w:val="fr-FR"/>
        </w:rPr>
        <w:t xml:space="preserve">administrations produisent leurs rapports de recherche et opinions écrites au format XML et que plusieurs autres doivent commencer à faire de même </w:t>
      </w:r>
      <w:r w:rsidR="009B7882" w:rsidRPr="00693E45">
        <w:rPr>
          <w:lang w:val="fr-FR"/>
        </w:rPr>
        <w:t>en 2021</w:t>
      </w:r>
      <w:r w:rsidRPr="00693E45">
        <w:rPr>
          <w:lang w:val="fr-FR"/>
        </w:rPr>
        <w:t>.</w:t>
      </w:r>
      <w:r w:rsidR="002A562C" w:rsidRPr="00693E45">
        <w:rPr>
          <w:lang w:val="fr-FR"/>
        </w:rPr>
        <w:t xml:space="preserve">  Le</w:t>
      </w:r>
      <w:r w:rsidR="00FC4090" w:rsidRPr="00693E45">
        <w:rPr>
          <w:lang w:val="fr-FR"/>
        </w:rPr>
        <w:t>s rapports en</w:t>
      </w:r>
      <w:r w:rsidR="002A562C" w:rsidRPr="00693E45">
        <w:rPr>
          <w:lang w:val="fr-FR"/>
        </w:rPr>
        <w:t xml:space="preserve"> XML présent</w:t>
      </w:r>
      <w:r w:rsidR="00FC4090" w:rsidRPr="00693E45">
        <w:rPr>
          <w:lang w:val="fr-FR"/>
        </w:rPr>
        <w:t xml:space="preserve">ent </w:t>
      </w:r>
      <w:r w:rsidR="002A562C" w:rsidRPr="00693E45">
        <w:rPr>
          <w:lang w:val="fr-FR"/>
        </w:rPr>
        <w:t>un certain nombre d</w:t>
      </w:r>
      <w:r w:rsidR="009B7882" w:rsidRPr="00693E45">
        <w:rPr>
          <w:lang w:val="fr-FR"/>
        </w:rPr>
        <w:t>’</w:t>
      </w:r>
      <w:r w:rsidR="002A562C" w:rsidRPr="00693E45">
        <w:rPr>
          <w:lang w:val="fr-FR"/>
        </w:rPr>
        <w:t>avantages</w:t>
      </w:r>
      <w:r w:rsidR="00662661" w:rsidRPr="00693E45">
        <w:rPr>
          <w:lang w:val="fr-FR"/>
        </w:rPr>
        <w:t>, notamment celui de permettre aux utilisateurs de la base de données PATENTSCOPE</w:t>
      </w:r>
      <w:r w:rsidR="00E16A9F" w:rsidRPr="00693E45">
        <w:rPr>
          <w:lang w:val="fr-FR"/>
        </w:rPr>
        <w:t xml:space="preserve"> de</w:t>
      </w:r>
      <w:r w:rsidR="00662661" w:rsidRPr="00693E45">
        <w:rPr>
          <w:lang w:val="fr-FR"/>
        </w:rPr>
        <w:t xml:space="preserve"> les consulter</w:t>
      </w:r>
      <w:r w:rsidR="00E16A9F" w:rsidRPr="00693E45">
        <w:rPr>
          <w:lang w:val="fr-FR"/>
        </w:rPr>
        <w:t xml:space="preserve"> dans n</w:t>
      </w:r>
      <w:r w:rsidR="009B7882" w:rsidRPr="00693E45">
        <w:rPr>
          <w:lang w:val="fr-FR"/>
        </w:rPr>
        <w:t>’</w:t>
      </w:r>
      <w:r w:rsidR="00E16A9F" w:rsidRPr="00693E45">
        <w:rPr>
          <w:lang w:val="fr-FR"/>
        </w:rPr>
        <w:t>importe quelle langue</w:t>
      </w:r>
      <w:bookmarkStart w:id="5" w:name="_GoBack"/>
      <w:bookmarkEnd w:id="5"/>
      <w:r w:rsidR="00E16A9F" w:rsidRPr="00693E45">
        <w:rPr>
          <w:lang w:val="fr-FR"/>
        </w:rPr>
        <w:t xml:space="preserve"> de publication,</w:t>
      </w:r>
      <w:r w:rsidR="00662661" w:rsidRPr="00693E45">
        <w:rPr>
          <w:lang w:val="fr-FR"/>
        </w:rPr>
        <w:t xml:space="preserve"> sous forme de traductions officielles ou automatiques,</w:t>
      </w:r>
      <w:r w:rsidR="00473B7A" w:rsidRPr="00693E45">
        <w:rPr>
          <w:lang w:val="fr-FR"/>
        </w:rPr>
        <w:t xml:space="preserve"> </w:t>
      </w:r>
      <w:r w:rsidR="00E16A9F" w:rsidRPr="00693E45">
        <w:rPr>
          <w:lang w:val="fr-FR"/>
        </w:rPr>
        <w:t>et celui de fournir des liens donnant accès aux documents cit</w:t>
      </w:r>
      <w:r w:rsidR="003D2437" w:rsidRPr="00693E45">
        <w:rPr>
          <w:lang w:val="fr-FR"/>
        </w:rPr>
        <w:t>és.  Ai</w:t>
      </w:r>
      <w:r w:rsidR="00E16A9F" w:rsidRPr="00693E45">
        <w:rPr>
          <w:lang w:val="fr-FR"/>
        </w:rPr>
        <w:t xml:space="preserve">nsi que cela a été mentionné lors de la réunion du </w:t>
      </w:r>
      <w:r w:rsidR="00CB4729" w:rsidRPr="00693E45">
        <w:rPr>
          <w:lang w:val="fr-FR"/>
        </w:rPr>
        <w:t>S</w:t>
      </w:r>
      <w:r w:rsidR="00E16A9F" w:rsidRPr="00693E45">
        <w:rPr>
          <w:lang w:val="fr-FR"/>
        </w:rPr>
        <w:t>ous</w:t>
      </w:r>
      <w:r w:rsidR="00CB4729" w:rsidRPr="00693E45">
        <w:rPr>
          <w:lang w:val="fr-FR"/>
        </w:rPr>
        <w:noBreakHyphen/>
      </w:r>
      <w:r w:rsidR="00E16A9F" w:rsidRPr="00693E45">
        <w:rPr>
          <w:lang w:val="fr-FR"/>
        </w:rPr>
        <w:t>groupe chargé de la qualité, les rapports en XML offrent la possibilité de créer une base de données de citations</w:t>
      </w:r>
      <w:r w:rsidR="00A4417A" w:rsidRPr="00693E45">
        <w:rPr>
          <w:lang w:val="fr-FR"/>
        </w:rPr>
        <w:t xml:space="preserve"> permettant d</w:t>
      </w:r>
      <w:r w:rsidR="009B7882" w:rsidRPr="00693E45">
        <w:rPr>
          <w:lang w:val="fr-FR"/>
        </w:rPr>
        <w:t>’</w:t>
      </w:r>
      <w:r w:rsidR="00A4417A" w:rsidRPr="00693E45">
        <w:rPr>
          <w:lang w:val="fr-FR"/>
        </w:rPr>
        <w:t xml:space="preserve">améliorer les services </w:t>
      </w:r>
      <w:r w:rsidR="00186501" w:rsidRPr="00693E45">
        <w:rPr>
          <w:lang w:val="fr-FR"/>
        </w:rPr>
        <w:t xml:space="preserve">fournis </w:t>
      </w:r>
      <w:r w:rsidR="00A4417A" w:rsidRPr="00693E45">
        <w:rPr>
          <w:lang w:val="fr-FR"/>
        </w:rPr>
        <w:t>et les analys</w:t>
      </w:r>
      <w:r w:rsidR="003D2437" w:rsidRPr="00693E45">
        <w:rPr>
          <w:lang w:val="fr-FR"/>
        </w:rPr>
        <w:t>es.  La</w:t>
      </w:r>
      <w:r w:rsidR="00A4417A" w:rsidRPr="00693E45">
        <w:rPr>
          <w:lang w:val="fr-FR"/>
        </w:rPr>
        <w:t xml:space="preserve"> poursuite des travaux sur la qualité et la cohérence des données XML permettrait une amélioration des résultats</w:t>
      </w:r>
      <w:r w:rsidR="00DE682D" w:rsidRPr="00693E45">
        <w:rPr>
          <w:lang w:val="fr-FR"/>
        </w:rPr>
        <w:t>, ainsi que l</w:t>
      </w:r>
      <w:r w:rsidR="009B7882" w:rsidRPr="00693E45">
        <w:rPr>
          <w:lang w:val="fr-FR"/>
        </w:rPr>
        <w:t>’</w:t>
      </w:r>
      <w:r w:rsidR="00DE682D" w:rsidRPr="00693E45">
        <w:rPr>
          <w:lang w:val="fr-FR"/>
        </w:rPr>
        <w:t>élaboration pratique de mécanismes</w:t>
      </w:r>
      <w:r w:rsidR="00A4417A" w:rsidRPr="00693E45">
        <w:rPr>
          <w:lang w:val="fr-FR"/>
        </w:rPr>
        <w:t xml:space="preserve"> </w:t>
      </w:r>
      <w:r w:rsidR="00DE682D" w:rsidRPr="00693E45">
        <w:rPr>
          <w:lang w:val="fr-FR"/>
        </w:rPr>
        <w:t>efficaces pour appuyer la norme</w:t>
      </w:r>
      <w:r w:rsidR="0091379C" w:rsidRPr="00693E45">
        <w:rPr>
          <w:lang w:val="fr-FR"/>
        </w:rPr>
        <w:t> </w:t>
      </w:r>
      <w:r w:rsidR="00DE682D" w:rsidRPr="00693E45">
        <w:rPr>
          <w:lang w:val="fr-FR"/>
        </w:rPr>
        <w:t>ST.96 de l</w:t>
      </w:r>
      <w:r w:rsidR="009B7882" w:rsidRPr="00693E45">
        <w:rPr>
          <w:lang w:val="fr-FR"/>
        </w:rPr>
        <w:t>’</w:t>
      </w:r>
      <w:r w:rsidR="00DE682D" w:rsidRPr="00693E45">
        <w:rPr>
          <w:lang w:val="fr-FR"/>
        </w:rPr>
        <w:t>OMPI.</w:t>
      </w:r>
    </w:p>
    <w:p w14:paraId="08229A4A" w14:textId="4031D9D8" w:rsidR="007F3D49" w:rsidRPr="00693E45" w:rsidRDefault="00964EC6" w:rsidP="00CB4729">
      <w:pPr>
        <w:pStyle w:val="ONUMFS"/>
        <w:rPr>
          <w:lang w:val="fr-FR"/>
        </w:rPr>
      </w:pPr>
      <w:r w:rsidRPr="00693E45">
        <w:rPr>
          <w:lang w:val="fr-FR"/>
        </w:rPr>
        <w:t>Les avantages des rapports en XML ont été confirmés par les administrations, et ces dernières ont été nombreuses à déclarer que le passage au format XML pour les rapports de recherche internationale et les opinions écrites constituait un objectif prioritai</w:t>
      </w:r>
      <w:r w:rsidR="003D2437" w:rsidRPr="00693E45">
        <w:rPr>
          <w:lang w:val="fr-FR"/>
        </w:rPr>
        <w:t>re.  Ce</w:t>
      </w:r>
      <w:r w:rsidRPr="00693E45">
        <w:rPr>
          <w:lang w:val="fr-FR"/>
        </w:rPr>
        <w:t xml:space="preserve">rtaines administrations ont fait part de leur intention de commencer à produire des rapports en XML </w:t>
      </w:r>
      <w:r w:rsidR="009B7882" w:rsidRPr="00693E45">
        <w:rPr>
          <w:lang w:val="fr-FR"/>
        </w:rPr>
        <w:t>en 2021</w:t>
      </w:r>
      <w:r w:rsidRPr="00693E45">
        <w:rPr>
          <w:lang w:val="fr-FR"/>
        </w:rPr>
        <w:t xml:space="preserve"> ou dans les </w:t>
      </w:r>
      <w:r w:rsidR="00EA1B14" w:rsidRPr="00693E45">
        <w:rPr>
          <w:lang w:val="fr-FR"/>
        </w:rPr>
        <w:t xml:space="preserve">très </w:t>
      </w:r>
      <w:r w:rsidRPr="00693E45">
        <w:rPr>
          <w:lang w:val="fr-FR"/>
        </w:rPr>
        <w:t xml:space="preserve">prochaines années. </w:t>
      </w:r>
      <w:r w:rsidR="007848E3" w:rsidRPr="00693E45">
        <w:rPr>
          <w:lang w:val="fr-FR"/>
        </w:rPr>
        <w:t xml:space="preserve"> L</w:t>
      </w:r>
      <w:r w:rsidR="009B7882" w:rsidRPr="00693E45">
        <w:rPr>
          <w:lang w:val="fr-FR"/>
        </w:rPr>
        <w:t>’</w:t>
      </w:r>
      <w:r w:rsidR="007848E3" w:rsidRPr="00693E45">
        <w:rPr>
          <w:lang w:val="fr-FR"/>
        </w:rPr>
        <w:t>Office européen des brevets</w:t>
      </w:r>
      <w:r w:rsidR="00081112" w:rsidRPr="00693E45">
        <w:rPr>
          <w:lang w:val="fr-FR"/>
        </w:rPr>
        <w:t xml:space="preserve"> (OEB)</w:t>
      </w:r>
      <w:r w:rsidR="007848E3" w:rsidRPr="00693E45">
        <w:rPr>
          <w:lang w:val="fr-FR"/>
        </w:rPr>
        <w:t>, qui a été l</w:t>
      </w:r>
      <w:r w:rsidR="009B7882" w:rsidRPr="00693E45">
        <w:rPr>
          <w:lang w:val="fr-FR"/>
        </w:rPr>
        <w:t>’</w:t>
      </w:r>
      <w:r w:rsidR="007848E3" w:rsidRPr="00693E45">
        <w:rPr>
          <w:lang w:val="fr-FR"/>
        </w:rPr>
        <w:t xml:space="preserve">une des premières administrations à produire </w:t>
      </w:r>
      <w:r w:rsidR="00186501" w:rsidRPr="00693E45">
        <w:rPr>
          <w:lang w:val="fr-FR"/>
        </w:rPr>
        <w:t>s</w:t>
      </w:r>
      <w:r w:rsidR="007848E3" w:rsidRPr="00693E45">
        <w:rPr>
          <w:lang w:val="fr-FR"/>
        </w:rPr>
        <w:t>es rapports de recherche internationale et ses opinions écrites en XML,</w:t>
      </w:r>
      <w:r w:rsidR="00EA1B14" w:rsidRPr="00693E45">
        <w:rPr>
          <w:lang w:val="fr-FR"/>
        </w:rPr>
        <w:t xml:space="preserve"> </w:t>
      </w:r>
      <w:r w:rsidR="007848E3" w:rsidRPr="00693E45">
        <w:rPr>
          <w:lang w:val="fr-FR"/>
        </w:rPr>
        <w:t xml:space="preserve">a informé </w:t>
      </w:r>
      <w:r w:rsidR="00211679" w:rsidRPr="00693E45">
        <w:rPr>
          <w:lang w:val="fr-FR"/>
        </w:rPr>
        <w:t xml:space="preserve">la </w:t>
      </w:r>
      <w:r w:rsidR="00FD5421" w:rsidRPr="00693E45">
        <w:rPr>
          <w:lang w:val="fr-FR"/>
        </w:rPr>
        <w:t>Réunion</w:t>
      </w:r>
      <w:r w:rsidR="007848E3" w:rsidRPr="00693E45">
        <w:rPr>
          <w:lang w:val="fr-FR"/>
        </w:rPr>
        <w:t xml:space="preserve"> qu</w:t>
      </w:r>
      <w:r w:rsidR="009B7882" w:rsidRPr="00693E45">
        <w:rPr>
          <w:lang w:val="fr-FR"/>
        </w:rPr>
        <w:t>’</w:t>
      </w:r>
      <w:r w:rsidR="007848E3" w:rsidRPr="00693E45">
        <w:rPr>
          <w:lang w:val="fr-FR"/>
        </w:rPr>
        <w:t>il continuait à travailler sur des améliorations destinées à permettre une transmission efficace</w:t>
      </w:r>
      <w:r w:rsidRPr="00693E45">
        <w:rPr>
          <w:lang w:val="fr-FR"/>
        </w:rPr>
        <w:t xml:space="preserve"> </w:t>
      </w:r>
      <w:r w:rsidR="007848E3" w:rsidRPr="00693E45">
        <w:rPr>
          <w:lang w:val="fr-FR"/>
        </w:rPr>
        <w:t>des données des rapports de recherche et d</w:t>
      </w:r>
      <w:r w:rsidR="009B7882" w:rsidRPr="00693E45">
        <w:rPr>
          <w:lang w:val="fr-FR"/>
        </w:rPr>
        <w:t>’</w:t>
      </w:r>
      <w:r w:rsidR="007848E3" w:rsidRPr="00693E45">
        <w:rPr>
          <w:lang w:val="fr-FR"/>
        </w:rPr>
        <w:t>examen</w:t>
      </w:r>
      <w:r w:rsidR="007F3D49" w:rsidRPr="00693E45">
        <w:rPr>
          <w:lang w:val="fr-FR"/>
        </w:rPr>
        <w:t xml:space="preserve"> </w:t>
      </w:r>
      <w:r w:rsidR="007848E3" w:rsidRPr="00693E45">
        <w:rPr>
          <w:lang w:val="fr-FR"/>
        </w:rPr>
        <w:t>en XML aux offices nationaux des États contractants de la Convention sur le brevet européen</w:t>
      </w:r>
      <w:r w:rsidR="00081112" w:rsidRPr="00693E45">
        <w:rPr>
          <w:lang w:val="fr-FR"/>
        </w:rPr>
        <w:t xml:space="preserve"> avec lesquels l</w:t>
      </w:r>
      <w:r w:rsidR="009B7882" w:rsidRPr="00693E45">
        <w:rPr>
          <w:lang w:val="fr-FR"/>
        </w:rPr>
        <w:t>’</w:t>
      </w:r>
      <w:r w:rsidR="00081112" w:rsidRPr="00693E45">
        <w:rPr>
          <w:lang w:val="fr-FR"/>
        </w:rPr>
        <w:t xml:space="preserve">OEB a un accord de </w:t>
      </w:r>
      <w:r w:rsidR="00613F14" w:rsidRPr="00693E45">
        <w:rPr>
          <w:lang w:val="fr-FR"/>
        </w:rPr>
        <w:t>coopération en matière de recherche et d</w:t>
      </w:r>
      <w:r w:rsidR="009B7882" w:rsidRPr="00693E45">
        <w:rPr>
          <w:lang w:val="fr-FR"/>
        </w:rPr>
        <w:t>’</w:t>
      </w:r>
      <w:r w:rsidR="00613F14" w:rsidRPr="00693E45">
        <w:rPr>
          <w:lang w:val="fr-FR"/>
        </w:rPr>
        <w:t xml:space="preserve">amélioration des outils de rédaction des examinateurs, afin de résoudre les questions de qualité encore posées par </w:t>
      </w:r>
      <w:r w:rsidR="00375395" w:rsidRPr="00693E45">
        <w:rPr>
          <w:lang w:val="fr-FR"/>
        </w:rPr>
        <w:t>les opinions écrites fournies en XML.</w:t>
      </w:r>
    </w:p>
    <w:p w14:paraId="3285D0E4" w14:textId="51793BD0" w:rsidR="007F3D49" w:rsidRPr="00693E45" w:rsidRDefault="00B17D6A" w:rsidP="00CB4729">
      <w:pPr>
        <w:pStyle w:val="ONUMFS"/>
        <w:rPr>
          <w:lang w:val="fr-FR"/>
        </w:rPr>
      </w:pPr>
      <w:r w:rsidRPr="00693E45">
        <w:rPr>
          <w:lang w:val="fr-FR"/>
        </w:rPr>
        <w:t xml:space="preserve">Certaines administrations </w:t>
      </w:r>
      <w:r w:rsidR="00110004" w:rsidRPr="00693E45">
        <w:rPr>
          <w:lang w:val="fr-FR"/>
        </w:rPr>
        <w:t>ont indiqué qu</w:t>
      </w:r>
      <w:r w:rsidR="009B7882" w:rsidRPr="00693E45">
        <w:rPr>
          <w:lang w:val="fr-FR"/>
        </w:rPr>
        <w:t>’</w:t>
      </w:r>
      <w:r w:rsidR="00110004" w:rsidRPr="00693E45">
        <w:rPr>
          <w:lang w:val="fr-FR"/>
        </w:rPr>
        <w:t>elles auraient besoin d</w:t>
      </w:r>
      <w:r w:rsidR="00186501" w:rsidRPr="00693E45">
        <w:rPr>
          <w:lang w:val="fr-FR"/>
        </w:rPr>
        <w:t>e l</w:t>
      </w:r>
      <w:r w:rsidR="009B7882" w:rsidRPr="00693E45">
        <w:rPr>
          <w:lang w:val="fr-FR"/>
        </w:rPr>
        <w:t>’</w:t>
      </w:r>
      <w:r w:rsidR="00110004" w:rsidRPr="00693E45">
        <w:rPr>
          <w:lang w:val="fr-FR"/>
        </w:rPr>
        <w:t>appui du Bureau international en ce qui concerne l</w:t>
      </w:r>
      <w:r w:rsidR="009B7882" w:rsidRPr="00693E45">
        <w:rPr>
          <w:lang w:val="fr-FR"/>
        </w:rPr>
        <w:t>’</w:t>
      </w:r>
      <w:r w:rsidR="00110004" w:rsidRPr="00693E45">
        <w:rPr>
          <w:lang w:val="fr-FR"/>
        </w:rPr>
        <w:t>adoption du format XML pour les rapports de recherche et les opinions écrit</w:t>
      </w:r>
      <w:r w:rsidR="003D2437" w:rsidRPr="00693E45">
        <w:rPr>
          <w:lang w:val="fr-FR"/>
        </w:rPr>
        <w:t>es.  Un</w:t>
      </w:r>
      <w:r w:rsidR="00186501" w:rsidRPr="00693E45">
        <w:rPr>
          <w:lang w:val="fr-FR"/>
        </w:rPr>
        <w:t>e</w:t>
      </w:r>
      <w:r w:rsidR="00BD19A5" w:rsidRPr="00693E45">
        <w:rPr>
          <w:lang w:val="fr-FR"/>
        </w:rPr>
        <w:t xml:space="preserve"> administration a souhaité que le Bureau international </w:t>
      </w:r>
      <w:r w:rsidR="00C270D0" w:rsidRPr="00693E45">
        <w:rPr>
          <w:lang w:val="fr-FR"/>
        </w:rPr>
        <w:t>fasse circuler des exemples de pratiques recommandées en matière de format XML et fournisse un outil d</w:t>
      </w:r>
      <w:r w:rsidR="009B7882" w:rsidRPr="00693E45">
        <w:rPr>
          <w:lang w:val="fr-FR"/>
        </w:rPr>
        <w:t>’</w:t>
      </w:r>
      <w:r w:rsidR="00C270D0" w:rsidRPr="00693E45">
        <w:rPr>
          <w:lang w:val="fr-FR"/>
        </w:rPr>
        <w:t xml:space="preserve">édition de données en </w:t>
      </w:r>
      <w:r w:rsidR="003D2437" w:rsidRPr="00693E45">
        <w:rPr>
          <w:lang w:val="fr-FR"/>
        </w:rPr>
        <w:t>XML.  Un</w:t>
      </w:r>
      <w:r w:rsidR="00C270D0" w:rsidRPr="00693E45">
        <w:rPr>
          <w:lang w:val="fr-FR"/>
        </w:rPr>
        <w:t>e autre administration s</w:t>
      </w:r>
      <w:r w:rsidR="009B7882" w:rsidRPr="00693E45">
        <w:rPr>
          <w:lang w:val="fr-FR"/>
        </w:rPr>
        <w:t>’</w:t>
      </w:r>
      <w:r w:rsidR="00C270D0" w:rsidRPr="00693E45">
        <w:rPr>
          <w:lang w:val="fr-FR"/>
        </w:rPr>
        <w:t xml:space="preserve">est dite prête à </w:t>
      </w:r>
      <w:r w:rsidR="002402A1" w:rsidRPr="00693E45">
        <w:rPr>
          <w:lang w:val="fr-FR"/>
        </w:rPr>
        <w:t>apporter sa collaboration en matière de formation et de soutien technique au</w:t>
      </w:r>
      <w:r w:rsidR="00C270D0" w:rsidRPr="00693E45">
        <w:rPr>
          <w:lang w:val="fr-FR"/>
        </w:rPr>
        <w:t xml:space="preserve"> Bureau international</w:t>
      </w:r>
      <w:r w:rsidR="002402A1" w:rsidRPr="00693E45">
        <w:rPr>
          <w:lang w:val="fr-FR"/>
        </w:rPr>
        <w:t>, dans le cadre de la mise en place des rapports au format XML par ce dernier.</w:t>
      </w:r>
    </w:p>
    <w:p w14:paraId="52AB83A8" w14:textId="57A1B347" w:rsidR="007F3D49" w:rsidRPr="00693E45" w:rsidRDefault="00301258" w:rsidP="00CB4729">
      <w:pPr>
        <w:pStyle w:val="ONUMFS"/>
        <w:rPr>
          <w:lang w:val="fr-FR"/>
        </w:rPr>
      </w:pPr>
      <w:r w:rsidRPr="00693E45">
        <w:rPr>
          <w:lang w:val="fr-FR"/>
        </w:rPr>
        <w:t>Certaines administrations ont fait part de leur appui au passage de la norme</w:t>
      </w:r>
      <w:r w:rsidR="0091379C" w:rsidRPr="00693E45">
        <w:rPr>
          <w:lang w:val="fr-FR"/>
        </w:rPr>
        <w:t> </w:t>
      </w:r>
      <w:r w:rsidRPr="00693E45">
        <w:rPr>
          <w:lang w:val="fr-FR"/>
        </w:rPr>
        <w:t>ST.36 à la norme</w:t>
      </w:r>
      <w:r w:rsidR="0091379C" w:rsidRPr="00693E45">
        <w:rPr>
          <w:lang w:val="fr-FR"/>
        </w:rPr>
        <w:t> </w:t>
      </w:r>
      <w:r w:rsidRPr="00693E45">
        <w:rPr>
          <w:lang w:val="fr-FR"/>
        </w:rPr>
        <w:t xml:space="preserve">ST.96 et </w:t>
      </w:r>
      <w:r w:rsidR="00752E03" w:rsidRPr="00693E45">
        <w:rPr>
          <w:lang w:val="fr-FR"/>
        </w:rPr>
        <w:t>ont indiqué qu</w:t>
      </w:r>
      <w:r w:rsidR="009B7882" w:rsidRPr="00693E45">
        <w:rPr>
          <w:lang w:val="fr-FR"/>
        </w:rPr>
        <w:t>’</w:t>
      </w:r>
      <w:r w:rsidR="00752E03" w:rsidRPr="00693E45">
        <w:rPr>
          <w:lang w:val="fr-FR"/>
        </w:rPr>
        <w:t xml:space="preserve">elles </w:t>
      </w:r>
      <w:r w:rsidR="00A15CF4" w:rsidRPr="00693E45">
        <w:rPr>
          <w:lang w:val="fr-FR"/>
        </w:rPr>
        <w:t>avaient engagé le processus d</w:t>
      </w:r>
      <w:r w:rsidR="009B7882" w:rsidRPr="00693E45">
        <w:rPr>
          <w:lang w:val="fr-FR"/>
        </w:rPr>
        <w:t>’</w:t>
      </w:r>
      <w:r w:rsidR="00A15CF4" w:rsidRPr="00693E45">
        <w:rPr>
          <w:lang w:val="fr-FR"/>
        </w:rPr>
        <w:t>adoption de la norme</w:t>
      </w:r>
      <w:r w:rsidR="0091379C" w:rsidRPr="00693E45">
        <w:rPr>
          <w:lang w:val="fr-FR"/>
        </w:rPr>
        <w:t> </w:t>
      </w:r>
      <w:r w:rsidR="00A15CF4" w:rsidRPr="00693E45">
        <w:rPr>
          <w:lang w:val="fr-FR"/>
        </w:rPr>
        <w:t>ST.96 de l</w:t>
      </w:r>
      <w:r w:rsidR="009B7882" w:rsidRPr="00693E45">
        <w:rPr>
          <w:lang w:val="fr-FR"/>
        </w:rPr>
        <w:t>’</w:t>
      </w:r>
      <w:r w:rsidR="00A15CF4" w:rsidRPr="00693E45">
        <w:rPr>
          <w:lang w:val="fr-FR"/>
        </w:rPr>
        <w:t>OMPI pour les rapports au format XML ou envisageaient d</w:t>
      </w:r>
      <w:r w:rsidR="009B7882" w:rsidRPr="00693E45">
        <w:rPr>
          <w:lang w:val="fr-FR"/>
        </w:rPr>
        <w:t>’</w:t>
      </w:r>
      <w:r w:rsidR="00A15CF4" w:rsidRPr="00693E45">
        <w:rPr>
          <w:lang w:val="fr-FR"/>
        </w:rPr>
        <w:t>utiliser cette nouvelle norme</w:t>
      </w:r>
      <w:r w:rsidR="00E86248" w:rsidRPr="00693E45">
        <w:rPr>
          <w:lang w:val="fr-FR"/>
        </w:rPr>
        <w:t xml:space="preserve"> à l</w:t>
      </w:r>
      <w:r w:rsidR="009B7882" w:rsidRPr="00693E45">
        <w:rPr>
          <w:lang w:val="fr-FR"/>
        </w:rPr>
        <w:t>’</w:t>
      </w:r>
      <w:r w:rsidR="00E86248" w:rsidRPr="00693E45">
        <w:rPr>
          <w:lang w:val="fr-FR"/>
        </w:rPr>
        <w:t>avenir</w:t>
      </w:r>
      <w:r w:rsidR="00A15CF4" w:rsidRPr="00693E45">
        <w:rPr>
          <w:lang w:val="fr-FR"/>
        </w:rPr>
        <w:t xml:space="preserve"> </w:t>
      </w:r>
      <w:r w:rsidR="00E86248" w:rsidRPr="00693E45">
        <w:rPr>
          <w:lang w:val="fr-FR"/>
        </w:rPr>
        <w:t>pour produire leurs rapports de recherche et opinions écrit</w:t>
      </w:r>
      <w:r w:rsidR="003D2437" w:rsidRPr="00693E45">
        <w:rPr>
          <w:lang w:val="fr-FR"/>
        </w:rPr>
        <w:t>es.  L’u</w:t>
      </w:r>
      <w:r w:rsidR="004B57B1" w:rsidRPr="00693E45">
        <w:rPr>
          <w:lang w:val="fr-FR"/>
        </w:rPr>
        <w:t xml:space="preserve">ne des administrations a </w:t>
      </w:r>
      <w:r w:rsidR="008562C8" w:rsidRPr="00693E45">
        <w:rPr>
          <w:lang w:val="fr-FR"/>
        </w:rPr>
        <w:t xml:space="preserve">mentionné les </w:t>
      </w:r>
      <w:r w:rsidR="004B57B1" w:rsidRPr="00693E45">
        <w:rPr>
          <w:lang w:val="fr-FR"/>
        </w:rPr>
        <w:t xml:space="preserve">difficultés liées </w:t>
      </w:r>
      <w:r w:rsidR="008562C8" w:rsidRPr="00693E45">
        <w:rPr>
          <w:lang w:val="fr-FR"/>
        </w:rPr>
        <w:t>à l</w:t>
      </w:r>
      <w:r w:rsidR="009B7882" w:rsidRPr="00693E45">
        <w:rPr>
          <w:lang w:val="fr-FR"/>
        </w:rPr>
        <w:t>’</w:t>
      </w:r>
      <w:r w:rsidR="008562C8" w:rsidRPr="00693E45">
        <w:rPr>
          <w:lang w:val="fr-FR"/>
        </w:rPr>
        <w:t>élaboration</w:t>
      </w:r>
      <w:r w:rsidR="00C77047" w:rsidRPr="00693E45">
        <w:rPr>
          <w:lang w:val="fr-FR"/>
        </w:rPr>
        <w:t xml:space="preserve"> de</w:t>
      </w:r>
      <w:r w:rsidR="004B57B1" w:rsidRPr="00693E45">
        <w:rPr>
          <w:lang w:val="fr-FR"/>
        </w:rPr>
        <w:t xml:space="preserve"> normes et systèmes de haute qualité pour les rapports</w:t>
      </w:r>
      <w:r w:rsidR="00C6045B" w:rsidRPr="00693E45">
        <w:rPr>
          <w:lang w:val="fr-FR"/>
        </w:rPr>
        <w:t> </w:t>
      </w:r>
      <w:r w:rsidR="004B57B1" w:rsidRPr="00693E45">
        <w:rPr>
          <w:lang w:val="fr-FR"/>
        </w:rPr>
        <w:t>ST.96</w:t>
      </w:r>
      <w:r w:rsidR="009E2507" w:rsidRPr="00693E45">
        <w:rPr>
          <w:lang w:val="fr-FR"/>
        </w:rPr>
        <w:t xml:space="preserve">, </w:t>
      </w:r>
      <w:r w:rsidR="008562C8" w:rsidRPr="00693E45">
        <w:rPr>
          <w:lang w:val="fr-FR"/>
        </w:rPr>
        <w:t>et indiqué que malgré son intention d</w:t>
      </w:r>
      <w:r w:rsidR="009B7882" w:rsidRPr="00693E45">
        <w:rPr>
          <w:lang w:val="fr-FR"/>
        </w:rPr>
        <w:t>’</w:t>
      </w:r>
      <w:r w:rsidR="008562C8" w:rsidRPr="00693E45">
        <w:rPr>
          <w:lang w:val="fr-FR"/>
        </w:rPr>
        <w:t>utiliser dès que possible la norme</w:t>
      </w:r>
      <w:r w:rsidR="0091379C" w:rsidRPr="00693E45">
        <w:rPr>
          <w:lang w:val="fr-FR"/>
        </w:rPr>
        <w:t> </w:t>
      </w:r>
      <w:r w:rsidR="008562C8" w:rsidRPr="00693E45">
        <w:rPr>
          <w:lang w:val="fr-FR"/>
        </w:rPr>
        <w:t xml:space="preserve">ST.96, </w:t>
      </w:r>
      <w:r w:rsidR="009E2507" w:rsidRPr="00693E45">
        <w:rPr>
          <w:lang w:val="fr-FR"/>
        </w:rPr>
        <w:t>elle produirait provisoirement des rapports selon la norme</w:t>
      </w:r>
      <w:r w:rsidR="0091379C" w:rsidRPr="00693E45">
        <w:rPr>
          <w:lang w:val="fr-FR"/>
        </w:rPr>
        <w:t> </w:t>
      </w:r>
      <w:r w:rsidR="009E2507" w:rsidRPr="00693E45">
        <w:rPr>
          <w:lang w:val="fr-FR"/>
        </w:rPr>
        <w:t>ST.36.</w:t>
      </w:r>
    </w:p>
    <w:p w14:paraId="18E6B327" w14:textId="2D7F54DA" w:rsidR="007F3D49" w:rsidRPr="00693E45" w:rsidRDefault="00C77047"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des informations et observations fournies par les administrations concernant </w:t>
      </w:r>
      <w:r w:rsidR="002A3CE8" w:rsidRPr="00693E45">
        <w:rPr>
          <w:lang w:val="fr-FR"/>
        </w:rPr>
        <w:t xml:space="preserve">la mise en place et </w:t>
      </w:r>
      <w:r w:rsidRPr="00693E45">
        <w:rPr>
          <w:lang w:val="fr-FR"/>
        </w:rPr>
        <w:t>l</w:t>
      </w:r>
      <w:r w:rsidR="009B7882" w:rsidRPr="00693E45">
        <w:rPr>
          <w:lang w:val="fr-FR"/>
        </w:rPr>
        <w:t>’</w:t>
      </w:r>
      <w:r w:rsidRPr="00693E45">
        <w:rPr>
          <w:lang w:val="fr-FR"/>
        </w:rPr>
        <w:t>élaboration de rapports de recherche internationale et d</w:t>
      </w:r>
      <w:r w:rsidR="009B7882" w:rsidRPr="00693E45">
        <w:rPr>
          <w:lang w:val="fr-FR"/>
        </w:rPr>
        <w:t>’</w:t>
      </w:r>
      <w:r w:rsidRPr="00693E45">
        <w:rPr>
          <w:lang w:val="fr-FR"/>
        </w:rPr>
        <w:t>opinions écrites au format XML.</w:t>
      </w:r>
    </w:p>
    <w:p w14:paraId="6573A0F4" w14:textId="6F0B8E97" w:rsidR="007F3D49" w:rsidRPr="00693E45" w:rsidRDefault="003A25BF" w:rsidP="007F3D49">
      <w:pPr>
        <w:pStyle w:val="Heading1"/>
        <w:rPr>
          <w:lang w:val="fr-FR"/>
        </w:rPr>
      </w:pPr>
      <w:r w:rsidRPr="00693E45">
        <w:rPr>
          <w:lang w:val="fr-FR"/>
        </w:rPr>
        <w:t>CopieS certifiéeS de demandes internationales antérieures</w:t>
      </w:r>
    </w:p>
    <w:p w14:paraId="1FF29CEA" w14:textId="77777777" w:rsidR="007F3D49" w:rsidRPr="00693E45" w:rsidRDefault="007F3D49" w:rsidP="00CB4729">
      <w:pPr>
        <w:pStyle w:val="ONUMFS"/>
        <w:rPr>
          <w:lang w:val="fr-FR"/>
        </w:rPr>
      </w:pPr>
      <w:r w:rsidRPr="00693E45">
        <w:rPr>
          <w:lang w:val="fr-FR"/>
        </w:rPr>
        <w:t>Les délibérations ont eu lieu sur la base du document PCT/MIA/28/6.</w:t>
      </w:r>
    </w:p>
    <w:p w14:paraId="397A828B" w14:textId="50FDE070" w:rsidR="007F3D49" w:rsidRPr="00693E45" w:rsidRDefault="003A25BF" w:rsidP="00CB4729">
      <w:pPr>
        <w:pStyle w:val="ONUMFS"/>
        <w:rPr>
          <w:lang w:val="fr-FR"/>
        </w:rPr>
      </w:pPr>
      <w:r w:rsidRPr="00693E45">
        <w:rPr>
          <w:lang w:val="fr-FR"/>
        </w:rPr>
        <w:t>L</w:t>
      </w:r>
      <w:r w:rsidR="009B7882" w:rsidRPr="00693E45">
        <w:rPr>
          <w:lang w:val="fr-FR"/>
        </w:rPr>
        <w:t>’</w:t>
      </w:r>
      <w:r w:rsidRPr="00693E45">
        <w:rPr>
          <w:lang w:val="fr-FR"/>
        </w:rPr>
        <w:t xml:space="preserve">Office des brevets du Japon </w:t>
      </w:r>
      <w:r w:rsidR="00A34216" w:rsidRPr="00693E45">
        <w:rPr>
          <w:lang w:val="fr-FR"/>
        </w:rPr>
        <w:t>a expliqué le contexte entourant cette question, en précisant que la pandémie de COVID</w:t>
      </w:r>
      <w:r w:rsidR="00CB4729" w:rsidRPr="00693E45">
        <w:rPr>
          <w:lang w:val="fr-FR"/>
        </w:rPr>
        <w:noBreakHyphen/>
      </w:r>
      <w:r w:rsidR="00A34216" w:rsidRPr="00693E45">
        <w:rPr>
          <w:lang w:val="fr-FR"/>
        </w:rPr>
        <w:t xml:space="preserve">19 a créé des difficultés pour les déposants comme pour </w:t>
      </w:r>
      <w:r w:rsidR="00A34216" w:rsidRPr="00693E45">
        <w:rPr>
          <w:lang w:val="fr-FR"/>
        </w:rPr>
        <w:lastRenderedPageBreak/>
        <w:t>les offic</w:t>
      </w:r>
      <w:r w:rsidR="003D2437" w:rsidRPr="00693E45">
        <w:rPr>
          <w:lang w:val="fr-FR"/>
        </w:rPr>
        <w:t>es.  La</w:t>
      </w:r>
      <w:r w:rsidR="00A567B4" w:rsidRPr="00693E45">
        <w:rPr>
          <w:lang w:val="fr-FR"/>
        </w:rPr>
        <w:t xml:space="preserve"> mise en place de systèmes</w:t>
      </w:r>
      <w:r w:rsidR="00B605A3" w:rsidRPr="00693E45">
        <w:rPr>
          <w:lang w:val="fr-FR"/>
        </w:rPr>
        <w:t xml:space="preserve"> permettant aux déposants de fournir les documents de priorité d</w:t>
      </w:r>
      <w:r w:rsidR="009B7882" w:rsidRPr="00693E45">
        <w:rPr>
          <w:lang w:val="fr-FR"/>
        </w:rPr>
        <w:t>’</w:t>
      </w:r>
      <w:r w:rsidR="00B605A3" w:rsidRPr="00693E45">
        <w:rPr>
          <w:lang w:val="fr-FR"/>
        </w:rPr>
        <w:t xml:space="preserve">une manière efficace et dans les délais prescrits, </w:t>
      </w:r>
      <w:r w:rsidR="009B7882" w:rsidRPr="00693E45">
        <w:rPr>
          <w:lang w:val="fr-FR"/>
        </w:rPr>
        <w:t>y compris</w:t>
      </w:r>
      <w:r w:rsidR="001702A5" w:rsidRPr="00693E45">
        <w:rPr>
          <w:lang w:val="fr-FR"/>
        </w:rPr>
        <w:t xml:space="preserve"> </w:t>
      </w:r>
      <w:r w:rsidR="001F5516" w:rsidRPr="00693E45">
        <w:rPr>
          <w:lang w:val="fr-FR"/>
        </w:rPr>
        <w:t xml:space="preserve">en </w:t>
      </w:r>
      <w:r w:rsidR="0080061A" w:rsidRPr="00693E45">
        <w:rPr>
          <w:lang w:val="fr-FR"/>
        </w:rPr>
        <w:t>période</w:t>
      </w:r>
      <w:r w:rsidR="001F5516" w:rsidRPr="00693E45">
        <w:rPr>
          <w:lang w:val="fr-FR"/>
        </w:rPr>
        <w:t xml:space="preserve"> de </w:t>
      </w:r>
      <w:r w:rsidR="00D70BE3" w:rsidRPr="00693E45">
        <w:rPr>
          <w:lang w:val="fr-FR"/>
        </w:rPr>
        <w:t>perturbation</w:t>
      </w:r>
      <w:r w:rsidR="0080061A" w:rsidRPr="00693E45">
        <w:rPr>
          <w:lang w:val="fr-FR"/>
        </w:rPr>
        <w:t>,</w:t>
      </w:r>
      <w:r w:rsidR="00D70BE3" w:rsidRPr="00693E45">
        <w:rPr>
          <w:lang w:val="fr-FR"/>
        </w:rPr>
        <w:t xml:space="preserve"> </w:t>
      </w:r>
      <w:r w:rsidR="001C3684" w:rsidRPr="00693E45">
        <w:rPr>
          <w:lang w:val="fr-FR"/>
        </w:rPr>
        <w:t>était d</w:t>
      </w:r>
      <w:r w:rsidR="009B7882" w:rsidRPr="00693E45">
        <w:rPr>
          <w:lang w:val="fr-FR"/>
        </w:rPr>
        <w:t>’</w:t>
      </w:r>
      <w:r w:rsidR="001C3684" w:rsidRPr="00693E45">
        <w:rPr>
          <w:lang w:val="fr-FR"/>
        </w:rPr>
        <w:t>une importance capitale</w:t>
      </w:r>
      <w:r w:rsidR="001702A5" w:rsidRPr="00693E45">
        <w:rPr>
          <w:lang w:val="fr-FR"/>
        </w:rPr>
        <w:t>.</w:t>
      </w:r>
      <w:r w:rsidR="001F5516" w:rsidRPr="00693E45">
        <w:rPr>
          <w:lang w:val="fr-FR"/>
        </w:rPr>
        <w:t xml:space="preserve">  </w:t>
      </w:r>
      <w:r w:rsidR="005124B8" w:rsidRPr="00693E45">
        <w:rPr>
          <w:lang w:val="fr-FR"/>
        </w:rPr>
        <w:t>Le service d</w:t>
      </w:r>
      <w:r w:rsidR="009B7882" w:rsidRPr="00693E45">
        <w:rPr>
          <w:lang w:val="fr-FR"/>
        </w:rPr>
        <w:t>’</w:t>
      </w:r>
      <w:r w:rsidR="005124B8" w:rsidRPr="00693E45">
        <w:rPr>
          <w:lang w:val="fr-FR"/>
        </w:rPr>
        <w:t>accès numérique (DAS) de l</w:t>
      </w:r>
      <w:r w:rsidR="009B7882" w:rsidRPr="00693E45">
        <w:rPr>
          <w:lang w:val="fr-FR"/>
        </w:rPr>
        <w:t>’</w:t>
      </w:r>
      <w:r w:rsidR="005124B8" w:rsidRPr="00693E45">
        <w:rPr>
          <w:lang w:val="fr-FR"/>
        </w:rPr>
        <w:t>OMPI pour les documents de priorité a</w:t>
      </w:r>
      <w:r w:rsidR="001C3684" w:rsidRPr="00693E45">
        <w:rPr>
          <w:lang w:val="fr-FR"/>
        </w:rPr>
        <w:t>vait</w:t>
      </w:r>
      <w:r w:rsidR="005124B8" w:rsidRPr="00693E45">
        <w:rPr>
          <w:lang w:val="fr-FR"/>
        </w:rPr>
        <w:t xml:space="preserve"> été d</w:t>
      </w:r>
      <w:r w:rsidR="009B7882" w:rsidRPr="00693E45">
        <w:rPr>
          <w:lang w:val="fr-FR"/>
        </w:rPr>
        <w:t>’</w:t>
      </w:r>
      <w:r w:rsidR="005124B8" w:rsidRPr="00693E45">
        <w:rPr>
          <w:lang w:val="fr-FR"/>
        </w:rPr>
        <w:t xml:space="preserve">une grande utilité à cet égard, mais ne fonctionnait pas pour toutes les </w:t>
      </w:r>
      <w:r w:rsidR="00C057BD" w:rsidRPr="00693E45">
        <w:rPr>
          <w:lang w:val="fr-FR"/>
        </w:rPr>
        <w:t>demand</w:t>
      </w:r>
      <w:r w:rsidR="003D2437" w:rsidRPr="00693E45">
        <w:rPr>
          <w:lang w:val="fr-FR"/>
        </w:rPr>
        <w:t>es.  En</w:t>
      </w:r>
      <w:r w:rsidR="005124B8" w:rsidRPr="00693E45">
        <w:rPr>
          <w:lang w:val="fr-FR"/>
        </w:rPr>
        <w:t xml:space="preserve"> particulier, un grand nombre d</w:t>
      </w:r>
      <w:r w:rsidR="009B7882" w:rsidRPr="00693E45">
        <w:rPr>
          <w:lang w:val="fr-FR"/>
        </w:rPr>
        <w:t>’</w:t>
      </w:r>
      <w:r w:rsidR="005124B8" w:rsidRPr="00693E45">
        <w:rPr>
          <w:lang w:val="fr-FR"/>
        </w:rPr>
        <w:t>offices</w:t>
      </w:r>
      <w:r w:rsidR="001C3684" w:rsidRPr="00693E45">
        <w:rPr>
          <w:lang w:val="fr-FR"/>
        </w:rPr>
        <w:t xml:space="preserve"> agissant en qualité d</w:t>
      </w:r>
      <w:r w:rsidR="009B7882" w:rsidRPr="00693E45">
        <w:rPr>
          <w:lang w:val="fr-FR"/>
        </w:rPr>
        <w:t>’</w:t>
      </w:r>
      <w:r w:rsidR="001C3684" w:rsidRPr="00693E45">
        <w:rPr>
          <w:lang w:val="fr-FR"/>
        </w:rPr>
        <w:t>offices déposants pour les demandes nationales n</w:t>
      </w:r>
      <w:r w:rsidR="009B7882" w:rsidRPr="00693E45">
        <w:rPr>
          <w:lang w:val="fr-FR"/>
        </w:rPr>
        <w:t>’</w:t>
      </w:r>
      <w:r w:rsidR="001C3684" w:rsidRPr="00693E45">
        <w:rPr>
          <w:lang w:val="fr-FR"/>
        </w:rPr>
        <w:t>avaient pas</w:t>
      </w:r>
      <w:r w:rsidR="007F3D49" w:rsidRPr="00693E45">
        <w:rPr>
          <w:lang w:val="fr-FR"/>
        </w:rPr>
        <w:t xml:space="preserve"> </w:t>
      </w:r>
      <w:r w:rsidR="00953A90" w:rsidRPr="00693E45">
        <w:rPr>
          <w:lang w:val="fr-FR"/>
        </w:rPr>
        <w:t xml:space="preserve">activé </w:t>
      </w:r>
      <w:r w:rsidR="002738DF" w:rsidRPr="00693E45">
        <w:rPr>
          <w:lang w:val="fr-FR"/>
        </w:rPr>
        <w:t>c</w:t>
      </w:r>
      <w:r w:rsidR="00953A90" w:rsidRPr="00693E45">
        <w:rPr>
          <w:lang w:val="fr-FR"/>
        </w:rPr>
        <w:t>e service pour les demandes internationales déposées devant eux à titre d</w:t>
      </w:r>
      <w:r w:rsidR="009B7882" w:rsidRPr="00693E45">
        <w:rPr>
          <w:lang w:val="fr-FR"/>
        </w:rPr>
        <w:t>’</w:t>
      </w:r>
      <w:r w:rsidR="00953A90" w:rsidRPr="00693E45">
        <w:rPr>
          <w:lang w:val="fr-FR"/>
        </w:rPr>
        <w:t>offices récepteurs.  L</w:t>
      </w:r>
      <w:r w:rsidR="009B7882" w:rsidRPr="00693E45">
        <w:rPr>
          <w:lang w:val="fr-FR"/>
        </w:rPr>
        <w:t>’</w:t>
      </w:r>
      <w:r w:rsidR="00953A90" w:rsidRPr="00693E45">
        <w:rPr>
          <w:lang w:val="fr-FR"/>
        </w:rPr>
        <w:t xml:space="preserve">Office des brevets du Japon avait invité le Bureau international à </w:t>
      </w:r>
      <w:r w:rsidR="00F204A0" w:rsidRPr="00693E45">
        <w:rPr>
          <w:lang w:val="fr-FR"/>
        </w:rPr>
        <w:t>étudier les options envisageables</w:t>
      </w:r>
      <w:r w:rsidR="002738DF" w:rsidRPr="00693E45">
        <w:rPr>
          <w:lang w:val="fr-FR"/>
        </w:rPr>
        <w:t>,</w:t>
      </w:r>
      <w:r w:rsidR="001A4DE2" w:rsidRPr="00693E45">
        <w:rPr>
          <w:lang w:val="fr-FR"/>
        </w:rPr>
        <w:t xml:space="preserve"> et estimait que</w:t>
      </w:r>
      <w:r w:rsidR="00DC41B4" w:rsidRPr="00693E45">
        <w:rPr>
          <w:lang w:val="fr-FR"/>
        </w:rPr>
        <w:t xml:space="preserve"> </w:t>
      </w:r>
      <w:proofErr w:type="gramStart"/>
      <w:r w:rsidR="00DC41B4" w:rsidRPr="00693E45">
        <w:rPr>
          <w:lang w:val="fr-FR"/>
        </w:rPr>
        <w:t>la</w:t>
      </w:r>
      <w:proofErr w:type="gramEnd"/>
      <w:r w:rsidR="00DC41B4" w:rsidRPr="00693E45">
        <w:rPr>
          <w:lang w:val="fr-FR"/>
        </w:rPr>
        <w:t xml:space="preserve"> plus appropriée était la </w:t>
      </w:r>
      <w:r w:rsidR="001A4DE2" w:rsidRPr="00693E45">
        <w:rPr>
          <w:lang w:val="fr-FR"/>
        </w:rPr>
        <w:t>troisième option présentée dans le document (</w:t>
      </w:r>
      <w:r w:rsidR="00DC41B4" w:rsidRPr="00693E45">
        <w:rPr>
          <w:lang w:val="fr-FR"/>
        </w:rPr>
        <w:t>utilisation de copies du dossier afin de créer une copie certifiée pouvant être transféré</w:t>
      </w:r>
      <w:r w:rsidR="00C6045B" w:rsidRPr="00693E45">
        <w:rPr>
          <w:lang w:val="fr-FR"/>
        </w:rPr>
        <w:t>e</w:t>
      </w:r>
      <w:r w:rsidR="00DC41B4" w:rsidRPr="00693E45">
        <w:rPr>
          <w:lang w:val="fr-FR"/>
        </w:rPr>
        <w:t xml:space="preserve"> à une demande ultérieure par l</w:t>
      </w:r>
      <w:r w:rsidR="009B7882" w:rsidRPr="00693E45">
        <w:rPr>
          <w:lang w:val="fr-FR"/>
        </w:rPr>
        <w:t>’</w:t>
      </w:r>
      <w:r w:rsidR="00DC41B4" w:rsidRPr="00693E45">
        <w:rPr>
          <w:lang w:val="fr-FR"/>
        </w:rPr>
        <w:t>intermédiaire</w:t>
      </w:r>
      <w:r w:rsidR="009B7882" w:rsidRPr="00693E45">
        <w:rPr>
          <w:lang w:val="fr-FR"/>
        </w:rPr>
        <w:t xml:space="preserve"> du DAS</w:t>
      </w:r>
      <w:r w:rsidR="00DC41B4" w:rsidRPr="00693E45">
        <w:rPr>
          <w:lang w:val="fr-FR"/>
        </w:rPr>
        <w:t>).</w:t>
      </w:r>
    </w:p>
    <w:p w14:paraId="2BEED78D" w14:textId="0018ED0E" w:rsidR="007F3D49" w:rsidRPr="00693E45" w:rsidRDefault="00BB4C96" w:rsidP="00CB4729">
      <w:pPr>
        <w:pStyle w:val="ONUMFS"/>
        <w:rPr>
          <w:lang w:val="fr-FR"/>
        </w:rPr>
      </w:pPr>
      <w:r w:rsidRPr="00693E45">
        <w:rPr>
          <w:lang w:val="fr-FR"/>
        </w:rPr>
        <w:t xml:space="preserve">Plusieurs administrations ont </w:t>
      </w:r>
      <w:r w:rsidR="00C03091" w:rsidRPr="00693E45">
        <w:rPr>
          <w:lang w:val="fr-FR"/>
        </w:rPr>
        <w:t xml:space="preserve">accueilli favorablement </w:t>
      </w:r>
      <w:r w:rsidR="00E04802" w:rsidRPr="00693E45">
        <w:rPr>
          <w:lang w:val="fr-FR"/>
        </w:rPr>
        <w:t>le concept</w:t>
      </w:r>
      <w:r w:rsidRPr="00693E45">
        <w:rPr>
          <w:lang w:val="fr-FR"/>
        </w:rPr>
        <w:t>, mais certaines ont dit s</w:t>
      </w:r>
      <w:r w:rsidR="009B7882" w:rsidRPr="00693E45">
        <w:rPr>
          <w:lang w:val="fr-FR"/>
        </w:rPr>
        <w:t>’</w:t>
      </w:r>
      <w:r w:rsidRPr="00693E45">
        <w:rPr>
          <w:lang w:val="fr-FR"/>
        </w:rPr>
        <w:t>interroger sur l</w:t>
      </w:r>
      <w:r w:rsidR="009B7882" w:rsidRPr="00693E45">
        <w:rPr>
          <w:lang w:val="fr-FR"/>
        </w:rPr>
        <w:t>’</w:t>
      </w:r>
      <w:r w:rsidRPr="00693E45">
        <w:rPr>
          <w:lang w:val="fr-FR"/>
        </w:rPr>
        <w:t>opportunité</w:t>
      </w:r>
      <w:r w:rsidR="00D42F6F" w:rsidRPr="00693E45">
        <w:rPr>
          <w:lang w:val="fr-FR"/>
        </w:rPr>
        <w:t>,</w:t>
      </w:r>
      <w:r w:rsidRPr="00693E45">
        <w:rPr>
          <w:lang w:val="fr-FR"/>
        </w:rPr>
        <w:t xml:space="preserve"> </w:t>
      </w:r>
      <w:r w:rsidR="00C03600" w:rsidRPr="00693E45">
        <w:rPr>
          <w:lang w:val="fr-FR"/>
        </w:rPr>
        <w:t>d</w:t>
      </w:r>
      <w:r w:rsidR="009B7882" w:rsidRPr="00693E45">
        <w:rPr>
          <w:lang w:val="fr-FR"/>
        </w:rPr>
        <w:t>’</w:t>
      </w:r>
      <w:r w:rsidR="00C03600" w:rsidRPr="00693E45">
        <w:rPr>
          <w:lang w:val="fr-FR"/>
        </w:rPr>
        <w:t>un point de vue</w:t>
      </w:r>
      <w:r w:rsidRPr="00693E45">
        <w:rPr>
          <w:lang w:val="fr-FR"/>
        </w:rPr>
        <w:t xml:space="preserve"> qualité</w:t>
      </w:r>
      <w:r w:rsidR="00CB4729" w:rsidRPr="00693E45">
        <w:rPr>
          <w:lang w:val="fr-FR"/>
        </w:rPr>
        <w:noBreakHyphen/>
      </w:r>
      <w:r w:rsidRPr="00693E45">
        <w:rPr>
          <w:lang w:val="fr-FR"/>
        </w:rPr>
        <w:t>prix</w:t>
      </w:r>
      <w:r w:rsidR="00D42F6F" w:rsidRPr="00693E45">
        <w:rPr>
          <w:lang w:val="fr-FR"/>
        </w:rPr>
        <w:t>,</w:t>
      </w:r>
      <w:r w:rsidRPr="00693E45">
        <w:rPr>
          <w:lang w:val="fr-FR"/>
        </w:rPr>
        <w:t xml:space="preserve"> d</w:t>
      </w:r>
      <w:r w:rsidR="009B7882" w:rsidRPr="00693E45">
        <w:rPr>
          <w:lang w:val="fr-FR"/>
        </w:rPr>
        <w:t>’</w:t>
      </w:r>
      <w:r w:rsidR="00D42F6F" w:rsidRPr="00693E45">
        <w:rPr>
          <w:lang w:val="fr-FR"/>
        </w:rPr>
        <w:t>agir</w:t>
      </w:r>
      <w:r w:rsidR="00C03600" w:rsidRPr="00693E45">
        <w:rPr>
          <w:lang w:val="fr-FR"/>
        </w:rPr>
        <w:t xml:space="preserve"> dans ce </w:t>
      </w:r>
      <w:r w:rsidR="00D42F6F" w:rsidRPr="00693E45">
        <w:rPr>
          <w:lang w:val="fr-FR"/>
        </w:rPr>
        <w:t>domaine</w:t>
      </w:r>
      <w:r w:rsidR="00C03600" w:rsidRPr="00693E45">
        <w:rPr>
          <w:lang w:val="fr-FR"/>
        </w:rPr>
        <w:t>,</w:t>
      </w:r>
      <w:r w:rsidR="00796616" w:rsidRPr="00693E45">
        <w:rPr>
          <w:lang w:val="fr-FR"/>
        </w:rPr>
        <w:t xml:space="preserve"> dans la mesure où le pourcentage des demandes selon</w:t>
      </w:r>
      <w:r w:rsidR="009B7882" w:rsidRPr="00693E45">
        <w:rPr>
          <w:lang w:val="fr-FR"/>
        </w:rPr>
        <w:t xml:space="preserve"> le PCT</w:t>
      </w:r>
      <w:r w:rsidR="00C03600" w:rsidRPr="00693E45">
        <w:rPr>
          <w:lang w:val="fr-FR"/>
        </w:rPr>
        <w:t xml:space="preserve"> </w:t>
      </w:r>
      <w:r w:rsidR="00796616" w:rsidRPr="00693E45">
        <w:rPr>
          <w:lang w:val="fr-FR"/>
        </w:rPr>
        <w:t>revendiquant la priorité d</w:t>
      </w:r>
      <w:r w:rsidR="009B7882" w:rsidRPr="00693E45">
        <w:rPr>
          <w:lang w:val="fr-FR"/>
        </w:rPr>
        <w:t>’</w:t>
      </w:r>
      <w:r w:rsidR="00796616" w:rsidRPr="00693E45">
        <w:rPr>
          <w:lang w:val="fr-FR"/>
        </w:rPr>
        <w:t>une demande internationale antérieure était de l</w:t>
      </w:r>
      <w:r w:rsidR="009B7882" w:rsidRPr="00693E45">
        <w:rPr>
          <w:lang w:val="fr-FR"/>
        </w:rPr>
        <w:t>’</w:t>
      </w:r>
      <w:r w:rsidR="00796616" w:rsidRPr="00693E45">
        <w:rPr>
          <w:lang w:val="fr-FR"/>
        </w:rPr>
        <w:t>ordre de 1,5%.</w:t>
      </w:r>
    </w:p>
    <w:p w14:paraId="04D019E3" w14:textId="78F3B5B8" w:rsidR="007F3D49" w:rsidRPr="00693E45" w:rsidRDefault="008D2008" w:rsidP="00CB4729">
      <w:pPr>
        <w:pStyle w:val="ONUMFS"/>
        <w:rPr>
          <w:lang w:val="fr-FR"/>
        </w:rPr>
      </w:pPr>
      <w:r w:rsidRPr="00693E45">
        <w:rPr>
          <w:lang w:val="fr-FR"/>
        </w:rPr>
        <w:t xml:space="preserve">Les administrations ont été unanimes pour dire que la troisième </w:t>
      </w:r>
      <w:r w:rsidR="00EF71E6" w:rsidRPr="00693E45">
        <w:rPr>
          <w:lang w:val="fr-FR"/>
        </w:rPr>
        <w:t xml:space="preserve">des </w:t>
      </w:r>
      <w:r w:rsidRPr="00693E45">
        <w:rPr>
          <w:lang w:val="fr-FR"/>
        </w:rPr>
        <w:t>option</w:t>
      </w:r>
      <w:r w:rsidR="00EF71E6" w:rsidRPr="00693E45">
        <w:rPr>
          <w:lang w:val="fr-FR"/>
        </w:rPr>
        <w:t>s</w:t>
      </w:r>
      <w:r w:rsidRPr="00693E45">
        <w:rPr>
          <w:lang w:val="fr-FR"/>
        </w:rPr>
        <w:t xml:space="preserve"> présentée</w:t>
      </w:r>
      <w:r w:rsidR="00EF71E6" w:rsidRPr="00693E45">
        <w:rPr>
          <w:lang w:val="fr-FR"/>
        </w:rPr>
        <w:t xml:space="preserve">s </w:t>
      </w:r>
      <w:r w:rsidRPr="00693E45">
        <w:rPr>
          <w:lang w:val="fr-FR"/>
        </w:rPr>
        <w:t>était celle qui semblait la plus prometteuse</w:t>
      </w:r>
      <w:r w:rsidR="00EF71E6" w:rsidRPr="00693E45">
        <w:rPr>
          <w:lang w:val="fr-FR"/>
        </w:rPr>
        <w:t xml:space="preserve"> si des travaux devaient être entrepr</w:t>
      </w:r>
      <w:r w:rsidR="003D2437" w:rsidRPr="00693E45">
        <w:rPr>
          <w:lang w:val="fr-FR"/>
        </w:rPr>
        <w:t>is.  L’u</w:t>
      </w:r>
      <w:r w:rsidR="004C54EE" w:rsidRPr="00693E45">
        <w:rPr>
          <w:lang w:val="fr-FR"/>
        </w:rPr>
        <w:t>ne des administrations a toutefois suggéré de prendre également en considération la deuxième option, en faisant remarquer que les offices récepteurs n</w:t>
      </w:r>
      <w:r w:rsidR="009B7882" w:rsidRPr="00693E45">
        <w:rPr>
          <w:lang w:val="fr-FR"/>
        </w:rPr>
        <w:t>’</w:t>
      </w:r>
      <w:r w:rsidR="004C54EE" w:rsidRPr="00693E45">
        <w:rPr>
          <w:lang w:val="fr-FR"/>
        </w:rPr>
        <w:t>étaient pas tous en mesure d</w:t>
      </w:r>
      <w:r w:rsidR="009B7882" w:rsidRPr="00693E45">
        <w:rPr>
          <w:lang w:val="fr-FR"/>
        </w:rPr>
        <w:t>’</w:t>
      </w:r>
      <w:r w:rsidR="004C54EE" w:rsidRPr="00693E45">
        <w:rPr>
          <w:lang w:val="fr-FR"/>
        </w:rPr>
        <w:t>accepter l</w:t>
      </w:r>
      <w:r w:rsidR="009B7882" w:rsidRPr="00693E45">
        <w:rPr>
          <w:lang w:val="fr-FR"/>
        </w:rPr>
        <w:t>’</w:t>
      </w:r>
      <w:r w:rsidR="004C54EE" w:rsidRPr="00693E45">
        <w:rPr>
          <w:lang w:val="fr-FR"/>
        </w:rPr>
        <w:t>utilisation</w:t>
      </w:r>
      <w:r w:rsidR="009B7882" w:rsidRPr="00693E45">
        <w:rPr>
          <w:lang w:val="fr-FR"/>
        </w:rPr>
        <w:t xml:space="preserve"> du DAS</w:t>
      </w:r>
      <w:r w:rsidR="004C54EE" w:rsidRPr="00693E45">
        <w:rPr>
          <w:lang w:val="fr-FR"/>
        </w:rPr>
        <w:t>.</w:t>
      </w:r>
    </w:p>
    <w:p w14:paraId="3E7DCEE4" w14:textId="3DC53EE3" w:rsidR="007F3D49" w:rsidRPr="00693E45" w:rsidRDefault="004C64B6" w:rsidP="00CB4729">
      <w:pPr>
        <w:pStyle w:val="ONUMFS"/>
        <w:rPr>
          <w:lang w:val="fr-FR"/>
        </w:rPr>
      </w:pPr>
      <w:r w:rsidRPr="00693E45">
        <w:rPr>
          <w:lang w:val="fr-FR"/>
        </w:rPr>
        <w:t>Plusieurs administrations ont également fait part de leur</w:t>
      </w:r>
      <w:r w:rsidR="00C608E2" w:rsidRPr="00693E45">
        <w:rPr>
          <w:lang w:val="fr-FR"/>
        </w:rPr>
        <w:t>s</w:t>
      </w:r>
      <w:r w:rsidRPr="00693E45">
        <w:rPr>
          <w:lang w:val="fr-FR"/>
        </w:rPr>
        <w:t xml:space="preserve"> préoccupation</w:t>
      </w:r>
      <w:r w:rsidR="00C608E2" w:rsidRPr="00693E45">
        <w:rPr>
          <w:lang w:val="fr-FR"/>
        </w:rPr>
        <w:t>s</w:t>
      </w:r>
      <w:r w:rsidRPr="00693E45">
        <w:rPr>
          <w:lang w:val="fr-FR"/>
        </w:rPr>
        <w:t xml:space="preserve"> quant au fait que l</w:t>
      </w:r>
      <w:r w:rsidR="003F137D" w:rsidRPr="00693E45">
        <w:rPr>
          <w:lang w:val="fr-FR"/>
        </w:rPr>
        <w:t>es</w:t>
      </w:r>
      <w:r w:rsidRPr="00693E45">
        <w:rPr>
          <w:lang w:val="fr-FR"/>
        </w:rPr>
        <w:t xml:space="preserve"> copies </w:t>
      </w:r>
      <w:r w:rsidR="003F137D" w:rsidRPr="00693E45">
        <w:rPr>
          <w:lang w:val="fr-FR"/>
        </w:rPr>
        <w:t xml:space="preserve">fournies </w:t>
      </w:r>
      <w:r w:rsidRPr="00693E45">
        <w:rPr>
          <w:lang w:val="fr-FR"/>
        </w:rPr>
        <w:t>de la manière décrite pouvai</w:t>
      </w:r>
      <w:r w:rsidR="003F137D" w:rsidRPr="00693E45">
        <w:rPr>
          <w:lang w:val="fr-FR"/>
        </w:rPr>
        <w:t>en</w:t>
      </w:r>
      <w:r w:rsidRPr="00693E45">
        <w:rPr>
          <w:lang w:val="fr-FR"/>
        </w:rPr>
        <w:t xml:space="preserve">t ne pas </w:t>
      </w:r>
      <w:r w:rsidR="006726E9" w:rsidRPr="00693E45">
        <w:rPr>
          <w:lang w:val="fr-FR"/>
        </w:rPr>
        <w:t xml:space="preserve">être </w:t>
      </w:r>
      <w:r w:rsidR="003F137D" w:rsidRPr="00693E45">
        <w:rPr>
          <w:lang w:val="fr-FR"/>
        </w:rPr>
        <w:t>conformes aux dispositions de l</w:t>
      </w:r>
      <w:r w:rsidR="009B7882" w:rsidRPr="00693E45">
        <w:rPr>
          <w:lang w:val="fr-FR"/>
        </w:rPr>
        <w:t>’article 4</w:t>
      </w:r>
      <w:r w:rsidR="003F137D" w:rsidRPr="00693E45">
        <w:rPr>
          <w:lang w:val="fr-FR"/>
        </w:rPr>
        <w:t>.D.3) de la Convention de Paris, et donc ne pas être reconnues comme des documents de priorité valables au regard des lois régissant certains offices désign</w:t>
      </w:r>
      <w:r w:rsidR="003D2437" w:rsidRPr="00693E45">
        <w:rPr>
          <w:lang w:val="fr-FR"/>
        </w:rPr>
        <w:t>és.  Ce</w:t>
      </w:r>
      <w:r w:rsidR="00C608E2" w:rsidRPr="00693E45">
        <w:rPr>
          <w:lang w:val="fr-FR"/>
        </w:rPr>
        <w:t xml:space="preserve">s préoccupations portaient en particulier sur la question de savoir si les modalités proposées pouvaient </w:t>
      </w:r>
      <w:r w:rsidR="00042BC8" w:rsidRPr="00693E45">
        <w:rPr>
          <w:lang w:val="fr-FR"/>
        </w:rPr>
        <w:t>constituer une</w:t>
      </w:r>
      <w:r w:rsidR="00C608E2" w:rsidRPr="00693E45">
        <w:rPr>
          <w:lang w:val="fr-FR"/>
        </w:rPr>
        <w:t xml:space="preserve"> certification</w:t>
      </w:r>
      <w:r w:rsidR="002738DF" w:rsidRPr="00693E45">
        <w:rPr>
          <w:lang w:val="fr-FR"/>
        </w:rPr>
        <w:t>,</w:t>
      </w:r>
      <w:r w:rsidR="00C608E2" w:rsidRPr="00693E45">
        <w:rPr>
          <w:lang w:val="fr-FR"/>
        </w:rPr>
        <w:t xml:space="preserve"> par l</w:t>
      </w:r>
      <w:r w:rsidR="009B7882" w:rsidRPr="00693E45">
        <w:rPr>
          <w:lang w:val="fr-FR"/>
        </w:rPr>
        <w:t>’</w:t>
      </w:r>
      <w:r w:rsidR="00C608E2" w:rsidRPr="00693E45">
        <w:rPr>
          <w:lang w:val="fr-FR"/>
        </w:rPr>
        <w:t>office récepteur devant lequel avait été déposé</w:t>
      </w:r>
      <w:r w:rsidR="00C6045B" w:rsidRPr="00693E45">
        <w:rPr>
          <w:lang w:val="fr-FR"/>
        </w:rPr>
        <w:t>e</w:t>
      </w:r>
      <w:r w:rsidR="00C608E2" w:rsidRPr="00693E45">
        <w:rPr>
          <w:lang w:val="fr-FR"/>
        </w:rPr>
        <w:t xml:space="preserve"> la demande internationale antérieure</w:t>
      </w:r>
      <w:r w:rsidR="002738DF" w:rsidRPr="00693E45">
        <w:rPr>
          <w:lang w:val="fr-FR"/>
        </w:rPr>
        <w:t>,</w:t>
      </w:r>
      <w:r w:rsidR="00C608E2" w:rsidRPr="00693E45">
        <w:rPr>
          <w:lang w:val="fr-FR"/>
        </w:rPr>
        <w:t xml:space="preserve"> de la conformité de cette demande à l</w:t>
      </w:r>
      <w:r w:rsidR="009B7882" w:rsidRPr="00693E45">
        <w:rPr>
          <w:lang w:val="fr-FR"/>
        </w:rPr>
        <w:t>’</w:t>
      </w:r>
      <w:r w:rsidR="00C608E2" w:rsidRPr="00693E45">
        <w:rPr>
          <w:lang w:val="fr-FR"/>
        </w:rPr>
        <w:t>exemplaire original de la demande internationale antérieu</w:t>
      </w:r>
      <w:r w:rsidR="003D2437" w:rsidRPr="00693E45">
        <w:rPr>
          <w:lang w:val="fr-FR"/>
        </w:rPr>
        <w:t>re.  Ce</w:t>
      </w:r>
      <w:r w:rsidR="00D4013E" w:rsidRPr="00693E45">
        <w:rPr>
          <w:lang w:val="fr-FR"/>
        </w:rPr>
        <w:t xml:space="preserve">rtaines des options ne permettraient pas à une personne à laquelle </w:t>
      </w:r>
      <w:r w:rsidR="00A83657" w:rsidRPr="00693E45">
        <w:rPr>
          <w:lang w:val="fr-FR"/>
        </w:rPr>
        <w:t>était</w:t>
      </w:r>
      <w:r w:rsidR="00D4013E" w:rsidRPr="00693E45">
        <w:rPr>
          <w:lang w:val="fr-FR"/>
        </w:rPr>
        <w:t xml:space="preserve"> demandée une certification de vérifier que les documents lui </w:t>
      </w:r>
      <w:r w:rsidR="00A83657" w:rsidRPr="00693E45">
        <w:rPr>
          <w:lang w:val="fr-FR"/>
        </w:rPr>
        <w:t>aya</w:t>
      </w:r>
      <w:r w:rsidR="00D4013E" w:rsidRPr="00693E45">
        <w:rPr>
          <w:lang w:val="fr-FR"/>
        </w:rPr>
        <w:t>nt été communiqués comme étant l</w:t>
      </w:r>
      <w:r w:rsidR="009B7882" w:rsidRPr="00693E45">
        <w:rPr>
          <w:lang w:val="fr-FR"/>
        </w:rPr>
        <w:t>’</w:t>
      </w:r>
      <w:r w:rsidR="00D4013E" w:rsidRPr="00693E45">
        <w:rPr>
          <w:lang w:val="fr-FR"/>
        </w:rPr>
        <w:t xml:space="preserve">exemplaire original </w:t>
      </w:r>
      <w:r w:rsidR="00A83657" w:rsidRPr="00693E45">
        <w:rPr>
          <w:lang w:val="fr-FR"/>
        </w:rPr>
        <w:t>étaie</w:t>
      </w:r>
      <w:r w:rsidR="00D4013E" w:rsidRPr="00693E45">
        <w:rPr>
          <w:lang w:val="fr-FR"/>
        </w:rPr>
        <w:t>nt effectivement une copie confor</w:t>
      </w:r>
      <w:r w:rsidR="003D2437" w:rsidRPr="00693E45">
        <w:rPr>
          <w:lang w:val="fr-FR"/>
        </w:rPr>
        <w:t>me.  Da</w:t>
      </w:r>
      <w:r w:rsidR="00D4013E" w:rsidRPr="00693E45">
        <w:rPr>
          <w:lang w:val="fr-FR"/>
        </w:rPr>
        <w:t>ns le cas de la première option, par exemple, un fonctionnaire de l</w:t>
      </w:r>
      <w:r w:rsidR="009B7882" w:rsidRPr="00693E45">
        <w:rPr>
          <w:lang w:val="fr-FR"/>
        </w:rPr>
        <w:t>’</w:t>
      </w:r>
      <w:r w:rsidR="00D4013E" w:rsidRPr="00693E45">
        <w:rPr>
          <w:lang w:val="fr-FR"/>
        </w:rPr>
        <w:t xml:space="preserve">office récepteur pourrait ne pas être en mesure de voir </w:t>
      </w:r>
      <w:r w:rsidR="00A83657" w:rsidRPr="00693E45">
        <w:rPr>
          <w:lang w:val="fr-FR"/>
        </w:rPr>
        <w:t>les documents</w:t>
      </w:r>
      <w:r w:rsidR="00D4013E" w:rsidRPr="00693E45">
        <w:rPr>
          <w:lang w:val="fr-FR"/>
        </w:rPr>
        <w:t xml:space="preserve"> envoyé</w:t>
      </w:r>
      <w:r w:rsidR="00A83657" w:rsidRPr="00693E45">
        <w:rPr>
          <w:lang w:val="fr-FR"/>
        </w:rPr>
        <w:t>s</w:t>
      </w:r>
      <w:r w:rsidR="00D4013E" w:rsidRPr="00693E45">
        <w:rPr>
          <w:lang w:val="fr-FR"/>
        </w:rPr>
        <w:t xml:space="preserve"> comme étant l</w:t>
      </w:r>
      <w:r w:rsidR="009B7882" w:rsidRPr="00693E45">
        <w:rPr>
          <w:lang w:val="fr-FR"/>
        </w:rPr>
        <w:t>’</w:t>
      </w:r>
      <w:r w:rsidR="00D4013E" w:rsidRPr="00693E45">
        <w:rPr>
          <w:lang w:val="fr-FR"/>
        </w:rPr>
        <w:t xml:space="preserve">exemplaire original </w:t>
      </w:r>
      <w:r w:rsidR="00A83657" w:rsidRPr="00693E45">
        <w:rPr>
          <w:lang w:val="fr-FR"/>
        </w:rPr>
        <w:t>pour les comparer</w:t>
      </w:r>
      <w:r w:rsidR="00A907E2" w:rsidRPr="00693E45">
        <w:rPr>
          <w:lang w:val="fr-FR"/>
        </w:rPr>
        <w:t xml:space="preserve"> avec la copie pour l</w:t>
      </w:r>
      <w:r w:rsidR="009B7882" w:rsidRPr="00693E45">
        <w:rPr>
          <w:lang w:val="fr-FR"/>
        </w:rPr>
        <w:t>’</w:t>
      </w:r>
      <w:r w:rsidR="00A907E2" w:rsidRPr="00693E45">
        <w:rPr>
          <w:lang w:val="fr-FR"/>
        </w:rPr>
        <w:t xml:space="preserve">office récepteur, et </w:t>
      </w:r>
      <w:r w:rsidR="00A83657" w:rsidRPr="00693E45">
        <w:rPr>
          <w:lang w:val="fr-FR"/>
        </w:rPr>
        <w:t>pourrait donc seulement</w:t>
      </w:r>
      <w:r w:rsidR="00A907E2" w:rsidRPr="00693E45">
        <w:rPr>
          <w:lang w:val="fr-FR"/>
        </w:rPr>
        <w:t xml:space="preserve"> se fonder sur des </w:t>
      </w:r>
      <w:r w:rsidR="00A83657" w:rsidRPr="00693E45">
        <w:rPr>
          <w:lang w:val="fr-FR"/>
        </w:rPr>
        <w:t>hypothèses</w:t>
      </w:r>
      <w:r w:rsidR="00A907E2" w:rsidRPr="00693E45">
        <w:rPr>
          <w:lang w:val="fr-FR"/>
        </w:rPr>
        <w:t xml:space="preserve"> </w:t>
      </w:r>
      <w:r w:rsidR="00A83657" w:rsidRPr="00693E45">
        <w:rPr>
          <w:lang w:val="fr-FR"/>
        </w:rPr>
        <w:t xml:space="preserve">au sujet des documents </w:t>
      </w:r>
      <w:r w:rsidR="00A907E2" w:rsidRPr="00693E45">
        <w:rPr>
          <w:lang w:val="fr-FR"/>
        </w:rPr>
        <w:t>envoy</w:t>
      </w:r>
      <w:r w:rsidR="003D2437" w:rsidRPr="00693E45">
        <w:rPr>
          <w:lang w:val="fr-FR"/>
        </w:rPr>
        <w:t>és.  De</w:t>
      </w:r>
      <w:r w:rsidR="000C03B7" w:rsidRPr="00693E45">
        <w:rPr>
          <w:lang w:val="fr-FR"/>
        </w:rPr>
        <w:t>s questions p</w:t>
      </w:r>
      <w:r w:rsidR="00A83657" w:rsidRPr="00693E45">
        <w:rPr>
          <w:lang w:val="fr-FR"/>
        </w:rPr>
        <w:t>ouvaie</w:t>
      </w:r>
      <w:r w:rsidR="000C03B7" w:rsidRPr="00693E45">
        <w:rPr>
          <w:lang w:val="fr-FR"/>
        </w:rPr>
        <w:t>nt également se poser concern</w:t>
      </w:r>
      <w:r w:rsidR="00A83657" w:rsidRPr="00693E45">
        <w:rPr>
          <w:lang w:val="fr-FR"/>
        </w:rPr>
        <w:t>ant</w:t>
      </w:r>
      <w:r w:rsidR="000C03B7" w:rsidRPr="00693E45">
        <w:rPr>
          <w:lang w:val="fr-FR"/>
        </w:rPr>
        <w:t xml:space="preserve"> la situation des feuilles déposées postérieurement, telles que les corrections et rectificatio</w:t>
      </w:r>
      <w:r w:rsidR="003D2437" w:rsidRPr="00693E45">
        <w:rPr>
          <w:lang w:val="fr-FR"/>
        </w:rPr>
        <w:t>ns.  De</w:t>
      </w:r>
      <w:r w:rsidR="00067C3D" w:rsidRPr="00693E45">
        <w:rPr>
          <w:lang w:val="fr-FR"/>
        </w:rPr>
        <w:t xml:space="preserve"> plus, </w:t>
      </w:r>
      <w:r w:rsidR="000026FD" w:rsidRPr="00693E45">
        <w:rPr>
          <w:lang w:val="fr-FR"/>
        </w:rPr>
        <w:t xml:space="preserve">il existe </w:t>
      </w:r>
      <w:r w:rsidR="009E7B8F" w:rsidRPr="00693E45">
        <w:rPr>
          <w:lang w:val="fr-FR"/>
        </w:rPr>
        <w:t>certaines attentes</w:t>
      </w:r>
      <w:r w:rsidR="000026FD" w:rsidRPr="00693E45">
        <w:rPr>
          <w:lang w:val="fr-FR"/>
        </w:rPr>
        <w:t xml:space="preserve"> concernant une certification individuelle des documents compris dans une copie certifiée, par opposition à la certification collective que semble indiquer la règle.</w:t>
      </w:r>
    </w:p>
    <w:p w14:paraId="656D4415" w14:textId="14903CBF" w:rsidR="009B7882" w:rsidRPr="00693E45" w:rsidRDefault="0075038B" w:rsidP="00CB4729">
      <w:pPr>
        <w:pStyle w:val="ONUMFS"/>
        <w:rPr>
          <w:lang w:val="fr-FR"/>
        </w:rPr>
      </w:pPr>
      <w:r w:rsidRPr="00693E45">
        <w:rPr>
          <w:lang w:val="fr-FR"/>
        </w:rPr>
        <w:t>Le Bureau international a reconnu qu</w:t>
      </w:r>
      <w:r w:rsidR="009B7882" w:rsidRPr="00693E45">
        <w:rPr>
          <w:lang w:val="fr-FR"/>
        </w:rPr>
        <w:t>’</w:t>
      </w:r>
      <w:r w:rsidR="00375C2F" w:rsidRPr="00693E45">
        <w:rPr>
          <w:lang w:val="fr-FR"/>
        </w:rPr>
        <w:t xml:space="preserve">une indication claire </w:t>
      </w:r>
      <w:r w:rsidR="002738DF" w:rsidRPr="00693E45">
        <w:rPr>
          <w:lang w:val="fr-FR"/>
        </w:rPr>
        <w:t>des</w:t>
      </w:r>
      <w:r w:rsidR="00375C2F" w:rsidRPr="00693E45">
        <w:rPr>
          <w:lang w:val="fr-FR"/>
        </w:rPr>
        <w:t xml:space="preserve"> feuilles comprises dans une copie certifiée serait essentielle</w:t>
      </w:r>
      <w:r w:rsidR="002738DF" w:rsidRPr="00693E45">
        <w:rPr>
          <w:lang w:val="fr-FR"/>
        </w:rPr>
        <w:t>,</w:t>
      </w:r>
      <w:r w:rsidRPr="00693E45">
        <w:rPr>
          <w:lang w:val="fr-FR"/>
        </w:rPr>
        <w:t xml:space="preserve"> quelle que soit l</w:t>
      </w:r>
      <w:r w:rsidR="009B7882" w:rsidRPr="00693E45">
        <w:rPr>
          <w:lang w:val="fr-FR"/>
        </w:rPr>
        <w:t>’</w:t>
      </w:r>
      <w:r w:rsidRPr="00693E45">
        <w:rPr>
          <w:lang w:val="fr-FR"/>
        </w:rPr>
        <w:t>option reten</w:t>
      </w:r>
      <w:r w:rsidR="003D2437" w:rsidRPr="00693E45">
        <w:rPr>
          <w:lang w:val="fr-FR"/>
        </w:rPr>
        <w:t>ue.  En</w:t>
      </w:r>
      <w:r w:rsidR="00BF3AF7" w:rsidRPr="00693E45">
        <w:rPr>
          <w:lang w:val="fr-FR"/>
        </w:rPr>
        <w:t xml:space="preserve"> outre</w:t>
      </w:r>
      <w:r w:rsidR="00375C2F" w:rsidRPr="00693E45">
        <w:rPr>
          <w:lang w:val="fr-FR"/>
        </w:rPr>
        <w:t xml:space="preserve">, les règles adoptées et les procédures associées </w:t>
      </w:r>
      <w:r w:rsidR="002738DF" w:rsidRPr="00693E45">
        <w:rPr>
          <w:lang w:val="fr-FR"/>
        </w:rPr>
        <w:t xml:space="preserve">à ces dernières </w:t>
      </w:r>
      <w:r w:rsidR="00375C2F" w:rsidRPr="00693E45">
        <w:rPr>
          <w:lang w:val="fr-FR"/>
        </w:rPr>
        <w:t xml:space="preserve">devraient permettre de créer et de distribuer des documents </w:t>
      </w:r>
      <w:r w:rsidR="00B358A0" w:rsidRPr="00693E45">
        <w:rPr>
          <w:lang w:val="fr-FR"/>
        </w:rPr>
        <w:t>remplissant de manière certaine leur office en tant que documents de priori</w:t>
      </w:r>
      <w:r w:rsidR="003D2437" w:rsidRPr="00693E45">
        <w:rPr>
          <w:lang w:val="fr-FR"/>
        </w:rPr>
        <w:t>té.  Ce</w:t>
      </w:r>
      <w:r w:rsidR="00BF3AF7" w:rsidRPr="00693E45">
        <w:rPr>
          <w:lang w:val="fr-FR"/>
        </w:rPr>
        <w:t xml:space="preserve">la étant, </w:t>
      </w:r>
      <w:r w:rsidR="00CE071B" w:rsidRPr="00693E45">
        <w:rPr>
          <w:lang w:val="fr-FR"/>
        </w:rPr>
        <w:t>le système</w:t>
      </w:r>
      <w:r w:rsidR="009B7882" w:rsidRPr="00693E45">
        <w:rPr>
          <w:lang w:val="fr-FR"/>
        </w:rPr>
        <w:t xml:space="preserve"> du PCT</w:t>
      </w:r>
      <w:r w:rsidR="00CE071B" w:rsidRPr="00693E45">
        <w:rPr>
          <w:lang w:val="fr-FR"/>
        </w:rPr>
        <w:t xml:space="preserve"> prévoit que les offices désignés</w:t>
      </w:r>
      <w:r w:rsidR="002E4C9D" w:rsidRPr="00693E45">
        <w:rPr>
          <w:lang w:val="fr-FR"/>
        </w:rPr>
        <w:t xml:space="preserve"> </w:t>
      </w:r>
      <w:r w:rsidR="00CE071B" w:rsidRPr="00693E45">
        <w:rPr>
          <w:lang w:val="fr-FR"/>
        </w:rPr>
        <w:t>doivent confirmer que l</w:t>
      </w:r>
      <w:r w:rsidR="006E469D" w:rsidRPr="00693E45">
        <w:rPr>
          <w:lang w:val="fr-FR"/>
        </w:rPr>
        <w:t xml:space="preserve">es </w:t>
      </w:r>
      <w:r w:rsidR="00CE071B" w:rsidRPr="00693E45">
        <w:rPr>
          <w:lang w:val="fr-FR"/>
        </w:rPr>
        <w:t>exemplaire</w:t>
      </w:r>
      <w:r w:rsidR="006E469D" w:rsidRPr="00693E45">
        <w:rPr>
          <w:lang w:val="fr-FR"/>
        </w:rPr>
        <w:t>s</w:t>
      </w:r>
      <w:r w:rsidR="00CE071B" w:rsidRPr="00693E45">
        <w:rPr>
          <w:lang w:val="fr-FR"/>
        </w:rPr>
        <w:t xml:space="preserve"> origina</w:t>
      </w:r>
      <w:r w:rsidR="006E469D" w:rsidRPr="00693E45">
        <w:rPr>
          <w:lang w:val="fr-FR"/>
        </w:rPr>
        <w:t>ux des demandes internationales constituent bien les exemplaires authentiques des copies conservées par l</w:t>
      </w:r>
      <w:r w:rsidR="009B7882" w:rsidRPr="00693E45">
        <w:rPr>
          <w:lang w:val="fr-FR"/>
        </w:rPr>
        <w:t>’</w:t>
      </w:r>
      <w:r w:rsidR="006E469D" w:rsidRPr="00693E45">
        <w:rPr>
          <w:lang w:val="fr-FR"/>
        </w:rPr>
        <w:t>office récepte</w:t>
      </w:r>
      <w:r w:rsidR="003D2437" w:rsidRPr="00693E45">
        <w:rPr>
          <w:lang w:val="fr-FR"/>
        </w:rPr>
        <w:t>ur.  Ce</w:t>
      </w:r>
      <w:r w:rsidR="006E469D" w:rsidRPr="00693E45">
        <w:rPr>
          <w:lang w:val="fr-FR"/>
        </w:rPr>
        <w:t xml:space="preserve">s exemplaires originaux équivalent à des demandes de brevet nationales dans tous les États membres, </w:t>
      </w:r>
      <w:r w:rsidR="00706986" w:rsidRPr="00693E45">
        <w:rPr>
          <w:lang w:val="fr-FR"/>
        </w:rPr>
        <w:t>et sont utilisés directement par les offices désign</w:t>
      </w:r>
      <w:r w:rsidR="003D2437" w:rsidRPr="00693E45">
        <w:rPr>
          <w:lang w:val="fr-FR"/>
        </w:rPr>
        <w:t>és.  S’a</w:t>
      </w:r>
      <w:r w:rsidR="00D54529" w:rsidRPr="00693E45">
        <w:rPr>
          <w:lang w:val="fr-FR"/>
        </w:rPr>
        <w:t xml:space="preserve">gissant des formalités de </w:t>
      </w:r>
      <w:r w:rsidR="007F3D49" w:rsidRPr="00693E45">
        <w:rPr>
          <w:lang w:val="fr-FR"/>
        </w:rPr>
        <w:t xml:space="preserve">certification, </w:t>
      </w:r>
      <w:r w:rsidR="00D54529" w:rsidRPr="00693E45">
        <w:rPr>
          <w:lang w:val="fr-FR"/>
        </w:rPr>
        <w:t>le Bureau i</w:t>
      </w:r>
      <w:r w:rsidR="007F3D49" w:rsidRPr="00693E45">
        <w:rPr>
          <w:lang w:val="fr-FR"/>
        </w:rPr>
        <w:t>nternational</w:t>
      </w:r>
      <w:r w:rsidR="00D54529" w:rsidRPr="00693E45">
        <w:rPr>
          <w:lang w:val="fr-FR"/>
        </w:rPr>
        <w:t xml:space="preserve"> a rappelé l</w:t>
      </w:r>
      <w:r w:rsidR="009B7882" w:rsidRPr="00693E45">
        <w:rPr>
          <w:lang w:val="fr-FR"/>
        </w:rPr>
        <w:t>’</w:t>
      </w:r>
      <w:r w:rsidR="00D54529" w:rsidRPr="00693E45">
        <w:rPr>
          <w:lang w:val="fr-FR"/>
        </w:rPr>
        <w:t xml:space="preserve">accord de principe sur la présentation des documents de priorité adopté </w:t>
      </w:r>
      <w:r w:rsidR="009B7882" w:rsidRPr="00693E45">
        <w:rPr>
          <w:lang w:val="fr-FR"/>
        </w:rPr>
        <w:t>en 2004</w:t>
      </w:r>
      <w:r w:rsidR="00D54529" w:rsidRPr="00693E45">
        <w:rPr>
          <w:lang w:val="fr-FR"/>
        </w:rPr>
        <w:t xml:space="preserve"> par l</w:t>
      </w:r>
      <w:r w:rsidR="009B7882" w:rsidRPr="00693E45">
        <w:rPr>
          <w:lang w:val="fr-FR"/>
        </w:rPr>
        <w:t>’</w:t>
      </w:r>
      <w:r w:rsidR="00D54529" w:rsidRPr="00693E45">
        <w:rPr>
          <w:lang w:val="fr-FR"/>
        </w:rPr>
        <w:t>Assemblée de l</w:t>
      </w:r>
      <w:r w:rsidR="009B7882" w:rsidRPr="00693E45">
        <w:rPr>
          <w:lang w:val="fr-FR"/>
        </w:rPr>
        <w:t>’</w:t>
      </w:r>
      <w:r w:rsidR="00D54529" w:rsidRPr="00693E45">
        <w:rPr>
          <w:lang w:val="fr-FR"/>
        </w:rPr>
        <w:t>Union de Paris et l</w:t>
      </w:r>
      <w:r w:rsidR="009B7882" w:rsidRPr="00693E45">
        <w:rPr>
          <w:lang w:val="fr-FR"/>
        </w:rPr>
        <w:t>’</w:t>
      </w:r>
      <w:r w:rsidR="00D54529" w:rsidRPr="00693E45">
        <w:rPr>
          <w:lang w:val="fr-FR"/>
        </w:rPr>
        <w:t>Assemblée de l</w:t>
      </w:r>
      <w:r w:rsidR="009B7882" w:rsidRPr="00693E45">
        <w:rPr>
          <w:lang w:val="fr-FR"/>
        </w:rPr>
        <w:t>’</w:t>
      </w:r>
      <w:r w:rsidR="00D54529" w:rsidRPr="00693E45">
        <w:rPr>
          <w:lang w:val="fr-FR"/>
        </w:rPr>
        <w:t>Union</w:t>
      </w:r>
      <w:r w:rsidR="009B7882" w:rsidRPr="00693E45">
        <w:rPr>
          <w:lang w:val="fr-FR"/>
        </w:rPr>
        <w:t xml:space="preserve"> du PCT</w:t>
      </w:r>
      <w:r w:rsidR="00D54529" w:rsidRPr="00693E45">
        <w:rPr>
          <w:lang w:val="fr-FR"/>
        </w:rPr>
        <w:t xml:space="preserve"> et énoncé au </w:t>
      </w:r>
      <w:r w:rsidR="009B7882" w:rsidRPr="00693E45">
        <w:rPr>
          <w:lang w:val="fr-FR"/>
        </w:rPr>
        <w:t>paragraphe 9</w:t>
      </w:r>
      <w:r w:rsidR="00D54529" w:rsidRPr="00693E45">
        <w:rPr>
          <w:lang w:val="fr-FR"/>
        </w:rPr>
        <w:t xml:space="preserve"> du </w:t>
      </w:r>
      <w:r w:rsidR="007F3D49" w:rsidRPr="00693E45">
        <w:rPr>
          <w:lang w:val="fr-FR"/>
        </w:rPr>
        <w:t>document A/40/6.</w:t>
      </w:r>
      <w:r w:rsidR="00D54529" w:rsidRPr="00693E45">
        <w:rPr>
          <w:lang w:val="fr-FR"/>
        </w:rPr>
        <w:t xml:space="preserve">  L</w:t>
      </w:r>
      <w:r w:rsidR="009B7882" w:rsidRPr="00693E45">
        <w:rPr>
          <w:lang w:val="fr-FR"/>
        </w:rPr>
        <w:t>’</w:t>
      </w:r>
      <w:r w:rsidR="00D54529" w:rsidRPr="00693E45">
        <w:rPr>
          <w:lang w:val="fr-FR"/>
        </w:rPr>
        <w:t>adoption de cet accord de principe avait pour but de renforcer la sécurité</w:t>
      </w:r>
      <w:r w:rsidR="005A6FA4" w:rsidRPr="00693E45">
        <w:rPr>
          <w:lang w:val="fr-FR"/>
        </w:rPr>
        <w:t>, compte tenu de l</w:t>
      </w:r>
      <w:r w:rsidR="009B7882" w:rsidRPr="00693E45">
        <w:rPr>
          <w:lang w:val="fr-FR"/>
        </w:rPr>
        <w:t>’</w:t>
      </w:r>
      <w:r w:rsidR="005A6FA4" w:rsidRPr="00693E45">
        <w:rPr>
          <w:lang w:val="fr-FR"/>
        </w:rPr>
        <w:t>utilisation de moyens électroniques, pour la présentation, le stockage et la diffusion des documents de priori</w:t>
      </w:r>
      <w:r w:rsidR="003D2437" w:rsidRPr="00693E45">
        <w:rPr>
          <w:lang w:val="fr-FR"/>
        </w:rPr>
        <w:t>té.  Se</w:t>
      </w:r>
      <w:r w:rsidR="005A6FA4" w:rsidRPr="00693E45">
        <w:rPr>
          <w:lang w:val="fr-FR"/>
        </w:rPr>
        <w:t>lon l</w:t>
      </w:r>
      <w:r w:rsidR="009B7882" w:rsidRPr="00693E45">
        <w:rPr>
          <w:lang w:val="fr-FR"/>
        </w:rPr>
        <w:t>’alinéa i)</w:t>
      </w:r>
      <w:r w:rsidR="007F3D49" w:rsidRPr="00693E45">
        <w:rPr>
          <w:lang w:val="fr-FR"/>
        </w:rPr>
        <w:t xml:space="preserve"> </w:t>
      </w:r>
      <w:r w:rsidR="005A6FA4" w:rsidRPr="00693E45">
        <w:rPr>
          <w:lang w:val="fr-FR"/>
        </w:rPr>
        <w:t>de cet accord de principe,</w:t>
      </w:r>
      <w:r w:rsidR="007F3D49" w:rsidRPr="00693E45">
        <w:rPr>
          <w:lang w:val="fr-FR"/>
        </w:rPr>
        <w:t xml:space="preserve"> </w:t>
      </w:r>
      <w:r w:rsidR="007F3D49" w:rsidRPr="00693E45">
        <w:rPr>
          <w:lang w:val="fr-FR"/>
        </w:rPr>
        <w:lastRenderedPageBreak/>
        <w:t>“</w:t>
      </w:r>
      <w:r w:rsidR="005A6FA4" w:rsidRPr="00693E45">
        <w:rPr>
          <w:lang w:val="fr-FR"/>
        </w:rPr>
        <w:t>il appartient à l</w:t>
      </w:r>
      <w:r w:rsidR="009B7882" w:rsidRPr="00693E45">
        <w:rPr>
          <w:lang w:val="fr-FR"/>
        </w:rPr>
        <w:t>’</w:t>
      </w:r>
      <w:r w:rsidR="005A6FA4" w:rsidRPr="00693E45">
        <w:rPr>
          <w:lang w:val="fr-FR"/>
        </w:rPr>
        <w:t>administration compétente qui fournit le document de priorité de déterminer ce qui constitue une certification d</w:t>
      </w:r>
      <w:r w:rsidR="009B7882" w:rsidRPr="00693E45">
        <w:rPr>
          <w:lang w:val="fr-FR"/>
        </w:rPr>
        <w:t>’</w:t>
      </w:r>
      <w:r w:rsidR="005A6FA4" w:rsidRPr="00693E45">
        <w:rPr>
          <w:lang w:val="fr-FR"/>
        </w:rPr>
        <w:t>un document de priorité et de la date de dépôt et comment elle procède à la certification de ce document</w:t>
      </w:r>
      <w:r w:rsidR="007F3D49" w:rsidRPr="00693E45">
        <w:rPr>
          <w:lang w:val="fr-FR"/>
        </w:rPr>
        <w:t>”</w:t>
      </w:r>
      <w:r w:rsidR="005A6FA4" w:rsidRPr="00693E45">
        <w:rPr>
          <w:lang w:val="fr-FR"/>
        </w:rPr>
        <w:t>.</w:t>
      </w:r>
      <w:r w:rsidR="007F3D49" w:rsidRPr="00693E45">
        <w:rPr>
          <w:lang w:val="fr-FR"/>
        </w:rPr>
        <w:t xml:space="preserve"> </w:t>
      </w:r>
      <w:r w:rsidR="00410737" w:rsidRPr="00693E45">
        <w:rPr>
          <w:lang w:val="fr-FR"/>
        </w:rPr>
        <w:t xml:space="preserve"> L</w:t>
      </w:r>
      <w:r w:rsidR="009B7882" w:rsidRPr="00693E45">
        <w:rPr>
          <w:lang w:val="fr-FR"/>
        </w:rPr>
        <w:t>’alinéa iii)</w:t>
      </w:r>
      <w:r w:rsidR="00410737" w:rsidRPr="00693E45">
        <w:rPr>
          <w:lang w:val="fr-FR"/>
        </w:rPr>
        <w:t xml:space="preserve"> de l</w:t>
      </w:r>
      <w:r w:rsidR="009B7882" w:rsidRPr="00693E45">
        <w:rPr>
          <w:lang w:val="fr-FR"/>
        </w:rPr>
        <w:t>’</w:t>
      </w:r>
      <w:r w:rsidR="00410737" w:rsidRPr="00693E45">
        <w:rPr>
          <w:lang w:val="fr-FR"/>
        </w:rPr>
        <w:t>accord de principe contient une liste non exhaustive d</w:t>
      </w:r>
      <w:r w:rsidR="009B7882" w:rsidRPr="00693E45">
        <w:rPr>
          <w:lang w:val="fr-FR"/>
        </w:rPr>
        <w:t>’</w:t>
      </w:r>
      <w:r w:rsidR="00410737" w:rsidRPr="00693E45">
        <w:rPr>
          <w:lang w:val="fr-FR"/>
        </w:rPr>
        <w:t>exemples de formes de certification de documents de priorité qu</w:t>
      </w:r>
      <w:r w:rsidR="009B7882" w:rsidRPr="00693E45">
        <w:rPr>
          <w:lang w:val="fr-FR"/>
        </w:rPr>
        <w:t>’</w:t>
      </w:r>
      <w:r w:rsidR="00410737" w:rsidRPr="00693E45">
        <w:rPr>
          <w:lang w:val="fr-FR"/>
        </w:rPr>
        <w:t>il est convenu de considérer comme acceptables, notamment</w:t>
      </w:r>
      <w:r w:rsidR="001A43F0" w:rsidRPr="00693E45">
        <w:rPr>
          <w:lang w:val="fr-FR"/>
        </w:rPr>
        <w:t xml:space="preserve"> la </w:t>
      </w:r>
      <w:r w:rsidR="007F3D49" w:rsidRPr="00693E45">
        <w:rPr>
          <w:lang w:val="fr-FR"/>
        </w:rPr>
        <w:t>“</w:t>
      </w:r>
      <w:r w:rsidR="001A43F0" w:rsidRPr="00693E45">
        <w:rPr>
          <w:lang w:val="fr-FR"/>
        </w:rPr>
        <w:t>certification collective de documents de priorité multiples transmis par un office à un autre ou au Bureau international</w:t>
      </w:r>
      <w:r w:rsidR="007F3D49" w:rsidRPr="00693E45">
        <w:rPr>
          <w:lang w:val="fr-FR"/>
        </w:rPr>
        <w:t>”</w:t>
      </w:r>
      <w:r w:rsidR="001A43F0" w:rsidRPr="00693E45">
        <w:rPr>
          <w:lang w:val="fr-FR"/>
        </w:rPr>
        <w:t>.</w:t>
      </w:r>
      <w:r w:rsidR="00A32DAB" w:rsidRPr="00693E45">
        <w:rPr>
          <w:lang w:val="fr-FR"/>
        </w:rPr>
        <w:t xml:space="preserve"> </w:t>
      </w:r>
      <w:r w:rsidR="00C94877" w:rsidRPr="00693E45">
        <w:rPr>
          <w:lang w:val="fr-FR"/>
        </w:rPr>
        <w:t xml:space="preserve"> </w:t>
      </w:r>
      <w:r w:rsidR="00481DEE" w:rsidRPr="00693E45">
        <w:rPr>
          <w:lang w:val="fr-FR"/>
        </w:rPr>
        <w:t xml:space="preserve">La question aurait </w:t>
      </w:r>
      <w:r w:rsidR="00C119A9" w:rsidRPr="00693E45">
        <w:rPr>
          <w:lang w:val="fr-FR"/>
        </w:rPr>
        <w:t xml:space="preserve">certes </w:t>
      </w:r>
      <w:r w:rsidR="00481DEE" w:rsidRPr="00693E45">
        <w:rPr>
          <w:lang w:val="fr-FR"/>
        </w:rPr>
        <w:t>besoin d</w:t>
      </w:r>
      <w:r w:rsidR="009B7882" w:rsidRPr="00693E45">
        <w:rPr>
          <w:lang w:val="fr-FR"/>
        </w:rPr>
        <w:t>’</w:t>
      </w:r>
      <w:r w:rsidR="00481DEE" w:rsidRPr="00693E45">
        <w:rPr>
          <w:lang w:val="fr-FR"/>
        </w:rPr>
        <w:t xml:space="preserve">être </w:t>
      </w:r>
      <w:r w:rsidR="00C119A9" w:rsidRPr="00693E45">
        <w:rPr>
          <w:lang w:val="fr-FR"/>
        </w:rPr>
        <w:t>étudié</w:t>
      </w:r>
      <w:r w:rsidR="00481DEE" w:rsidRPr="00693E45">
        <w:rPr>
          <w:lang w:val="fr-FR"/>
        </w:rPr>
        <w:t xml:space="preserve">e avec soin et pourrait nécessiter </w:t>
      </w:r>
      <w:r w:rsidR="00C119A9" w:rsidRPr="00693E45">
        <w:rPr>
          <w:lang w:val="fr-FR"/>
        </w:rPr>
        <w:t>un examen de la part de</w:t>
      </w:r>
      <w:r w:rsidR="00481DEE" w:rsidRPr="00693E45">
        <w:rPr>
          <w:lang w:val="fr-FR"/>
        </w:rPr>
        <w:t xml:space="preserve"> </w:t>
      </w:r>
      <w:r w:rsidR="00C94877" w:rsidRPr="00693E45">
        <w:rPr>
          <w:lang w:val="fr-FR"/>
        </w:rPr>
        <w:t>l</w:t>
      </w:r>
      <w:r w:rsidR="009B7882" w:rsidRPr="00693E45">
        <w:rPr>
          <w:lang w:val="fr-FR"/>
        </w:rPr>
        <w:t>’</w:t>
      </w:r>
      <w:r w:rsidR="00C94877" w:rsidRPr="00693E45">
        <w:rPr>
          <w:lang w:val="fr-FR"/>
        </w:rPr>
        <w:t>Assemblée de l</w:t>
      </w:r>
      <w:r w:rsidR="009B7882" w:rsidRPr="00693E45">
        <w:rPr>
          <w:lang w:val="fr-FR"/>
        </w:rPr>
        <w:t>’</w:t>
      </w:r>
      <w:r w:rsidR="00C94877" w:rsidRPr="00693E45">
        <w:rPr>
          <w:lang w:val="fr-FR"/>
        </w:rPr>
        <w:t>Union de Paris et</w:t>
      </w:r>
      <w:r w:rsidR="00C119A9" w:rsidRPr="00693E45">
        <w:rPr>
          <w:lang w:val="fr-FR"/>
        </w:rPr>
        <w:t xml:space="preserve"> de</w:t>
      </w:r>
      <w:r w:rsidR="00C94877" w:rsidRPr="00693E45">
        <w:rPr>
          <w:lang w:val="fr-FR"/>
        </w:rPr>
        <w:t xml:space="preserve"> l</w:t>
      </w:r>
      <w:r w:rsidR="009B7882" w:rsidRPr="00693E45">
        <w:rPr>
          <w:lang w:val="fr-FR"/>
        </w:rPr>
        <w:t>’</w:t>
      </w:r>
      <w:r w:rsidR="00C94877" w:rsidRPr="00693E45">
        <w:rPr>
          <w:lang w:val="fr-FR"/>
        </w:rPr>
        <w:t>Assemblée de l</w:t>
      </w:r>
      <w:r w:rsidR="009B7882" w:rsidRPr="00693E45">
        <w:rPr>
          <w:lang w:val="fr-FR"/>
        </w:rPr>
        <w:t>’</w:t>
      </w:r>
      <w:r w:rsidR="00C94877" w:rsidRPr="00693E45">
        <w:rPr>
          <w:lang w:val="fr-FR"/>
        </w:rPr>
        <w:t>Union</w:t>
      </w:r>
      <w:r w:rsidR="009B7882" w:rsidRPr="00693E45">
        <w:rPr>
          <w:lang w:val="fr-FR"/>
        </w:rPr>
        <w:t xml:space="preserve"> du PCT</w:t>
      </w:r>
      <w:r w:rsidR="00C119A9" w:rsidRPr="00693E45">
        <w:rPr>
          <w:lang w:val="fr-FR"/>
        </w:rPr>
        <w:t>, mais il semblait que cela ouvr</w:t>
      </w:r>
      <w:r w:rsidR="00803739" w:rsidRPr="00693E45">
        <w:rPr>
          <w:lang w:val="fr-FR"/>
        </w:rPr>
        <w:t>ait</w:t>
      </w:r>
      <w:r w:rsidR="00C119A9" w:rsidRPr="00693E45">
        <w:rPr>
          <w:lang w:val="fr-FR"/>
        </w:rPr>
        <w:t xml:space="preserve"> à cette dernière la possibilité d</w:t>
      </w:r>
      <w:r w:rsidR="009B7882" w:rsidRPr="00693E45">
        <w:rPr>
          <w:lang w:val="fr-FR"/>
        </w:rPr>
        <w:t>’</w:t>
      </w:r>
      <w:r w:rsidR="00C119A9" w:rsidRPr="00693E45">
        <w:rPr>
          <w:lang w:val="fr-FR"/>
        </w:rPr>
        <w:t xml:space="preserve">adopter une </w:t>
      </w:r>
      <w:r w:rsidR="009B7882" w:rsidRPr="00693E45">
        <w:rPr>
          <w:lang w:val="fr-FR"/>
        </w:rPr>
        <w:t>règle P</w:t>
      </w:r>
      <w:r w:rsidR="00C119A9" w:rsidRPr="00693E45">
        <w:rPr>
          <w:lang w:val="fr-FR"/>
        </w:rPr>
        <w:t xml:space="preserve">CT </w:t>
      </w:r>
      <w:r w:rsidR="002F204B" w:rsidRPr="00693E45">
        <w:rPr>
          <w:lang w:val="fr-FR"/>
        </w:rPr>
        <w:t>qui serait, en fait, un accord par lequel les offices récepteurs conviendraient de considérer la transmission d</w:t>
      </w:r>
      <w:r w:rsidR="009B7882" w:rsidRPr="00693E45">
        <w:rPr>
          <w:lang w:val="fr-FR"/>
        </w:rPr>
        <w:t>’</w:t>
      </w:r>
      <w:r w:rsidR="002F204B" w:rsidRPr="00693E45">
        <w:rPr>
          <w:lang w:val="fr-FR"/>
        </w:rPr>
        <w:t>un exemplaire original comme</w:t>
      </w:r>
      <w:r w:rsidR="0082541F" w:rsidRPr="00693E45">
        <w:rPr>
          <w:lang w:val="fr-FR"/>
        </w:rPr>
        <w:t xml:space="preserve"> </w:t>
      </w:r>
      <w:r w:rsidR="002F204B" w:rsidRPr="00693E45">
        <w:rPr>
          <w:lang w:val="fr-FR"/>
        </w:rPr>
        <w:t>une certification permettant l</w:t>
      </w:r>
      <w:r w:rsidR="009B7882" w:rsidRPr="00693E45">
        <w:rPr>
          <w:lang w:val="fr-FR"/>
        </w:rPr>
        <w:t>’</w:t>
      </w:r>
      <w:r w:rsidR="002F204B" w:rsidRPr="00693E45">
        <w:rPr>
          <w:lang w:val="fr-FR"/>
        </w:rPr>
        <w:t>utilisation de cet exemplaire</w:t>
      </w:r>
      <w:r w:rsidR="003F0D7D" w:rsidRPr="00693E45">
        <w:rPr>
          <w:lang w:val="fr-FR"/>
        </w:rPr>
        <w:t xml:space="preserve"> en tant que </w:t>
      </w:r>
      <w:r w:rsidR="002F204B" w:rsidRPr="00693E45">
        <w:rPr>
          <w:lang w:val="fr-FR"/>
        </w:rPr>
        <w:t>document de priorité.</w:t>
      </w:r>
    </w:p>
    <w:p w14:paraId="16DE2442" w14:textId="6A9EE8A0" w:rsidR="007F3D49" w:rsidRPr="00693E45" w:rsidRDefault="00C0336A" w:rsidP="00CB4729">
      <w:pPr>
        <w:pStyle w:val="ONUMFS"/>
        <w:rPr>
          <w:lang w:val="fr-FR"/>
        </w:rPr>
      </w:pPr>
      <w:r w:rsidRPr="00693E45">
        <w:rPr>
          <w:lang w:val="fr-FR"/>
        </w:rPr>
        <w:t>L</w:t>
      </w:r>
      <w:r w:rsidR="009B7882" w:rsidRPr="00693E45">
        <w:rPr>
          <w:lang w:val="fr-FR"/>
        </w:rPr>
        <w:t>’</w:t>
      </w:r>
      <w:r w:rsidRPr="00693E45">
        <w:rPr>
          <w:lang w:val="fr-FR"/>
        </w:rPr>
        <w:t>Office des brevets du Japon a fait part de son intention</w:t>
      </w:r>
      <w:r w:rsidR="00751BAB" w:rsidRPr="00693E45">
        <w:rPr>
          <w:lang w:val="fr-FR"/>
        </w:rPr>
        <w:t xml:space="preserve"> d</w:t>
      </w:r>
      <w:r w:rsidR="009B7882" w:rsidRPr="00693E45">
        <w:rPr>
          <w:lang w:val="fr-FR"/>
        </w:rPr>
        <w:t>’</w:t>
      </w:r>
      <w:r w:rsidR="00751BAB" w:rsidRPr="00693E45">
        <w:rPr>
          <w:lang w:val="fr-FR"/>
        </w:rPr>
        <w:t xml:space="preserve">examiner </w:t>
      </w:r>
      <w:r w:rsidRPr="00693E45">
        <w:rPr>
          <w:lang w:val="fr-FR"/>
        </w:rPr>
        <w:t>les points soulevés par les autres administrations</w:t>
      </w:r>
      <w:r w:rsidR="00751BAB" w:rsidRPr="00693E45">
        <w:rPr>
          <w:lang w:val="fr-FR"/>
        </w:rPr>
        <w:t xml:space="preserve"> et d</w:t>
      </w:r>
      <w:r w:rsidR="009B7882" w:rsidRPr="00693E45">
        <w:rPr>
          <w:lang w:val="fr-FR"/>
        </w:rPr>
        <w:t>’</w:t>
      </w:r>
      <w:r w:rsidR="00751BAB" w:rsidRPr="00693E45">
        <w:rPr>
          <w:lang w:val="fr-FR"/>
        </w:rPr>
        <w:t xml:space="preserve">étudier une manière de les prendre en compte dans une éventuelle proposition au </w:t>
      </w:r>
      <w:r w:rsidR="0091379C" w:rsidRPr="00693E45">
        <w:rPr>
          <w:lang w:val="fr-FR"/>
        </w:rPr>
        <w:t>Groupe</w:t>
      </w:r>
      <w:r w:rsidR="002C6462" w:rsidRPr="00693E45">
        <w:rPr>
          <w:lang w:val="fr-FR"/>
        </w:rPr>
        <w:t xml:space="preserve"> de travail</w:t>
      </w:r>
      <w:r w:rsidR="009B7882" w:rsidRPr="00693E45">
        <w:rPr>
          <w:lang w:val="fr-FR"/>
        </w:rPr>
        <w:t xml:space="preserve"> du PCT</w:t>
      </w:r>
      <w:r w:rsidR="002C6462" w:rsidRPr="00693E45">
        <w:rPr>
          <w:lang w:val="fr-FR"/>
        </w:rPr>
        <w:t>.</w:t>
      </w:r>
    </w:p>
    <w:p w14:paraId="6321A9A7" w14:textId="7728B834" w:rsidR="007F3D49" w:rsidRPr="00693E45" w:rsidRDefault="005D2229"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des options présentées dans le </w:t>
      </w:r>
      <w:r w:rsidR="007F3D49" w:rsidRPr="00693E45">
        <w:rPr>
          <w:lang w:val="fr-FR"/>
        </w:rPr>
        <w:t>document PCT/MIA/28/6</w:t>
      </w:r>
      <w:r w:rsidR="00522723" w:rsidRPr="00693E45">
        <w:rPr>
          <w:lang w:val="fr-FR"/>
        </w:rPr>
        <w:t>, ainsi que des observations formulées par les administrations internationales.</w:t>
      </w:r>
    </w:p>
    <w:p w14:paraId="1D7655EB" w14:textId="54CF5063" w:rsidR="007F3D49" w:rsidRPr="00693E45" w:rsidRDefault="007F3D49" w:rsidP="007F3D49">
      <w:pPr>
        <w:pStyle w:val="Heading1"/>
        <w:rPr>
          <w:lang w:val="fr-FR"/>
        </w:rPr>
      </w:pPr>
      <w:r w:rsidRPr="00693E45">
        <w:rPr>
          <w:lang w:val="fr-FR"/>
        </w:rPr>
        <w:t>Renforcer les garanties</w:t>
      </w:r>
      <w:r w:rsidR="009B7882" w:rsidRPr="00693E45">
        <w:rPr>
          <w:lang w:val="fr-FR"/>
        </w:rPr>
        <w:t xml:space="preserve"> du PCT</w:t>
      </w:r>
      <w:r w:rsidRPr="00693E45">
        <w:rPr>
          <w:lang w:val="fr-FR"/>
        </w:rPr>
        <w:t xml:space="preserve"> en cas de perturbation générale</w:t>
      </w:r>
    </w:p>
    <w:p w14:paraId="3E20877B" w14:textId="77777777" w:rsidR="009B7882" w:rsidRPr="00693E45" w:rsidRDefault="007F3D49" w:rsidP="00CB4729">
      <w:pPr>
        <w:pStyle w:val="ONUMFS"/>
        <w:rPr>
          <w:lang w:val="fr-FR"/>
        </w:rPr>
      </w:pPr>
      <w:r w:rsidRPr="00693E45">
        <w:rPr>
          <w:lang w:val="fr-FR"/>
        </w:rPr>
        <w:t>Les délibérations ont eu lieu sur la base du document PCT/MIA/28/8.</w:t>
      </w:r>
    </w:p>
    <w:p w14:paraId="053CB001" w14:textId="6D4F3596" w:rsidR="007F3D49" w:rsidRPr="00693E45" w:rsidRDefault="00E8647A" w:rsidP="00CB4729">
      <w:pPr>
        <w:pStyle w:val="ONUMFS"/>
        <w:rPr>
          <w:lang w:val="fr-FR"/>
        </w:rPr>
      </w:pPr>
      <w:bookmarkStart w:id="6" w:name="_Ref67587218"/>
      <w:r w:rsidRPr="00693E45">
        <w:rPr>
          <w:lang w:val="fr-FR"/>
        </w:rPr>
        <w:t>L</w:t>
      </w:r>
      <w:r w:rsidR="009B7882" w:rsidRPr="00693E45">
        <w:rPr>
          <w:lang w:val="fr-FR"/>
        </w:rPr>
        <w:t>’</w:t>
      </w:r>
      <w:r w:rsidRPr="00693E45">
        <w:rPr>
          <w:lang w:val="fr-FR"/>
        </w:rPr>
        <w:t>Office européen des brevets a présenté le document et expliqué les révisions</w:t>
      </w:r>
      <w:r w:rsidR="00EA2610" w:rsidRPr="00693E45">
        <w:rPr>
          <w:lang w:val="fr-FR"/>
        </w:rPr>
        <w:t xml:space="preserve"> qu</w:t>
      </w:r>
      <w:r w:rsidR="009B7882" w:rsidRPr="00693E45">
        <w:rPr>
          <w:lang w:val="fr-FR"/>
        </w:rPr>
        <w:t>’</w:t>
      </w:r>
      <w:r w:rsidR="00EA2610" w:rsidRPr="00693E45">
        <w:rPr>
          <w:lang w:val="fr-FR"/>
        </w:rPr>
        <w:t>il a</w:t>
      </w:r>
      <w:r w:rsidR="00614647" w:rsidRPr="00693E45">
        <w:rPr>
          <w:lang w:val="fr-FR"/>
        </w:rPr>
        <w:t>vait</w:t>
      </w:r>
      <w:r w:rsidR="00EA2610" w:rsidRPr="00693E45">
        <w:rPr>
          <w:lang w:val="fr-FR"/>
        </w:rPr>
        <w:t xml:space="preserve"> apportées à la proposition à la lumière des observations formulées lors de la quatorz</w:t>
      </w:r>
      <w:r w:rsidR="009B7882" w:rsidRPr="00693E45">
        <w:rPr>
          <w:lang w:val="fr-FR"/>
        </w:rPr>
        <w:t>ième session</w:t>
      </w:r>
      <w:r w:rsidR="00EA2610" w:rsidRPr="00693E45">
        <w:rPr>
          <w:lang w:val="fr-FR"/>
        </w:rPr>
        <w:t xml:space="preserve"> du </w:t>
      </w:r>
      <w:r w:rsidR="0091379C" w:rsidRPr="00693E45">
        <w:rPr>
          <w:lang w:val="fr-FR"/>
        </w:rPr>
        <w:t>Groupe</w:t>
      </w:r>
      <w:r w:rsidR="00EA2610" w:rsidRPr="00693E45">
        <w:rPr>
          <w:lang w:val="fr-FR"/>
        </w:rPr>
        <w:t xml:space="preserve"> de travail</w:t>
      </w:r>
      <w:r w:rsidR="009B7882" w:rsidRPr="00693E45">
        <w:rPr>
          <w:lang w:val="fr-FR"/>
        </w:rPr>
        <w:t xml:space="preserve"> du PCT</w:t>
      </w:r>
      <w:r w:rsidR="00EA2610" w:rsidRPr="00693E45">
        <w:rPr>
          <w:lang w:val="fr-FR"/>
        </w:rPr>
        <w:t xml:space="preserve"> en </w:t>
      </w:r>
      <w:r w:rsidR="009B7882" w:rsidRPr="00693E45">
        <w:rPr>
          <w:lang w:val="fr-FR"/>
        </w:rPr>
        <w:t>octobre 20</w:t>
      </w:r>
      <w:r w:rsidR="00EA2610" w:rsidRPr="00693E45">
        <w:rPr>
          <w:lang w:val="fr-FR"/>
        </w:rPr>
        <w:t>20.</w:t>
      </w:r>
    </w:p>
    <w:p w14:paraId="0438C38D" w14:textId="70C8664D" w:rsidR="007F3D49" w:rsidRPr="00693E45" w:rsidRDefault="00EA2610" w:rsidP="00CB4729">
      <w:pPr>
        <w:pStyle w:val="ONUMFS"/>
        <w:rPr>
          <w:lang w:val="fr-FR"/>
        </w:rPr>
      </w:pPr>
      <w:bookmarkStart w:id="7" w:name="_Ref67596583"/>
      <w:r w:rsidRPr="00693E45">
        <w:rPr>
          <w:lang w:val="fr-FR"/>
        </w:rPr>
        <w:t xml:space="preserve">Les administrations internationales </w:t>
      </w:r>
      <w:r w:rsidR="00EF3927" w:rsidRPr="00693E45">
        <w:rPr>
          <w:lang w:val="fr-FR"/>
        </w:rPr>
        <w:t>ont reconnu le principe selon lequel le cadre juridique</w:t>
      </w:r>
      <w:r w:rsidR="009B7882" w:rsidRPr="00693E45">
        <w:rPr>
          <w:lang w:val="fr-FR"/>
        </w:rPr>
        <w:t xml:space="preserve"> du PCT</w:t>
      </w:r>
      <w:r w:rsidR="00EF3927" w:rsidRPr="00693E45">
        <w:rPr>
          <w:lang w:val="fr-FR"/>
        </w:rPr>
        <w:t xml:space="preserve"> devrait prévoir des mécanismes adéquats pour garantir la protection contre la perte de droits découlant d</w:t>
      </w:r>
      <w:r w:rsidR="009B7882" w:rsidRPr="00693E45">
        <w:rPr>
          <w:lang w:val="fr-FR"/>
        </w:rPr>
        <w:t>’</w:t>
      </w:r>
      <w:r w:rsidR="00EF3927" w:rsidRPr="00693E45">
        <w:rPr>
          <w:lang w:val="fr-FR"/>
        </w:rPr>
        <w:t>une demande pour l</w:t>
      </w:r>
      <w:r w:rsidR="009B7882" w:rsidRPr="00693E45">
        <w:rPr>
          <w:lang w:val="fr-FR"/>
        </w:rPr>
        <w:t>’</w:t>
      </w:r>
      <w:r w:rsidR="00EF3927" w:rsidRPr="00693E45">
        <w:rPr>
          <w:lang w:val="fr-FR"/>
        </w:rPr>
        <w:t>inobservation par un déposant d</w:t>
      </w:r>
      <w:r w:rsidR="009B7882" w:rsidRPr="00693E45">
        <w:rPr>
          <w:lang w:val="fr-FR"/>
        </w:rPr>
        <w:t>’</w:t>
      </w:r>
      <w:r w:rsidR="00EF3927" w:rsidRPr="00693E45">
        <w:rPr>
          <w:lang w:val="fr-FR"/>
        </w:rPr>
        <w:t>un délai fixé dans le règlement d</w:t>
      </w:r>
      <w:r w:rsidR="009B7882" w:rsidRPr="00693E45">
        <w:rPr>
          <w:lang w:val="fr-FR"/>
        </w:rPr>
        <w:t>’</w:t>
      </w:r>
      <w:r w:rsidR="00EF3927" w:rsidRPr="00693E45">
        <w:rPr>
          <w:lang w:val="fr-FR"/>
        </w:rPr>
        <w:t>exécution</w:t>
      </w:r>
      <w:r w:rsidR="009B7882" w:rsidRPr="00693E45">
        <w:rPr>
          <w:lang w:val="fr-FR"/>
        </w:rPr>
        <w:t xml:space="preserve"> du PCT</w:t>
      </w:r>
      <w:r w:rsidR="00EF3927" w:rsidRPr="00693E45">
        <w:rPr>
          <w:lang w:val="fr-FR"/>
        </w:rPr>
        <w:t xml:space="preserve"> en raison de la pandémie de COVID</w:t>
      </w:r>
      <w:r w:rsidR="00CB4729" w:rsidRPr="00693E45">
        <w:rPr>
          <w:lang w:val="fr-FR"/>
        </w:rPr>
        <w:noBreakHyphen/>
      </w:r>
      <w:r w:rsidR="00EF3927" w:rsidRPr="00693E45">
        <w:rPr>
          <w:lang w:val="fr-FR"/>
        </w:rPr>
        <w:t>19 et de circonstances analogues</w:t>
      </w:r>
      <w:r w:rsidR="00032E37" w:rsidRPr="00693E45">
        <w:rPr>
          <w:lang w:val="fr-FR"/>
        </w:rPr>
        <w:t>,</w:t>
      </w:r>
      <w:r w:rsidR="00EF3927" w:rsidRPr="00693E45">
        <w:rPr>
          <w:lang w:val="fr-FR"/>
        </w:rPr>
        <w:t xml:space="preserve"> telles que celles énoncées à la </w:t>
      </w:r>
      <w:r w:rsidR="009B7882" w:rsidRPr="00693E45">
        <w:rPr>
          <w:lang w:val="fr-FR"/>
        </w:rPr>
        <w:t>règle 8</w:t>
      </w:r>
      <w:r w:rsidR="00EF3927" w:rsidRPr="00693E45">
        <w:rPr>
          <w:lang w:val="fr-FR"/>
        </w:rPr>
        <w:t>2</w:t>
      </w:r>
      <w:r w:rsidR="00EF3927" w:rsidRPr="00693E45">
        <w:rPr>
          <w:i/>
          <w:iCs/>
          <w:lang w:val="fr-FR"/>
        </w:rPr>
        <w:t>quater</w:t>
      </w:r>
      <w:r w:rsidR="00EF3927" w:rsidRPr="00693E45">
        <w:rPr>
          <w:lang w:val="fr-FR"/>
        </w:rPr>
        <w:t>.</w:t>
      </w:r>
      <w:proofErr w:type="gramStart"/>
      <w:r w:rsidR="00EF3927" w:rsidRPr="00693E45">
        <w:rPr>
          <w:lang w:val="fr-FR"/>
        </w:rPr>
        <w:t>1.a</w:t>
      </w:r>
      <w:proofErr w:type="gramEnd"/>
      <w:r w:rsidR="00EF3927" w:rsidRPr="00693E45">
        <w:rPr>
          <w:lang w:val="fr-FR"/>
        </w:rPr>
        <w:t xml:space="preserve">).  </w:t>
      </w:r>
      <w:r w:rsidR="00AB760F" w:rsidRPr="00693E45">
        <w:rPr>
          <w:lang w:val="fr-FR"/>
        </w:rPr>
        <w:t xml:space="preserve">Les administrations internationales ont également souligné que </w:t>
      </w:r>
      <w:r w:rsidR="003703EF" w:rsidRPr="00693E45">
        <w:rPr>
          <w:lang w:val="fr-FR"/>
        </w:rPr>
        <w:t xml:space="preserve">des dispositions similaires à la </w:t>
      </w:r>
      <w:r w:rsidR="009B7882" w:rsidRPr="00693E45">
        <w:rPr>
          <w:lang w:val="fr-FR"/>
        </w:rPr>
        <w:t>règle 8</w:t>
      </w:r>
      <w:r w:rsidR="003703EF" w:rsidRPr="00693E45">
        <w:rPr>
          <w:lang w:val="fr-FR"/>
        </w:rPr>
        <w:t>2</w:t>
      </w:r>
      <w:r w:rsidR="003703EF" w:rsidRPr="00693E45">
        <w:rPr>
          <w:i/>
          <w:iCs/>
          <w:lang w:val="fr-FR"/>
        </w:rPr>
        <w:t>quater</w:t>
      </w:r>
      <w:r w:rsidR="003703EF" w:rsidRPr="00693E45">
        <w:rPr>
          <w:lang w:val="fr-FR"/>
        </w:rPr>
        <w:t xml:space="preserve">.1 avaient été approuvées récemment </w:t>
      </w:r>
      <w:r w:rsidR="006E7D7D" w:rsidRPr="00693E45">
        <w:rPr>
          <w:lang w:val="fr-FR"/>
        </w:rPr>
        <w:t>en vue de leur soumission</w:t>
      </w:r>
      <w:r w:rsidR="00154C7D" w:rsidRPr="00693E45">
        <w:rPr>
          <w:lang w:val="fr-FR"/>
        </w:rPr>
        <w:t xml:space="preserve"> à l</w:t>
      </w:r>
      <w:r w:rsidR="009B7882" w:rsidRPr="00693E45">
        <w:rPr>
          <w:lang w:val="fr-FR"/>
        </w:rPr>
        <w:t>’</w:t>
      </w:r>
      <w:r w:rsidR="00154C7D" w:rsidRPr="00693E45">
        <w:rPr>
          <w:lang w:val="fr-FR"/>
        </w:rPr>
        <w:t>Assemblée de l</w:t>
      </w:r>
      <w:r w:rsidR="009B7882" w:rsidRPr="00693E45">
        <w:rPr>
          <w:lang w:val="fr-FR"/>
        </w:rPr>
        <w:t>’</w:t>
      </w:r>
      <w:r w:rsidR="00154C7D" w:rsidRPr="00693E45">
        <w:rPr>
          <w:lang w:val="fr-FR"/>
        </w:rPr>
        <w:t xml:space="preserve">Union de </w:t>
      </w:r>
      <w:r w:rsidR="009B7882" w:rsidRPr="00693E45">
        <w:rPr>
          <w:lang w:val="fr-FR"/>
        </w:rPr>
        <w:t>La Haye</w:t>
      </w:r>
      <w:r w:rsidR="00154C7D" w:rsidRPr="00693E45">
        <w:rPr>
          <w:lang w:val="fr-FR"/>
        </w:rPr>
        <w:t xml:space="preserve"> pour adoption</w:t>
      </w:r>
      <w:r w:rsidR="00032E37" w:rsidRPr="00693E45">
        <w:rPr>
          <w:lang w:val="fr-FR"/>
        </w:rPr>
        <w:t xml:space="preserve">, </w:t>
      </w:r>
      <w:r w:rsidR="009C5374" w:rsidRPr="00693E45">
        <w:rPr>
          <w:lang w:val="fr-FR"/>
        </w:rPr>
        <w:t xml:space="preserve">afin de </w:t>
      </w:r>
      <w:r w:rsidR="006E7D7D" w:rsidRPr="00693E45">
        <w:rPr>
          <w:lang w:val="fr-FR"/>
        </w:rPr>
        <w:t>prévoir</w:t>
      </w:r>
      <w:r w:rsidR="009C5374" w:rsidRPr="00693E45">
        <w:rPr>
          <w:lang w:val="fr-FR"/>
        </w:rPr>
        <w:t xml:space="preserve"> une excuse de retard dans l</w:t>
      </w:r>
      <w:r w:rsidR="009B7882" w:rsidRPr="00693E45">
        <w:rPr>
          <w:lang w:val="fr-FR"/>
        </w:rPr>
        <w:t>’</w:t>
      </w:r>
      <w:r w:rsidR="009C5374" w:rsidRPr="00693E45">
        <w:rPr>
          <w:lang w:val="fr-FR"/>
        </w:rPr>
        <w:t xml:space="preserve">observation de délais </w:t>
      </w:r>
      <w:r w:rsidR="006E7D7D" w:rsidRPr="00693E45">
        <w:rPr>
          <w:lang w:val="fr-FR"/>
        </w:rPr>
        <w:t>applicables selon</w:t>
      </w:r>
      <w:r w:rsidR="009C5374" w:rsidRPr="00693E45">
        <w:rPr>
          <w:lang w:val="fr-FR"/>
        </w:rPr>
        <w:t xml:space="preserve"> le système de </w:t>
      </w:r>
      <w:r w:rsidR="009B7882" w:rsidRPr="00693E45">
        <w:rPr>
          <w:lang w:val="fr-FR"/>
        </w:rPr>
        <w:t>La Haye</w:t>
      </w:r>
      <w:r w:rsidR="006E7D7D" w:rsidRPr="00693E45">
        <w:rPr>
          <w:lang w:val="fr-FR"/>
        </w:rPr>
        <w:t xml:space="preserve"> </w:t>
      </w:r>
      <w:r w:rsidR="007F3D49" w:rsidRPr="00693E45">
        <w:rPr>
          <w:lang w:val="fr-FR"/>
        </w:rPr>
        <w:t>(</w:t>
      </w:r>
      <w:r w:rsidR="006E7D7D" w:rsidRPr="00693E45">
        <w:rPr>
          <w:lang w:val="fr-FR"/>
        </w:rPr>
        <w:t xml:space="preserve">voir les </w:t>
      </w:r>
      <w:r w:rsidR="007F3D49" w:rsidRPr="00693E45">
        <w:rPr>
          <w:lang w:val="fr-FR"/>
        </w:rPr>
        <w:t>documents H/LD/WG/9/3</w:t>
      </w:r>
      <w:r w:rsidR="0091379C" w:rsidRPr="00693E45">
        <w:rPr>
          <w:lang w:val="fr-FR"/>
        </w:rPr>
        <w:t> </w:t>
      </w:r>
      <w:proofErr w:type="spellStart"/>
      <w:r w:rsidR="007F3D49" w:rsidRPr="00693E45">
        <w:rPr>
          <w:lang w:val="fr-FR"/>
        </w:rPr>
        <w:t>Rev</w:t>
      </w:r>
      <w:proofErr w:type="spellEnd"/>
      <w:r w:rsidR="007F3D49" w:rsidRPr="00693E45">
        <w:rPr>
          <w:lang w:val="fr-FR"/>
        </w:rPr>
        <w:t xml:space="preserve">., H/LD/WG/9/6, </w:t>
      </w:r>
      <w:r w:rsidR="006E7D7D" w:rsidRPr="00693E45">
        <w:rPr>
          <w:lang w:val="fr-FR"/>
        </w:rPr>
        <w:t>ainsi que les</w:t>
      </w:r>
      <w:r w:rsidR="007F3D49" w:rsidRPr="00693E45">
        <w:rPr>
          <w:lang w:val="fr-FR"/>
        </w:rPr>
        <w:t xml:space="preserve"> paragraph</w:t>
      </w:r>
      <w:r w:rsidR="006E7D7D" w:rsidRPr="00693E45">
        <w:rPr>
          <w:lang w:val="fr-FR"/>
        </w:rPr>
        <w:t>e</w:t>
      </w:r>
      <w:r w:rsidR="007F3D49" w:rsidRPr="00693E45">
        <w:rPr>
          <w:lang w:val="fr-FR"/>
        </w:rPr>
        <w:t xml:space="preserve">s 14 </w:t>
      </w:r>
      <w:r w:rsidR="006E7D7D" w:rsidRPr="00693E45">
        <w:rPr>
          <w:lang w:val="fr-FR"/>
        </w:rPr>
        <w:t>et</w:t>
      </w:r>
      <w:r w:rsidR="007F3D49" w:rsidRPr="00693E45">
        <w:rPr>
          <w:lang w:val="fr-FR"/>
        </w:rPr>
        <w:t xml:space="preserve"> 15 </w:t>
      </w:r>
      <w:r w:rsidR="006E7D7D" w:rsidRPr="00693E45">
        <w:rPr>
          <w:lang w:val="fr-FR"/>
        </w:rPr>
        <w:t>du</w:t>
      </w:r>
      <w:r w:rsidR="007F3D49" w:rsidRPr="00693E45">
        <w:rPr>
          <w:lang w:val="fr-FR"/>
        </w:rPr>
        <w:t xml:space="preserve"> document H/LD/WG/9/7).</w:t>
      </w:r>
      <w:bookmarkEnd w:id="6"/>
      <w:bookmarkEnd w:id="7"/>
    </w:p>
    <w:p w14:paraId="10B299A5" w14:textId="2A140553" w:rsidR="007F3D49" w:rsidRPr="00693E45" w:rsidRDefault="009270CB" w:rsidP="00CB4729">
      <w:pPr>
        <w:pStyle w:val="ONUMFS"/>
        <w:rPr>
          <w:lang w:val="fr-FR"/>
        </w:rPr>
      </w:pPr>
      <w:bookmarkStart w:id="8" w:name="_Ref67596561"/>
      <w:r w:rsidRPr="00693E45">
        <w:rPr>
          <w:lang w:val="fr-FR"/>
        </w:rPr>
        <w:t xml:space="preserve">Plusieurs administrations </w:t>
      </w:r>
      <w:r w:rsidR="0009776E" w:rsidRPr="00693E45">
        <w:rPr>
          <w:lang w:val="fr-FR"/>
        </w:rPr>
        <w:t xml:space="preserve">ont fait part de leur appui de principe en faveur de la proposition, </w:t>
      </w:r>
      <w:r w:rsidR="00090B1C" w:rsidRPr="00693E45">
        <w:rPr>
          <w:lang w:val="fr-FR"/>
        </w:rPr>
        <w:t>certaines soulevant toutefois des points d</w:t>
      </w:r>
      <w:r w:rsidR="009B7882" w:rsidRPr="00693E45">
        <w:rPr>
          <w:lang w:val="fr-FR"/>
        </w:rPr>
        <w:t>’</w:t>
      </w:r>
      <w:r w:rsidR="00090B1C" w:rsidRPr="00693E45">
        <w:rPr>
          <w:lang w:val="fr-FR"/>
        </w:rPr>
        <w:t xml:space="preserve">ordre rédactionnel </w:t>
      </w:r>
      <w:r w:rsidR="000421A9" w:rsidRPr="00693E45">
        <w:rPr>
          <w:lang w:val="fr-FR"/>
        </w:rPr>
        <w:t>à examiner lors de l</w:t>
      </w:r>
      <w:r w:rsidR="009B7882" w:rsidRPr="00693E45">
        <w:rPr>
          <w:lang w:val="fr-FR"/>
        </w:rPr>
        <w:t>’</w:t>
      </w:r>
      <w:r w:rsidR="000421A9" w:rsidRPr="00693E45">
        <w:rPr>
          <w:lang w:val="fr-FR"/>
        </w:rPr>
        <w:t xml:space="preserve">élaboration de la proposition destinée à être présentée au </w:t>
      </w:r>
      <w:r w:rsidR="0091379C" w:rsidRPr="00693E45">
        <w:rPr>
          <w:lang w:val="fr-FR"/>
        </w:rPr>
        <w:t>Groupe</w:t>
      </w:r>
      <w:r w:rsidR="000421A9" w:rsidRPr="00693E45">
        <w:rPr>
          <w:lang w:val="fr-FR"/>
        </w:rPr>
        <w:t xml:space="preserve"> de travail</w:t>
      </w:r>
      <w:r w:rsidR="009B7882" w:rsidRPr="00693E45">
        <w:rPr>
          <w:lang w:val="fr-FR"/>
        </w:rPr>
        <w:t xml:space="preserve"> du PCT</w:t>
      </w:r>
      <w:r w:rsidR="000421A9" w:rsidRPr="00693E45">
        <w:rPr>
          <w:lang w:val="fr-FR"/>
        </w:rPr>
        <w:t xml:space="preserve"> en </w:t>
      </w:r>
      <w:r w:rsidR="009B7882" w:rsidRPr="00693E45">
        <w:rPr>
          <w:lang w:val="fr-FR"/>
        </w:rPr>
        <w:t>juin 20</w:t>
      </w:r>
      <w:r w:rsidR="000421A9" w:rsidRPr="00693E45">
        <w:rPr>
          <w:lang w:val="fr-FR"/>
        </w:rPr>
        <w:t xml:space="preserve">21. </w:t>
      </w:r>
      <w:r w:rsidR="006755A6" w:rsidRPr="00693E45">
        <w:rPr>
          <w:lang w:val="fr-FR"/>
        </w:rPr>
        <w:t xml:space="preserve"> Ces </w:t>
      </w:r>
      <w:r w:rsidR="000543E8" w:rsidRPr="00693E45">
        <w:rPr>
          <w:lang w:val="fr-FR"/>
        </w:rPr>
        <w:t>point</w:t>
      </w:r>
      <w:r w:rsidR="006755A6" w:rsidRPr="00693E45">
        <w:rPr>
          <w:lang w:val="fr-FR"/>
        </w:rPr>
        <w:t>s portaient notamment sur la nécessité ou non d</w:t>
      </w:r>
      <w:r w:rsidR="009B7882" w:rsidRPr="00693E45">
        <w:rPr>
          <w:lang w:val="fr-FR"/>
        </w:rPr>
        <w:t>’</w:t>
      </w:r>
      <w:r w:rsidR="006755A6" w:rsidRPr="00693E45">
        <w:rPr>
          <w:lang w:val="fr-FR"/>
        </w:rPr>
        <w:t xml:space="preserve">une déclaration </w:t>
      </w:r>
      <w:r w:rsidR="001C74EC" w:rsidRPr="00693E45">
        <w:rPr>
          <w:lang w:val="fr-FR"/>
        </w:rPr>
        <w:t xml:space="preserve">dans le </w:t>
      </w:r>
      <w:r w:rsidR="006755A6" w:rsidRPr="00693E45">
        <w:rPr>
          <w:lang w:val="fr-FR"/>
        </w:rPr>
        <w:t>cas d</w:t>
      </w:r>
      <w:r w:rsidR="009B7882" w:rsidRPr="00693E45">
        <w:rPr>
          <w:lang w:val="fr-FR"/>
        </w:rPr>
        <w:t>’</w:t>
      </w:r>
      <w:r w:rsidR="000543E8" w:rsidRPr="00693E45">
        <w:rPr>
          <w:lang w:val="fr-FR"/>
        </w:rPr>
        <w:t xml:space="preserve">une renonciation </w:t>
      </w:r>
      <w:r w:rsidR="006755A6" w:rsidRPr="00693E45">
        <w:rPr>
          <w:lang w:val="fr-FR"/>
        </w:rPr>
        <w:t>à l</w:t>
      </w:r>
      <w:r w:rsidR="009B7882" w:rsidRPr="00693E45">
        <w:rPr>
          <w:lang w:val="fr-FR"/>
        </w:rPr>
        <w:t>’</w:t>
      </w:r>
      <w:r w:rsidR="006755A6" w:rsidRPr="00693E45">
        <w:rPr>
          <w:lang w:val="fr-FR"/>
        </w:rPr>
        <w:t xml:space="preserve">exigence de </w:t>
      </w:r>
      <w:r w:rsidR="005B3D7E" w:rsidRPr="00693E45">
        <w:rPr>
          <w:lang w:val="fr-FR"/>
        </w:rPr>
        <w:t>production de preuve</w:t>
      </w:r>
      <w:r w:rsidR="00F21C75" w:rsidRPr="00693E45">
        <w:rPr>
          <w:lang w:val="fr-FR"/>
        </w:rPr>
        <w:t xml:space="preserve"> qu</w:t>
      </w:r>
      <w:r w:rsidR="009B7882" w:rsidRPr="00693E45">
        <w:rPr>
          <w:lang w:val="fr-FR"/>
        </w:rPr>
        <w:t>’</w:t>
      </w:r>
      <w:r w:rsidR="00F21C75" w:rsidRPr="00693E45">
        <w:rPr>
          <w:lang w:val="fr-FR"/>
        </w:rPr>
        <w:t>il est proposé d</w:t>
      </w:r>
      <w:r w:rsidR="009B7882" w:rsidRPr="00693E45">
        <w:rPr>
          <w:lang w:val="fr-FR"/>
        </w:rPr>
        <w:t>’</w:t>
      </w:r>
      <w:r w:rsidR="001C74EC" w:rsidRPr="00693E45">
        <w:rPr>
          <w:lang w:val="fr-FR"/>
        </w:rPr>
        <w:t xml:space="preserve">inclure à la </w:t>
      </w:r>
      <w:r w:rsidR="009B7882" w:rsidRPr="00693E45">
        <w:rPr>
          <w:lang w:val="fr-FR"/>
        </w:rPr>
        <w:t>règle 8</w:t>
      </w:r>
      <w:r w:rsidR="00F21C75" w:rsidRPr="00693E45">
        <w:rPr>
          <w:lang w:val="fr-FR"/>
        </w:rPr>
        <w:t>2</w:t>
      </w:r>
      <w:r w:rsidR="00F21C75" w:rsidRPr="00693E45">
        <w:rPr>
          <w:i/>
          <w:iCs/>
          <w:lang w:val="fr-FR"/>
        </w:rPr>
        <w:t>quater</w:t>
      </w:r>
      <w:r w:rsidR="00F21C75" w:rsidRPr="00693E45">
        <w:rPr>
          <w:lang w:val="fr-FR"/>
        </w:rPr>
        <w:t>.1.d)</w:t>
      </w:r>
      <w:r w:rsidR="001C74EC" w:rsidRPr="00693E45">
        <w:rPr>
          <w:lang w:val="fr-FR"/>
        </w:rPr>
        <w:t>, sur la manière dont la phrase “lorsque l</w:t>
      </w:r>
      <w:r w:rsidR="009B7882" w:rsidRPr="00693E45">
        <w:rPr>
          <w:lang w:val="fr-FR"/>
        </w:rPr>
        <w:t>’</w:t>
      </w:r>
      <w:r w:rsidR="001C74EC" w:rsidRPr="00693E45">
        <w:rPr>
          <w:lang w:val="fr-FR"/>
        </w:rPr>
        <w:t xml:space="preserve">État dans lequel cette entité est établie connaît une perturbation générale” </w:t>
      </w:r>
      <w:r w:rsidR="004C7243" w:rsidRPr="00693E45">
        <w:rPr>
          <w:lang w:val="fr-FR"/>
        </w:rPr>
        <w:t xml:space="preserve">de la </w:t>
      </w:r>
      <w:r w:rsidR="009B7882" w:rsidRPr="00693E45">
        <w:rPr>
          <w:lang w:val="fr-FR"/>
        </w:rPr>
        <w:t>règle 8</w:t>
      </w:r>
      <w:r w:rsidR="004C7243" w:rsidRPr="00693E45">
        <w:rPr>
          <w:lang w:val="fr-FR"/>
        </w:rPr>
        <w:t>2</w:t>
      </w:r>
      <w:r w:rsidR="004C7243" w:rsidRPr="00693E45">
        <w:rPr>
          <w:i/>
          <w:iCs/>
          <w:lang w:val="fr-FR"/>
        </w:rPr>
        <w:t>quater</w:t>
      </w:r>
      <w:r w:rsidR="004C7243" w:rsidRPr="00693E45">
        <w:rPr>
          <w:lang w:val="fr-FR"/>
        </w:rPr>
        <w:t>.3.a) proposée s</w:t>
      </w:r>
      <w:r w:rsidR="009B7882" w:rsidRPr="00693E45">
        <w:rPr>
          <w:lang w:val="fr-FR"/>
        </w:rPr>
        <w:t>’</w:t>
      </w:r>
      <w:r w:rsidR="004C7243" w:rsidRPr="00693E45">
        <w:rPr>
          <w:lang w:val="fr-FR"/>
        </w:rPr>
        <w:t>appliquerait dans un cas où une telle perturbation concernerait seulement une partie de l</w:t>
      </w:r>
      <w:r w:rsidR="009B7882" w:rsidRPr="00693E45">
        <w:rPr>
          <w:lang w:val="fr-FR"/>
        </w:rPr>
        <w:t>’</w:t>
      </w:r>
      <w:r w:rsidR="004C7243" w:rsidRPr="00693E45">
        <w:rPr>
          <w:lang w:val="fr-FR"/>
        </w:rPr>
        <w:t xml:space="preserve">État </w:t>
      </w:r>
      <w:r w:rsidR="00DB357C" w:rsidRPr="00693E45">
        <w:rPr>
          <w:lang w:val="fr-FR"/>
        </w:rPr>
        <w:t>et n</w:t>
      </w:r>
      <w:r w:rsidR="009B7882" w:rsidRPr="00693E45">
        <w:rPr>
          <w:lang w:val="fr-FR"/>
        </w:rPr>
        <w:t>’</w:t>
      </w:r>
      <w:r w:rsidR="00DB357C" w:rsidRPr="00693E45">
        <w:rPr>
          <w:lang w:val="fr-FR"/>
        </w:rPr>
        <w:t>aurait</w:t>
      </w:r>
      <w:r w:rsidR="00B44325" w:rsidRPr="00693E45">
        <w:rPr>
          <w:lang w:val="fr-FR"/>
        </w:rPr>
        <w:t xml:space="preserve"> aucune incidence sur l</w:t>
      </w:r>
      <w:r w:rsidR="009B7882" w:rsidRPr="00693E45">
        <w:rPr>
          <w:lang w:val="fr-FR"/>
        </w:rPr>
        <w:t>’</w:t>
      </w:r>
      <w:r w:rsidR="00B44325" w:rsidRPr="00693E45">
        <w:rPr>
          <w:lang w:val="fr-FR"/>
        </w:rPr>
        <w:t>office</w:t>
      </w:r>
      <w:r w:rsidR="00DB357C" w:rsidRPr="00693E45">
        <w:rPr>
          <w:lang w:val="fr-FR"/>
        </w:rPr>
        <w:t xml:space="preserve">, et sur </w:t>
      </w:r>
      <w:r w:rsidR="008101BA" w:rsidRPr="00693E45">
        <w:rPr>
          <w:lang w:val="fr-FR"/>
        </w:rPr>
        <w:t>la manière dont d</w:t>
      </w:r>
      <w:r w:rsidR="009B7882" w:rsidRPr="00693E45">
        <w:rPr>
          <w:lang w:val="fr-FR"/>
        </w:rPr>
        <w:t>’</w:t>
      </w:r>
      <w:r w:rsidR="008101BA" w:rsidRPr="00693E45">
        <w:rPr>
          <w:lang w:val="fr-FR"/>
        </w:rPr>
        <w:t>autres prorogations pourraient s</w:t>
      </w:r>
      <w:r w:rsidR="009B7882" w:rsidRPr="00693E45">
        <w:rPr>
          <w:lang w:val="fr-FR"/>
        </w:rPr>
        <w:t>’</w:t>
      </w:r>
      <w:r w:rsidR="008101BA" w:rsidRPr="00693E45">
        <w:rPr>
          <w:lang w:val="fr-FR"/>
        </w:rPr>
        <w:t xml:space="preserve">appliquer dans la </w:t>
      </w:r>
      <w:r w:rsidR="009B7882" w:rsidRPr="00693E45">
        <w:rPr>
          <w:lang w:val="fr-FR"/>
        </w:rPr>
        <w:t>règle 8</w:t>
      </w:r>
      <w:r w:rsidR="008101BA" w:rsidRPr="00693E45">
        <w:rPr>
          <w:lang w:val="fr-FR"/>
        </w:rPr>
        <w:t>2</w:t>
      </w:r>
      <w:r w:rsidR="008101BA" w:rsidRPr="00693E45">
        <w:rPr>
          <w:i/>
          <w:iCs/>
          <w:lang w:val="fr-FR"/>
        </w:rPr>
        <w:t>quater</w:t>
      </w:r>
      <w:r w:rsidR="008101BA" w:rsidRPr="00693E45">
        <w:rPr>
          <w:lang w:val="fr-FR"/>
        </w:rPr>
        <w:t>.3.b) propos</w:t>
      </w:r>
      <w:r w:rsidR="003D2437" w:rsidRPr="00693E45">
        <w:rPr>
          <w:lang w:val="fr-FR"/>
        </w:rPr>
        <w:t>ée.  Su</w:t>
      </w:r>
      <w:r w:rsidR="00294A96" w:rsidRPr="00693E45">
        <w:rPr>
          <w:lang w:val="fr-FR"/>
        </w:rPr>
        <w:t>r le dernier point, l</w:t>
      </w:r>
      <w:r w:rsidR="009B7882" w:rsidRPr="00693E45">
        <w:rPr>
          <w:lang w:val="fr-FR"/>
        </w:rPr>
        <w:t>’</w:t>
      </w:r>
      <w:r w:rsidR="00294A96" w:rsidRPr="00693E45">
        <w:rPr>
          <w:lang w:val="fr-FR"/>
        </w:rPr>
        <w:t>une des administrations a demandé des éclaircissements</w:t>
      </w:r>
      <w:r w:rsidR="00F17773" w:rsidRPr="00693E45">
        <w:rPr>
          <w:lang w:val="fr-FR"/>
        </w:rPr>
        <w:t>, par exemple s</w:t>
      </w:r>
      <w:r w:rsidR="009B7882" w:rsidRPr="00693E45">
        <w:rPr>
          <w:lang w:val="fr-FR"/>
        </w:rPr>
        <w:t>’</w:t>
      </w:r>
      <w:r w:rsidR="00F17773" w:rsidRPr="00693E45">
        <w:rPr>
          <w:lang w:val="fr-FR"/>
        </w:rPr>
        <w:t>agissant des instructions administratives, concernant les actions à entreprendre et à surveiller par les administrations en cas de multiplicité de prorogations</w:t>
      </w:r>
      <w:r w:rsidR="003D64A8" w:rsidRPr="00693E45">
        <w:rPr>
          <w:lang w:val="fr-FR"/>
        </w:rPr>
        <w:t xml:space="preserve"> dans la phase internationale, en faisant observer que des prorogations multiples p</w:t>
      </w:r>
      <w:r w:rsidR="009F142D" w:rsidRPr="00693E45">
        <w:rPr>
          <w:lang w:val="fr-FR"/>
        </w:rPr>
        <w:t>ouvaie</w:t>
      </w:r>
      <w:r w:rsidR="003D64A8" w:rsidRPr="00693E45">
        <w:rPr>
          <w:lang w:val="fr-FR"/>
        </w:rPr>
        <w:t xml:space="preserve">nt avoir une incidence sur la publication internationale et </w:t>
      </w:r>
      <w:r w:rsidR="009F142D" w:rsidRPr="00693E45">
        <w:rPr>
          <w:lang w:val="fr-FR"/>
        </w:rPr>
        <w:t>entraîner</w:t>
      </w:r>
      <w:r w:rsidR="003D64A8" w:rsidRPr="00693E45">
        <w:rPr>
          <w:lang w:val="fr-FR"/>
        </w:rPr>
        <w:t xml:space="preserve"> un dépassement du délai prévu pour l</w:t>
      </w:r>
      <w:r w:rsidR="009B7882" w:rsidRPr="00693E45">
        <w:rPr>
          <w:lang w:val="fr-FR"/>
        </w:rPr>
        <w:t>’</w:t>
      </w:r>
      <w:r w:rsidR="003D64A8" w:rsidRPr="00693E45">
        <w:rPr>
          <w:lang w:val="fr-FR"/>
        </w:rPr>
        <w:t>ouverture de la phase nationale.</w:t>
      </w:r>
      <w:bookmarkEnd w:id="8"/>
    </w:p>
    <w:p w14:paraId="5F1E080E" w14:textId="74533A25" w:rsidR="00E65068" w:rsidRPr="00693E45" w:rsidRDefault="00270C41" w:rsidP="00CB4729">
      <w:pPr>
        <w:pStyle w:val="ONUMFS"/>
        <w:rPr>
          <w:lang w:val="fr-FR"/>
        </w:rPr>
      </w:pPr>
      <w:r w:rsidRPr="00693E45">
        <w:rPr>
          <w:lang w:val="fr-FR"/>
        </w:rPr>
        <w:t>Une administration a mis l</w:t>
      </w:r>
      <w:r w:rsidR="009B7882" w:rsidRPr="00693E45">
        <w:rPr>
          <w:lang w:val="fr-FR"/>
        </w:rPr>
        <w:t>’</w:t>
      </w:r>
      <w:r w:rsidRPr="00693E45">
        <w:rPr>
          <w:lang w:val="fr-FR"/>
        </w:rPr>
        <w:t xml:space="preserve">accent sur plusieurs préoccupations de principe concernant le fonctionnement de la </w:t>
      </w:r>
      <w:r w:rsidR="009B7882" w:rsidRPr="00693E45">
        <w:rPr>
          <w:lang w:val="fr-FR"/>
        </w:rPr>
        <w:t>règle 8</w:t>
      </w:r>
      <w:r w:rsidRPr="00693E45">
        <w:rPr>
          <w:lang w:val="fr-FR"/>
        </w:rPr>
        <w:t>2</w:t>
      </w:r>
      <w:r w:rsidRPr="00693E45">
        <w:rPr>
          <w:i/>
          <w:iCs/>
          <w:lang w:val="fr-FR"/>
        </w:rPr>
        <w:t>quater</w:t>
      </w:r>
      <w:r w:rsidRPr="00693E45">
        <w:rPr>
          <w:lang w:val="fr-FR"/>
        </w:rPr>
        <w:t>.3 proposé dans le docume</w:t>
      </w:r>
      <w:r w:rsidR="003D2437" w:rsidRPr="00693E45">
        <w:rPr>
          <w:lang w:val="fr-FR"/>
        </w:rPr>
        <w:t>nt.  Ce</w:t>
      </w:r>
      <w:r w:rsidR="007C6B9C" w:rsidRPr="00693E45">
        <w:rPr>
          <w:lang w:val="fr-FR"/>
        </w:rPr>
        <w:t xml:space="preserve">tte administration a </w:t>
      </w:r>
      <w:r w:rsidR="007C6B9C" w:rsidRPr="00693E45">
        <w:rPr>
          <w:lang w:val="fr-FR"/>
        </w:rPr>
        <w:lastRenderedPageBreak/>
        <w:t>souligné que</w:t>
      </w:r>
      <w:r w:rsidR="00436B91" w:rsidRPr="00693E45">
        <w:rPr>
          <w:lang w:val="fr-FR"/>
        </w:rPr>
        <w:t xml:space="preserve"> pour être </w:t>
      </w:r>
      <w:r w:rsidR="00661EEF" w:rsidRPr="00693E45">
        <w:rPr>
          <w:lang w:val="fr-FR"/>
        </w:rPr>
        <w:t xml:space="preserve">excusé de </w:t>
      </w:r>
      <w:r w:rsidR="00F66203" w:rsidRPr="00693E45">
        <w:rPr>
          <w:lang w:val="fr-FR"/>
        </w:rPr>
        <w:t>l</w:t>
      </w:r>
      <w:r w:rsidR="009B7882" w:rsidRPr="00693E45">
        <w:rPr>
          <w:lang w:val="fr-FR"/>
        </w:rPr>
        <w:t>’</w:t>
      </w:r>
      <w:r w:rsidR="00F66203" w:rsidRPr="00693E45">
        <w:rPr>
          <w:lang w:val="fr-FR"/>
        </w:rPr>
        <w:t>inobservation d</w:t>
      </w:r>
      <w:r w:rsidR="009B7882" w:rsidRPr="00693E45">
        <w:rPr>
          <w:lang w:val="fr-FR"/>
        </w:rPr>
        <w:t>’</w:t>
      </w:r>
      <w:r w:rsidR="00661EEF" w:rsidRPr="00693E45">
        <w:rPr>
          <w:lang w:val="fr-FR"/>
        </w:rPr>
        <w:t xml:space="preserve">une exigence, un déposant doit avoir subi </w:t>
      </w:r>
      <w:r w:rsidR="00E65068" w:rsidRPr="00693E45">
        <w:rPr>
          <w:lang w:val="fr-FR"/>
        </w:rPr>
        <w:t>d</w:t>
      </w:r>
      <w:r w:rsidR="00661EEF" w:rsidRPr="00693E45">
        <w:rPr>
          <w:lang w:val="fr-FR"/>
        </w:rPr>
        <w:t>es effets</w:t>
      </w:r>
      <w:r w:rsidR="00E65068" w:rsidRPr="00693E45">
        <w:rPr>
          <w:lang w:val="fr-FR"/>
        </w:rPr>
        <w:t xml:space="preserve"> par suite</w:t>
      </w:r>
      <w:r w:rsidR="00661EEF" w:rsidRPr="00693E45">
        <w:rPr>
          <w:lang w:val="fr-FR"/>
        </w:rPr>
        <w:t xml:space="preserve"> de l</w:t>
      </w:r>
      <w:r w:rsidR="009B7882" w:rsidRPr="00693E45">
        <w:rPr>
          <w:lang w:val="fr-FR"/>
        </w:rPr>
        <w:t>’</w:t>
      </w:r>
      <w:r w:rsidR="00661EEF" w:rsidRPr="00693E45">
        <w:rPr>
          <w:lang w:val="fr-FR"/>
        </w:rPr>
        <w:t xml:space="preserve">événement </w:t>
      </w:r>
      <w:r w:rsidR="009B7882" w:rsidRPr="00693E45">
        <w:rPr>
          <w:lang w:val="fr-FR"/>
        </w:rPr>
        <w:t>à l’égard</w:t>
      </w:r>
      <w:r w:rsidR="00661EEF" w:rsidRPr="00693E45">
        <w:rPr>
          <w:lang w:val="fr-FR"/>
        </w:rPr>
        <w:t xml:space="preserve"> duquel cette excuse est </w:t>
      </w:r>
      <w:proofErr w:type="gramStart"/>
      <w:r w:rsidR="00661EEF" w:rsidRPr="00693E45">
        <w:rPr>
          <w:lang w:val="fr-FR"/>
        </w:rPr>
        <w:t xml:space="preserve">accordée;  </w:t>
      </w:r>
      <w:r w:rsidR="00C15C01" w:rsidRPr="00693E45">
        <w:rPr>
          <w:lang w:val="fr-FR"/>
        </w:rPr>
        <w:t>si</w:t>
      </w:r>
      <w:proofErr w:type="gramEnd"/>
      <w:r w:rsidR="00C15C01" w:rsidRPr="00693E45">
        <w:rPr>
          <w:lang w:val="fr-FR"/>
        </w:rPr>
        <w:t xml:space="preserve"> le déposant n</w:t>
      </w:r>
      <w:r w:rsidR="009B7882" w:rsidRPr="00693E45">
        <w:rPr>
          <w:lang w:val="fr-FR"/>
        </w:rPr>
        <w:t>’</w:t>
      </w:r>
      <w:r w:rsidR="00C15C01" w:rsidRPr="00693E45">
        <w:rPr>
          <w:lang w:val="fr-FR"/>
        </w:rPr>
        <w:t xml:space="preserve">a pas été </w:t>
      </w:r>
      <w:r w:rsidR="00F66203" w:rsidRPr="00693E45">
        <w:rPr>
          <w:lang w:val="fr-FR"/>
        </w:rPr>
        <w:t>touch</w:t>
      </w:r>
      <w:r w:rsidR="00C15C01" w:rsidRPr="00693E45">
        <w:rPr>
          <w:lang w:val="fr-FR"/>
        </w:rPr>
        <w:t xml:space="preserve">é par cet événement, </w:t>
      </w:r>
      <w:r w:rsidR="00AB5972" w:rsidRPr="00693E45">
        <w:rPr>
          <w:lang w:val="fr-FR"/>
        </w:rPr>
        <w:t>on devrait s</w:t>
      </w:r>
      <w:r w:rsidR="009B7882" w:rsidRPr="00693E45">
        <w:rPr>
          <w:lang w:val="fr-FR"/>
        </w:rPr>
        <w:t>’</w:t>
      </w:r>
      <w:r w:rsidR="00AB5972" w:rsidRPr="00693E45">
        <w:rPr>
          <w:lang w:val="fr-FR"/>
        </w:rPr>
        <w:t>attendre à ce qu</w:t>
      </w:r>
      <w:r w:rsidR="009B7882" w:rsidRPr="00693E45">
        <w:rPr>
          <w:lang w:val="fr-FR"/>
        </w:rPr>
        <w:t>’</w:t>
      </w:r>
      <w:r w:rsidR="00AB5972" w:rsidRPr="00693E45">
        <w:rPr>
          <w:lang w:val="fr-FR"/>
        </w:rPr>
        <w:t>il</w:t>
      </w:r>
      <w:r w:rsidR="00731EEF" w:rsidRPr="00693E45">
        <w:rPr>
          <w:lang w:val="fr-FR"/>
        </w:rPr>
        <w:t xml:space="preserve"> continue à remplir ses obligatio</w:t>
      </w:r>
      <w:r w:rsidR="003D2437" w:rsidRPr="00693E45">
        <w:rPr>
          <w:lang w:val="fr-FR"/>
        </w:rPr>
        <w:t>ns.  Il</w:t>
      </w:r>
      <w:r w:rsidR="00F76AE2" w:rsidRPr="00693E45">
        <w:rPr>
          <w:lang w:val="fr-FR"/>
        </w:rPr>
        <w:t xml:space="preserve"> s</w:t>
      </w:r>
      <w:r w:rsidR="009B7882" w:rsidRPr="00693E45">
        <w:rPr>
          <w:lang w:val="fr-FR"/>
        </w:rPr>
        <w:t>’</w:t>
      </w:r>
      <w:r w:rsidR="00F76AE2" w:rsidRPr="00693E45">
        <w:rPr>
          <w:lang w:val="fr-FR"/>
        </w:rPr>
        <w:t>agissait là d</w:t>
      </w:r>
      <w:r w:rsidR="009B7882" w:rsidRPr="00693E45">
        <w:rPr>
          <w:lang w:val="fr-FR"/>
        </w:rPr>
        <w:t>’</w:t>
      </w:r>
      <w:r w:rsidR="00F76AE2" w:rsidRPr="00693E45">
        <w:rPr>
          <w:lang w:val="fr-FR"/>
        </w:rPr>
        <w:t xml:space="preserve">un aspect essentiel pour cette administration.  </w:t>
      </w:r>
      <w:r w:rsidR="009F20F7" w:rsidRPr="00693E45">
        <w:rPr>
          <w:lang w:val="fr-FR"/>
        </w:rPr>
        <w:t xml:space="preserve">Selon les dispositions évoquées au </w:t>
      </w:r>
      <w:r w:rsidR="009B7882" w:rsidRPr="00693E45">
        <w:rPr>
          <w:lang w:val="fr-FR"/>
        </w:rPr>
        <w:t>paragraphe 2</w:t>
      </w:r>
      <w:r w:rsidR="009F20F7" w:rsidRPr="00693E45">
        <w:rPr>
          <w:lang w:val="fr-FR"/>
        </w:rPr>
        <w:t>5 ci</w:t>
      </w:r>
      <w:r w:rsidR="00CB4729" w:rsidRPr="00693E45">
        <w:rPr>
          <w:lang w:val="fr-FR"/>
        </w:rPr>
        <w:noBreakHyphen/>
      </w:r>
      <w:r w:rsidR="009F20F7" w:rsidRPr="00693E45">
        <w:rPr>
          <w:lang w:val="fr-FR"/>
        </w:rPr>
        <w:t>dessus</w:t>
      </w:r>
      <w:r w:rsidR="004928FB" w:rsidRPr="00693E45">
        <w:rPr>
          <w:lang w:val="fr-FR"/>
        </w:rPr>
        <w:t xml:space="preserve"> et </w:t>
      </w:r>
      <w:r w:rsidR="009F20F7" w:rsidRPr="00693E45">
        <w:rPr>
          <w:lang w:val="fr-FR"/>
        </w:rPr>
        <w:t>destinées à être soumises à l</w:t>
      </w:r>
      <w:r w:rsidR="009B7882" w:rsidRPr="00693E45">
        <w:rPr>
          <w:lang w:val="fr-FR"/>
        </w:rPr>
        <w:t>’</w:t>
      </w:r>
      <w:r w:rsidR="009F20F7" w:rsidRPr="00693E45">
        <w:rPr>
          <w:lang w:val="fr-FR"/>
        </w:rPr>
        <w:t>Assemblée de l</w:t>
      </w:r>
      <w:r w:rsidR="009B7882" w:rsidRPr="00693E45">
        <w:rPr>
          <w:lang w:val="fr-FR"/>
        </w:rPr>
        <w:t>’</w:t>
      </w:r>
      <w:r w:rsidR="009F20F7" w:rsidRPr="00693E45">
        <w:rPr>
          <w:lang w:val="fr-FR"/>
        </w:rPr>
        <w:t xml:space="preserve">Union de </w:t>
      </w:r>
      <w:r w:rsidR="009B7882" w:rsidRPr="00693E45">
        <w:rPr>
          <w:lang w:val="fr-FR"/>
        </w:rPr>
        <w:t>La Haye</w:t>
      </w:r>
      <w:r w:rsidR="009F20F7" w:rsidRPr="00693E45">
        <w:rPr>
          <w:lang w:val="fr-FR"/>
        </w:rPr>
        <w:t xml:space="preserve"> afin de prévoir une excuse de retard, </w:t>
      </w:r>
      <w:r w:rsidR="00DD6184" w:rsidRPr="00693E45">
        <w:rPr>
          <w:lang w:val="fr-FR"/>
        </w:rPr>
        <w:t>le déposant qui n</w:t>
      </w:r>
      <w:r w:rsidR="009B7882" w:rsidRPr="00693E45">
        <w:rPr>
          <w:lang w:val="fr-FR"/>
        </w:rPr>
        <w:t>’</w:t>
      </w:r>
      <w:r w:rsidR="00DD6184" w:rsidRPr="00693E45">
        <w:rPr>
          <w:lang w:val="fr-FR"/>
        </w:rPr>
        <w:t>a pas respecté un délai doit démontrer qu</w:t>
      </w:r>
      <w:r w:rsidR="009B7882" w:rsidRPr="00693E45">
        <w:rPr>
          <w:lang w:val="fr-FR"/>
        </w:rPr>
        <w:t>’</w:t>
      </w:r>
      <w:r w:rsidR="00DD6184" w:rsidRPr="00693E45">
        <w:rPr>
          <w:lang w:val="fr-FR"/>
        </w:rPr>
        <w:t xml:space="preserve">il en a été empêché par une situation de force majeure ou, </w:t>
      </w:r>
      <w:r w:rsidR="00BC5EEA" w:rsidRPr="00693E45">
        <w:rPr>
          <w:lang w:val="fr-FR"/>
        </w:rPr>
        <w:t>en cas de renonciation à l</w:t>
      </w:r>
      <w:r w:rsidR="009B7882" w:rsidRPr="00693E45">
        <w:rPr>
          <w:lang w:val="fr-FR"/>
        </w:rPr>
        <w:t>’</w:t>
      </w:r>
      <w:r w:rsidR="00BC5EEA" w:rsidRPr="00693E45">
        <w:rPr>
          <w:lang w:val="fr-FR"/>
        </w:rPr>
        <w:t xml:space="preserve">exigence de </w:t>
      </w:r>
      <w:r w:rsidR="005B3D7E" w:rsidRPr="00693E45">
        <w:rPr>
          <w:lang w:val="fr-FR"/>
        </w:rPr>
        <w:t>production de preuve</w:t>
      </w:r>
      <w:r w:rsidR="00BC5EEA" w:rsidRPr="00693E45">
        <w:rPr>
          <w:lang w:val="fr-FR"/>
        </w:rPr>
        <w:t>, présenter une déclaration</w:t>
      </w:r>
      <w:r w:rsidR="004928FB" w:rsidRPr="00693E45">
        <w:rPr>
          <w:lang w:val="fr-FR"/>
        </w:rPr>
        <w:t xml:space="preserve"> attestant que la raison de son inobservation du délai était celle </w:t>
      </w:r>
      <w:r w:rsidR="009B7882" w:rsidRPr="00693E45">
        <w:rPr>
          <w:lang w:val="fr-FR"/>
        </w:rPr>
        <w:t>à l’égard</w:t>
      </w:r>
      <w:r w:rsidR="004928FB" w:rsidRPr="00693E45">
        <w:rPr>
          <w:lang w:val="fr-FR"/>
        </w:rPr>
        <w:t xml:space="preserve"> de laquelle il a été renoncé à l</w:t>
      </w:r>
      <w:r w:rsidR="009B7882" w:rsidRPr="00693E45">
        <w:rPr>
          <w:lang w:val="fr-FR"/>
        </w:rPr>
        <w:t>’</w:t>
      </w:r>
      <w:r w:rsidR="004928FB" w:rsidRPr="00693E45">
        <w:rPr>
          <w:lang w:val="fr-FR"/>
        </w:rPr>
        <w:t xml:space="preserve">exigence de </w:t>
      </w:r>
      <w:r w:rsidR="005B3D7E" w:rsidRPr="00693E45">
        <w:rPr>
          <w:lang w:val="fr-FR"/>
        </w:rPr>
        <w:t>production de preu</w:t>
      </w:r>
      <w:r w:rsidR="003D2437" w:rsidRPr="00693E45">
        <w:rPr>
          <w:lang w:val="fr-FR"/>
        </w:rPr>
        <w:t>ve.  Il</w:t>
      </w:r>
      <w:r w:rsidR="00A92DAF" w:rsidRPr="00693E45">
        <w:rPr>
          <w:lang w:val="fr-FR"/>
        </w:rPr>
        <w:t xml:space="preserve"> était important, pour le maintien de la cohérence entre les différents systèmes mondiaux d</w:t>
      </w:r>
      <w:r w:rsidR="009B7882" w:rsidRPr="00693E45">
        <w:rPr>
          <w:lang w:val="fr-FR"/>
        </w:rPr>
        <w:t>’</w:t>
      </w:r>
      <w:r w:rsidR="00A92DAF" w:rsidRPr="00693E45">
        <w:rPr>
          <w:lang w:val="fr-FR"/>
        </w:rPr>
        <w:t>enregistrement de l</w:t>
      </w:r>
      <w:r w:rsidR="009B7882" w:rsidRPr="00693E45">
        <w:rPr>
          <w:lang w:val="fr-FR"/>
        </w:rPr>
        <w:t>’</w:t>
      </w:r>
      <w:r w:rsidR="00A92DAF" w:rsidRPr="00693E45">
        <w:rPr>
          <w:lang w:val="fr-FR"/>
        </w:rPr>
        <w:t>OMPI, de faire en sorte que le même principe s</w:t>
      </w:r>
      <w:r w:rsidR="009B7882" w:rsidRPr="00693E45">
        <w:rPr>
          <w:lang w:val="fr-FR"/>
        </w:rPr>
        <w:t>’</w:t>
      </w:r>
      <w:r w:rsidR="00A92DAF" w:rsidRPr="00693E45">
        <w:rPr>
          <w:lang w:val="fr-FR"/>
        </w:rPr>
        <w:t>applique au système</w:t>
      </w:r>
      <w:r w:rsidR="009B7882" w:rsidRPr="00693E45">
        <w:rPr>
          <w:lang w:val="fr-FR"/>
        </w:rPr>
        <w:t xml:space="preserve"> du </w:t>
      </w:r>
      <w:r w:rsidR="003D2437" w:rsidRPr="00693E45">
        <w:rPr>
          <w:lang w:val="fr-FR"/>
        </w:rPr>
        <w:t>PCT.  Qu</w:t>
      </w:r>
      <w:r w:rsidR="00A92DAF" w:rsidRPr="00693E45">
        <w:rPr>
          <w:lang w:val="fr-FR"/>
        </w:rPr>
        <w:t>i plus est,</w:t>
      </w:r>
      <w:r w:rsidR="005B3D7E" w:rsidRPr="00693E45">
        <w:rPr>
          <w:lang w:val="fr-FR"/>
        </w:rPr>
        <w:t xml:space="preserve"> cette administration </w:t>
      </w:r>
      <w:r w:rsidR="00A92DAF" w:rsidRPr="00693E45">
        <w:rPr>
          <w:lang w:val="fr-FR"/>
        </w:rPr>
        <w:t xml:space="preserve">avait pu constater que </w:t>
      </w:r>
      <w:r w:rsidR="005B3D7E" w:rsidRPr="00693E45">
        <w:rPr>
          <w:lang w:val="fr-FR"/>
        </w:rPr>
        <w:t>le poids administratif lié à l</w:t>
      </w:r>
      <w:r w:rsidR="009B7882" w:rsidRPr="00693E45">
        <w:rPr>
          <w:lang w:val="fr-FR"/>
        </w:rPr>
        <w:t>’</w:t>
      </w:r>
      <w:r w:rsidR="005B3D7E" w:rsidRPr="00693E45">
        <w:rPr>
          <w:lang w:val="fr-FR"/>
        </w:rPr>
        <w:t xml:space="preserve">exigence </w:t>
      </w:r>
      <w:r w:rsidR="000543E8" w:rsidRPr="00693E45">
        <w:rPr>
          <w:lang w:val="fr-FR"/>
        </w:rPr>
        <w:t>d</w:t>
      </w:r>
      <w:r w:rsidR="009B7882" w:rsidRPr="00693E45">
        <w:rPr>
          <w:lang w:val="fr-FR"/>
        </w:rPr>
        <w:t>’</w:t>
      </w:r>
      <w:r w:rsidR="000543E8" w:rsidRPr="00693E45">
        <w:rPr>
          <w:lang w:val="fr-FR"/>
        </w:rPr>
        <w:t>obtention d</w:t>
      </w:r>
      <w:r w:rsidR="009B7882" w:rsidRPr="00693E45">
        <w:rPr>
          <w:lang w:val="fr-FR"/>
        </w:rPr>
        <w:t>’</w:t>
      </w:r>
      <w:r w:rsidR="000543E8" w:rsidRPr="00693E45">
        <w:rPr>
          <w:lang w:val="fr-FR"/>
        </w:rPr>
        <w:t>une déclaration du déposant attestant qu</w:t>
      </w:r>
      <w:r w:rsidR="009B7882" w:rsidRPr="00693E45">
        <w:rPr>
          <w:lang w:val="fr-FR"/>
        </w:rPr>
        <w:t>’</w:t>
      </w:r>
      <w:r w:rsidR="000543E8" w:rsidRPr="00693E45">
        <w:rPr>
          <w:lang w:val="fr-FR"/>
        </w:rPr>
        <w:t>un retard était dû à l</w:t>
      </w:r>
      <w:r w:rsidR="009B7882" w:rsidRPr="00693E45">
        <w:rPr>
          <w:lang w:val="fr-FR"/>
        </w:rPr>
        <w:t>’</w:t>
      </w:r>
      <w:r w:rsidR="000543E8" w:rsidRPr="00693E45">
        <w:rPr>
          <w:lang w:val="fr-FR"/>
        </w:rPr>
        <w:t>événement</w:t>
      </w:r>
      <w:r w:rsidR="003D7C93" w:rsidRPr="00693E45">
        <w:rPr>
          <w:lang w:val="fr-FR"/>
        </w:rPr>
        <w:t xml:space="preserve"> </w:t>
      </w:r>
      <w:r w:rsidR="009B7882" w:rsidRPr="00693E45">
        <w:rPr>
          <w:lang w:val="fr-FR"/>
        </w:rPr>
        <w:t>à l’égard</w:t>
      </w:r>
      <w:r w:rsidR="003D7C93" w:rsidRPr="00693E45">
        <w:rPr>
          <w:lang w:val="fr-FR"/>
        </w:rPr>
        <w:t xml:space="preserve"> duquel </w:t>
      </w:r>
      <w:r w:rsidR="000543E8" w:rsidRPr="00693E45">
        <w:rPr>
          <w:lang w:val="fr-FR"/>
        </w:rPr>
        <w:t>il demandait</w:t>
      </w:r>
      <w:r w:rsidR="003D7C93" w:rsidRPr="00693E45">
        <w:rPr>
          <w:lang w:val="fr-FR"/>
        </w:rPr>
        <w:t xml:space="preserve"> une renonciation</w:t>
      </w:r>
      <w:r w:rsidR="005B3D7E" w:rsidRPr="00693E45">
        <w:rPr>
          <w:lang w:val="fr-FR"/>
        </w:rPr>
        <w:t xml:space="preserve"> </w:t>
      </w:r>
      <w:r w:rsidR="003D7C93" w:rsidRPr="00693E45">
        <w:rPr>
          <w:lang w:val="fr-FR"/>
        </w:rPr>
        <w:t>était négligeable pour elle et serait probablement insignifiant pour le déposa</w:t>
      </w:r>
      <w:r w:rsidR="003D2437" w:rsidRPr="00693E45">
        <w:rPr>
          <w:lang w:val="fr-FR"/>
        </w:rPr>
        <w:t>nt.  En</w:t>
      </w:r>
      <w:r w:rsidR="00E65068" w:rsidRPr="00693E45">
        <w:rPr>
          <w:lang w:val="fr-FR"/>
        </w:rPr>
        <w:t xml:space="preserve"> outre</w:t>
      </w:r>
      <w:r w:rsidR="00ED720F" w:rsidRPr="00693E45">
        <w:rPr>
          <w:lang w:val="fr-FR"/>
        </w:rPr>
        <w:t>, les dispositions limitant l</w:t>
      </w:r>
      <w:r w:rsidR="009B7882" w:rsidRPr="00693E45">
        <w:rPr>
          <w:lang w:val="fr-FR"/>
        </w:rPr>
        <w:t>’</w:t>
      </w:r>
      <w:r w:rsidR="00ED720F" w:rsidRPr="00693E45">
        <w:rPr>
          <w:lang w:val="fr-FR"/>
        </w:rPr>
        <w:t>application de la règle proposée aux cas où la perturbation s</w:t>
      </w:r>
      <w:r w:rsidR="009B7882" w:rsidRPr="00693E45">
        <w:rPr>
          <w:lang w:val="fr-FR"/>
        </w:rPr>
        <w:t>’</w:t>
      </w:r>
      <w:r w:rsidR="00ED720F" w:rsidRPr="00693E45">
        <w:rPr>
          <w:lang w:val="fr-FR"/>
        </w:rPr>
        <w:t>est produite dans l</w:t>
      </w:r>
      <w:r w:rsidR="009B7882" w:rsidRPr="00693E45">
        <w:rPr>
          <w:lang w:val="fr-FR"/>
        </w:rPr>
        <w:t>’</w:t>
      </w:r>
      <w:r w:rsidR="00ED720F" w:rsidRPr="00693E45">
        <w:rPr>
          <w:lang w:val="fr-FR"/>
        </w:rPr>
        <w:t>État dans lequel est situé l</w:t>
      </w:r>
      <w:r w:rsidR="009B7882" w:rsidRPr="00693E45">
        <w:rPr>
          <w:lang w:val="fr-FR"/>
        </w:rPr>
        <w:t>’</w:t>
      </w:r>
      <w:r w:rsidR="00ED720F" w:rsidRPr="00693E45">
        <w:rPr>
          <w:lang w:val="fr-FR"/>
        </w:rPr>
        <w:t xml:space="preserve">office sont inutiles et injustes </w:t>
      </w:r>
      <w:r w:rsidR="009B7882" w:rsidRPr="00693E45">
        <w:rPr>
          <w:lang w:val="fr-FR"/>
        </w:rPr>
        <w:t>à l’égard</w:t>
      </w:r>
      <w:r w:rsidR="00ED720F" w:rsidRPr="00693E45">
        <w:rPr>
          <w:lang w:val="fr-FR"/>
        </w:rPr>
        <w:t xml:space="preserve"> des déposants d</w:t>
      </w:r>
      <w:r w:rsidR="009B7882" w:rsidRPr="00693E45">
        <w:rPr>
          <w:lang w:val="fr-FR"/>
        </w:rPr>
        <w:t>’</w:t>
      </w:r>
      <w:r w:rsidR="00ED720F" w:rsidRPr="00693E45">
        <w:rPr>
          <w:lang w:val="fr-FR"/>
        </w:rPr>
        <w:t>autres États, dans lesquels de telles perturbations pourraient se produire sans donner lieu à une renonciation parce que leurs effets ne s</w:t>
      </w:r>
      <w:r w:rsidR="009B7882" w:rsidRPr="00693E45">
        <w:rPr>
          <w:lang w:val="fr-FR"/>
        </w:rPr>
        <w:t>’</w:t>
      </w:r>
      <w:r w:rsidR="00ED720F" w:rsidRPr="00693E45">
        <w:rPr>
          <w:lang w:val="fr-FR"/>
        </w:rPr>
        <w:t>étendraient pas à l</w:t>
      </w:r>
      <w:r w:rsidR="009B7882" w:rsidRPr="00693E45">
        <w:rPr>
          <w:lang w:val="fr-FR"/>
        </w:rPr>
        <w:t>’</w:t>
      </w:r>
      <w:r w:rsidR="00ED720F" w:rsidRPr="00693E45">
        <w:rPr>
          <w:lang w:val="fr-FR"/>
        </w:rPr>
        <w:t>État dans lequel serait situé l</w:t>
      </w:r>
      <w:r w:rsidR="009B7882" w:rsidRPr="00693E45">
        <w:rPr>
          <w:lang w:val="fr-FR"/>
        </w:rPr>
        <w:t>’</w:t>
      </w:r>
      <w:r w:rsidR="00ED720F" w:rsidRPr="00693E45">
        <w:rPr>
          <w:lang w:val="fr-FR"/>
        </w:rPr>
        <w:t>offi</w:t>
      </w:r>
      <w:r w:rsidR="003D2437" w:rsidRPr="00693E45">
        <w:rPr>
          <w:lang w:val="fr-FR"/>
        </w:rPr>
        <w:t>ce.  Ce</w:t>
      </w:r>
      <w:r w:rsidR="00932019" w:rsidRPr="00693E45">
        <w:rPr>
          <w:lang w:val="fr-FR"/>
        </w:rPr>
        <w:t>la semble problématique, particulièrement pour les offices régionaux et le Bureau internation</w:t>
      </w:r>
      <w:r w:rsidR="003D2437" w:rsidRPr="00693E45">
        <w:rPr>
          <w:lang w:val="fr-FR"/>
        </w:rPr>
        <w:t>al.  L’a</w:t>
      </w:r>
      <w:r w:rsidR="00932019" w:rsidRPr="00693E45">
        <w:rPr>
          <w:lang w:val="fr-FR"/>
        </w:rPr>
        <w:t>dministration a également observé qu</w:t>
      </w:r>
      <w:r w:rsidR="009B7882" w:rsidRPr="00693E45">
        <w:rPr>
          <w:lang w:val="fr-FR"/>
        </w:rPr>
        <w:t>’</w:t>
      </w:r>
      <w:r w:rsidR="00932019" w:rsidRPr="00693E45">
        <w:rPr>
          <w:lang w:val="fr-FR"/>
        </w:rPr>
        <w:t>une perturbation pouvait apparemment donner lieu à une renonciation si elle se produisait dans le pays dans lequel était situé l</w:t>
      </w:r>
      <w:r w:rsidR="009B7882" w:rsidRPr="00693E45">
        <w:rPr>
          <w:lang w:val="fr-FR"/>
        </w:rPr>
        <w:t>’</w:t>
      </w:r>
      <w:r w:rsidR="00932019" w:rsidRPr="00693E45">
        <w:rPr>
          <w:lang w:val="fr-FR"/>
        </w:rPr>
        <w:t>office en étant cependant sans effet dans la région de l</w:t>
      </w:r>
      <w:r w:rsidR="009B7882" w:rsidRPr="00693E45">
        <w:rPr>
          <w:lang w:val="fr-FR"/>
        </w:rPr>
        <w:t>’</w:t>
      </w:r>
      <w:r w:rsidR="00932019" w:rsidRPr="00693E45">
        <w:rPr>
          <w:lang w:val="fr-FR"/>
        </w:rPr>
        <w:t xml:space="preserve">office proprement dite, et que toute </w:t>
      </w:r>
      <w:r w:rsidR="00CF5F01" w:rsidRPr="00693E45">
        <w:rPr>
          <w:lang w:val="fr-FR"/>
        </w:rPr>
        <w:t>prorogation</w:t>
      </w:r>
      <w:r w:rsidR="00932019" w:rsidRPr="00693E45">
        <w:rPr>
          <w:lang w:val="fr-FR"/>
        </w:rPr>
        <w:t xml:space="preserve"> serait générale, c</w:t>
      </w:r>
      <w:r w:rsidR="009B7882" w:rsidRPr="00693E45">
        <w:rPr>
          <w:lang w:val="fr-FR"/>
        </w:rPr>
        <w:t>’</w:t>
      </w:r>
      <w:r w:rsidR="00932019" w:rsidRPr="00693E45">
        <w:rPr>
          <w:lang w:val="fr-FR"/>
        </w:rPr>
        <w:t>est</w:t>
      </w:r>
      <w:r w:rsidR="00CB4729" w:rsidRPr="00693E45">
        <w:rPr>
          <w:lang w:val="fr-FR"/>
        </w:rPr>
        <w:noBreakHyphen/>
      </w:r>
      <w:r w:rsidR="00932019" w:rsidRPr="00693E45">
        <w:rPr>
          <w:lang w:val="fr-FR"/>
        </w:rPr>
        <w:t>à</w:t>
      </w:r>
      <w:r w:rsidR="00CB4729" w:rsidRPr="00693E45">
        <w:rPr>
          <w:lang w:val="fr-FR"/>
        </w:rPr>
        <w:noBreakHyphen/>
      </w:r>
      <w:r w:rsidR="00932019" w:rsidRPr="00693E45">
        <w:rPr>
          <w:lang w:val="fr-FR"/>
        </w:rPr>
        <w:t>dire s</w:t>
      </w:r>
      <w:r w:rsidR="009B7882" w:rsidRPr="00693E45">
        <w:rPr>
          <w:lang w:val="fr-FR"/>
        </w:rPr>
        <w:t>’</w:t>
      </w:r>
      <w:r w:rsidR="00932019" w:rsidRPr="00693E45">
        <w:rPr>
          <w:lang w:val="fr-FR"/>
        </w:rPr>
        <w:t>appliquerait à tous les déposant</w:t>
      </w:r>
      <w:r w:rsidR="00A129A8" w:rsidRPr="00693E45">
        <w:rPr>
          <w:lang w:val="fr-FR"/>
        </w:rPr>
        <w:t>s</w:t>
      </w:r>
      <w:r w:rsidR="00932019" w:rsidRPr="00693E45">
        <w:rPr>
          <w:lang w:val="fr-FR"/>
        </w:rPr>
        <w:t>, quel que soit leur lieu de résiden</w:t>
      </w:r>
      <w:r w:rsidR="003D2437" w:rsidRPr="00693E45">
        <w:rPr>
          <w:lang w:val="fr-FR"/>
        </w:rPr>
        <w:t>ce.  L’a</w:t>
      </w:r>
      <w:r w:rsidR="00A129A8" w:rsidRPr="00693E45">
        <w:rPr>
          <w:lang w:val="fr-FR"/>
        </w:rPr>
        <w:t>dministration avait également d</w:t>
      </w:r>
      <w:r w:rsidR="009B7882" w:rsidRPr="00693E45">
        <w:rPr>
          <w:lang w:val="fr-FR"/>
        </w:rPr>
        <w:t>’</w:t>
      </w:r>
      <w:r w:rsidR="00A129A8" w:rsidRPr="00693E45">
        <w:rPr>
          <w:lang w:val="fr-FR"/>
        </w:rPr>
        <w:t>autres préoccupations concernant des points de détail</w:t>
      </w:r>
      <w:r w:rsidR="003B1533" w:rsidRPr="00693E45">
        <w:rPr>
          <w:lang w:val="fr-FR"/>
        </w:rPr>
        <w:t>, et a indiqué qu</w:t>
      </w:r>
      <w:r w:rsidR="009B7882" w:rsidRPr="00693E45">
        <w:rPr>
          <w:lang w:val="fr-FR"/>
        </w:rPr>
        <w:t>’</w:t>
      </w:r>
      <w:r w:rsidR="003B1533" w:rsidRPr="00693E45">
        <w:rPr>
          <w:lang w:val="fr-FR"/>
        </w:rPr>
        <w:t>elle les communiquerait à l</w:t>
      </w:r>
      <w:r w:rsidR="009B7882" w:rsidRPr="00693E45">
        <w:rPr>
          <w:lang w:val="fr-FR"/>
        </w:rPr>
        <w:t>’</w:t>
      </w:r>
      <w:r w:rsidR="003B1533" w:rsidRPr="00693E45">
        <w:rPr>
          <w:lang w:val="fr-FR"/>
        </w:rPr>
        <w:t>Office européen des brevets.</w:t>
      </w:r>
    </w:p>
    <w:p w14:paraId="2423D3C5" w14:textId="3E7DB6F6" w:rsidR="007F3D49" w:rsidRPr="00693E45" w:rsidRDefault="00302BE7" w:rsidP="00CB4729">
      <w:pPr>
        <w:pStyle w:val="ONUMFS"/>
        <w:rPr>
          <w:lang w:val="fr-FR"/>
        </w:rPr>
      </w:pPr>
      <w:r w:rsidRPr="00693E45">
        <w:rPr>
          <w:lang w:val="fr-FR"/>
        </w:rPr>
        <w:t>Une autre administration a exprimé des préoccupations concernant la règle</w:t>
      </w:r>
      <w:r w:rsidR="007F3D49" w:rsidRPr="00693E45">
        <w:rPr>
          <w:lang w:val="fr-FR"/>
        </w:rPr>
        <w:t> 82</w:t>
      </w:r>
      <w:r w:rsidR="007F3D49" w:rsidRPr="00693E45">
        <w:rPr>
          <w:i/>
          <w:lang w:val="fr-FR"/>
        </w:rPr>
        <w:t>quater</w:t>
      </w:r>
      <w:r w:rsidR="007F3D49" w:rsidRPr="00693E45">
        <w:rPr>
          <w:lang w:val="fr-FR"/>
        </w:rPr>
        <w:t>.3</w:t>
      </w:r>
      <w:r w:rsidRPr="00693E45">
        <w:rPr>
          <w:lang w:val="fr-FR"/>
        </w:rPr>
        <w:t xml:space="preserve"> propos</w:t>
      </w:r>
      <w:r w:rsidR="003D2437" w:rsidRPr="00693E45">
        <w:rPr>
          <w:lang w:val="fr-FR"/>
        </w:rPr>
        <w:t>ée.  Ay</w:t>
      </w:r>
      <w:r w:rsidR="002D52E9" w:rsidRPr="00693E45">
        <w:rPr>
          <w:lang w:val="fr-FR"/>
        </w:rPr>
        <w:t xml:space="preserve">ant appliqué la </w:t>
      </w:r>
      <w:r w:rsidR="002D52E9" w:rsidRPr="00693E45">
        <w:rPr>
          <w:i/>
          <w:iCs/>
          <w:lang w:val="fr-FR"/>
        </w:rPr>
        <w:t>Déclaration interprétative et changements de pratiques recommandés en rapport avec le Traité de coopération en matière de brevets (PCT) dans le contexte de la pandémie de COVID</w:t>
      </w:r>
      <w:r w:rsidR="00CB4729" w:rsidRPr="00693E45">
        <w:rPr>
          <w:i/>
          <w:iCs/>
          <w:lang w:val="fr-FR"/>
        </w:rPr>
        <w:noBreakHyphen/>
      </w:r>
      <w:r w:rsidR="002D52E9" w:rsidRPr="00693E45">
        <w:rPr>
          <w:i/>
          <w:iCs/>
          <w:lang w:val="fr-FR"/>
        </w:rPr>
        <w:t>19</w:t>
      </w:r>
      <w:r w:rsidR="002D52E9" w:rsidRPr="00693E45">
        <w:rPr>
          <w:lang w:val="fr-FR"/>
        </w:rPr>
        <w:t xml:space="preserve"> (“la déclaration interprétative”) publiée par le Bureau international le </w:t>
      </w:r>
      <w:r w:rsidR="009B7882" w:rsidRPr="00693E45">
        <w:rPr>
          <w:lang w:val="fr-FR"/>
        </w:rPr>
        <w:t>9 avril 20</w:t>
      </w:r>
      <w:r w:rsidR="002D52E9" w:rsidRPr="00693E45">
        <w:rPr>
          <w:lang w:val="fr-FR"/>
        </w:rPr>
        <w:t>20, cette administration a constaté</w:t>
      </w:r>
      <w:r w:rsidR="00DC3F2E" w:rsidRPr="00693E45">
        <w:rPr>
          <w:lang w:val="fr-FR"/>
        </w:rPr>
        <w:t xml:space="preserve"> </w:t>
      </w:r>
      <w:r w:rsidR="004E3C22" w:rsidRPr="00693E45">
        <w:rPr>
          <w:lang w:val="fr-FR"/>
        </w:rPr>
        <w:t>qu</w:t>
      </w:r>
      <w:r w:rsidR="009B7882" w:rsidRPr="00693E45">
        <w:rPr>
          <w:lang w:val="fr-FR"/>
        </w:rPr>
        <w:t>’</w:t>
      </w:r>
      <w:r w:rsidR="004E3C22" w:rsidRPr="00693E45">
        <w:rPr>
          <w:lang w:val="fr-FR"/>
        </w:rPr>
        <w:t>aucune difficulté particulière ne résultait du fait de demander une excuse de retard pour les déposants ni de l</w:t>
      </w:r>
      <w:r w:rsidR="009B7882" w:rsidRPr="00693E45">
        <w:rPr>
          <w:lang w:val="fr-FR"/>
        </w:rPr>
        <w:t>’</w:t>
      </w:r>
      <w:r w:rsidR="004E3C22" w:rsidRPr="00693E45">
        <w:rPr>
          <w:lang w:val="fr-FR"/>
        </w:rPr>
        <w:t>administration de ce type de demande pour les offices après une renonciation à l</w:t>
      </w:r>
      <w:r w:rsidR="009B7882" w:rsidRPr="00693E45">
        <w:rPr>
          <w:lang w:val="fr-FR"/>
        </w:rPr>
        <w:t>’</w:t>
      </w:r>
      <w:r w:rsidR="004E3C22" w:rsidRPr="00693E45">
        <w:rPr>
          <w:lang w:val="fr-FR"/>
        </w:rPr>
        <w:t xml:space="preserve">exigence de production de preuve en vertu de la </w:t>
      </w:r>
      <w:r w:rsidR="009B7882" w:rsidRPr="00693E45">
        <w:rPr>
          <w:lang w:val="fr-FR"/>
        </w:rPr>
        <w:t>règle 8</w:t>
      </w:r>
      <w:r w:rsidR="004E3C22" w:rsidRPr="00693E45">
        <w:rPr>
          <w:lang w:val="fr-FR"/>
        </w:rPr>
        <w:t>2</w:t>
      </w:r>
      <w:r w:rsidR="004E3C22" w:rsidRPr="00693E45">
        <w:rPr>
          <w:i/>
          <w:iCs/>
          <w:lang w:val="fr-FR"/>
        </w:rPr>
        <w:t>quater</w:t>
      </w:r>
      <w:r w:rsidR="004E3C22" w:rsidRPr="00693E45">
        <w:rPr>
          <w:lang w:val="fr-FR"/>
        </w:rPr>
        <w:t xml:space="preserve">.1.  </w:t>
      </w:r>
      <w:r w:rsidR="00FB4A03" w:rsidRPr="00693E45">
        <w:rPr>
          <w:lang w:val="fr-FR"/>
        </w:rPr>
        <w:t>Cette administration était donc favorable aux modification</w:t>
      </w:r>
      <w:r w:rsidR="004D7F80" w:rsidRPr="00693E45">
        <w:rPr>
          <w:lang w:val="fr-FR"/>
        </w:rPr>
        <w:t>s</w:t>
      </w:r>
      <w:r w:rsidR="00FB4A03" w:rsidRPr="00693E45">
        <w:rPr>
          <w:lang w:val="fr-FR"/>
        </w:rPr>
        <w:t xml:space="preserve"> de la </w:t>
      </w:r>
      <w:r w:rsidR="009B7882" w:rsidRPr="00693E45">
        <w:rPr>
          <w:lang w:val="fr-FR"/>
        </w:rPr>
        <w:t>règle 8</w:t>
      </w:r>
      <w:r w:rsidR="007F3D49" w:rsidRPr="00693E45">
        <w:rPr>
          <w:lang w:val="fr-FR"/>
        </w:rPr>
        <w:t>2</w:t>
      </w:r>
      <w:r w:rsidR="007F3D49" w:rsidRPr="00693E45">
        <w:rPr>
          <w:i/>
          <w:lang w:val="fr-FR"/>
        </w:rPr>
        <w:t>quater.</w:t>
      </w:r>
      <w:r w:rsidR="007F3D49" w:rsidRPr="00693E45">
        <w:rPr>
          <w:lang w:val="fr-FR"/>
        </w:rPr>
        <w:t xml:space="preserve">1 </w:t>
      </w:r>
      <w:r w:rsidR="004D7F80" w:rsidRPr="00693E45">
        <w:rPr>
          <w:lang w:val="fr-FR"/>
        </w:rPr>
        <w:t xml:space="preserve">proposées </w:t>
      </w:r>
      <w:r w:rsidR="00DA2882" w:rsidRPr="00693E45">
        <w:rPr>
          <w:lang w:val="fr-FR"/>
        </w:rPr>
        <w:t>pour</w:t>
      </w:r>
      <w:r w:rsidR="004D7F80" w:rsidRPr="00693E45">
        <w:rPr>
          <w:lang w:val="fr-FR"/>
        </w:rPr>
        <w:t xml:space="preserve"> donner effet à la déclaration interprétative dans le règlement</w:t>
      </w:r>
      <w:r w:rsidR="00F93DB1" w:rsidRPr="00693E45">
        <w:rPr>
          <w:lang w:val="fr-FR"/>
        </w:rPr>
        <w:t xml:space="preserve"> d</w:t>
      </w:r>
      <w:r w:rsidR="009B7882" w:rsidRPr="00693E45">
        <w:rPr>
          <w:lang w:val="fr-FR"/>
        </w:rPr>
        <w:t>’</w:t>
      </w:r>
      <w:r w:rsidR="00F93DB1" w:rsidRPr="00693E45">
        <w:rPr>
          <w:lang w:val="fr-FR"/>
        </w:rPr>
        <w:t>exécution</w:t>
      </w:r>
      <w:r w:rsidR="009B7882" w:rsidRPr="00693E45">
        <w:rPr>
          <w:lang w:val="fr-FR"/>
        </w:rPr>
        <w:t xml:space="preserve"> du PCT</w:t>
      </w:r>
      <w:r w:rsidR="004D7F80" w:rsidRPr="00693E45">
        <w:rPr>
          <w:lang w:val="fr-FR"/>
        </w:rPr>
        <w:t>, et a mentionné que le résultat de l</w:t>
      </w:r>
      <w:r w:rsidR="009B7882" w:rsidRPr="00693E45">
        <w:rPr>
          <w:lang w:val="fr-FR"/>
        </w:rPr>
        <w:t>’</w:t>
      </w:r>
      <w:r w:rsidR="004D7F80" w:rsidRPr="00693E45">
        <w:rPr>
          <w:lang w:val="fr-FR"/>
        </w:rPr>
        <w:t>évaluation de la mise en œuvre de la déclaration interprétative pou</w:t>
      </w:r>
      <w:r w:rsidR="00813698" w:rsidRPr="00693E45">
        <w:rPr>
          <w:lang w:val="fr-FR"/>
        </w:rPr>
        <w:t>rr</w:t>
      </w:r>
      <w:r w:rsidR="004D7F80" w:rsidRPr="00693E45">
        <w:rPr>
          <w:lang w:val="fr-FR"/>
        </w:rPr>
        <w:t>ait également être pris en compte</w:t>
      </w:r>
      <w:r w:rsidR="00813698" w:rsidRPr="00693E45">
        <w:rPr>
          <w:lang w:val="fr-FR"/>
        </w:rPr>
        <w:t xml:space="preserve"> aux fins de la décision relative à la modification du règleme</w:t>
      </w:r>
      <w:r w:rsidR="003D2437" w:rsidRPr="00693E45">
        <w:rPr>
          <w:lang w:val="fr-FR"/>
        </w:rPr>
        <w:t>nt.  L’a</w:t>
      </w:r>
      <w:r w:rsidR="002A17B0" w:rsidRPr="00693E45">
        <w:rPr>
          <w:lang w:val="fr-FR"/>
        </w:rPr>
        <w:t>dministration a observé que les règles existantes suffisaient pour fournir une solution aux parties touchées et a estimé, pour la même raison, qu</w:t>
      </w:r>
      <w:r w:rsidR="009B7882" w:rsidRPr="00693E45">
        <w:rPr>
          <w:lang w:val="fr-FR"/>
        </w:rPr>
        <w:t>’</w:t>
      </w:r>
      <w:r w:rsidR="002A17B0" w:rsidRPr="00693E45">
        <w:rPr>
          <w:lang w:val="fr-FR"/>
        </w:rPr>
        <w:t xml:space="preserve">une nouvelle </w:t>
      </w:r>
      <w:r w:rsidR="009B7882" w:rsidRPr="00693E45">
        <w:rPr>
          <w:lang w:val="fr-FR"/>
        </w:rPr>
        <w:t>règle 8</w:t>
      </w:r>
      <w:r w:rsidR="002A17B0" w:rsidRPr="00693E45">
        <w:rPr>
          <w:lang w:val="fr-FR"/>
        </w:rPr>
        <w:t>2</w:t>
      </w:r>
      <w:r w:rsidR="002A17B0" w:rsidRPr="00693E45">
        <w:rPr>
          <w:i/>
          <w:lang w:val="fr-FR"/>
        </w:rPr>
        <w:t>quater</w:t>
      </w:r>
      <w:r w:rsidR="002A17B0" w:rsidRPr="00693E45">
        <w:rPr>
          <w:lang w:val="fr-FR"/>
        </w:rPr>
        <w:t>.3 n</w:t>
      </w:r>
      <w:r w:rsidR="009B7882" w:rsidRPr="00693E45">
        <w:rPr>
          <w:lang w:val="fr-FR"/>
        </w:rPr>
        <w:t>’</w:t>
      </w:r>
      <w:r w:rsidR="002A17B0" w:rsidRPr="00693E45">
        <w:rPr>
          <w:lang w:val="fr-FR"/>
        </w:rPr>
        <w:t>était pas nécessai</w:t>
      </w:r>
      <w:r w:rsidR="003D2437" w:rsidRPr="00693E45">
        <w:rPr>
          <w:lang w:val="fr-FR"/>
        </w:rPr>
        <w:t>re.  L’a</w:t>
      </w:r>
      <w:r w:rsidR="004A2A20" w:rsidRPr="00693E45">
        <w:rPr>
          <w:lang w:val="fr-FR"/>
        </w:rPr>
        <w:t>dministration a par ailleurs souligné que les règles existantes encourageaient toutes les parties à observer les délais dans la mesure du possible, et que le fait de limiter le nombre d</w:t>
      </w:r>
      <w:r w:rsidR="009B7882" w:rsidRPr="00693E45">
        <w:rPr>
          <w:lang w:val="fr-FR"/>
        </w:rPr>
        <w:t>’</w:t>
      </w:r>
      <w:r w:rsidR="004A2A20" w:rsidRPr="00693E45">
        <w:rPr>
          <w:lang w:val="fr-FR"/>
        </w:rPr>
        <w:t>événements</w:t>
      </w:r>
      <w:r w:rsidR="0019755F" w:rsidRPr="00693E45">
        <w:rPr>
          <w:lang w:val="fr-FR"/>
        </w:rPr>
        <w:t xml:space="preserve"> dépassant ces délais contribuait à faire fonctionner le système</w:t>
      </w:r>
      <w:r w:rsidR="009B7882" w:rsidRPr="00693E45">
        <w:rPr>
          <w:lang w:val="fr-FR"/>
        </w:rPr>
        <w:t xml:space="preserve"> du PCT</w:t>
      </w:r>
      <w:r w:rsidR="0019755F" w:rsidRPr="00693E45">
        <w:rPr>
          <w:lang w:val="fr-FR"/>
        </w:rPr>
        <w:t xml:space="preserve"> de façon prévisib</w:t>
      </w:r>
      <w:r w:rsidR="003D2437" w:rsidRPr="00693E45">
        <w:rPr>
          <w:lang w:val="fr-FR"/>
        </w:rPr>
        <w:t>le.  L’a</w:t>
      </w:r>
      <w:r w:rsidR="0019755F" w:rsidRPr="00693E45">
        <w:rPr>
          <w:lang w:val="fr-FR"/>
        </w:rPr>
        <w:t>dministration estimait qu</w:t>
      </w:r>
      <w:r w:rsidR="009B7882" w:rsidRPr="00693E45">
        <w:rPr>
          <w:lang w:val="fr-FR"/>
        </w:rPr>
        <w:t>’</w:t>
      </w:r>
      <w:r w:rsidR="0019755F" w:rsidRPr="00693E45">
        <w:rPr>
          <w:lang w:val="fr-FR"/>
        </w:rPr>
        <w:t>en vertu de la nouvelle règle proposée, les parties non concernées par une perturbation pouvaient également être encouragées à se prévaloir des prorogations de déla</w:t>
      </w:r>
      <w:r w:rsidR="003D2437" w:rsidRPr="00693E45">
        <w:rPr>
          <w:lang w:val="fr-FR"/>
        </w:rPr>
        <w:t>i.  L’a</w:t>
      </w:r>
      <w:r w:rsidR="0085414D" w:rsidRPr="00693E45">
        <w:rPr>
          <w:lang w:val="fr-FR"/>
        </w:rPr>
        <w:t xml:space="preserve">dministration a également </w:t>
      </w:r>
      <w:r w:rsidR="005E2191" w:rsidRPr="00693E45">
        <w:rPr>
          <w:lang w:val="fr-FR"/>
        </w:rPr>
        <w:t>exprim</w:t>
      </w:r>
      <w:r w:rsidR="0085414D" w:rsidRPr="00693E45">
        <w:rPr>
          <w:lang w:val="fr-FR"/>
        </w:rPr>
        <w:t>é quelques préoccupations concernant l</w:t>
      </w:r>
      <w:r w:rsidR="009B7882" w:rsidRPr="00693E45">
        <w:rPr>
          <w:lang w:val="fr-FR"/>
        </w:rPr>
        <w:t>’</w:t>
      </w:r>
      <w:r w:rsidR="0085414D" w:rsidRPr="00693E45">
        <w:rPr>
          <w:lang w:val="fr-FR"/>
        </w:rPr>
        <w:t>application de</w:t>
      </w:r>
      <w:r w:rsidR="00D46DFB" w:rsidRPr="00693E45">
        <w:rPr>
          <w:lang w:val="fr-FR"/>
        </w:rPr>
        <w:t xml:space="preserve"> la règle</w:t>
      </w:r>
      <w:r w:rsidR="007F3D49" w:rsidRPr="00693E45">
        <w:rPr>
          <w:lang w:val="fr-FR"/>
        </w:rPr>
        <w:t> 82</w:t>
      </w:r>
      <w:r w:rsidR="007F3D49" w:rsidRPr="00693E45">
        <w:rPr>
          <w:i/>
          <w:lang w:val="fr-FR"/>
        </w:rPr>
        <w:t>quater</w:t>
      </w:r>
      <w:r w:rsidR="007F3D49" w:rsidRPr="00693E45">
        <w:rPr>
          <w:lang w:val="fr-FR"/>
        </w:rPr>
        <w:t xml:space="preserve">.3 </w:t>
      </w:r>
      <w:r w:rsidR="00D46DFB" w:rsidRPr="00693E45">
        <w:rPr>
          <w:lang w:val="fr-FR"/>
        </w:rPr>
        <w:t>proposée,</w:t>
      </w:r>
      <w:r w:rsidR="005E2191" w:rsidRPr="00693E45">
        <w:rPr>
          <w:lang w:val="fr-FR"/>
        </w:rPr>
        <w:t xml:space="preserve"> </w:t>
      </w:r>
      <w:r w:rsidR="009D1FFB" w:rsidRPr="00693E45">
        <w:rPr>
          <w:lang w:val="fr-FR"/>
        </w:rPr>
        <w:t xml:space="preserve">dans les cas où différentes </w:t>
      </w:r>
      <w:r w:rsidR="00FD5F1C" w:rsidRPr="00693E45">
        <w:rPr>
          <w:lang w:val="fr-FR"/>
        </w:rPr>
        <w:t>démarches</w:t>
      </w:r>
      <w:r w:rsidR="009D1FFB" w:rsidRPr="00693E45">
        <w:rPr>
          <w:lang w:val="fr-FR"/>
        </w:rPr>
        <w:t xml:space="preserve"> soumises au même délai sont effectuées devant des offices différents (l</w:t>
      </w:r>
      <w:r w:rsidR="009B7882" w:rsidRPr="00693E45">
        <w:rPr>
          <w:lang w:val="fr-FR"/>
        </w:rPr>
        <w:t>’</w:t>
      </w:r>
      <w:r w:rsidR="009D1FFB" w:rsidRPr="00693E45">
        <w:rPr>
          <w:lang w:val="fr-FR"/>
        </w:rPr>
        <w:t>office récepteur, le Bureau international ou l</w:t>
      </w:r>
      <w:r w:rsidR="009B7882" w:rsidRPr="00693E45">
        <w:rPr>
          <w:lang w:val="fr-FR"/>
        </w:rPr>
        <w:t>’</w:t>
      </w:r>
      <w:r w:rsidR="009D1FFB" w:rsidRPr="00693E45">
        <w:rPr>
          <w:lang w:val="fr-FR"/>
        </w:rPr>
        <w:t>administration chargée de la recherche</w:t>
      </w:r>
      <w:r w:rsidR="00FD5F1C" w:rsidRPr="00693E45">
        <w:rPr>
          <w:lang w:val="fr-FR"/>
        </w:rPr>
        <w:t xml:space="preserve"> internationale</w:t>
      </w:r>
      <w:r w:rsidR="009D1FFB" w:rsidRPr="00693E45">
        <w:rPr>
          <w:lang w:val="fr-FR"/>
        </w:rPr>
        <w:t>)</w:t>
      </w:r>
      <w:r w:rsidR="0080460C" w:rsidRPr="00693E45">
        <w:rPr>
          <w:lang w:val="fr-FR"/>
        </w:rPr>
        <w:t>,</w:t>
      </w:r>
      <w:r w:rsidR="000467D1" w:rsidRPr="00693E45">
        <w:rPr>
          <w:lang w:val="fr-FR"/>
        </w:rPr>
        <w:t xml:space="preserve"> dans lesquels une prorogation de délai ne s</w:t>
      </w:r>
      <w:r w:rsidR="009B7882" w:rsidRPr="00693E45">
        <w:rPr>
          <w:lang w:val="fr-FR"/>
        </w:rPr>
        <w:t>’</w:t>
      </w:r>
      <w:r w:rsidR="000467D1" w:rsidRPr="00693E45">
        <w:rPr>
          <w:lang w:val="fr-FR"/>
        </w:rPr>
        <w:t>appliquerait pas nécessaireme</w:t>
      </w:r>
      <w:r w:rsidR="003D2437" w:rsidRPr="00693E45">
        <w:rPr>
          <w:lang w:val="fr-FR"/>
        </w:rPr>
        <w:t>nt.  Il</w:t>
      </w:r>
      <w:r w:rsidR="005126A4" w:rsidRPr="00693E45">
        <w:rPr>
          <w:lang w:val="fr-FR"/>
        </w:rPr>
        <w:t xml:space="preserve"> a mentionné qu</w:t>
      </w:r>
      <w:r w:rsidR="009B7882" w:rsidRPr="00693E45">
        <w:rPr>
          <w:lang w:val="fr-FR"/>
        </w:rPr>
        <w:t>’</w:t>
      </w:r>
      <w:r w:rsidR="005126A4" w:rsidRPr="00693E45">
        <w:rPr>
          <w:lang w:val="fr-FR"/>
        </w:rPr>
        <w:t>en cas de perturbation mondiale, un grand nombre de notifications et d</w:t>
      </w:r>
      <w:r w:rsidR="009B7882" w:rsidRPr="00693E45">
        <w:rPr>
          <w:lang w:val="fr-FR"/>
        </w:rPr>
        <w:t>’</w:t>
      </w:r>
      <w:r w:rsidR="005126A4" w:rsidRPr="00693E45">
        <w:rPr>
          <w:lang w:val="fr-FR"/>
        </w:rPr>
        <w:t>avis de pro</w:t>
      </w:r>
      <w:r w:rsidR="00981E0F" w:rsidRPr="00693E45">
        <w:rPr>
          <w:lang w:val="fr-FR"/>
        </w:rPr>
        <w:t>rog</w:t>
      </w:r>
      <w:r w:rsidR="005126A4" w:rsidRPr="00693E45">
        <w:rPr>
          <w:lang w:val="fr-FR"/>
        </w:rPr>
        <w:t>ation</w:t>
      </w:r>
      <w:r w:rsidR="00FD5F1C" w:rsidRPr="00693E45">
        <w:rPr>
          <w:lang w:val="fr-FR"/>
        </w:rPr>
        <w:t xml:space="preserve"> </w:t>
      </w:r>
      <w:r w:rsidR="005126A4" w:rsidRPr="00693E45">
        <w:rPr>
          <w:lang w:val="fr-FR"/>
        </w:rPr>
        <w:t>seraient probablement émis par différents offices</w:t>
      </w:r>
      <w:r w:rsidR="00A051E7" w:rsidRPr="00693E45">
        <w:rPr>
          <w:lang w:val="fr-FR"/>
        </w:rPr>
        <w:t>, avec des délais différents, difficiles à distinguer les uns des autres et à comprendre, ce qui créerait une situation très déroutante pour les déposan</w:t>
      </w:r>
      <w:r w:rsidR="003D2437" w:rsidRPr="00693E45">
        <w:rPr>
          <w:lang w:val="fr-FR"/>
        </w:rPr>
        <w:t>ts.  Qu</w:t>
      </w:r>
      <w:r w:rsidR="00A051E7" w:rsidRPr="00693E45">
        <w:rPr>
          <w:lang w:val="fr-FR"/>
        </w:rPr>
        <w:t xml:space="preserve">i plus est, un délai notifié par un office en vertu de la nouvelle règle proposée pourrait poser problème à un déposant </w:t>
      </w:r>
      <w:r w:rsidR="00C11E8B" w:rsidRPr="00693E45">
        <w:rPr>
          <w:lang w:val="fr-FR"/>
        </w:rPr>
        <w:t xml:space="preserve">voulant demander une </w:t>
      </w:r>
      <w:r w:rsidR="006A780E" w:rsidRPr="00693E45">
        <w:rPr>
          <w:lang w:val="fr-FR"/>
        </w:rPr>
        <w:t>excuse</w:t>
      </w:r>
      <w:r w:rsidR="00C11E8B" w:rsidRPr="00693E45">
        <w:rPr>
          <w:lang w:val="fr-FR"/>
        </w:rPr>
        <w:t xml:space="preserve"> de retard en vertu de la </w:t>
      </w:r>
      <w:r w:rsidR="009B7882" w:rsidRPr="00693E45">
        <w:rPr>
          <w:lang w:val="fr-FR"/>
        </w:rPr>
        <w:t>règle 8</w:t>
      </w:r>
      <w:r w:rsidR="00C11E8B" w:rsidRPr="00693E45">
        <w:rPr>
          <w:lang w:val="fr-FR"/>
        </w:rPr>
        <w:t>2</w:t>
      </w:r>
      <w:r w:rsidR="00C11E8B" w:rsidRPr="00693E45">
        <w:rPr>
          <w:i/>
          <w:lang w:val="fr-FR"/>
        </w:rPr>
        <w:t>quater</w:t>
      </w:r>
      <w:r w:rsidR="00C11E8B" w:rsidRPr="00693E45">
        <w:rPr>
          <w:lang w:val="fr-FR"/>
        </w:rPr>
        <w:t xml:space="preserve">.1 </w:t>
      </w:r>
      <w:r w:rsidR="00F66CE3" w:rsidRPr="00693E45">
        <w:rPr>
          <w:lang w:val="fr-FR"/>
        </w:rPr>
        <w:t xml:space="preserve">pour le même </w:t>
      </w:r>
      <w:r w:rsidR="00F66CE3" w:rsidRPr="00693E45">
        <w:rPr>
          <w:lang w:val="fr-FR"/>
        </w:rPr>
        <w:lastRenderedPageBreak/>
        <w:t xml:space="preserve">motif, si cette dernière </w:t>
      </w:r>
      <w:r w:rsidR="009F64C3" w:rsidRPr="00693E45">
        <w:rPr>
          <w:lang w:val="fr-FR"/>
        </w:rPr>
        <w:t xml:space="preserve">a pour conséquence </w:t>
      </w:r>
      <w:r w:rsidR="00F66CE3" w:rsidRPr="00693E45">
        <w:rPr>
          <w:lang w:val="fr-FR"/>
        </w:rPr>
        <w:t>l</w:t>
      </w:r>
      <w:r w:rsidR="009B7882" w:rsidRPr="00693E45">
        <w:rPr>
          <w:lang w:val="fr-FR"/>
        </w:rPr>
        <w:t>’</w:t>
      </w:r>
      <w:r w:rsidR="00F66CE3" w:rsidRPr="00693E45">
        <w:rPr>
          <w:lang w:val="fr-FR"/>
        </w:rPr>
        <w:t>inobservation dudit délai notif</w:t>
      </w:r>
      <w:r w:rsidR="003D2437" w:rsidRPr="00693E45">
        <w:rPr>
          <w:lang w:val="fr-FR"/>
        </w:rPr>
        <w:t>ié.  De</w:t>
      </w:r>
      <w:r w:rsidR="00CF5F01" w:rsidRPr="00693E45">
        <w:rPr>
          <w:lang w:val="fr-FR"/>
        </w:rPr>
        <w:t xml:space="preserve">s difficultés </w:t>
      </w:r>
      <w:r w:rsidR="005F23F7" w:rsidRPr="00693E45">
        <w:rPr>
          <w:lang w:val="fr-FR"/>
        </w:rPr>
        <w:t>d</w:t>
      </w:r>
      <w:r w:rsidR="009B7882" w:rsidRPr="00693E45">
        <w:rPr>
          <w:lang w:val="fr-FR"/>
        </w:rPr>
        <w:t>’</w:t>
      </w:r>
      <w:r w:rsidR="005F23F7" w:rsidRPr="00693E45">
        <w:rPr>
          <w:lang w:val="fr-FR"/>
        </w:rPr>
        <w:t>articulation avec les délais</w:t>
      </w:r>
      <w:r w:rsidR="009B7882" w:rsidRPr="00693E45">
        <w:rPr>
          <w:lang w:val="fr-FR"/>
        </w:rPr>
        <w:t xml:space="preserve"> du PCT</w:t>
      </w:r>
      <w:r w:rsidR="005F23F7" w:rsidRPr="00693E45">
        <w:rPr>
          <w:lang w:val="fr-FR"/>
        </w:rPr>
        <w:t xml:space="preserve"> en général </w:t>
      </w:r>
      <w:r w:rsidR="00CF5F01" w:rsidRPr="00693E45">
        <w:rPr>
          <w:lang w:val="fr-FR"/>
        </w:rPr>
        <w:t>pourraient également être créées, dans la mesure où la règle proposée permet des notifications multiples, de même que des difficultés pour les déposants à respecter un grand nombre de délais</w:t>
      </w:r>
      <w:r w:rsidR="005F23F7" w:rsidRPr="00693E45">
        <w:rPr>
          <w:lang w:val="fr-FR"/>
        </w:rPr>
        <w:t xml:space="preserve"> venant à expiration le lendemain de la fin de la période de prorogation en vertu de la </w:t>
      </w:r>
      <w:r w:rsidR="009B7882" w:rsidRPr="00693E45">
        <w:rPr>
          <w:lang w:val="fr-FR"/>
        </w:rPr>
        <w:t>règle 8</w:t>
      </w:r>
      <w:r w:rsidR="005F23F7" w:rsidRPr="00693E45">
        <w:rPr>
          <w:lang w:val="fr-FR"/>
        </w:rPr>
        <w:t>2</w:t>
      </w:r>
      <w:r w:rsidR="005F23F7" w:rsidRPr="00693E45">
        <w:rPr>
          <w:i/>
          <w:iCs/>
          <w:lang w:val="fr-FR"/>
        </w:rPr>
        <w:t>quater</w:t>
      </w:r>
      <w:r w:rsidR="005F23F7" w:rsidRPr="00693E45">
        <w:rPr>
          <w:lang w:val="fr-FR"/>
        </w:rPr>
        <w:t>.</w:t>
      </w:r>
      <w:proofErr w:type="gramStart"/>
      <w:r w:rsidR="005F23F7" w:rsidRPr="00693E45">
        <w:rPr>
          <w:lang w:val="fr-FR"/>
        </w:rPr>
        <w:t>3.a</w:t>
      </w:r>
      <w:proofErr w:type="gramEnd"/>
      <w:r w:rsidR="005F23F7" w:rsidRPr="00693E45">
        <w:rPr>
          <w:lang w:val="fr-FR"/>
        </w:rPr>
        <w:t>)</w:t>
      </w:r>
      <w:r w:rsidR="00CF5F01" w:rsidRPr="00693E45">
        <w:rPr>
          <w:lang w:val="fr-FR"/>
        </w:rPr>
        <w:t xml:space="preserve"> </w:t>
      </w:r>
      <w:r w:rsidR="00B6227D" w:rsidRPr="00693E45">
        <w:rPr>
          <w:lang w:val="fr-FR"/>
        </w:rPr>
        <w:t>proposée.</w:t>
      </w:r>
    </w:p>
    <w:p w14:paraId="0D7FED3C" w14:textId="102BD947" w:rsidR="007F3D49" w:rsidRPr="00693E45" w:rsidRDefault="00EC1ED4" w:rsidP="00CB4729">
      <w:pPr>
        <w:pStyle w:val="ONUMFS"/>
        <w:rPr>
          <w:lang w:val="fr-FR"/>
        </w:rPr>
      </w:pPr>
      <w:r w:rsidRPr="00693E45">
        <w:rPr>
          <w:lang w:val="fr-FR"/>
        </w:rPr>
        <w:t>L</w:t>
      </w:r>
      <w:r w:rsidR="009B7882" w:rsidRPr="00693E45">
        <w:rPr>
          <w:lang w:val="fr-FR"/>
        </w:rPr>
        <w:t>’</w:t>
      </w:r>
      <w:r w:rsidRPr="00693E45">
        <w:rPr>
          <w:lang w:val="fr-FR"/>
        </w:rPr>
        <w:t>Office européen des brevets a indiqué qu</w:t>
      </w:r>
      <w:r w:rsidR="009B7882" w:rsidRPr="00693E45">
        <w:rPr>
          <w:lang w:val="fr-FR"/>
        </w:rPr>
        <w:t>’</w:t>
      </w:r>
      <w:r w:rsidRPr="00693E45">
        <w:rPr>
          <w:lang w:val="fr-FR"/>
        </w:rPr>
        <w:t xml:space="preserve">il étudierait toute proposition de libellé soumise par les administrations dans le cadre de la révision de la proposition </w:t>
      </w:r>
      <w:r w:rsidR="00F3697B" w:rsidRPr="00693E45">
        <w:rPr>
          <w:lang w:val="fr-FR"/>
        </w:rPr>
        <w:t xml:space="preserve">qui sera présentée au </w:t>
      </w:r>
      <w:r w:rsidR="0091379C" w:rsidRPr="00693E45">
        <w:rPr>
          <w:lang w:val="fr-FR"/>
        </w:rPr>
        <w:t>Groupe</w:t>
      </w:r>
      <w:r w:rsidR="00F3697B" w:rsidRPr="00693E45">
        <w:rPr>
          <w:lang w:val="fr-FR"/>
        </w:rPr>
        <w:t xml:space="preserve"> de travail</w:t>
      </w:r>
      <w:r w:rsidR="009B7882" w:rsidRPr="00693E45">
        <w:rPr>
          <w:lang w:val="fr-FR"/>
        </w:rPr>
        <w:t xml:space="preserve"> du PCT</w:t>
      </w:r>
      <w:r w:rsidR="00F3697B" w:rsidRPr="00693E45">
        <w:rPr>
          <w:lang w:val="fr-FR"/>
        </w:rPr>
        <w:t xml:space="preserve">.  </w:t>
      </w:r>
      <w:r w:rsidR="00504656" w:rsidRPr="00693E45">
        <w:rPr>
          <w:lang w:val="fr-FR"/>
        </w:rPr>
        <w:t>S</w:t>
      </w:r>
      <w:r w:rsidR="009B7882" w:rsidRPr="00693E45">
        <w:rPr>
          <w:lang w:val="fr-FR"/>
        </w:rPr>
        <w:t>’</w:t>
      </w:r>
      <w:r w:rsidR="00504656" w:rsidRPr="00693E45">
        <w:rPr>
          <w:lang w:val="fr-FR"/>
        </w:rPr>
        <w:t>agissant de l</w:t>
      </w:r>
      <w:r w:rsidR="00FB2543" w:rsidRPr="00693E45">
        <w:rPr>
          <w:lang w:val="fr-FR"/>
        </w:rPr>
        <w:t>a production</w:t>
      </w:r>
      <w:r w:rsidR="00504656" w:rsidRPr="00693E45">
        <w:rPr>
          <w:lang w:val="fr-FR"/>
        </w:rPr>
        <w:t xml:space="preserve"> d</w:t>
      </w:r>
      <w:r w:rsidR="009B7882" w:rsidRPr="00693E45">
        <w:rPr>
          <w:lang w:val="fr-FR"/>
        </w:rPr>
        <w:t>’</w:t>
      </w:r>
      <w:r w:rsidR="00504656" w:rsidRPr="00693E45">
        <w:rPr>
          <w:lang w:val="fr-FR"/>
        </w:rPr>
        <w:t xml:space="preserve">une preuve </w:t>
      </w:r>
      <w:r w:rsidR="00791837" w:rsidRPr="00693E45">
        <w:rPr>
          <w:lang w:val="fr-FR"/>
        </w:rPr>
        <w:t>de l</w:t>
      </w:r>
      <w:r w:rsidR="009B7882" w:rsidRPr="00693E45">
        <w:rPr>
          <w:lang w:val="fr-FR"/>
        </w:rPr>
        <w:t>’</w:t>
      </w:r>
      <w:r w:rsidR="00791837" w:rsidRPr="00693E45">
        <w:rPr>
          <w:lang w:val="fr-FR"/>
        </w:rPr>
        <w:t>existence d</w:t>
      </w:r>
      <w:r w:rsidR="009B7882" w:rsidRPr="00693E45">
        <w:rPr>
          <w:lang w:val="fr-FR"/>
        </w:rPr>
        <w:t>’</w:t>
      </w:r>
      <w:r w:rsidR="00791837" w:rsidRPr="00693E45">
        <w:rPr>
          <w:lang w:val="fr-FR"/>
        </w:rPr>
        <w:t xml:space="preserve">un événement ayant retardé le </w:t>
      </w:r>
      <w:r w:rsidR="00504656" w:rsidRPr="00693E45">
        <w:rPr>
          <w:lang w:val="fr-FR"/>
        </w:rPr>
        <w:t>déposant,</w:t>
      </w:r>
      <w:r w:rsidR="00F3697B" w:rsidRPr="00693E45">
        <w:rPr>
          <w:lang w:val="fr-FR"/>
        </w:rPr>
        <w:t xml:space="preserve"> </w:t>
      </w:r>
      <w:r w:rsidR="00FB2543" w:rsidRPr="00693E45">
        <w:rPr>
          <w:lang w:val="fr-FR"/>
        </w:rPr>
        <w:t>l</w:t>
      </w:r>
      <w:r w:rsidR="009B7882" w:rsidRPr="00693E45">
        <w:rPr>
          <w:lang w:val="fr-FR"/>
        </w:rPr>
        <w:t>’</w:t>
      </w:r>
      <w:r w:rsidR="00FB2543" w:rsidRPr="00693E45">
        <w:rPr>
          <w:lang w:val="fr-FR"/>
        </w:rPr>
        <w:t>Office européen des brevets a suggéré d</w:t>
      </w:r>
      <w:r w:rsidR="009B7882" w:rsidRPr="00693E45">
        <w:rPr>
          <w:lang w:val="fr-FR"/>
        </w:rPr>
        <w:t>’</w:t>
      </w:r>
      <w:r w:rsidR="00FB2543" w:rsidRPr="00693E45">
        <w:rPr>
          <w:lang w:val="fr-FR"/>
        </w:rPr>
        <w:t xml:space="preserve">ajouter à la </w:t>
      </w:r>
      <w:r w:rsidR="009B7882" w:rsidRPr="00693E45">
        <w:rPr>
          <w:lang w:val="fr-FR"/>
        </w:rPr>
        <w:t>règle 8</w:t>
      </w:r>
      <w:r w:rsidR="00FB2543" w:rsidRPr="00693E45">
        <w:rPr>
          <w:lang w:val="fr-FR"/>
        </w:rPr>
        <w:t>2</w:t>
      </w:r>
      <w:r w:rsidR="00FB2543" w:rsidRPr="00693E45">
        <w:rPr>
          <w:i/>
          <w:lang w:val="fr-FR"/>
        </w:rPr>
        <w:t>quater</w:t>
      </w:r>
      <w:r w:rsidR="00FB2543" w:rsidRPr="00693E45">
        <w:rPr>
          <w:lang w:val="fr-FR"/>
        </w:rPr>
        <w:t>.3 une disposition permettant aux offices d</w:t>
      </w:r>
      <w:r w:rsidR="009B7882" w:rsidRPr="00693E45">
        <w:rPr>
          <w:lang w:val="fr-FR"/>
        </w:rPr>
        <w:t>’</w:t>
      </w:r>
      <w:r w:rsidR="00FB2543" w:rsidRPr="00693E45">
        <w:rPr>
          <w:lang w:val="fr-FR"/>
        </w:rPr>
        <w:t xml:space="preserve">exiger une déclaration du déposant </w:t>
      </w:r>
      <w:r w:rsidR="00791837" w:rsidRPr="00693E45">
        <w:rPr>
          <w:lang w:val="fr-FR"/>
        </w:rPr>
        <w:t>attest</w:t>
      </w:r>
      <w:r w:rsidR="003F176C" w:rsidRPr="00693E45">
        <w:rPr>
          <w:lang w:val="fr-FR"/>
        </w:rPr>
        <w:t>ant</w:t>
      </w:r>
      <w:r w:rsidR="00791837" w:rsidRPr="00693E45">
        <w:rPr>
          <w:lang w:val="fr-FR"/>
        </w:rPr>
        <w:t xml:space="preserve"> que la cause de son retard est l</w:t>
      </w:r>
      <w:r w:rsidR="009B7882" w:rsidRPr="00693E45">
        <w:rPr>
          <w:lang w:val="fr-FR"/>
        </w:rPr>
        <w:t>’</w:t>
      </w:r>
      <w:r w:rsidR="00791837" w:rsidRPr="00693E45">
        <w:rPr>
          <w:lang w:val="fr-FR"/>
        </w:rPr>
        <w:t>événement pour lequel l</w:t>
      </w:r>
      <w:r w:rsidR="009B7882" w:rsidRPr="00693E45">
        <w:rPr>
          <w:lang w:val="fr-FR"/>
        </w:rPr>
        <w:t>’</w:t>
      </w:r>
      <w:r w:rsidR="00791837" w:rsidRPr="00693E45">
        <w:rPr>
          <w:lang w:val="fr-FR"/>
        </w:rPr>
        <w:t>office accord</w:t>
      </w:r>
      <w:r w:rsidR="00024F16" w:rsidRPr="00693E45">
        <w:rPr>
          <w:lang w:val="fr-FR"/>
        </w:rPr>
        <w:t>e</w:t>
      </w:r>
      <w:r w:rsidR="00791837" w:rsidRPr="00693E45">
        <w:rPr>
          <w:lang w:val="fr-FR"/>
        </w:rPr>
        <w:t xml:space="preserve"> une prorogation</w:t>
      </w:r>
      <w:r w:rsidR="00024F16" w:rsidRPr="00693E45">
        <w:rPr>
          <w:lang w:val="fr-FR"/>
        </w:rPr>
        <w:t>,</w:t>
      </w:r>
      <w:r w:rsidR="00791837" w:rsidRPr="00693E45">
        <w:rPr>
          <w:lang w:val="fr-FR"/>
        </w:rPr>
        <w:t xml:space="preserve"> si cela peut </w:t>
      </w:r>
      <w:r w:rsidR="00024F16" w:rsidRPr="00693E45">
        <w:rPr>
          <w:lang w:val="fr-FR"/>
        </w:rPr>
        <w:t>aider à parvenir à un consensus sur la proposition.</w:t>
      </w:r>
    </w:p>
    <w:p w14:paraId="5B78E0BC" w14:textId="0865B829" w:rsidR="009B7882" w:rsidRPr="00693E45" w:rsidRDefault="00A24AEE"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du fait que les </w:t>
      </w:r>
      <w:r w:rsidR="00D14E47" w:rsidRPr="00693E45">
        <w:rPr>
          <w:lang w:val="fr-FR"/>
        </w:rPr>
        <w:t>délibérations relatives</w:t>
      </w:r>
      <w:r w:rsidRPr="00693E45">
        <w:rPr>
          <w:lang w:val="fr-FR"/>
        </w:rPr>
        <w:t xml:space="preserve"> à la proposition se poursuivraient à la quatorz</w:t>
      </w:r>
      <w:r w:rsidR="009B7882" w:rsidRPr="00693E45">
        <w:rPr>
          <w:lang w:val="fr-FR"/>
        </w:rPr>
        <w:t>ième session</w:t>
      </w:r>
      <w:r w:rsidRPr="00693E45">
        <w:rPr>
          <w:lang w:val="fr-FR"/>
        </w:rPr>
        <w:t xml:space="preserve"> du </w:t>
      </w:r>
      <w:r w:rsidR="0091379C" w:rsidRPr="00693E45">
        <w:rPr>
          <w:lang w:val="fr-FR"/>
        </w:rPr>
        <w:t>Groupe</w:t>
      </w:r>
      <w:r w:rsidRPr="00693E45">
        <w:rPr>
          <w:lang w:val="fr-FR"/>
        </w:rPr>
        <w:t xml:space="preserve"> de travail</w:t>
      </w:r>
      <w:r w:rsidR="009B7882" w:rsidRPr="00693E45">
        <w:rPr>
          <w:lang w:val="fr-FR"/>
        </w:rPr>
        <w:t xml:space="preserve"> du PCT</w:t>
      </w:r>
      <w:r w:rsidR="004011A5" w:rsidRPr="00693E45">
        <w:rPr>
          <w:lang w:val="fr-FR"/>
        </w:rPr>
        <w:t xml:space="preserve">, en </w:t>
      </w:r>
      <w:r w:rsidR="009B7882" w:rsidRPr="00693E45">
        <w:rPr>
          <w:lang w:val="fr-FR"/>
        </w:rPr>
        <w:t>juin 20</w:t>
      </w:r>
      <w:r w:rsidR="004011A5" w:rsidRPr="00693E45">
        <w:rPr>
          <w:lang w:val="fr-FR"/>
        </w:rPr>
        <w:t xml:space="preserve">21, et que le Bureau international rendrait compte, à cette session, des expériences des offices dans la mise en œuvre de la </w:t>
      </w:r>
      <w:r w:rsidR="004011A5" w:rsidRPr="00693E45">
        <w:rPr>
          <w:i/>
          <w:iCs/>
          <w:lang w:val="fr-FR"/>
        </w:rPr>
        <w:t>Déclaration interprétative et changements de pratiques recommandés en rapport avec le Traité de coopération en matière de brevets (PCT) dans le contexte de la pandémie de COVID</w:t>
      </w:r>
      <w:r w:rsidR="00CB4729" w:rsidRPr="00693E45">
        <w:rPr>
          <w:i/>
          <w:iCs/>
          <w:lang w:val="fr-FR"/>
        </w:rPr>
        <w:noBreakHyphen/>
      </w:r>
      <w:r w:rsidR="004011A5" w:rsidRPr="00693E45">
        <w:rPr>
          <w:i/>
          <w:iCs/>
          <w:lang w:val="fr-FR"/>
        </w:rPr>
        <w:t>19</w:t>
      </w:r>
      <w:r w:rsidR="004011A5" w:rsidRPr="00693E45">
        <w:rPr>
          <w:lang w:val="fr-FR"/>
        </w:rPr>
        <w:t xml:space="preserve"> publiée le </w:t>
      </w:r>
      <w:r w:rsidR="009B7882" w:rsidRPr="00693E45">
        <w:rPr>
          <w:lang w:val="fr-FR"/>
        </w:rPr>
        <w:t>9 avril 20</w:t>
      </w:r>
      <w:r w:rsidR="004011A5" w:rsidRPr="00693E45">
        <w:rPr>
          <w:lang w:val="fr-FR"/>
        </w:rPr>
        <w:t>20.</w:t>
      </w:r>
    </w:p>
    <w:p w14:paraId="07416145" w14:textId="2BDB5611" w:rsidR="007F3D49" w:rsidRPr="00693E45" w:rsidRDefault="007F3D49" w:rsidP="007F3D49">
      <w:pPr>
        <w:pStyle w:val="Heading1"/>
        <w:rPr>
          <w:lang w:val="fr-FR"/>
        </w:rPr>
      </w:pPr>
      <w:r w:rsidRPr="00693E45">
        <w:rPr>
          <w:lang w:val="fr-FR"/>
        </w:rPr>
        <w:t xml:space="preserve">Questionnaire </w:t>
      </w:r>
      <w:r w:rsidR="00893850" w:rsidRPr="00693E45">
        <w:rPr>
          <w:lang w:val="fr-FR"/>
        </w:rPr>
        <w:t>sur le rapport de recherche internationale et l</w:t>
      </w:r>
      <w:r w:rsidR="009B7882" w:rsidRPr="00693E45">
        <w:rPr>
          <w:lang w:val="fr-FR"/>
        </w:rPr>
        <w:t>’</w:t>
      </w:r>
      <w:r w:rsidR="00893850" w:rsidRPr="00693E45">
        <w:rPr>
          <w:lang w:val="fr-FR"/>
        </w:rPr>
        <w:t>opinion écrite</w:t>
      </w:r>
    </w:p>
    <w:p w14:paraId="723D5793" w14:textId="77777777" w:rsidR="007F3D49" w:rsidRPr="00693E45" w:rsidRDefault="007F3D49" w:rsidP="00CB4729">
      <w:pPr>
        <w:pStyle w:val="ONUMFS"/>
        <w:rPr>
          <w:lang w:val="fr-FR"/>
        </w:rPr>
      </w:pPr>
      <w:r w:rsidRPr="00693E45">
        <w:rPr>
          <w:lang w:val="fr-FR"/>
        </w:rPr>
        <w:t>Les délibérations ont eu lieu sur la base du document PCT/MIA/28/7.</w:t>
      </w:r>
    </w:p>
    <w:p w14:paraId="3655957E" w14:textId="72947ABE" w:rsidR="007F3D49" w:rsidRPr="00693E45" w:rsidRDefault="00873491" w:rsidP="00CB4729">
      <w:pPr>
        <w:pStyle w:val="ONUMFS"/>
        <w:rPr>
          <w:szCs w:val="22"/>
          <w:lang w:val="fr-FR"/>
        </w:rPr>
      </w:pPr>
      <w:r w:rsidRPr="00693E45">
        <w:rPr>
          <w:lang w:val="fr-FR"/>
        </w:rPr>
        <w:t>L</w:t>
      </w:r>
      <w:r w:rsidR="009B7882" w:rsidRPr="00693E45">
        <w:rPr>
          <w:lang w:val="fr-FR"/>
        </w:rPr>
        <w:t>’</w:t>
      </w:r>
      <w:r w:rsidRPr="00693E45">
        <w:rPr>
          <w:lang w:val="fr-FR"/>
        </w:rPr>
        <w:t xml:space="preserve">Administration nationale chinoise de la propriété intellectuelle </w:t>
      </w:r>
      <w:r w:rsidR="007F3D49" w:rsidRPr="00693E45">
        <w:rPr>
          <w:lang w:val="fr-FR"/>
        </w:rPr>
        <w:t xml:space="preserve">(CNIPA), </w:t>
      </w:r>
      <w:r w:rsidRPr="00693E45">
        <w:rPr>
          <w:lang w:val="fr-FR"/>
        </w:rPr>
        <w:t xml:space="preserve">a présenté le document et </w:t>
      </w:r>
      <w:r w:rsidR="001752E7" w:rsidRPr="00693E45">
        <w:rPr>
          <w:lang w:val="fr-FR"/>
        </w:rPr>
        <w:t xml:space="preserve">informé la </w:t>
      </w:r>
      <w:r w:rsidR="00FD5421" w:rsidRPr="00693E45">
        <w:rPr>
          <w:lang w:val="fr-FR"/>
        </w:rPr>
        <w:t>Réunion</w:t>
      </w:r>
      <w:r w:rsidR="001752E7" w:rsidRPr="00693E45">
        <w:rPr>
          <w:lang w:val="fr-FR"/>
        </w:rPr>
        <w:t xml:space="preserve"> que le Bureau international avait diffusé en </w:t>
      </w:r>
      <w:r w:rsidR="009B7882" w:rsidRPr="00693E45">
        <w:rPr>
          <w:lang w:val="fr-FR"/>
        </w:rPr>
        <w:t>octobre 20</w:t>
      </w:r>
      <w:r w:rsidR="001752E7" w:rsidRPr="00693E45">
        <w:rPr>
          <w:lang w:val="fr-FR"/>
        </w:rPr>
        <w:t>20 deux</w:t>
      </w:r>
      <w:r w:rsidR="0091379C" w:rsidRPr="00693E45">
        <w:rPr>
          <w:lang w:val="fr-FR"/>
        </w:rPr>
        <w:t> </w:t>
      </w:r>
      <w:r w:rsidR="001752E7" w:rsidRPr="00693E45">
        <w:rPr>
          <w:lang w:val="fr-FR"/>
        </w:rPr>
        <w:t>circulaires accompagnées de questionnair</w:t>
      </w:r>
      <w:r w:rsidR="003D2437" w:rsidRPr="00693E45">
        <w:rPr>
          <w:lang w:val="fr-FR"/>
        </w:rPr>
        <w:t>es.  L’u</w:t>
      </w:r>
      <w:r w:rsidR="001752E7" w:rsidRPr="00693E45">
        <w:rPr>
          <w:lang w:val="fr-FR"/>
        </w:rPr>
        <w:t>ne de ces circulaires avait été envoyée aux administrations, et l</w:t>
      </w:r>
      <w:r w:rsidR="009B7882" w:rsidRPr="00693E45">
        <w:rPr>
          <w:lang w:val="fr-FR"/>
        </w:rPr>
        <w:t>’</w:t>
      </w:r>
      <w:r w:rsidR="001752E7" w:rsidRPr="00693E45">
        <w:rPr>
          <w:lang w:val="fr-FR"/>
        </w:rPr>
        <w:t>autre aux offices désignés et utilisateurs</w:t>
      </w:r>
      <w:r w:rsidR="009B7882" w:rsidRPr="00693E45">
        <w:rPr>
          <w:lang w:val="fr-FR"/>
        </w:rPr>
        <w:t xml:space="preserve"> du PCT</w:t>
      </w:r>
      <w:r w:rsidR="001752E7" w:rsidRPr="00693E45">
        <w:rPr>
          <w:lang w:val="fr-FR"/>
        </w:rPr>
        <w:t xml:space="preserve">, </w:t>
      </w:r>
      <w:r w:rsidR="00D66ACE" w:rsidRPr="00693E45">
        <w:rPr>
          <w:lang w:val="fr-FR"/>
        </w:rPr>
        <w:t>afin de recueillir des suggestions en vue de l</w:t>
      </w:r>
      <w:r w:rsidR="009B7882" w:rsidRPr="00693E45">
        <w:rPr>
          <w:lang w:val="fr-FR"/>
        </w:rPr>
        <w:t>’</w:t>
      </w:r>
      <w:r w:rsidR="00D66ACE" w:rsidRPr="00693E45">
        <w:rPr>
          <w:lang w:val="fr-FR"/>
        </w:rPr>
        <w:t>amélioration du rapport de recherche internationale et de l</w:t>
      </w:r>
      <w:r w:rsidR="009B7882" w:rsidRPr="00693E45">
        <w:rPr>
          <w:lang w:val="fr-FR"/>
        </w:rPr>
        <w:t>’</w:t>
      </w:r>
      <w:r w:rsidR="00D66ACE" w:rsidRPr="00693E45">
        <w:rPr>
          <w:lang w:val="fr-FR"/>
        </w:rPr>
        <w:t>opinion écri</w:t>
      </w:r>
      <w:r w:rsidR="003D2437" w:rsidRPr="00693E45">
        <w:rPr>
          <w:lang w:val="fr-FR"/>
        </w:rPr>
        <w:t xml:space="preserve">te.  À </w:t>
      </w:r>
      <w:r w:rsidR="00D66ACE" w:rsidRPr="00693E45">
        <w:rPr>
          <w:lang w:val="fr-FR"/>
        </w:rPr>
        <w:t xml:space="preserve">la fin du mois de </w:t>
      </w:r>
      <w:r w:rsidR="009B7882" w:rsidRPr="00693E45">
        <w:rPr>
          <w:lang w:val="fr-FR"/>
        </w:rPr>
        <w:t>janvier 20</w:t>
      </w:r>
      <w:r w:rsidR="007F3D49" w:rsidRPr="00693E45">
        <w:rPr>
          <w:lang w:val="fr-FR"/>
        </w:rPr>
        <w:t xml:space="preserve">21, </w:t>
      </w:r>
      <w:r w:rsidR="00D66ACE" w:rsidRPr="00693E45">
        <w:rPr>
          <w:lang w:val="fr-FR"/>
        </w:rPr>
        <w:t>des réponses avaient été reçues de 20</w:t>
      </w:r>
      <w:r w:rsidR="00C6045B" w:rsidRPr="00693E45">
        <w:rPr>
          <w:lang w:val="fr-FR"/>
        </w:rPr>
        <w:t> </w:t>
      </w:r>
      <w:r w:rsidR="00D66ACE" w:rsidRPr="00693E45">
        <w:rPr>
          <w:lang w:val="fr-FR"/>
        </w:rPr>
        <w:t>administrations et 33</w:t>
      </w:r>
      <w:r w:rsidR="00C6045B" w:rsidRPr="00693E45">
        <w:rPr>
          <w:lang w:val="fr-FR"/>
        </w:rPr>
        <w:t> </w:t>
      </w:r>
      <w:r w:rsidR="00D66ACE" w:rsidRPr="00693E45">
        <w:rPr>
          <w:lang w:val="fr-FR"/>
        </w:rPr>
        <w:t>utilisateurs</w:t>
      </w:r>
      <w:r w:rsidR="009B7882" w:rsidRPr="00693E45">
        <w:rPr>
          <w:lang w:val="fr-FR"/>
        </w:rPr>
        <w:t xml:space="preserve"> du </w:t>
      </w:r>
      <w:r w:rsidR="003D2437" w:rsidRPr="00693E45">
        <w:rPr>
          <w:lang w:val="fr-FR"/>
        </w:rPr>
        <w:t>PCT.  La</w:t>
      </w:r>
      <w:r w:rsidR="009B7882" w:rsidRPr="00693E45">
        <w:rPr>
          <w:lang w:val="fr-FR"/>
        </w:rPr>
        <w:t> CNI</w:t>
      </w:r>
      <w:r w:rsidR="007F3D49" w:rsidRPr="00693E45">
        <w:rPr>
          <w:lang w:val="fr-FR"/>
        </w:rPr>
        <w:t>PA</w:t>
      </w:r>
      <w:r w:rsidR="00B27DA7" w:rsidRPr="00693E45">
        <w:rPr>
          <w:lang w:val="fr-FR"/>
        </w:rPr>
        <w:t xml:space="preserve"> a indiqué en outre qu</w:t>
      </w:r>
      <w:r w:rsidR="009B7882" w:rsidRPr="00693E45">
        <w:rPr>
          <w:lang w:val="fr-FR"/>
        </w:rPr>
        <w:t>’</w:t>
      </w:r>
      <w:r w:rsidR="00B27DA7" w:rsidRPr="00693E45">
        <w:rPr>
          <w:lang w:val="fr-FR"/>
        </w:rPr>
        <w:t xml:space="preserve">un résumé des statistiques préliminaires issues de ce sondage figurait au </w:t>
      </w:r>
      <w:r w:rsidR="009B7882" w:rsidRPr="00693E45">
        <w:rPr>
          <w:lang w:val="fr-FR"/>
        </w:rPr>
        <w:t>paragraphe 5</w:t>
      </w:r>
      <w:r w:rsidR="00B27DA7" w:rsidRPr="00693E45">
        <w:rPr>
          <w:lang w:val="fr-FR"/>
        </w:rPr>
        <w:t xml:space="preserve"> du document.</w:t>
      </w:r>
    </w:p>
    <w:p w14:paraId="0C54DC9E" w14:textId="3CD33BFD" w:rsidR="007F3D49" w:rsidRPr="00693E45" w:rsidRDefault="00044169" w:rsidP="00CB4729">
      <w:pPr>
        <w:pStyle w:val="ONUMFS"/>
        <w:rPr>
          <w:szCs w:val="22"/>
          <w:lang w:val="fr-FR"/>
        </w:rPr>
      </w:pPr>
      <w:r w:rsidRPr="00693E45">
        <w:rPr>
          <w:lang w:val="fr-FR"/>
        </w:rPr>
        <w:t xml:space="preserve">En ce qui concerne le calendrier présenté au </w:t>
      </w:r>
      <w:r w:rsidR="009B7882" w:rsidRPr="00693E45">
        <w:rPr>
          <w:lang w:val="fr-FR"/>
        </w:rPr>
        <w:t>paragraphe 7</w:t>
      </w:r>
      <w:r w:rsidRPr="00693E45">
        <w:rPr>
          <w:lang w:val="fr-FR"/>
        </w:rPr>
        <w:t xml:space="preserve"> du document, une administration a proposé d</w:t>
      </w:r>
      <w:r w:rsidR="009B7882" w:rsidRPr="00693E45">
        <w:rPr>
          <w:lang w:val="fr-FR"/>
        </w:rPr>
        <w:t>’</w:t>
      </w:r>
      <w:r w:rsidRPr="00693E45">
        <w:rPr>
          <w:lang w:val="fr-FR"/>
        </w:rPr>
        <w:t>accorder</w:t>
      </w:r>
      <w:r w:rsidR="00B13E4B" w:rsidRPr="00693E45">
        <w:rPr>
          <w:lang w:val="fr-FR"/>
        </w:rPr>
        <w:t xml:space="preserve"> aux administrations chargées de la recherche internationale</w:t>
      </w:r>
      <w:r w:rsidRPr="00693E45">
        <w:rPr>
          <w:lang w:val="fr-FR"/>
        </w:rPr>
        <w:t xml:space="preserve"> jusqu</w:t>
      </w:r>
      <w:r w:rsidR="009B7882" w:rsidRPr="00693E45">
        <w:rPr>
          <w:lang w:val="fr-FR"/>
        </w:rPr>
        <w:t>’</w:t>
      </w:r>
      <w:r w:rsidRPr="00693E45">
        <w:rPr>
          <w:lang w:val="fr-FR"/>
        </w:rPr>
        <w:t>au 3</w:t>
      </w:r>
      <w:r w:rsidR="009B7882" w:rsidRPr="00693E45">
        <w:rPr>
          <w:lang w:val="fr-FR"/>
        </w:rPr>
        <w:t>1 octobre 20</w:t>
      </w:r>
      <w:r w:rsidRPr="00693E45">
        <w:rPr>
          <w:lang w:val="fr-FR"/>
        </w:rPr>
        <w:t>21</w:t>
      </w:r>
      <w:r w:rsidR="00B13E4B" w:rsidRPr="00693E45">
        <w:rPr>
          <w:lang w:val="fr-FR"/>
        </w:rPr>
        <w:t xml:space="preserve"> pour envoyer leurs observations sur le projet de rapport</w:t>
      </w:r>
      <w:r w:rsidR="00701FEF" w:rsidRPr="00693E45">
        <w:rPr>
          <w:lang w:val="fr-FR"/>
        </w:rPr>
        <w:t xml:space="preserve"> </w:t>
      </w:r>
      <w:r w:rsidR="00B13E4B" w:rsidRPr="00693E45">
        <w:rPr>
          <w:lang w:val="fr-FR"/>
        </w:rPr>
        <w:t>et de prolonger jusqu</w:t>
      </w:r>
      <w:r w:rsidR="009B7882" w:rsidRPr="00693E45">
        <w:rPr>
          <w:lang w:val="fr-FR"/>
        </w:rPr>
        <w:t>’</w:t>
      </w:r>
      <w:r w:rsidR="00B13E4B" w:rsidRPr="00693E45">
        <w:rPr>
          <w:lang w:val="fr-FR"/>
        </w:rPr>
        <w:t>à la mi</w:t>
      </w:r>
      <w:r w:rsidR="00CB4729" w:rsidRPr="00693E45">
        <w:rPr>
          <w:lang w:val="fr-FR"/>
        </w:rPr>
        <w:noBreakHyphen/>
      </w:r>
      <w:r w:rsidR="009B7882" w:rsidRPr="00693E45">
        <w:rPr>
          <w:lang w:val="fr-FR"/>
        </w:rPr>
        <w:t>janvier 20</w:t>
      </w:r>
      <w:r w:rsidR="00B13E4B" w:rsidRPr="00693E45">
        <w:rPr>
          <w:lang w:val="fr-FR"/>
        </w:rPr>
        <w:t>22 le délai de soumission des observations et suggestions sur le rapport révi</w:t>
      </w:r>
      <w:r w:rsidR="003D2437" w:rsidRPr="00693E45">
        <w:rPr>
          <w:lang w:val="fr-FR"/>
        </w:rPr>
        <w:t>sé.  Un</w:t>
      </w:r>
      <w:r w:rsidR="005F2CB7" w:rsidRPr="00693E45">
        <w:rPr>
          <w:lang w:val="fr-FR"/>
        </w:rPr>
        <w:t>e autre administration a indiqué qu</w:t>
      </w:r>
      <w:r w:rsidR="009B7882" w:rsidRPr="00693E45">
        <w:rPr>
          <w:lang w:val="fr-FR"/>
        </w:rPr>
        <w:t>’</w:t>
      </w:r>
      <w:r w:rsidR="005F2CB7" w:rsidRPr="00693E45">
        <w:rPr>
          <w:lang w:val="fr-FR"/>
        </w:rPr>
        <w:t>elle avait répondu au questionnaire et a présenté des suggestions d</w:t>
      </w:r>
      <w:r w:rsidR="009B7882" w:rsidRPr="00693E45">
        <w:rPr>
          <w:lang w:val="fr-FR"/>
        </w:rPr>
        <w:t>’</w:t>
      </w:r>
      <w:r w:rsidR="005F2CB7" w:rsidRPr="00693E45">
        <w:rPr>
          <w:lang w:val="fr-FR"/>
        </w:rPr>
        <w:t xml:space="preserve">améliorations de la mise en page et du contenu des rapports de recherches internationales et des opinions écrites, </w:t>
      </w:r>
      <w:r w:rsidR="00222917" w:rsidRPr="00693E45">
        <w:rPr>
          <w:lang w:val="fr-FR"/>
        </w:rPr>
        <w:t>suggestions qu</w:t>
      </w:r>
      <w:r w:rsidR="009B7882" w:rsidRPr="00693E45">
        <w:rPr>
          <w:lang w:val="fr-FR"/>
        </w:rPr>
        <w:t>’</w:t>
      </w:r>
      <w:r w:rsidR="00222917" w:rsidRPr="00693E45">
        <w:rPr>
          <w:lang w:val="fr-FR"/>
        </w:rPr>
        <w:t>elle avait</w:t>
      </w:r>
      <w:r w:rsidR="00CB4729" w:rsidRPr="00693E45">
        <w:rPr>
          <w:lang w:val="fr-FR"/>
        </w:rPr>
        <w:t xml:space="preserve"> mises en ligne sur le wiki du S</w:t>
      </w:r>
      <w:r w:rsidR="00222917" w:rsidRPr="00693E45">
        <w:rPr>
          <w:lang w:val="fr-FR"/>
        </w:rPr>
        <w:t>ous</w:t>
      </w:r>
      <w:r w:rsidR="00CB4729" w:rsidRPr="00693E45">
        <w:rPr>
          <w:lang w:val="fr-FR"/>
        </w:rPr>
        <w:noBreakHyphen/>
      </w:r>
      <w:r w:rsidR="00222917" w:rsidRPr="00693E45">
        <w:rPr>
          <w:lang w:val="fr-FR"/>
        </w:rPr>
        <w:t>groupe chargé de la qualité.</w:t>
      </w:r>
    </w:p>
    <w:p w14:paraId="2EA044B5" w14:textId="44F7344C" w:rsidR="007F3D49" w:rsidRPr="00693E45" w:rsidRDefault="00143511" w:rsidP="00CB4729">
      <w:pPr>
        <w:pStyle w:val="ONUMFS"/>
        <w:rPr>
          <w:szCs w:val="22"/>
          <w:lang w:val="fr-FR"/>
        </w:rPr>
      </w:pPr>
      <w:r w:rsidRPr="00693E45">
        <w:rPr>
          <w:lang w:val="fr-FR"/>
        </w:rPr>
        <w:t>Le Bureau international a confirmé que le calendrier devait permettre d</w:t>
      </w:r>
      <w:r w:rsidR="009B7882" w:rsidRPr="00693E45">
        <w:rPr>
          <w:lang w:val="fr-FR"/>
        </w:rPr>
        <w:t>’</w:t>
      </w:r>
      <w:r w:rsidRPr="00693E45">
        <w:rPr>
          <w:lang w:val="fr-FR"/>
        </w:rPr>
        <w:t>achever les travaux à temps pour la prochaine réunion début</w:t>
      </w:r>
      <w:r w:rsidR="00C6045B" w:rsidRPr="00693E45">
        <w:rPr>
          <w:lang w:val="fr-FR"/>
        </w:rPr>
        <w:t> </w:t>
      </w:r>
      <w:r w:rsidRPr="00693E45">
        <w:rPr>
          <w:lang w:val="fr-FR"/>
        </w:rPr>
        <w:t>2022.  Toutefois, le délai accordé aux administrations chargées de la recherche internationale pour envoyer leurs observations sur le projet de rapport devait être conditionné par la date de mise à disposition de ce rapport par</w:t>
      </w:r>
      <w:r w:rsidR="009B7882" w:rsidRPr="00693E45">
        <w:rPr>
          <w:lang w:val="fr-FR"/>
        </w:rPr>
        <w:t xml:space="preserve"> la CNI</w:t>
      </w:r>
      <w:r w:rsidRPr="00693E45">
        <w:rPr>
          <w:lang w:val="fr-FR"/>
        </w:rPr>
        <w:t>PA</w:t>
      </w:r>
      <w:r w:rsidR="00D34611" w:rsidRPr="00693E45">
        <w:rPr>
          <w:lang w:val="fr-FR"/>
        </w:rPr>
        <w:t>, et il en était de même concernant la soumission des observations sur le rapport révi</w:t>
      </w:r>
      <w:r w:rsidR="003D2437" w:rsidRPr="00693E45">
        <w:rPr>
          <w:lang w:val="fr-FR"/>
        </w:rPr>
        <w:t>sé.  Il</w:t>
      </w:r>
      <w:r w:rsidR="009965B5" w:rsidRPr="00693E45">
        <w:rPr>
          <w:lang w:val="fr-FR"/>
        </w:rPr>
        <w:t xml:space="preserve"> convenait, par conséquent, de fixer ces délais une fois les rapports disponibles, </w:t>
      </w:r>
      <w:r w:rsidR="001728B7" w:rsidRPr="00693E45">
        <w:rPr>
          <w:lang w:val="fr-FR"/>
        </w:rPr>
        <w:t xml:space="preserve">en laissant </w:t>
      </w:r>
      <w:r w:rsidR="009965B5" w:rsidRPr="00693E45">
        <w:rPr>
          <w:lang w:val="fr-FR"/>
        </w:rPr>
        <w:t>suffisamment de temps aux administrations pour formuler leurs observations</w:t>
      </w:r>
      <w:r w:rsidR="00EC7945" w:rsidRPr="00693E45">
        <w:rPr>
          <w:lang w:val="fr-FR"/>
        </w:rPr>
        <w:t xml:space="preserve"> </w:t>
      </w:r>
      <w:r w:rsidR="00981E0F" w:rsidRPr="00693E45">
        <w:rPr>
          <w:lang w:val="fr-FR"/>
        </w:rPr>
        <w:t>dans le courant</w:t>
      </w:r>
      <w:r w:rsidR="000443D9" w:rsidRPr="00693E45">
        <w:rPr>
          <w:lang w:val="fr-FR"/>
        </w:rPr>
        <w:t xml:space="preserve"> de la période menant à</w:t>
      </w:r>
      <w:r w:rsidR="001728B7" w:rsidRPr="00693E45">
        <w:rPr>
          <w:lang w:val="fr-FR"/>
        </w:rPr>
        <w:t xml:space="preserve"> </w:t>
      </w:r>
      <w:r w:rsidR="000443D9" w:rsidRPr="00693E45">
        <w:rPr>
          <w:lang w:val="fr-FR"/>
        </w:rPr>
        <w:t xml:space="preserve">la prochaine </w:t>
      </w:r>
      <w:r w:rsidR="00607C02" w:rsidRPr="00693E45">
        <w:rPr>
          <w:lang w:val="fr-FR"/>
        </w:rPr>
        <w:t>session de la R</w:t>
      </w:r>
      <w:r w:rsidR="000443D9" w:rsidRPr="00693E45">
        <w:rPr>
          <w:lang w:val="fr-FR"/>
        </w:rPr>
        <w:t>éunion.</w:t>
      </w:r>
    </w:p>
    <w:p w14:paraId="5578AD24" w14:textId="2E54D440" w:rsidR="007F3D49" w:rsidRPr="00693E45" w:rsidRDefault="000443D9"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du contenu du document </w:t>
      </w:r>
      <w:r w:rsidR="007F3D49" w:rsidRPr="00693E45">
        <w:rPr>
          <w:lang w:val="fr-FR"/>
        </w:rPr>
        <w:t xml:space="preserve">PCT/MIA/28/7 </w:t>
      </w:r>
      <w:r w:rsidRPr="00693E45">
        <w:rPr>
          <w:lang w:val="fr-FR"/>
        </w:rPr>
        <w:t>et des travaux prévus jusqu</w:t>
      </w:r>
      <w:r w:rsidR="009B7882" w:rsidRPr="00693E45">
        <w:rPr>
          <w:lang w:val="fr-FR"/>
        </w:rPr>
        <w:t>’</w:t>
      </w:r>
      <w:r w:rsidRPr="00693E45">
        <w:rPr>
          <w:lang w:val="fr-FR"/>
        </w:rPr>
        <w:t>à la prochaine session d</w:t>
      </w:r>
      <w:r w:rsidR="00EA6B3E" w:rsidRPr="00693E45">
        <w:rPr>
          <w:lang w:val="fr-FR"/>
        </w:rPr>
        <w:t>e la</w:t>
      </w:r>
      <w:r w:rsidR="007F3D49" w:rsidRPr="00693E45">
        <w:rPr>
          <w:lang w:val="fr-FR"/>
        </w:rPr>
        <w:t xml:space="preserve"> </w:t>
      </w:r>
      <w:r w:rsidR="00EA6B3E" w:rsidRPr="00693E45">
        <w:rPr>
          <w:lang w:val="fr-FR"/>
        </w:rPr>
        <w:t>Réunion des administrations internationales selon</w:t>
      </w:r>
      <w:r w:rsidR="009B7882" w:rsidRPr="00693E45">
        <w:rPr>
          <w:lang w:val="fr-FR"/>
        </w:rPr>
        <w:t xml:space="preserve"> le PCT</w:t>
      </w:r>
      <w:r w:rsidR="007F3D49" w:rsidRPr="00693E45">
        <w:rPr>
          <w:lang w:val="fr-FR"/>
        </w:rPr>
        <w:t>.</w:t>
      </w:r>
    </w:p>
    <w:p w14:paraId="119732AB" w14:textId="097DA1EF" w:rsidR="007F3D49" w:rsidRPr="00693E45" w:rsidRDefault="007F3D49" w:rsidP="007F3D49">
      <w:pPr>
        <w:pStyle w:val="Heading1"/>
        <w:rPr>
          <w:lang w:val="fr-FR"/>
        </w:rPr>
      </w:pPr>
      <w:r w:rsidRPr="00693E45">
        <w:rPr>
          <w:lang w:val="fr-FR"/>
        </w:rPr>
        <w:lastRenderedPageBreak/>
        <w:t>Rapport sur l</w:t>
      </w:r>
      <w:r w:rsidR="009B7882" w:rsidRPr="00693E45">
        <w:rPr>
          <w:lang w:val="fr-FR"/>
        </w:rPr>
        <w:t>’</w:t>
      </w:r>
      <w:r w:rsidRPr="00693E45">
        <w:rPr>
          <w:lang w:val="fr-FR"/>
        </w:rPr>
        <w:t>État d</w:t>
      </w:r>
      <w:r w:rsidR="009B7882" w:rsidRPr="00693E45">
        <w:rPr>
          <w:lang w:val="fr-FR"/>
        </w:rPr>
        <w:t>’</w:t>
      </w:r>
      <w:r w:rsidRPr="00693E45">
        <w:rPr>
          <w:lang w:val="fr-FR"/>
        </w:rPr>
        <w:t>avancement du projet pilote de recherche et d</w:t>
      </w:r>
      <w:r w:rsidR="009B7882" w:rsidRPr="00693E45">
        <w:rPr>
          <w:lang w:val="fr-FR"/>
        </w:rPr>
        <w:t>’</w:t>
      </w:r>
      <w:r w:rsidRPr="00693E45">
        <w:rPr>
          <w:lang w:val="fr-FR"/>
        </w:rPr>
        <w:t>examen en collaboration dans le cadre</w:t>
      </w:r>
      <w:r w:rsidR="009B7882" w:rsidRPr="00693E45">
        <w:rPr>
          <w:lang w:val="fr-FR"/>
        </w:rPr>
        <w:t xml:space="preserve"> du PCT</w:t>
      </w:r>
    </w:p>
    <w:p w14:paraId="707F95DF" w14:textId="77777777" w:rsidR="007F3D49" w:rsidRPr="00693E45" w:rsidRDefault="007F3D49" w:rsidP="00CB4729">
      <w:pPr>
        <w:pStyle w:val="ONUMFS"/>
        <w:rPr>
          <w:lang w:val="fr-FR"/>
        </w:rPr>
      </w:pPr>
      <w:r w:rsidRPr="00693E45">
        <w:rPr>
          <w:lang w:val="fr-FR"/>
        </w:rPr>
        <w:t>Les délibérations ont eu lieu sur la base du document PCT/MIA/28/3.</w:t>
      </w:r>
    </w:p>
    <w:p w14:paraId="69A57E5A" w14:textId="293AFC2B" w:rsidR="007F3D49" w:rsidRPr="00693E45" w:rsidRDefault="00831ECA" w:rsidP="00CB4729">
      <w:pPr>
        <w:pStyle w:val="ONUMFS"/>
        <w:rPr>
          <w:lang w:val="fr-FR"/>
        </w:rPr>
      </w:pPr>
      <w:r w:rsidRPr="00693E45">
        <w:rPr>
          <w:lang w:val="fr-FR"/>
        </w:rPr>
        <w:t>L</w:t>
      </w:r>
      <w:r w:rsidR="009B7882" w:rsidRPr="00693E45">
        <w:rPr>
          <w:lang w:val="fr-FR"/>
        </w:rPr>
        <w:t>’</w:t>
      </w:r>
      <w:r w:rsidRPr="00693E45">
        <w:rPr>
          <w:lang w:val="fr-FR"/>
        </w:rPr>
        <w:t xml:space="preserve">Office européen des brevets (OEB) a présenté le document et informé la </w:t>
      </w:r>
      <w:r w:rsidR="00FD5421" w:rsidRPr="00693E45">
        <w:rPr>
          <w:lang w:val="fr-FR"/>
        </w:rPr>
        <w:t>Réunion</w:t>
      </w:r>
      <w:r w:rsidRPr="00693E45">
        <w:rPr>
          <w:lang w:val="fr-FR"/>
        </w:rPr>
        <w:t xml:space="preserve"> que le projet pilote était entré </w:t>
      </w:r>
      <w:r w:rsidR="009B7882" w:rsidRPr="00693E45">
        <w:rPr>
          <w:lang w:val="fr-FR"/>
        </w:rPr>
        <w:t>en 2020</w:t>
      </w:r>
      <w:r w:rsidRPr="00693E45">
        <w:rPr>
          <w:lang w:val="fr-FR"/>
        </w:rPr>
        <w:t xml:space="preserve"> dans une phase d</w:t>
      </w:r>
      <w:r w:rsidR="009B7882" w:rsidRPr="00693E45">
        <w:rPr>
          <w:lang w:val="fr-FR"/>
        </w:rPr>
        <w:t>’</w:t>
      </w:r>
      <w:r w:rsidRPr="00693E45">
        <w:rPr>
          <w:lang w:val="fr-FR"/>
        </w:rPr>
        <w:t>évaluation durant laquelle les offices de l</w:t>
      </w:r>
      <w:r w:rsidR="009B7882" w:rsidRPr="00693E45">
        <w:rPr>
          <w:lang w:val="fr-FR"/>
        </w:rPr>
        <w:t>’</w:t>
      </w:r>
      <w:r w:rsidRPr="00693E45">
        <w:rPr>
          <w:lang w:val="fr-FR"/>
        </w:rPr>
        <w:t>IP5 allaient évaluer l</w:t>
      </w:r>
      <w:r w:rsidR="009B7882" w:rsidRPr="00693E45">
        <w:rPr>
          <w:lang w:val="fr-FR"/>
        </w:rPr>
        <w:t>’</w:t>
      </w:r>
      <w:r w:rsidRPr="00693E45">
        <w:rPr>
          <w:lang w:val="fr-FR"/>
        </w:rPr>
        <w:t>entrée des demandes internationales traitées au cours de la phase opérationnelle du projet pilote dans leur phase nationale ou régionale respecti</w:t>
      </w:r>
      <w:r w:rsidR="003D2437" w:rsidRPr="00693E45">
        <w:rPr>
          <w:lang w:val="fr-FR"/>
        </w:rPr>
        <w:t>ve.  Ce</w:t>
      </w:r>
      <w:r w:rsidR="007D1746" w:rsidRPr="00693E45">
        <w:rPr>
          <w:lang w:val="fr-FR"/>
        </w:rPr>
        <w:t>tte phase d</w:t>
      </w:r>
      <w:r w:rsidR="009B7882" w:rsidRPr="00693E45">
        <w:rPr>
          <w:lang w:val="fr-FR"/>
        </w:rPr>
        <w:t>’</w:t>
      </w:r>
      <w:r w:rsidR="007D1746" w:rsidRPr="00693E45">
        <w:rPr>
          <w:lang w:val="fr-FR"/>
        </w:rPr>
        <w:t xml:space="preserve">évaluation, qui comprenait également une enquête du Bureau international auprès des participants du projet pilote, prendrait fin en </w:t>
      </w:r>
      <w:r w:rsidR="009B7882" w:rsidRPr="00693E45">
        <w:rPr>
          <w:lang w:val="fr-FR"/>
        </w:rPr>
        <w:t>juin 20</w:t>
      </w:r>
      <w:r w:rsidR="007D1746" w:rsidRPr="00693E45">
        <w:rPr>
          <w:lang w:val="fr-FR"/>
        </w:rPr>
        <w:t>22.</w:t>
      </w:r>
    </w:p>
    <w:p w14:paraId="0CED23BB" w14:textId="0305B816" w:rsidR="007F3D49" w:rsidRPr="00693E45" w:rsidRDefault="007F3D49"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du contenu du document PCT/MIA/28/3.</w:t>
      </w:r>
    </w:p>
    <w:p w14:paraId="00807908" w14:textId="5BD7E751" w:rsidR="007F3D49" w:rsidRPr="00693E45" w:rsidRDefault="007F3D49" w:rsidP="007F3D49">
      <w:pPr>
        <w:pStyle w:val="Heading1"/>
        <w:rPr>
          <w:lang w:val="fr-FR"/>
        </w:rPr>
      </w:pPr>
      <w:r w:rsidRPr="00693E45">
        <w:rPr>
          <w:lang w:val="fr-FR"/>
        </w:rPr>
        <w:t>Équipe d</w:t>
      </w:r>
      <w:r w:rsidR="009B7882" w:rsidRPr="00693E45">
        <w:rPr>
          <w:lang w:val="fr-FR"/>
        </w:rPr>
        <w:t>’</w:t>
      </w:r>
      <w:r w:rsidRPr="00693E45">
        <w:rPr>
          <w:lang w:val="fr-FR"/>
        </w:rPr>
        <w:t>experts chargée de la documentation minimale</w:t>
      </w:r>
      <w:r w:rsidR="009B7882" w:rsidRPr="00693E45">
        <w:rPr>
          <w:lang w:val="fr-FR"/>
        </w:rPr>
        <w:t xml:space="preserve"> du PCT :</w:t>
      </w:r>
      <w:r w:rsidRPr="00693E45">
        <w:rPr>
          <w:lang w:val="fr-FR"/>
        </w:rPr>
        <w:t xml:space="preserve"> rapport sur l</w:t>
      </w:r>
      <w:r w:rsidR="009B7882" w:rsidRPr="00693E45">
        <w:rPr>
          <w:lang w:val="fr-FR"/>
        </w:rPr>
        <w:t>’</w:t>
      </w:r>
      <w:r w:rsidRPr="00693E45">
        <w:rPr>
          <w:lang w:val="fr-FR"/>
        </w:rPr>
        <w:t>état d</w:t>
      </w:r>
      <w:r w:rsidR="009B7882" w:rsidRPr="00693E45">
        <w:rPr>
          <w:lang w:val="fr-FR"/>
        </w:rPr>
        <w:t>’</w:t>
      </w:r>
      <w:r w:rsidRPr="00693E45">
        <w:rPr>
          <w:lang w:val="fr-FR"/>
        </w:rPr>
        <w:t>avancement des travaux</w:t>
      </w:r>
    </w:p>
    <w:p w14:paraId="5BAFCEF1" w14:textId="77777777" w:rsidR="007F3D49" w:rsidRPr="00693E45" w:rsidRDefault="007F3D49" w:rsidP="00CB4729">
      <w:pPr>
        <w:pStyle w:val="ONUMFS"/>
        <w:rPr>
          <w:lang w:val="fr-FR"/>
        </w:rPr>
      </w:pPr>
      <w:r w:rsidRPr="00693E45">
        <w:rPr>
          <w:lang w:val="fr-FR"/>
        </w:rPr>
        <w:t>Les délibérations ont eu lieu sur la base du document PCT/MIA/28/4.</w:t>
      </w:r>
    </w:p>
    <w:p w14:paraId="02A2E5BF" w14:textId="09BE3D2D" w:rsidR="007F3D49" w:rsidRPr="00693E45" w:rsidRDefault="00932DDF" w:rsidP="00CB4729">
      <w:pPr>
        <w:pStyle w:val="ONUMFS"/>
        <w:rPr>
          <w:lang w:val="fr-FR"/>
        </w:rPr>
      </w:pPr>
      <w:r w:rsidRPr="00693E45">
        <w:rPr>
          <w:lang w:val="fr-FR"/>
        </w:rPr>
        <w:t>L</w:t>
      </w:r>
      <w:r w:rsidR="009B7882" w:rsidRPr="00693E45">
        <w:rPr>
          <w:lang w:val="fr-FR"/>
        </w:rPr>
        <w:t>’</w:t>
      </w:r>
      <w:r w:rsidRPr="00693E45">
        <w:rPr>
          <w:lang w:val="fr-FR"/>
        </w:rPr>
        <w:t>Office européen des brevets, en qualité de responsable de l</w:t>
      </w:r>
      <w:r w:rsidR="009B7882" w:rsidRPr="00693E45">
        <w:rPr>
          <w:lang w:val="fr-FR"/>
        </w:rPr>
        <w:t>’</w:t>
      </w:r>
      <w:r w:rsidRPr="00693E45">
        <w:rPr>
          <w:lang w:val="fr-FR"/>
        </w:rPr>
        <w:t>équipe d</w:t>
      </w:r>
      <w:r w:rsidR="009B7882" w:rsidRPr="00693E45">
        <w:rPr>
          <w:lang w:val="fr-FR"/>
        </w:rPr>
        <w:t>’</w:t>
      </w:r>
      <w:r w:rsidRPr="00693E45">
        <w:rPr>
          <w:lang w:val="fr-FR"/>
        </w:rPr>
        <w:t>experts, et l</w:t>
      </w:r>
      <w:r w:rsidR="009B7882" w:rsidRPr="00693E45">
        <w:rPr>
          <w:lang w:val="fr-FR"/>
        </w:rPr>
        <w:t>’</w:t>
      </w:r>
      <w:r w:rsidRPr="00693E45">
        <w:rPr>
          <w:lang w:val="fr-FR"/>
        </w:rPr>
        <w:t>Office des brevets et des marques des États</w:t>
      </w:r>
      <w:r w:rsidR="00CB4729" w:rsidRPr="00693E45">
        <w:rPr>
          <w:lang w:val="fr-FR"/>
        </w:rPr>
        <w:noBreakHyphen/>
      </w:r>
      <w:r w:rsidRPr="00693E45">
        <w:rPr>
          <w:lang w:val="fr-FR"/>
        </w:rPr>
        <w:t>Unis d</w:t>
      </w:r>
      <w:r w:rsidR="009B7882" w:rsidRPr="00693E45">
        <w:rPr>
          <w:lang w:val="fr-FR"/>
        </w:rPr>
        <w:t>’</w:t>
      </w:r>
      <w:r w:rsidRPr="00693E45">
        <w:rPr>
          <w:lang w:val="fr-FR"/>
        </w:rPr>
        <w:t>Amérique, en qualité de responsable de l</w:t>
      </w:r>
      <w:r w:rsidR="009B7882" w:rsidRPr="00693E45">
        <w:rPr>
          <w:lang w:val="fr-FR"/>
        </w:rPr>
        <w:t>’</w:t>
      </w:r>
      <w:r w:rsidRPr="00693E45">
        <w:rPr>
          <w:lang w:val="fr-FR"/>
        </w:rPr>
        <w:t>objectif D de l</w:t>
      </w:r>
      <w:r w:rsidR="009B7882" w:rsidRPr="00693E45">
        <w:rPr>
          <w:lang w:val="fr-FR"/>
        </w:rPr>
        <w:t>’</w:t>
      </w:r>
      <w:r w:rsidRPr="00693E45">
        <w:rPr>
          <w:lang w:val="fr-FR"/>
        </w:rPr>
        <w:t>équipe d</w:t>
      </w:r>
      <w:r w:rsidR="009B7882" w:rsidRPr="00693E45">
        <w:rPr>
          <w:lang w:val="fr-FR"/>
        </w:rPr>
        <w:t>’</w:t>
      </w:r>
      <w:r w:rsidRPr="00693E45">
        <w:rPr>
          <w:lang w:val="fr-FR"/>
        </w:rPr>
        <w:t>experts, ont présenté les importants progrès réalisés concernant les parties de la littérature brevet et non</w:t>
      </w:r>
      <w:r w:rsidR="00CB4729" w:rsidRPr="00693E45">
        <w:rPr>
          <w:lang w:val="fr-FR"/>
        </w:rPr>
        <w:noBreakHyphen/>
      </w:r>
      <w:r w:rsidRPr="00693E45">
        <w:rPr>
          <w:lang w:val="fr-FR"/>
        </w:rPr>
        <w:t>brevet figurant dans la documentation minimale</w:t>
      </w:r>
      <w:r w:rsidR="009B7882" w:rsidRPr="00693E45">
        <w:rPr>
          <w:lang w:val="fr-FR"/>
        </w:rPr>
        <w:t xml:space="preserve"> du PCT</w:t>
      </w:r>
      <w:r w:rsidRPr="00693E45">
        <w:rPr>
          <w:lang w:val="fr-FR"/>
        </w:rPr>
        <w:t>, respectiveme</w:t>
      </w:r>
      <w:r w:rsidR="003D2437" w:rsidRPr="00693E45">
        <w:rPr>
          <w:lang w:val="fr-FR"/>
        </w:rPr>
        <w:t>nt.  Un</w:t>
      </w:r>
      <w:r w:rsidR="006D6B04" w:rsidRPr="00693E45">
        <w:rPr>
          <w:lang w:val="fr-FR"/>
        </w:rPr>
        <w:t>e réunion du groupe de travail se tiendrait du 17 au 2</w:t>
      </w:r>
      <w:r w:rsidR="009B7882" w:rsidRPr="00693E45">
        <w:rPr>
          <w:lang w:val="fr-FR"/>
        </w:rPr>
        <w:t>1 mai 20</w:t>
      </w:r>
      <w:r w:rsidR="006D6B04" w:rsidRPr="00693E45">
        <w:rPr>
          <w:lang w:val="fr-FR"/>
        </w:rPr>
        <w:t>21, afin de continuer à r</w:t>
      </w:r>
      <w:r w:rsidR="00E0135B" w:rsidRPr="00693E45">
        <w:rPr>
          <w:lang w:val="fr-FR"/>
        </w:rPr>
        <w:t>assemble</w:t>
      </w:r>
      <w:r w:rsidR="006D6B04" w:rsidRPr="00693E45">
        <w:rPr>
          <w:lang w:val="fr-FR"/>
        </w:rPr>
        <w:t xml:space="preserve">r des recommandations de modifications au règlement </w:t>
      </w:r>
      <w:r w:rsidR="00F93DB1" w:rsidRPr="00693E45">
        <w:rPr>
          <w:lang w:val="fr-FR"/>
        </w:rPr>
        <w:t>d</w:t>
      </w:r>
      <w:r w:rsidR="009B7882" w:rsidRPr="00693E45">
        <w:rPr>
          <w:lang w:val="fr-FR"/>
        </w:rPr>
        <w:t>’</w:t>
      </w:r>
      <w:r w:rsidR="00F93DB1" w:rsidRPr="00693E45">
        <w:rPr>
          <w:lang w:val="fr-FR"/>
        </w:rPr>
        <w:t xml:space="preserve">exécution </w:t>
      </w:r>
      <w:r w:rsidR="006D6B04" w:rsidRPr="00693E45">
        <w:rPr>
          <w:lang w:val="fr-FR"/>
        </w:rPr>
        <w:t xml:space="preserve">et </w:t>
      </w:r>
      <w:r w:rsidR="00E0135B" w:rsidRPr="00693E45">
        <w:rPr>
          <w:lang w:val="fr-FR"/>
        </w:rPr>
        <w:t xml:space="preserve">aux </w:t>
      </w:r>
      <w:r w:rsidR="006D6B04" w:rsidRPr="00693E45">
        <w:rPr>
          <w:lang w:val="fr-FR"/>
        </w:rPr>
        <w:t>accords</w:t>
      </w:r>
      <w:r w:rsidR="009B7882" w:rsidRPr="00693E45">
        <w:rPr>
          <w:lang w:val="fr-FR"/>
        </w:rPr>
        <w:t xml:space="preserve"> du PCT</w:t>
      </w:r>
      <w:r w:rsidR="006D6B04" w:rsidRPr="00693E45">
        <w:rPr>
          <w:lang w:val="fr-FR"/>
        </w:rPr>
        <w:t xml:space="preserve"> </w:t>
      </w:r>
      <w:r w:rsidR="00E0135B" w:rsidRPr="00693E45">
        <w:rPr>
          <w:lang w:val="fr-FR"/>
        </w:rPr>
        <w:t>concernant la littérature non</w:t>
      </w:r>
      <w:r w:rsidR="00CB4729" w:rsidRPr="00693E45">
        <w:rPr>
          <w:lang w:val="fr-FR"/>
        </w:rPr>
        <w:noBreakHyphen/>
      </w:r>
      <w:r w:rsidR="00E0135B" w:rsidRPr="00693E45">
        <w:rPr>
          <w:lang w:val="fr-FR"/>
        </w:rPr>
        <w:t>brevet</w:t>
      </w:r>
      <w:r w:rsidR="0040559C" w:rsidRPr="00693E45">
        <w:rPr>
          <w:lang w:val="fr-FR"/>
        </w:rPr>
        <w:t>,</w:t>
      </w:r>
      <w:r w:rsidR="00E0135B" w:rsidRPr="00693E45">
        <w:rPr>
          <w:lang w:val="fr-FR"/>
        </w:rPr>
        <w:t xml:space="preserve"> en vue de les présenter aux organes compétents au cours de l</w:t>
      </w:r>
      <w:r w:rsidR="009B7882" w:rsidRPr="00693E45">
        <w:rPr>
          <w:lang w:val="fr-FR"/>
        </w:rPr>
        <w:t>’</w:t>
      </w:r>
      <w:r w:rsidR="00E0135B" w:rsidRPr="00693E45">
        <w:rPr>
          <w:lang w:val="fr-FR"/>
        </w:rPr>
        <w:t>année</w:t>
      </w:r>
      <w:r w:rsidR="00C6045B" w:rsidRPr="00693E45">
        <w:rPr>
          <w:lang w:val="fr-FR"/>
        </w:rPr>
        <w:t> </w:t>
      </w:r>
      <w:r w:rsidR="00E0135B" w:rsidRPr="00693E45">
        <w:rPr>
          <w:lang w:val="fr-FR"/>
        </w:rPr>
        <w:t>2022.</w:t>
      </w:r>
      <w:r w:rsidRPr="00693E45">
        <w:rPr>
          <w:lang w:val="fr-FR"/>
        </w:rPr>
        <w:t xml:space="preserve"> </w:t>
      </w:r>
      <w:r w:rsidR="00E0135B" w:rsidRPr="00693E45">
        <w:rPr>
          <w:lang w:val="fr-FR"/>
        </w:rPr>
        <w:t xml:space="preserve"> </w:t>
      </w:r>
      <w:r w:rsidR="003A140F" w:rsidRPr="00693E45">
        <w:rPr>
          <w:lang w:val="fr-FR"/>
        </w:rPr>
        <w:t>Les modifications concernées seraient ensuite mises en vigueur avant</w:t>
      </w:r>
      <w:r w:rsidR="00E0135B" w:rsidRPr="00693E45">
        <w:rPr>
          <w:lang w:val="fr-FR"/>
        </w:rPr>
        <w:t xml:space="preserve"> </w:t>
      </w:r>
      <w:r w:rsidR="003A140F" w:rsidRPr="00693E45">
        <w:rPr>
          <w:lang w:val="fr-FR"/>
        </w:rPr>
        <w:t>les prochains renouvellements de nominations en qualité d</w:t>
      </w:r>
      <w:r w:rsidR="009B7882" w:rsidRPr="00693E45">
        <w:rPr>
          <w:lang w:val="fr-FR"/>
        </w:rPr>
        <w:t>’</w:t>
      </w:r>
      <w:r w:rsidR="003A140F" w:rsidRPr="00693E45">
        <w:rPr>
          <w:lang w:val="fr-FR"/>
        </w:rPr>
        <w:t>administrations internationales</w:t>
      </w:r>
      <w:r w:rsidR="001D573F" w:rsidRPr="00693E45">
        <w:rPr>
          <w:lang w:val="fr-FR"/>
        </w:rPr>
        <w:t xml:space="preserve">, </w:t>
      </w:r>
      <w:r w:rsidR="00D620F8" w:rsidRPr="00693E45">
        <w:rPr>
          <w:lang w:val="fr-FR"/>
        </w:rPr>
        <w:t xml:space="preserve">un processus qui débuterait </w:t>
      </w:r>
      <w:r w:rsidR="009B7882" w:rsidRPr="00693E45">
        <w:rPr>
          <w:lang w:val="fr-FR"/>
        </w:rPr>
        <w:t>en 2026</w:t>
      </w:r>
      <w:r w:rsidR="00D620F8" w:rsidRPr="00693E45">
        <w:rPr>
          <w:lang w:val="fr-FR"/>
        </w:rPr>
        <w:t>.</w:t>
      </w:r>
    </w:p>
    <w:p w14:paraId="3E54886F" w14:textId="321AB161" w:rsidR="007F3D49" w:rsidRPr="00693E45" w:rsidRDefault="007F3D49"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du contenu du document PCT/MIA/28/4.</w:t>
      </w:r>
    </w:p>
    <w:p w14:paraId="4C02DF12" w14:textId="2B4CD0CE" w:rsidR="007F3D49" w:rsidRPr="00693E45" w:rsidRDefault="007F3D49" w:rsidP="007F3D49">
      <w:pPr>
        <w:pStyle w:val="Heading1"/>
        <w:rPr>
          <w:lang w:val="fr-FR"/>
        </w:rPr>
      </w:pPr>
      <w:r w:rsidRPr="00693E45">
        <w:rPr>
          <w:lang w:val="fr-FR"/>
        </w:rPr>
        <w:t>Rapport sur l</w:t>
      </w:r>
      <w:r w:rsidR="009B7882" w:rsidRPr="00693E45">
        <w:rPr>
          <w:lang w:val="fr-FR"/>
        </w:rPr>
        <w:t>’</w:t>
      </w:r>
      <w:r w:rsidRPr="00693E45">
        <w:rPr>
          <w:lang w:val="fr-FR"/>
        </w:rPr>
        <w:t>état d</w:t>
      </w:r>
      <w:r w:rsidR="009B7882" w:rsidRPr="00693E45">
        <w:rPr>
          <w:lang w:val="fr-FR"/>
        </w:rPr>
        <w:t>’</w:t>
      </w:r>
      <w:r w:rsidRPr="00693E45">
        <w:rPr>
          <w:lang w:val="fr-FR"/>
        </w:rPr>
        <w:t>avancement des travaux de l</w:t>
      </w:r>
      <w:r w:rsidR="009B7882" w:rsidRPr="00693E45">
        <w:rPr>
          <w:lang w:val="fr-FR"/>
        </w:rPr>
        <w:t>’</w:t>
      </w:r>
      <w:r w:rsidRPr="00693E45">
        <w:rPr>
          <w:lang w:val="fr-FR"/>
        </w:rPr>
        <w:t>équipe d</w:t>
      </w:r>
      <w:r w:rsidR="009B7882" w:rsidRPr="00693E45">
        <w:rPr>
          <w:lang w:val="fr-FR"/>
        </w:rPr>
        <w:t>’</w:t>
      </w:r>
      <w:r w:rsidRPr="00693E45">
        <w:rPr>
          <w:lang w:val="fr-FR"/>
        </w:rPr>
        <w:t>experts chargée de la norme relative aux listages des séquences</w:t>
      </w:r>
    </w:p>
    <w:p w14:paraId="253490BB" w14:textId="77777777" w:rsidR="007F3D49" w:rsidRPr="00693E45" w:rsidRDefault="007F3D49" w:rsidP="00CB4729">
      <w:pPr>
        <w:pStyle w:val="ONUMFS"/>
        <w:rPr>
          <w:lang w:val="fr-FR"/>
        </w:rPr>
      </w:pPr>
      <w:r w:rsidRPr="00693E45">
        <w:rPr>
          <w:lang w:val="fr-FR"/>
        </w:rPr>
        <w:t>Les délibérations ont eu lieu sur la base du document PCT/MIA/28/2.</w:t>
      </w:r>
    </w:p>
    <w:p w14:paraId="6CA10B94" w14:textId="29E3A754" w:rsidR="007F3D49" w:rsidRPr="00693E45" w:rsidRDefault="00C01A14" w:rsidP="00CB4729">
      <w:pPr>
        <w:pStyle w:val="ONUMFS"/>
        <w:rPr>
          <w:lang w:val="fr-FR"/>
        </w:rPr>
      </w:pPr>
      <w:r w:rsidRPr="00693E45">
        <w:rPr>
          <w:lang w:val="fr-FR"/>
        </w:rPr>
        <w:t>L</w:t>
      </w:r>
      <w:r w:rsidR="009B7882" w:rsidRPr="00693E45">
        <w:rPr>
          <w:lang w:val="fr-FR"/>
        </w:rPr>
        <w:t>’</w:t>
      </w:r>
      <w:r w:rsidRPr="00693E45">
        <w:rPr>
          <w:lang w:val="fr-FR"/>
        </w:rPr>
        <w:t>Office européen des brevets, en sa qualité de responsable de l</w:t>
      </w:r>
      <w:r w:rsidR="009B7882" w:rsidRPr="00693E45">
        <w:rPr>
          <w:lang w:val="fr-FR"/>
        </w:rPr>
        <w:t>’</w:t>
      </w:r>
      <w:r w:rsidRPr="00693E45">
        <w:rPr>
          <w:lang w:val="fr-FR"/>
        </w:rPr>
        <w:t>équipe d</w:t>
      </w:r>
      <w:r w:rsidR="009B7882" w:rsidRPr="00693E45">
        <w:rPr>
          <w:lang w:val="fr-FR"/>
        </w:rPr>
        <w:t>’</w:t>
      </w:r>
      <w:r w:rsidRPr="00693E45">
        <w:rPr>
          <w:lang w:val="fr-FR"/>
        </w:rPr>
        <w:t xml:space="preserve">experts chargée du listage </w:t>
      </w:r>
      <w:proofErr w:type="gramStart"/>
      <w:r w:rsidRPr="00693E45">
        <w:rPr>
          <w:lang w:val="fr-FR"/>
        </w:rPr>
        <w:t>des séquences instituée</w:t>
      </w:r>
      <w:proofErr w:type="gramEnd"/>
      <w:r w:rsidRPr="00693E45">
        <w:rPr>
          <w:lang w:val="fr-FR"/>
        </w:rPr>
        <w:t xml:space="preserve"> par le Comité des normes de l</w:t>
      </w:r>
      <w:r w:rsidR="009B7882" w:rsidRPr="00693E45">
        <w:rPr>
          <w:lang w:val="fr-FR"/>
        </w:rPr>
        <w:t>’</w:t>
      </w:r>
      <w:r w:rsidRPr="00693E45">
        <w:rPr>
          <w:lang w:val="fr-FR"/>
        </w:rPr>
        <w:t xml:space="preserve">OMPI, a </w:t>
      </w:r>
      <w:r w:rsidR="00E02A13" w:rsidRPr="00693E45">
        <w:rPr>
          <w:lang w:val="fr-FR"/>
        </w:rPr>
        <w:t xml:space="preserve">présenté </w:t>
      </w:r>
      <w:r w:rsidR="00FB4967" w:rsidRPr="00693E45">
        <w:rPr>
          <w:lang w:val="fr-FR"/>
        </w:rPr>
        <w:t>les progrès</w:t>
      </w:r>
      <w:r w:rsidR="0029295D" w:rsidRPr="00693E45">
        <w:rPr>
          <w:lang w:val="fr-FR"/>
        </w:rPr>
        <w:t xml:space="preserve"> accomplis concernant </w:t>
      </w:r>
      <w:r w:rsidR="00FB4967" w:rsidRPr="00693E45">
        <w:rPr>
          <w:lang w:val="fr-FR"/>
        </w:rPr>
        <w:t>l</w:t>
      </w:r>
      <w:r w:rsidR="009B7882" w:rsidRPr="00693E45">
        <w:rPr>
          <w:lang w:val="fr-FR"/>
        </w:rPr>
        <w:t>’</w:t>
      </w:r>
      <w:r w:rsidR="00FB4967" w:rsidRPr="00693E45">
        <w:rPr>
          <w:lang w:val="fr-FR"/>
        </w:rPr>
        <w:t>élaboration d</w:t>
      </w:r>
      <w:r w:rsidR="009B7882" w:rsidRPr="00693E45">
        <w:rPr>
          <w:lang w:val="fr-FR"/>
        </w:rPr>
        <w:t>’</w:t>
      </w:r>
      <w:r w:rsidR="00FB4967" w:rsidRPr="00693E45">
        <w:rPr>
          <w:lang w:val="fr-FR"/>
        </w:rPr>
        <w:t>outils logiciels destinés à favoriser l</w:t>
      </w:r>
      <w:r w:rsidR="009B7882" w:rsidRPr="00693E45">
        <w:rPr>
          <w:lang w:val="fr-FR"/>
        </w:rPr>
        <w:t>’</w:t>
      </w:r>
      <w:r w:rsidR="00FB4967" w:rsidRPr="00693E45">
        <w:rPr>
          <w:lang w:val="fr-FR"/>
        </w:rPr>
        <w:t>utilisation de la norme</w:t>
      </w:r>
      <w:r w:rsidR="0091379C" w:rsidRPr="00693E45">
        <w:rPr>
          <w:lang w:val="fr-FR"/>
        </w:rPr>
        <w:t> </w:t>
      </w:r>
      <w:r w:rsidR="00FB4967" w:rsidRPr="00693E45">
        <w:rPr>
          <w:lang w:val="fr-FR"/>
        </w:rPr>
        <w:t>ST.26 de l</w:t>
      </w:r>
      <w:r w:rsidR="009B7882" w:rsidRPr="00693E45">
        <w:rPr>
          <w:lang w:val="fr-FR"/>
        </w:rPr>
        <w:t>’</w:t>
      </w:r>
      <w:r w:rsidR="00FB4967" w:rsidRPr="00693E45">
        <w:rPr>
          <w:lang w:val="fr-FR"/>
        </w:rPr>
        <w:t>OMPI par les déposants et les offices</w:t>
      </w:r>
      <w:r w:rsidR="00AB6C4A" w:rsidRPr="00693E45">
        <w:rPr>
          <w:lang w:val="fr-FR"/>
        </w:rPr>
        <w:t xml:space="preserve">, </w:t>
      </w:r>
      <w:r w:rsidR="0029295D" w:rsidRPr="00693E45">
        <w:rPr>
          <w:lang w:val="fr-FR"/>
        </w:rPr>
        <w:t>ainsi que la révision du cadre juridique</w:t>
      </w:r>
      <w:r w:rsidR="009B7882" w:rsidRPr="00693E45">
        <w:rPr>
          <w:lang w:val="fr-FR"/>
        </w:rPr>
        <w:t xml:space="preserve"> du </w:t>
      </w:r>
      <w:r w:rsidR="003D2437" w:rsidRPr="00693E45">
        <w:rPr>
          <w:lang w:val="fr-FR"/>
        </w:rPr>
        <w:t>PCT.  De</w:t>
      </w:r>
      <w:r w:rsidR="004368DA" w:rsidRPr="00693E45">
        <w:rPr>
          <w:lang w:val="fr-FR"/>
        </w:rPr>
        <w:t>s projets de modification du règlement d</w:t>
      </w:r>
      <w:r w:rsidR="009B7882" w:rsidRPr="00693E45">
        <w:rPr>
          <w:lang w:val="fr-FR"/>
        </w:rPr>
        <w:t>’</w:t>
      </w:r>
      <w:r w:rsidR="004368DA" w:rsidRPr="00693E45">
        <w:rPr>
          <w:lang w:val="fr-FR"/>
        </w:rPr>
        <w:t>exécution</w:t>
      </w:r>
      <w:r w:rsidR="009B7882" w:rsidRPr="00693E45">
        <w:rPr>
          <w:lang w:val="fr-FR"/>
        </w:rPr>
        <w:t xml:space="preserve"> du PCT</w:t>
      </w:r>
      <w:r w:rsidR="004368DA" w:rsidRPr="00693E45">
        <w:rPr>
          <w:lang w:val="fr-FR"/>
        </w:rPr>
        <w:t xml:space="preserve"> avaient été approuvés par le </w:t>
      </w:r>
      <w:r w:rsidR="0091379C" w:rsidRPr="00693E45">
        <w:rPr>
          <w:lang w:val="fr-FR"/>
        </w:rPr>
        <w:t>Groupe</w:t>
      </w:r>
      <w:r w:rsidR="004368DA" w:rsidRPr="00693E45">
        <w:rPr>
          <w:lang w:val="fr-FR"/>
        </w:rPr>
        <w:t xml:space="preserve"> de travail</w:t>
      </w:r>
      <w:r w:rsidR="009B7882" w:rsidRPr="00693E45">
        <w:rPr>
          <w:lang w:val="fr-FR"/>
        </w:rPr>
        <w:t xml:space="preserve"> du PCT</w:t>
      </w:r>
      <w:r w:rsidR="004368DA" w:rsidRPr="00693E45">
        <w:rPr>
          <w:lang w:val="fr-FR"/>
        </w:rPr>
        <w:t xml:space="preserve"> et devaient être</w:t>
      </w:r>
      <w:r w:rsidR="00F93DB1" w:rsidRPr="00693E45">
        <w:rPr>
          <w:lang w:val="fr-FR"/>
        </w:rPr>
        <w:t xml:space="preserve"> </w:t>
      </w:r>
      <w:r w:rsidR="004B0CD8" w:rsidRPr="00693E45">
        <w:rPr>
          <w:lang w:val="fr-FR"/>
        </w:rPr>
        <w:t>adoptés par l</w:t>
      </w:r>
      <w:r w:rsidR="009B7882" w:rsidRPr="00693E45">
        <w:rPr>
          <w:lang w:val="fr-FR"/>
        </w:rPr>
        <w:t>’</w:t>
      </w:r>
      <w:r w:rsidR="007C3A32" w:rsidRPr="00693E45">
        <w:rPr>
          <w:lang w:val="fr-FR"/>
        </w:rPr>
        <w:t>A</w:t>
      </w:r>
      <w:r w:rsidR="004B0CD8" w:rsidRPr="00693E45">
        <w:rPr>
          <w:lang w:val="fr-FR"/>
        </w:rPr>
        <w:t xml:space="preserve">ssemblée </w:t>
      </w:r>
      <w:r w:rsidR="007C3A32" w:rsidRPr="00693E45">
        <w:rPr>
          <w:lang w:val="fr-FR"/>
        </w:rPr>
        <w:t>de l</w:t>
      </w:r>
      <w:r w:rsidR="009B7882" w:rsidRPr="00693E45">
        <w:rPr>
          <w:lang w:val="fr-FR"/>
        </w:rPr>
        <w:t>’</w:t>
      </w:r>
      <w:r w:rsidR="007C3A32" w:rsidRPr="00693E45">
        <w:rPr>
          <w:lang w:val="fr-FR"/>
        </w:rPr>
        <w:t>Union</w:t>
      </w:r>
      <w:r w:rsidR="009B7882" w:rsidRPr="00693E45">
        <w:rPr>
          <w:lang w:val="fr-FR"/>
        </w:rPr>
        <w:t xml:space="preserve"> du PCT</w:t>
      </w:r>
      <w:r w:rsidR="000478C6" w:rsidRPr="00693E45">
        <w:rPr>
          <w:lang w:val="fr-FR"/>
        </w:rPr>
        <w:t xml:space="preserve"> à temps pour entrer en vigueur à compter du</w:t>
      </w:r>
      <w:r w:rsidR="009B7882" w:rsidRPr="00693E45">
        <w:rPr>
          <w:lang w:val="fr-FR"/>
        </w:rPr>
        <w:t xml:space="preserve"> 1</w:t>
      </w:r>
      <w:r w:rsidR="009B7882" w:rsidRPr="00693E45">
        <w:rPr>
          <w:vertAlign w:val="superscript"/>
          <w:lang w:val="fr-FR"/>
        </w:rPr>
        <w:t>er</w:t>
      </w:r>
      <w:r w:rsidR="009B7882" w:rsidRPr="00693E45">
        <w:rPr>
          <w:lang w:val="fr-FR"/>
        </w:rPr>
        <w:t> janvier 20</w:t>
      </w:r>
      <w:r w:rsidR="000478C6" w:rsidRPr="00693E45">
        <w:rPr>
          <w:lang w:val="fr-FR"/>
        </w:rPr>
        <w:t>22.</w:t>
      </w:r>
      <w:r w:rsidR="0009266B" w:rsidRPr="00693E45">
        <w:rPr>
          <w:lang w:val="fr-FR"/>
        </w:rPr>
        <w:t xml:space="preserve"> </w:t>
      </w:r>
      <w:r w:rsidR="0091379C" w:rsidRPr="00693E45">
        <w:rPr>
          <w:lang w:val="fr-FR"/>
        </w:rPr>
        <w:t xml:space="preserve"> </w:t>
      </w:r>
      <w:r w:rsidR="0009266B" w:rsidRPr="00693E45">
        <w:rPr>
          <w:lang w:val="fr-FR"/>
        </w:rPr>
        <w:t>D</w:t>
      </w:r>
      <w:r w:rsidR="009B7882" w:rsidRPr="00693E45">
        <w:rPr>
          <w:lang w:val="fr-FR"/>
        </w:rPr>
        <w:t>’</w:t>
      </w:r>
      <w:r w:rsidR="0009266B" w:rsidRPr="00693E45">
        <w:rPr>
          <w:lang w:val="fr-FR"/>
        </w:rPr>
        <w:t>importants progrès avaient été réalisés en ce qui concerne les projets de modification des instructions administratives</w:t>
      </w:r>
      <w:r w:rsidR="009B7882" w:rsidRPr="00693E45">
        <w:rPr>
          <w:lang w:val="fr-FR"/>
        </w:rPr>
        <w:t xml:space="preserve"> du PCT</w:t>
      </w:r>
      <w:r w:rsidR="0009266B" w:rsidRPr="00693E45">
        <w:rPr>
          <w:lang w:val="fr-FR"/>
        </w:rPr>
        <w:t>, mais il était nécessaire de terminer ce travail et d</w:t>
      </w:r>
      <w:r w:rsidR="009B7882" w:rsidRPr="00693E45">
        <w:rPr>
          <w:lang w:val="fr-FR"/>
        </w:rPr>
        <w:t>’</w:t>
      </w:r>
      <w:r w:rsidR="0009266B" w:rsidRPr="00693E45">
        <w:rPr>
          <w:lang w:val="fr-FR"/>
        </w:rPr>
        <w:t>entreprendre une procédure de consultation formelle</w:t>
      </w:r>
      <w:r w:rsidR="009B7882" w:rsidRPr="00693E45">
        <w:rPr>
          <w:lang w:val="fr-FR"/>
        </w:rPr>
        <w:t xml:space="preserve"> au PCT</w:t>
      </w:r>
      <w:r w:rsidR="00C544AE" w:rsidRPr="00693E45">
        <w:rPr>
          <w:lang w:val="fr-FR"/>
        </w:rPr>
        <w:t>.</w:t>
      </w:r>
    </w:p>
    <w:p w14:paraId="438ECB90" w14:textId="452FEFB4" w:rsidR="009B7882" w:rsidRPr="00693E45" w:rsidRDefault="00D53565" w:rsidP="00CB4729">
      <w:pPr>
        <w:pStyle w:val="ONUMFS"/>
        <w:rPr>
          <w:lang w:val="fr-FR"/>
        </w:rPr>
      </w:pPr>
      <w:r w:rsidRPr="00693E45">
        <w:rPr>
          <w:lang w:val="fr-FR"/>
        </w:rPr>
        <w:t>Les administrations internationales ont continué de manifester leur soutien à la mise en œuvre de la norme</w:t>
      </w:r>
      <w:r w:rsidR="0091379C" w:rsidRPr="00693E45">
        <w:rPr>
          <w:lang w:val="fr-FR"/>
        </w:rPr>
        <w:t> </w:t>
      </w:r>
      <w:r w:rsidRPr="00693E45">
        <w:rPr>
          <w:lang w:val="fr-FR"/>
        </w:rPr>
        <w:t>ST.26 de l</w:t>
      </w:r>
      <w:r w:rsidR="009B7882" w:rsidRPr="00693E45">
        <w:rPr>
          <w:lang w:val="fr-FR"/>
        </w:rPr>
        <w:t>’</w:t>
      </w:r>
      <w:r w:rsidRPr="00693E45">
        <w:rPr>
          <w:lang w:val="fr-FR"/>
        </w:rPr>
        <w:t>O</w:t>
      </w:r>
      <w:r w:rsidR="003D2437" w:rsidRPr="00693E45">
        <w:rPr>
          <w:lang w:val="fr-FR"/>
        </w:rPr>
        <w:t>MPI.  Pl</w:t>
      </w:r>
      <w:r w:rsidR="00355CFB" w:rsidRPr="00693E45">
        <w:rPr>
          <w:lang w:val="fr-FR"/>
        </w:rPr>
        <w:t xml:space="preserve">usieurs administrations ont souligné leur contribution à la définition et aux essais du logiciel </w:t>
      </w:r>
      <w:r w:rsidR="00355CFB" w:rsidRPr="00693E45">
        <w:rPr>
          <w:i/>
          <w:lang w:val="fr-FR"/>
        </w:rPr>
        <w:t xml:space="preserve">WIPO </w:t>
      </w:r>
      <w:proofErr w:type="spellStart"/>
      <w:r w:rsidR="00355CFB" w:rsidRPr="00693E45">
        <w:rPr>
          <w:i/>
          <w:lang w:val="fr-FR"/>
        </w:rPr>
        <w:t>Sequence</w:t>
      </w:r>
      <w:proofErr w:type="spellEnd"/>
      <w:r w:rsidR="00355CFB" w:rsidRPr="00693E45">
        <w:rPr>
          <w:iCs/>
          <w:lang w:val="fr-FR"/>
        </w:rPr>
        <w:t xml:space="preserve">, ainsi que les progrès accomplis </w:t>
      </w:r>
      <w:r w:rsidR="00D04F8E" w:rsidRPr="00693E45">
        <w:rPr>
          <w:iCs/>
          <w:lang w:val="fr-FR"/>
        </w:rPr>
        <w:t xml:space="preserve">pour que </w:t>
      </w:r>
      <w:r w:rsidR="00355CFB" w:rsidRPr="00693E45">
        <w:rPr>
          <w:iCs/>
          <w:lang w:val="fr-FR"/>
        </w:rPr>
        <w:t>la norme</w:t>
      </w:r>
      <w:r w:rsidR="0091379C" w:rsidRPr="00693E45">
        <w:rPr>
          <w:iCs/>
          <w:lang w:val="fr-FR"/>
        </w:rPr>
        <w:t> </w:t>
      </w:r>
      <w:r w:rsidR="0054754B" w:rsidRPr="00693E45">
        <w:rPr>
          <w:iCs/>
          <w:lang w:val="fr-FR"/>
        </w:rPr>
        <w:t xml:space="preserve">ST.26 </w:t>
      </w:r>
      <w:r w:rsidR="00D04F8E" w:rsidRPr="00693E45">
        <w:rPr>
          <w:iCs/>
          <w:lang w:val="fr-FR"/>
        </w:rPr>
        <w:t xml:space="preserve">soit mise en œuvre </w:t>
      </w:r>
      <w:r w:rsidR="00355CFB" w:rsidRPr="00693E45">
        <w:rPr>
          <w:iCs/>
          <w:lang w:val="fr-FR"/>
        </w:rPr>
        <w:t>dans leurs systèmes informatiques et leur</w:t>
      </w:r>
      <w:r w:rsidR="0054754B" w:rsidRPr="00693E45">
        <w:rPr>
          <w:iCs/>
          <w:lang w:val="fr-FR"/>
        </w:rPr>
        <w:t>s</w:t>
      </w:r>
      <w:r w:rsidR="00355CFB" w:rsidRPr="00693E45">
        <w:rPr>
          <w:iCs/>
          <w:lang w:val="fr-FR"/>
        </w:rPr>
        <w:t xml:space="preserve"> </w:t>
      </w:r>
      <w:r w:rsidR="0054754B" w:rsidRPr="00693E45">
        <w:rPr>
          <w:iCs/>
          <w:lang w:val="fr-FR"/>
        </w:rPr>
        <w:t>lois</w:t>
      </w:r>
      <w:r w:rsidR="00355CFB" w:rsidRPr="00693E45">
        <w:rPr>
          <w:iCs/>
          <w:lang w:val="fr-FR"/>
        </w:rPr>
        <w:t xml:space="preserve"> nationale</w:t>
      </w:r>
      <w:r w:rsidR="0054754B" w:rsidRPr="00693E45">
        <w:rPr>
          <w:iCs/>
          <w:lang w:val="fr-FR"/>
        </w:rPr>
        <w:t>s</w:t>
      </w:r>
      <w:r w:rsidR="00355CFB" w:rsidRPr="00693E45">
        <w:rPr>
          <w:iCs/>
          <w:lang w:val="fr-FR"/>
        </w:rPr>
        <w:t>,</w:t>
      </w:r>
      <w:r w:rsidR="00355CFB" w:rsidRPr="00693E45">
        <w:rPr>
          <w:lang w:val="fr-FR"/>
        </w:rPr>
        <w:t xml:space="preserve"> </w:t>
      </w:r>
      <w:r w:rsidR="00D04F8E" w:rsidRPr="00693E45">
        <w:rPr>
          <w:lang w:val="fr-FR"/>
        </w:rPr>
        <w:t xml:space="preserve">à temps pour la </w:t>
      </w:r>
      <w:r w:rsidR="007F3D49" w:rsidRPr="00693E45">
        <w:rPr>
          <w:lang w:val="fr-FR"/>
        </w:rPr>
        <w:t>“</w:t>
      </w:r>
      <w:r w:rsidR="00D04F8E" w:rsidRPr="00693E45">
        <w:rPr>
          <w:lang w:val="fr-FR"/>
        </w:rPr>
        <w:t>grande</w:t>
      </w:r>
      <w:r w:rsidR="007F3D49" w:rsidRPr="00693E45">
        <w:rPr>
          <w:lang w:val="fr-FR"/>
        </w:rPr>
        <w:t xml:space="preserve">” </w:t>
      </w:r>
      <w:r w:rsidR="00D04F8E" w:rsidRPr="00693E45">
        <w:rPr>
          <w:lang w:val="fr-FR"/>
        </w:rPr>
        <w:t>mise en œuvre du</w:t>
      </w:r>
      <w:r w:rsidR="009B7882" w:rsidRPr="00693E45">
        <w:rPr>
          <w:lang w:val="fr-FR"/>
        </w:rPr>
        <w:t xml:space="preserve"> 1</w:t>
      </w:r>
      <w:r w:rsidR="009B7882" w:rsidRPr="00693E45">
        <w:rPr>
          <w:vertAlign w:val="superscript"/>
          <w:lang w:val="fr-FR"/>
        </w:rPr>
        <w:t>er</w:t>
      </w:r>
      <w:r w:rsidR="009B7882" w:rsidRPr="00693E45">
        <w:rPr>
          <w:lang w:val="fr-FR"/>
        </w:rPr>
        <w:t> janvier 20</w:t>
      </w:r>
      <w:r w:rsidR="00D04F8E" w:rsidRPr="00693E45">
        <w:rPr>
          <w:lang w:val="fr-FR"/>
        </w:rPr>
        <w:t>22.</w:t>
      </w:r>
    </w:p>
    <w:p w14:paraId="7D94B1F8" w14:textId="5D880E11" w:rsidR="009B7882" w:rsidRPr="00693E45" w:rsidRDefault="00370433" w:rsidP="00CB4729">
      <w:pPr>
        <w:pStyle w:val="ONUMFS"/>
        <w:rPr>
          <w:lang w:val="fr-FR"/>
        </w:rPr>
      </w:pPr>
      <w:r w:rsidRPr="00693E45">
        <w:rPr>
          <w:lang w:val="fr-FR"/>
        </w:rPr>
        <w:t>Une administration a suggéré que les États membres réfléchissent à un système de dépôt de listages de séquences qui pourrait fonctionner d</w:t>
      </w:r>
      <w:r w:rsidR="009B7882" w:rsidRPr="00693E45">
        <w:rPr>
          <w:lang w:val="fr-FR"/>
        </w:rPr>
        <w:t>’</w:t>
      </w:r>
      <w:r w:rsidRPr="00693E45">
        <w:rPr>
          <w:lang w:val="fr-FR"/>
        </w:rPr>
        <w:t>une manière similaire au Service d</w:t>
      </w:r>
      <w:r w:rsidR="009B7882" w:rsidRPr="00693E45">
        <w:rPr>
          <w:lang w:val="fr-FR"/>
        </w:rPr>
        <w:t>’</w:t>
      </w:r>
      <w:r w:rsidRPr="00693E45">
        <w:rPr>
          <w:lang w:val="fr-FR"/>
        </w:rPr>
        <w:t>accès numérique aux documents de priorité de l</w:t>
      </w:r>
      <w:r w:rsidR="009B7882" w:rsidRPr="00693E45">
        <w:rPr>
          <w:lang w:val="fr-FR"/>
        </w:rPr>
        <w:t>’</w:t>
      </w:r>
      <w:r w:rsidRPr="00693E45">
        <w:rPr>
          <w:lang w:val="fr-FR"/>
        </w:rPr>
        <w:t>OMPI.</w:t>
      </w:r>
    </w:p>
    <w:p w14:paraId="5B6CEDA3" w14:textId="5D6119DC" w:rsidR="009B7882" w:rsidRPr="00693E45" w:rsidRDefault="003F5F64" w:rsidP="00CB4729">
      <w:pPr>
        <w:pStyle w:val="ONUMFS"/>
        <w:rPr>
          <w:lang w:val="fr-FR"/>
        </w:rPr>
      </w:pPr>
      <w:r w:rsidRPr="00693E45">
        <w:rPr>
          <w:lang w:val="fr-FR"/>
        </w:rPr>
        <w:lastRenderedPageBreak/>
        <w:t>Le Bureau international a pris note du fait que plusieurs administrations jugeaient important d</w:t>
      </w:r>
      <w:r w:rsidR="009B7882" w:rsidRPr="00693E45">
        <w:rPr>
          <w:lang w:val="fr-FR"/>
        </w:rPr>
        <w:t>’</w:t>
      </w:r>
      <w:r w:rsidRPr="00693E45">
        <w:rPr>
          <w:lang w:val="fr-FR"/>
        </w:rPr>
        <w:t>adopter les modifications au règlement d</w:t>
      </w:r>
      <w:r w:rsidR="009B7882" w:rsidRPr="00693E45">
        <w:rPr>
          <w:lang w:val="fr-FR"/>
        </w:rPr>
        <w:t>’</w:t>
      </w:r>
      <w:r w:rsidRPr="00693E45">
        <w:rPr>
          <w:lang w:val="fr-FR"/>
        </w:rPr>
        <w:t>exécution</w:t>
      </w:r>
      <w:r w:rsidR="009B7882" w:rsidRPr="00693E45">
        <w:rPr>
          <w:lang w:val="fr-FR"/>
        </w:rPr>
        <w:t xml:space="preserve"> du PCT</w:t>
      </w:r>
      <w:r w:rsidRPr="00693E45">
        <w:rPr>
          <w:lang w:val="fr-FR"/>
        </w:rPr>
        <w:t xml:space="preserve"> lors d</w:t>
      </w:r>
      <w:r w:rsidR="009B7882" w:rsidRPr="00693E45">
        <w:rPr>
          <w:lang w:val="fr-FR"/>
        </w:rPr>
        <w:t>’</w:t>
      </w:r>
      <w:r w:rsidRPr="00693E45">
        <w:rPr>
          <w:lang w:val="fr-FR"/>
        </w:rPr>
        <w:t>une session extraordinaire de l</w:t>
      </w:r>
      <w:r w:rsidR="009B7882" w:rsidRPr="00693E45">
        <w:rPr>
          <w:lang w:val="fr-FR"/>
        </w:rPr>
        <w:t>’</w:t>
      </w:r>
      <w:r w:rsidRPr="00693E45">
        <w:rPr>
          <w:lang w:val="fr-FR"/>
        </w:rPr>
        <w:t>Assemblée de l</w:t>
      </w:r>
      <w:r w:rsidR="009B7882" w:rsidRPr="00693E45">
        <w:rPr>
          <w:lang w:val="fr-FR"/>
        </w:rPr>
        <w:t>’</w:t>
      </w:r>
      <w:r w:rsidRPr="00693E45">
        <w:rPr>
          <w:lang w:val="fr-FR"/>
        </w:rPr>
        <w:t>Union</w:t>
      </w:r>
      <w:r w:rsidR="009B7882" w:rsidRPr="00693E45">
        <w:rPr>
          <w:lang w:val="fr-FR"/>
        </w:rPr>
        <w:t xml:space="preserve"> du PCT</w:t>
      </w:r>
      <w:r w:rsidR="005E0F20" w:rsidRPr="00693E45">
        <w:rPr>
          <w:lang w:val="fr-FR"/>
        </w:rPr>
        <w:t xml:space="preserve"> </w:t>
      </w:r>
      <w:r w:rsidR="00A103B7" w:rsidRPr="00693E45">
        <w:rPr>
          <w:lang w:val="fr-FR"/>
        </w:rPr>
        <w:t>que les assemblées de l</w:t>
      </w:r>
      <w:r w:rsidR="009B7882" w:rsidRPr="00693E45">
        <w:rPr>
          <w:lang w:val="fr-FR"/>
        </w:rPr>
        <w:t>’</w:t>
      </w:r>
      <w:r w:rsidR="00A103B7" w:rsidRPr="00693E45">
        <w:rPr>
          <w:lang w:val="fr-FR"/>
        </w:rPr>
        <w:t xml:space="preserve">OMPI avaient demandé au Directeur général de convoquer au cours de la première moitié </w:t>
      </w:r>
      <w:r w:rsidR="009B7882" w:rsidRPr="00693E45">
        <w:rPr>
          <w:lang w:val="fr-FR"/>
        </w:rPr>
        <w:t>de 2021</w:t>
      </w:r>
      <w:r w:rsidR="00A103B7" w:rsidRPr="00693E45">
        <w:rPr>
          <w:lang w:val="fr-FR"/>
        </w:rPr>
        <w:t xml:space="preserve">, et de ne pas attendre pour ce faire la session ordinaire devant se tenir en </w:t>
      </w:r>
      <w:r w:rsidR="009B7882" w:rsidRPr="00693E45">
        <w:rPr>
          <w:lang w:val="fr-FR"/>
        </w:rPr>
        <w:t>octobre 20</w:t>
      </w:r>
      <w:r w:rsidR="00A103B7" w:rsidRPr="00693E45">
        <w:rPr>
          <w:lang w:val="fr-FR"/>
        </w:rPr>
        <w:t xml:space="preserve">21. </w:t>
      </w:r>
      <w:r w:rsidR="005F000B" w:rsidRPr="00693E45">
        <w:rPr>
          <w:lang w:val="fr-FR"/>
        </w:rPr>
        <w:t xml:space="preserve"> Cette question reste à l</w:t>
      </w:r>
      <w:r w:rsidR="009B7882" w:rsidRPr="00693E45">
        <w:rPr>
          <w:lang w:val="fr-FR"/>
        </w:rPr>
        <w:t>’</w:t>
      </w:r>
      <w:r w:rsidR="005F000B" w:rsidRPr="00693E45">
        <w:rPr>
          <w:lang w:val="fr-FR"/>
        </w:rPr>
        <w:t>étude entre les coordonnateurs régionaux et le président de l</w:t>
      </w:r>
      <w:r w:rsidR="009B7882" w:rsidRPr="00693E45">
        <w:rPr>
          <w:lang w:val="fr-FR"/>
        </w:rPr>
        <w:t>’</w:t>
      </w:r>
      <w:r w:rsidR="005F000B" w:rsidRPr="00693E45">
        <w:rPr>
          <w:lang w:val="fr-FR"/>
        </w:rPr>
        <w:t>Assemblée générale de l</w:t>
      </w:r>
      <w:r w:rsidR="009B7882" w:rsidRPr="00693E45">
        <w:rPr>
          <w:lang w:val="fr-FR"/>
        </w:rPr>
        <w:t>’</w:t>
      </w:r>
      <w:r w:rsidR="005F000B" w:rsidRPr="00693E45">
        <w:rPr>
          <w:lang w:val="fr-FR"/>
        </w:rPr>
        <w:t>OMPI.</w:t>
      </w:r>
    </w:p>
    <w:p w14:paraId="02B7EBE3" w14:textId="60716740" w:rsidR="007F3D49" w:rsidRPr="00693E45" w:rsidRDefault="00FB584D" w:rsidP="00CB4729">
      <w:pPr>
        <w:pStyle w:val="ONUMFS"/>
        <w:rPr>
          <w:lang w:val="fr-FR"/>
        </w:rPr>
      </w:pPr>
      <w:r w:rsidRPr="00693E45">
        <w:rPr>
          <w:lang w:val="fr-FR"/>
        </w:rPr>
        <w:t>S</w:t>
      </w:r>
      <w:r w:rsidR="009B7882" w:rsidRPr="00693E45">
        <w:rPr>
          <w:lang w:val="fr-FR"/>
        </w:rPr>
        <w:t>’</w:t>
      </w:r>
      <w:r w:rsidRPr="00693E45">
        <w:rPr>
          <w:lang w:val="fr-FR"/>
        </w:rPr>
        <w:t>agissant de l</w:t>
      </w:r>
      <w:r w:rsidR="009B7882" w:rsidRPr="00693E45">
        <w:rPr>
          <w:lang w:val="fr-FR"/>
        </w:rPr>
        <w:t>’</w:t>
      </w:r>
      <w:r w:rsidRPr="00693E45">
        <w:rPr>
          <w:lang w:val="fr-FR"/>
        </w:rPr>
        <w:t>élaboration des instructions administratives</w:t>
      </w:r>
      <w:r w:rsidR="009B7882" w:rsidRPr="00693E45">
        <w:rPr>
          <w:lang w:val="fr-FR"/>
        </w:rPr>
        <w:t xml:space="preserve"> du PCT</w:t>
      </w:r>
      <w:r w:rsidRPr="00693E45">
        <w:rPr>
          <w:lang w:val="fr-FR"/>
        </w:rPr>
        <w:t xml:space="preserve">, </w:t>
      </w:r>
      <w:r w:rsidR="0095523A" w:rsidRPr="00693E45">
        <w:rPr>
          <w:lang w:val="fr-FR"/>
        </w:rPr>
        <w:t>le Bureau international a observé que l</w:t>
      </w:r>
      <w:r w:rsidR="009B7882" w:rsidRPr="00693E45">
        <w:rPr>
          <w:lang w:val="fr-FR"/>
        </w:rPr>
        <w:t>’</w:t>
      </w:r>
      <w:r w:rsidR="0095523A" w:rsidRPr="00693E45">
        <w:rPr>
          <w:lang w:val="fr-FR"/>
        </w:rPr>
        <w:t>équipe d</w:t>
      </w:r>
      <w:r w:rsidR="009B7882" w:rsidRPr="00693E45">
        <w:rPr>
          <w:lang w:val="fr-FR"/>
        </w:rPr>
        <w:t>’</w:t>
      </w:r>
      <w:r w:rsidR="0095523A" w:rsidRPr="00693E45">
        <w:rPr>
          <w:lang w:val="fr-FR"/>
        </w:rPr>
        <w:t xml:space="preserve">experts chargée de la norme relative aux listages des séquences semblait être en voie de parvenir à un consensus </w:t>
      </w:r>
      <w:r w:rsidR="0040559C" w:rsidRPr="00693E45">
        <w:rPr>
          <w:lang w:val="fr-FR"/>
        </w:rPr>
        <w:t>sur</w:t>
      </w:r>
      <w:r w:rsidR="0095523A" w:rsidRPr="00693E45">
        <w:rPr>
          <w:lang w:val="fr-FR"/>
        </w:rPr>
        <w:t xml:space="preserve"> le corps du texte des instructions administrativ</w:t>
      </w:r>
      <w:r w:rsidR="003D2437" w:rsidRPr="00693E45">
        <w:rPr>
          <w:lang w:val="fr-FR"/>
        </w:rPr>
        <w:t>es.  On</w:t>
      </w:r>
      <w:r w:rsidR="00C74236" w:rsidRPr="00693E45">
        <w:rPr>
          <w:lang w:val="fr-FR"/>
        </w:rPr>
        <w:t xml:space="preserve"> espérait qu</w:t>
      </w:r>
      <w:r w:rsidR="009B7882" w:rsidRPr="00693E45">
        <w:rPr>
          <w:lang w:val="fr-FR"/>
        </w:rPr>
        <w:t>’</w:t>
      </w:r>
      <w:r w:rsidR="00C74236" w:rsidRPr="00693E45">
        <w:rPr>
          <w:lang w:val="fr-FR"/>
        </w:rPr>
        <w:t>il serait possible de fournir un projet pour les formulaires ayant besoin de modifications à l</w:t>
      </w:r>
      <w:r w:rsidR="009B7882" w:rsidRPr="00693E45">
        <w:rPr>
          <w:lang w:val="fr-FR"/>
        </w:rPr>
        <w:t>’</w:t>
      </w:r>
      <w:r w:rsidR="00C74236" w:rsidRPr="00693E45">
        <w:rPr>
          <w:lang w:val="fr-FR"/>
        </w:rPr>
        <w:t>équipe d</w:t>
      </w:r>
      <w:r w:rsidR="009B7882" w:rsidRPr="00693E45">
        <w:rPr>
          <w:lang w:val="fr-FR"/>
        </w:rPr>
        <w:t>’</w:t>
      </w:r>
      <w:r w:rsidR="00C74236" w:rsidRPr="00693E45">
        <w:rPr>
          <w:lang w:val="fr-FR"/>
        </w:rPr>
        <w:t>experts pour examen au mois d</w:t>
      </w:r>
      <w:r w:rsidR="009B7882" w:rsidRPr="00693E45">
        <w:rPr>
          <w:lang w:val="fr-FR"/>
        </w:rPr>
        <w:t>’</w:t>
      </w:r>
      <w:r w:rsidR="00C74236" w:rsidRPr="00693E45">
        <w:rPr>
          <w:lang w:val="fr-FR"/>
        </w:rPr>
        <w:t>avril, en vue de pouvoir envoyer une circulaire de consultation</w:t>
      </w:r>
      <w:r w:rsidR="009B7882" w:rsidRPr="00693E45">
        <w:rPr>
          <w:lang w:val="fr-FR"/>
        </w:rPr>
        <w:t xml:space="preserve"> du PCT</w:t>
      </w:r>
      <w:r w:rsidR="00C74236" w:rsidRPr="00693E45">
        <w:rPr>
          <w:lang w:val="fr-FR"/>
        </w:rPr>
        <w:t xml:space="preserve"> en mai.</w:t>
      </w:r>
    </w:p>
    <w:p w14:paraId="08C7D20F" w14:textId="0965A6DD" w:rsidR="009B7882" w:rsidRPr="00693E45" w:rsidRDefault="005879EB" w:rsidP="00CB4729">
      <w:pPr>
        <w:pStyle w:val="ONUMFS"/>
        <w:rPr>
          <w:lang w:val="fr-FR"/>
        </w:rPr>
      </w:pPr>
      <w:r w:rsidRPr="00693E45">
        <w:rPr>
          <w:lang w:val="fr-FR"/>
        </w:rPr>
        <w:t xml:space="preserve">Concernant le développement logiciel, le Bureau international a souligné </w:t>
      </w:r>
      <w:r w:rsidR="009C026E" w:rsidRPr="00693E45">
        <w:rPr>
          <w:lang w:val="fr-FR"/>
        </w:rPr>
        <w:t xml:space="preserve">que </w:t>
      </w:r>
      <w:r w:rsidRPr="00693E45">
        <w:rPr>
          <w:lang w:val="fr-FR"/>
        </w:rPr>
        <w:t>la version</w:t>
      </w:r>
      <w:r w:rsidR="00C6045B" w:rsidRPr="00693E45">
        <w:rPr>
          <w:lang w:val="fr-FR"/>
        </w:rPr>
        <w:t> </w:t>
      </w:r>
      <w:r w:rsidRPr="00693E45">
        <w:rPr>
          <w:lang w:val="fr-FR"/>
        </w:rPr>
        <w:t xml:space="preserve">1.0 des outils </w:t>
      </w:r>
      <w:r w:rsidRPr="00693E45">
        <w:rPr>
          <w:i/>
          <w:iCs/>
          <w:lang w:val="fr-FR"/>
        </w:rPr>
        <w:t xml:space="preserve">WIPO </w:t>
      </w:r>
      <w:proofErr w:type="spellStart"/>
      <w:r w:rsidRPr="00693E45">
        <w:rPr>
          <w:i/>
          <w:iCs/>
          <w:lang w:val="fr-FR"/>
        </w:rPr>
        <w:t>Sequence</w:t>
      </w:r>
      <w:proofErr w:type="spellEnd"/>
      <w:r w:rsidRPr="00693E45">
        <w:rPr>
          <w:lang w:val="fr-FR"/>
        </w:rPr>
        <w:t xml:space="preserve"> et </w:t>
      </w:r>
      <w:r w:rsidRPr="00693E45">
        <w:rPr>
          <w:i/>
          <w:iCs/>
          <w:lang w:val="fr-FR"/>
        </w:rPr>
        <w:t xml:space="preserve">WIPO </w:t>
      </w:r>
      <w:proofErr w:type="spellStart"/>
      <w:r w:rsidRPr="00693E45">
        <w:rPr>
          <w:i/>
          <w:iCs/>
          <w:lang w:val="fr-FR"/>
        </w:rPr>
        <w:t>Sequence</w:t>
      </w:r>
      <w:proofErr w:type="spellEnd"/>
      <w:r w:rsidRPr="00693E45">
        <w:rPr>
          <w:i/>
          <w:iCs/>
          <w:lang w:val="fr-FR"/>
        </w:rPr>
        <w:t xml:space="preserve"> </w:t>
      </w:r>
      <w:proofErr w:type="spellStart"/>
      <w:r w:rsidRPr="00693E45">
        <w:rPr>
          <w:i/>
          <w:iCs/>
          <w:lang w:val="fr-FR"/>
        </w:rPr>
        <w:t>Validator</w:t>
      </w:r>
      <w:proofErr w:type="spellEnd"/>
      <w:r w:rsidRPr="00693E45">
        <w:rPr>
          <w:lang w:val="fr-FR"/>
        </w:rPr>
        <w:t xml:space="preserve"> </w:t>
      </w:r>
      <w:r w:rsidR="009C026E" w:rsidRPr="00693E45">
        <w:rPr>
          <w:lang w:val="fr-FR"/>
        </w:rPr>
        <w:t xml:space="preserve">avait été lancée </w:t>
      </w:r>
      <w:r w:rsidRPr="00693E45">
        <w:rPr>
          <w:lang w:val="fr-FR"/>
        </w:rPr>
        <w:t xml:space="preserve">en </w:t>
      </w:r>
      <w:r w:rsidR="009B7882" w:rsidRPr="00693E45">
        <w:rPr>
          <w:lang w:val="fr-FR"/>
        </w:rPr>
        <w:t>novembre 20</w:t>
      </w:r>
      <w:r w:rsidRPr="00693E45">
        <w:rPr>
          <w:lang w:val="fr-FR"/>
        </w:rPr>
        <w:t>20.  Des versions actualisées prenant en compte les modifications de la norme</w:t>
      </w:r>
      <w:r w:rsidR="0091379C" w:rsidRPr="00693E45">
        <w:rPr>
          <w:lang w:val="fr-FR"/>
        </w:rPr>
        <w:t> </w:t>
      </w:r>
      <w:r w:rsidRPr="00693E45">
        <w:rPr>
          <w:lang w:val="fr-FR"/>
        </w:rPr>
        <w:t>ST.26 de l</w:t>
      </w:r>
      <w:r w:rsidR="009B7882" w:rsidRPr="00693E45">
        <w:rPr>
          <w:lang w:val="fr-FR"/>
        </w:rPr>
        <w:t>’</w:t>
      </w:r>
      <w:r w:rsidRPr="00693E45">
        <w:rPr>
          <w:lang w:val="fr-FR"/>
        </w:rPr>
        <w:t xml:space="preserve">OMPI adoptées en </w:t>
      </w:r>
      <w:r w:rsidR="009B7882" w:rsidRPr="00693E45">
        <w:rPr>
          <w:lang w:val="fr-FR"/>
        </w:rPr>
        <w:t>décembre 20</w:t>
      </w:r>
      <w:r w:rsidRPr="00693E45">
        <w:rPr>
          <w:lang w:val="fr-FR"/>
        </w:rPr>
        <w:t>20 ainsi que des corrections de bogues et des prescriptions additionnelles convenues étaient en cours d</w:t>
      </w:r>
      <w:r w:rsidR="009B7882" w:rsidRPr="00693E45">
        <w:rPr>
          <w:lang w:val="fr-FR"/>
        </w:rPr>
        <w:t>’</w:t>
      </w:r>
      <w:r w:rsidRPr="00693E45">
        <w:rPr>
          <w:lang w:val="fr-FR"/>
        </w:rPr>
        <w:t>élaboration et d</w:t>
      </w:r>
      <w:r w:rsidR="009B7882" w:rsidRPr="00693E45">
        <w:rPr>
          <w:lang w:val="fr-FR"/>
        </w:rPr>
        <w:t>’</w:t>
      </w:r>
      <w:r w:rsidRPr="00693E45">
        <w:rPr>
          <w:lang w:val="fr-FR"/>
        </w:rPr>
        <w:t>ess</w:t>
      </w:r>
      <w:r w:rsidR="003D2437" w:rsidRPr="00693E45">
        <w:rPr>
          <w:lang w:val="fr-FR"/>
        </w:rPr>
        <w:t>ai.  Le</w:t>
      </w:r>
      <w:r w:rsidR="00A1637F" w:rsidRPr="00693E45">
        <w:rPr>
          <w:lang w:val="fr-FR"/>
        </w:rPr>
        <w:t xml:space="preserve"> lancement de la prochaine version officielle de ces outils était prévu pour </w:t>
      </w:r>
      <w:r w:rsidR="009B7882" w:rsidRPr="00693E45">
        <w:rPr>
          <w:lang w:val="fr-FR"/>
        </w:rPr>
        <w:t>août 20</w:t>
      </w:r>
      <w:r w:rsidR="00A1637F" w:rsidRPr="00693E45">
        <w:rPr>
          <w:lang w:val="fr-FR"/>
        </w:rPr>
        <w:t xml:space="preserve">21. </w:t>
      </w:r>
      <w:r w:rsidR="009F0D5F" w:rsidRPr="00693E45">
        <w:rPr>
          <w:lang w:val="fr-FR"/>
        </w:rPr>
        <w:t xml:space="preserve"> En réponse à des préoccupations exprimées par une administration, le Bureau international a bien souligné que le support ne cesserait pas à la fin de la </w:t>
      </w:r>
      <w:r w:rsidR="007F3D49" w:rsidRPr="00693E45">
        <w:rPr>
          <w:lang w:val="fr-FR"/>
        </w:rPr>
        <w:t>“</w:t>
      </w:r>
      <w:r w:rsidR="009F0D5F" w:rsidRPr="00693E45">
        <w:rPr>
          <w:lang w:val="fr-FR"/>
        </w:rPr>
        <w:t>période de garantie</w:t>
      </w:r>
      <w:r w:rsidR="007F3D49" w:rsidRPr="00693E45">
        <w:rPr>
          <w:lang w:val="fr-FR"/>
        </w:rPr>
        <w:t xml:space="preserve">” </w:t>
      </w:r>
      <w:r w:rsidR="009C026E" w:rsidRPr="00693E45">
        <w:rPr>
          <w:lang w:val="fr-FR"/>
        </w:rPr>
        <w:t xml:space="preserve">du logiciel, laquelle était prévue pour fin </w:t>
      </w:r>
      <w:r w:rsidR="009B7882" w:rsidRPr="00693E45">
        <w:rPr>
          <w:lang w:val="fr-FR"/>
        </w:rPr>
        <w:t>juillet 20</w:t>
      </w:r>
      <w:r w:rsidR="009C026E" w:rsidRPr="00693E45">
        <w:rPr>
          <w:lang w:val="fr-FR"/>
        </w:rPr>
        <w:t>21.  D</w:t>
      </w:r>
      <w:r w:rsidR="009B7882" w:rsidRPr="00693E45">
        <w:rPr>
          <w:lang w:val="fr-FR"/>
        </w:rPr>
        <w:t>’</w:t>
      </w:r>
      <w:r w:rsidR="009C026E" w:rsidRPr="00693E45">
        <w:rPr>
          <w:lang w:val="fr-FR"/>
        </w:rPr>
        <w:t>autres possibilités d</w:t>
      </w:r>
      <w:r w:rsidR="009B7882" w:rsidRPr="00693E45">
        <w:rPr>
          <w:lang w:val="fr-FR"/>
        </w:rPr>
        <w:t>’</w:t>
      </w:r>
      <w:r w:rsidR="009C026E" w:rsidRPr="00693E45">
        <w:rPr>
          <w:lang w:val="fr-FR"/>
        </w:rPr>
        <w:t xml:space="preserve">amélioration avaient déjà été identifiées, et le travail de développement se poursuivrait </w:t>
      </w:r>
      <w:r w:rsidR="009B7882" w:rsidRPr="00693E45">
        <w:rPr>
          <w:lang w:val="fr-FR"/>
        </w:rPr>
        <w:t>en 2022</w:t>
      </w:r>
      <w:r w:rsidR="009C026E" w:rsidRPr="00693E45">
        <w:rPr>
          <w:lang w:val="fr-FR"/>
        </w:rPr>
        <w:t xml:space="preserve"> afin de corriger les autres bogues découverts,</w:t>
      </w:r>
      <w:r w:rsidR="003626E7" w:rsidRPr="00693E45">
        <w:rPr>
          <w:lang w:val="fr-FR"/>
        </w:rPr>
        <w:t xml:space="preserve"> remplir des exigences essentielles </w:t>
      </w:r>
      <w:r w:rsidR="00B12282" w:rsidRPr="00693E45">
        <w:rPr>
          <w:lang w:val="fr-FR"/>
        </w:rPr>
        <w:t>en vue de</w:t>
      </w:r>
      <w:r w:rsidR="003626E7" w:rsidRPr="00693E45">
        <w:rPr>
          <w:lang w:val="fr-FR"/>
        </w:rPr>
        <w:t xml:space="preserve"> la “grande” mise en œuvre et </w:t>
      </w:r>
      <w:r w:rsidR="00B12282" w:rsidRPr="00693E45">
        <w:rPr>
          <w:lang w:val="fr-FR"/>
        </w:rPr>
        <w:t>installer d</w:t>
      </w:r>
      <w:r w:rsidR="009B7882" w:rsidRPr="00693E45">
        <w:rPr>
          <w:lang w:val="fr-FR"/>
        </w:rPr>
        <w:t>’</w:t>
      </w:r>
      <w:r w:rsidR="00B12282" w:rsidRPr="00693E45">
        <w:rPr>
          <w:lang w:val="fr-FR"/>
        </w:rPr>
        <w:t>autres améliorations convenu</w:t>
      </w:r>
      <w:r w:rsidR="003D2437" w:rsidRPr="00693E45">
        <w:rPr>
          <w:lang w:val="fr-FR"/>
        </w:rPr>
        <w:t>es.  Un</w:t>
      </w:r>
      <w:r w:rsidR="00C26891" w:rsidRPr="00693E45">
        <w:rPr>
          <w:lang w:val="fr-FR"/>
        </w:rPr>
        <w:t xml:space="preserve"> service de support était également prévu, tant pour les administrations que pour les utilisateurs.</w:t>
      </w:r>
    </w:p>
    <w:p w14:paraId="2A062F8E" w14:textId="06A1D6D7" w:rsidR="007F3D49" w:rsidRPr="00693E45" w:rsidRDefault="00405E8A" w:rsidP="00CB4729">
      <w:pPr>
        <w:pStyle w:val="ONUMFS"/>
        <w:rPr>
          <w:lang w:val="fr-FR"/>
        </w:rPr>
      </w:pPr>
      <w:r w:rsidRPr="00693E45">
        <w:rPr>
          <w:lang w:val="fr-FR"/>
        </w:rPr>
        <w:t>S</w:t>
      </w:r>
      <w:r w:rsidR="009B7882" w:rsidRPr="00693E45">
        <w:rPr>
          <w:lang w:val="fr-FR"/>
        </w:rPr>
        <w:t>’</w:t>
      </w:r>
      <w:r w:rsidRPr="00693E45">
        <w:rPr>
          <w:lang w:val="fr-FR"/>
        </w:rPr>
        <w:t>agissant de formation, le Bureau international avait proposé un calendrier provisoire comprenant des webinaires et des ateliers au niveau national et régional pour les différentes parties intéressées, à compter du mois d</w:t>
      </w:r>
      <w:r w:rsidR="009B7882" w:rsidRPr="00693E45">
        <w:rPr>
          <w:lang w:val="fr-FR"/>
        </w:rPr>
        <w:t>’avril 20</w:t>
      </w:r>
      <w:r w:rsidRPr="00693E45">
        <w:rPr>
          <w:lang w:val="fr-FR"/>
        </w:rPr>
        <w:t>21.  Dans la mesure du possible, le matériel de référence de ces présentations serait fourni dans chacune des 10</w:t>
      </w:r>
      <w:r w:rsidR="00C6045B" w:rsidRPr="00693E45">
        <w:rPr>
          <w:lang w:val="fr-FR"/>
        </w:rPr>
        <w:t> </w:t>
      </w:r>
      <w:r w:rsidRPr="00693E45">
        <w:rPr>
          <w:lang w:val="fr-FR"/>
        </w:rPr>
        <w:t>langues de publication</w:t>
      </w:r>
      <w:r w:rsidR="009B7882" w:rsidRPr="00693E45">
        <w:rPr>
          <w:lang w:val="fr-FR"/>
        </w:rPr>
        <w:t xml:space="preserve"> du PCT</w:t>
      </w:r>
      <w:r w:rsidRPr="00693E45">
        <w:rPr>
          <w:lang w:val="fr-FR"/>
        </w:rPr>
        <w:t>.</w:t>
      </w:r>
    </w:p>
    <w:p w14:paraId="4A5B2211" w14:textId="6626576F" w:rsidR="007F3D49" w:rsidRPr="00693E45" w:rsidRDefault="00C218DD" w:rsidP="00CB4729">
      <w:pPr>
        <w:pStyle w:val="ONUMFS"/>
        <w:rPr>
          <w:lang w:val="fr-FR"/>
        </w:rPr>
      </w:pPr>
      <w:r w:rsidRPr="00693E45">
        <w:rPr>
          <w:lang w:val="fr-FR"/>
        </w:rPr>
        <w:t>Le Bureau international a également rappelé aux administrations internationales qu</w:t>
      </w:r>
      <w:r w:rsidR="009B7882" w:rsidRPr="00693E45">
        <w:rPr>
          <w:lang w:val="fr-FR"/>
        </w:rPr>
        <w:t>’</w:t>
      </w:r>
      <w:r w:rsidRPr="00693E45">
        <w:rPr>
          <w:lang w:val="fr-FR"/>
        </w:rPr>
        <w:t>il apprécierait de recevoir les plans de mise en œuvre de la norme</w:t>
      </w:r>
      <w:r w:rsidR="0091379C" w:rsidRPr="00693E45">
        <w:rPr>
          <w:lang w:val="fr-FR"/>
        </w:rPr>
        <w:t> </w:t>
      </w:r>
      <w:r w:rsidRPr="00693E45">
        <w:rPr>
          <w:lang w:val="fr-FR"/>
        </w:rPr>
        <w:t>ST.26 de tous les offices qui ne les avaient pas encore soumis ou qui souhaitaient les actualiser.</w:t>
      </w:r>
    </w:p>
    <w:p w14:paraId="2536CAF5" w14:textId="1CE41D22" w:rsidR="007F3D49" w:rsidRPr="00693E45" w:rsidRDefault="007F3D49" w:rsidP="00CB4729">
      <w:pPr>
        <w:pStyle w:val="ONUMFS"/>
        <w:ind w:left="567"/>
        <w:rPr>
          <w:lang w:val="fr-FR"/>
        </w:rPr>
      </w:pPr>
      <w:r w:rsidRPr="00693E45">
        <w:rPr>
          <w:lang w:val="fr-FR"/>
        </w:rPr>
        <w:t xml:space="preserve">La </w:t>
      </w:r>
      <w:r w:rsidR="00FD5421" w:rsidRPr="00693E45">
        <w:rPr>
          <w:lang w:val="fr-FR"/>
        </w:rPr>
        <w:t>Réunion</w:t>
      </w:r>
      <w:r w:rsidRPr="00693E45">
        <w:rPr>
          <w:lang w:val="fr-FR"/>
        </w:rPr>
        <w:t xml:space="preserve"> a pris note du contenu du document PCT/MIA/28/2.</w:t>
      </w:r>
    </w:p>
    <w:p w14:paraId="4214D83E" w14:textId="77777777" w:rsidR="007F3D49" w:rsidRPr="00693E45" w:rsidRDefault="007F3D49" w:rsidP="007F3D49">
      <w:pPr>
        <w:pStyle w:val="Heading1"/>
        <w:rPr>
          <w:lang w:val="fr-FR"/>
        </w:rPr>
      </w:pPr>
      <w:r w:rsidRPr="00693E45">
        <w:rPr>
          <w:lang w:val="fr-FR"/>
        </w:rPr>
        <w:t>Travaux futurs</w:t>
      </w:r>
    </w:p>
    <w:p w14:paraId="34B8A80D" w14:textId="4397A4DF" w:rsidR="007F3D49" w:rsidRPr="00693E45" w:rsidRDefault="000254CF" w:rsidP="00CB4729">
      <w:pPr>
        <w:pStyle w:val="ONUMFS"/>
        <w:rPr>
          <w:lang w:val="fr-FR"/>
        </w:rPr>
      </w:pPr>
      <w:r w:rsidRPr="00693E45">
        <w:rPr>
          <w:lang w:val="fr-FR"/>
        </w:rPr>
        <w:t xml:space="preserve">La </w:t>
      </w:r>
      <w:r w:rsidR="00FD5421" w:rsidRPr="00693E45">
        <w:rPr>
          <w:lang w:val="fr-FR"/>
        </w:rPr>
        <w:t>Réunion</w:t>
      </w:r>
      <w:r w:rsidRPr="00693E45">
        <w:rPr>
          <w:lang w:val="fr-FR"/>
        </w:rPr>
        <w:t xml:space="preserve"> a pris note des propositions faites à sa vingt</w:t>
      </w:r>
      <w:r w:rsidR="00CB4729" w:rsidRPr="00693E45">
        <w:rPr>
          <w:lang w:val="fr-FR"/>
        </w:rPr>
        <w:noBreakHyphen/>
      </w:r>
      <w:r w:rsidRPr="00693E45">
        <w:rPr>
          <w:lang w:val="fr-FR"/>
        </w:rPr>
        <w:t>sept</w:t>
      </w:r>
      <w:r w:rsidR="009B7882" w:rsidRPr="00693E45">
        <w:rPr>
          <w:lang w:val="fr-FR"/>
        </w:rPr>
        <w:t>ième session</w:t>
      </w:r>
      <w:r w:rsidRPr="00693E45">
        <w:rPr>
          <w:lang w:val="fr-FR"/>
        </w:rPr>
        <w:t xml:space="preserve">, en </w:t>
      </w:r>
      <w:r w:rsidR="009B7882" w:rsidRPr="00693E45">
        <w:rPr>
          <w:lang w:val="fr-FR"/>
        </w:rPr>
        <w:t>février 20</w:t>
      </w:r>
      <w:r w:rsidRPr="00693E45">
        <w:rPr>
          <w:lang w:val="fr-FR"/>
        </w:rPr>
        <w:t>20, par l</w:t>
      </w:r>
      <w:r w:rsidR="009B7882" w:rsidRPr="00693E45">
        <w:rPr>
          <w:lang w:val="fr-FR"/>
        </w:rPr>
        <w:t>’</w:t>
      </w:r>
      <w:r w:rsidRPr="00693E45">
        <w:rPr>
          <w:lang w:val="fr-FR"/>
        </w:rPr>
        <w:t>Administration nationale de la propriété intellectuelle de la Chine (CNIPA) et le Service fédéral de la propriété intellectuelle de la Russie (</w:t>
      </w:r>
      <w:proofErr w:type="spellStart"/>
      <w:r w:rsidRPr="00693E45">
        <w:rPr>
          <w:lang w:val="fr-FR"/>
        </w:rPr>
        <w:t>Rospatent</w:t>
      </w:r>
      <w:proofErr w:type="spellEnd"/>
      <w:r w:rsidRPr="00693E45">
        <w:rPr>
          <w:lang w:val="fr-FR"/>
        </w:rPr>
        <w:t>)</w:t>
      </w:r>
      <w:r w:rsidR="00FD5421" w:rsidRPr="00693E45">
        <w:rPr>
          <w:lang w:val="fr-FR"/>
        </w:rPr>
        <w:t xml:space="preserve"> concernant l</w:t>
      </w:r>
      <w:r w:rsidR="009B7882" w:rsidRPr="00693E45">
        <w:rPr>
          <w:lang w:val="fr-FR"/>
        </w:rPr>
        <w:t>’</w:t>
      </w:r>
      <w:r w:rsidR="00FD5421" w:rsidRPr="00693E45">
        <w:rPr>
          <w:lang w:val="fr-FR"/>
        </w:rPr>
        <w:t>accueil d</w:t>
      </w:r>
      <w:r w:rsidR="009B7882" w:rsidRPr="00693E45">
        <w:rPr>
          <w:lang w:val="fr-FR"/>
        </w:rPr>
        <w:t>’</w:t>
      </w:r>
      <w:r w:rsidR="00FD5421" w:rsidRPr="00693E45">
        <w:rPr>
          <w:lang w:val="fr-FR"/>
        </w:rPr>
        <w:t>une future sessi</w:t>
      </w:r>
      <w:r w:rsidR="003D2437" w:rsidRPr="00693E45">
        <w:rPr>
          <w:lang w:val="fr-FR"/>
        </w:rPr>
        <w:t>on.  La</w:t>
      </w:r>
      <w:r w:rsidR="00FD5421" w:rsidRPr="00693E45">
        <w:rPr>
          <w:lang w:val="fr-FR"/>
        </w:rPr>
        <w:t xml:space="preserve"> Réunion est convenue que le Bureau international devrait examiner les </w:t>
      </w:r>
      <w:r w:rsidR="00E559FC" w:rsidRPr="00693E45">
        <w:rPr>
          <w:lang w:val="fr-FR"/>
        </w:rPr>
        <w:t>possibilités d</w:t>
      </w:r>
      <w:r w:rsidR="009B7882" w:rsidRPr="00693E45">
        <w:rPr>
          <w:lang w:val="fr-FR"/>
        </w:rPr>
        <w:t>’</w:t>
      </w:r>
      <w:r w:rsidR="00E559FC" w:rsidRPr="00693E45">
        <w:rPr>
          <w:lang w:val="fr-FR"/>
        </w:rPr>
        <w:t>accueil d</w:t>
      </w:r>
      <w:r w:rsidR="009B7882" w:rsidRPr="00693E45">
        <w:rPr>
          <w:lang w:val="fr-FR"/>
        </w:rPr>
        <w:t>’</w:t>
      </w:r>
      <w:r w:rsidR="00E559FC" w:rsidRPr="00693E45">
        <w:rPr>
          <w:lang w:val="fr-FR"/>
        </w:rPr>
        <w:t xml:space="preserve">une future session par ces offices, </w:t>
      </w:r>
      <w:r w:rsidR="00F07774" w:rsidRPr="00693E45">
        <w:rPr>
          <w:lang w:val="fr-FR"/>
        </w:rPr>
        <w:t>et a pris note de l</w:t>
      </w:r>
      <w:r w:rsidR="009B7882" w:rsidRPr="00693E45">
        <w:rPr>
          <w:lang w:val="fr-FR"/>
        </w:rPr>
        <w:t>’</w:t>
      </w:r>
      <w:r w:rsidR="00F07774" w:rsidRPr="00693E45">
        <w:rPr>
          <w:lang w:val="fr-FR"/>
        </w:rPr>
        <w:t>ordre dans lequel ces offres ont été reçu</w:t>
      </w:r>
      <w:r w:rsidR="003D2437" w:rsidRPr="00693E45">
        <w:rPr>
          <w:lang w:val="fr-FR"/>
        </w:rPr>
        <w:t>es.  La</w:t>
      </w:r>
      <w:r w:rsidR="00F07774" w:rsidRPr="00693E45">
        <w:rPr>
          <w:lang w:val="fr-FR"/>
        </w:rPr>
        <w:t xml:space="preserve"> prochaine </w:t>
      </w:r>
      <w:r w:rsidR="007F3D49" w:rsidRPr="00693E45">
        <w:rPr>
          <w:lang w:val="fr-FR"/>
        </w:rPr>
        <w:t xml:space="preserve">session </w:t>
      </w:r>
      <w:r w:rsidR="00F07774" w:rsidRPr="00693E45">
        <w:rPr>
          <w:lang w:val="fr-FR"/>
        </w:rPr>
        <w:t xml:space="preserve">de la Réunion devait se tenir au premier trimestre </w:t>
      </w:r>
      <w:r w:rsidR="009B7882" w:rsidRPr="00693E45">
        <w:rPr>
          <w:lang w:val="fr-FR"/>
        </w:rPr>
        <w:t>de 2022</w:t>
      </w:r>
      <w:r w:rsidR="007F3D49" w:rsidRPr="00693E45">
        <w:rPr>
          <w:lang w:val="fr-FR"/>
        </w:rPr>
        <w:t xml:space="preserve">. </w:t>
      </w:r>
      <w:r w:rsidR="00F07774" w:rsidRPr="00693E45">
        <w:rPr>
          <w:lang w:val="fr-FR"/>
        </w:rPr>
        <w:t xml:space="preserve"> </w:t>
      </w:r>
      <w:r w:rsidR="00991156" w:rsidRPr="00693E45">
        <w:rPr>
          <w:lang w:val="fr-FR"/>
        </w:rPr>
        <w:t>L</w:t>
      </w:r>
      <w:r w:rsidR="009B7882" w:rsidRPr="00693E45">
        <w:rPr>
          <w:lang w:val="fr-FR"/>
        </w:rPr>
        <w:t>’</w:t>
      </w:r>
      <w:r w:rsidR="00350300" w:rsidRPr="00693E45">
        <w:rPr>
          <w:lang w:val="fr-FR"/>
        </w:rPr>
        <w:t>évolution de la pandémie de COVID</w:t>
      </w:r>
      <w:r w:rsidR="00CB4729" w:rsidRPr="00693E45">
        <w:rPr>
          <w:lang w:val="fr-FR"/>
        </w:rPr>
        <w:noBreakHyphen/>
      </w:r>
      <w:r w:rsidR="00350300" w:rsidRPr="00693E45">
        <w:rPr>
          <w:lang w:val="fr-FR"/>
        </w:rPr>
        <w:t xml:space="preserve">19 et </w:t>
      </w:r>
      <w:r w:rsidR="00991156" w:rsidRPr="00693E45">
        <w:rPr>
          <w:lang w:val="fr-FR"/>
        </w:rPr>
        <w:t>l</w:t>
      </w:r>
      <w:r w:rsidR="00350300" w:rsidRPr="00693E45">
        <w:rPr>
          <w:lang w:val="fr-FR"/>
        </w:rPr>
        <w:t>es conditions s</w:t>
      </w:r>
      <w:r w:rsidR="009B7882" w:rsidRPr="00693E45">
        <w:rPr>
          <w:lang w:val="fr-FR"/>
        </w:rPr>
        <w:t>’</w:t>
      </w:r>
      <w:r w:rsidR="00350300" w:rsidRPr="00693E45">
        <w:rPr>
          <w:lang w:val="fr-FR"/>
        </w:rPr>
        <w:t>appliquant alors aux voyages, le cas échéant</w:t>
      </w:r>
      <w:r w:rsidR="00991156" w:rsidRPr="00693E45">
        <w:rPr>
          <w:lang w:val="fr-FR"/>
        </w:rPr>
        <w:t>, devraient nécessairement être prises en compte dans la détermination du lieu et des modalités de participation des administrations internationales</w:t>
      </w:r>
      <w:r w:rsidR="00350300" w:rsidRPr="00693E45">
        <w:rPr>
          <w:lang w:val="fr-FR"/>
        </w:rPr>
        <w:t>.</w:t>
      </w:r>
    </w:p>
    <w:p w14:paraId="2B13D949" w14:textId="77777777" w:rsidR="007F3D49" w:rsidRPr="00693E45" w:rsidRDefault="007F3D49" w:rsidP="00CB4729">
      <w:pPr>
        <w:pStyle w:val="Heading1"/>
        <w:rPr>
          <w:lang w:val="fr-FR"/>
        </w:rPr>
      </w:pPr>
      <w:r w:rsidRPr="00693E45">
        <w:rPr>
          <w:lang w:val="fr-FR"/>
        </w:rPr>
        <w:lastRenderedPageBreak/>
        <w:t>Clôture de la session</w:t>
      </w:r>
    </w:p>
    <w:p w14:paraId="338381D7" w14:textId="6FDF8A43" w:rsidR="007F3D49" w:rsidRPr="00693E45" w:rsidRDefault="007F3D49" w:rsidP="00CB4729">
      <w:pPr>
        <w:pStyle w:val="ONUMFS"/>
        <w:keepNext/>
        <w:rPr>
          <w:lang w:val="fr-FR"/>
        </w:rPr>
      </w:pPr>
      <w:r w:rsidRPr="00693E45">
        <w:rPr>
          <w:lang w:val="fr-FR"/>
        </w:rPr>
        <w:t>Le président a prononcé la clôture de la session le 2</w:t>
      </w:r>
      <w:r w:rsidR="009B7882" w:rsidRPr="00693E45">
        <w:rPr>
          <w:lang w:val="fr-FR"/>
        </w:rPr>
        <w:t>6 mars 20</w:t>
      </w:r>
      <w:r w:rsidRPr="00693E45">
        <w:rPr>
          <w:lang w:val="fr-FR"/>
        </w:rPr>
        <w:t>21.</w:t>
      </w:r>
    </w:p>
    <w:p w14:paraId="5718D10C" w14:textId="5AAACBDE" w:rsidR="007F3D49" w:rsidRPr="00693E45" w:rsidRDefault="007F3D49" w:rsidP="007F3D49">
      <w:pPr>
        <w:pStyle w:val="Endofdocument-Annex"/>
        <w:ind w:left="0"/>
        <w:rPr>
          <w:lang w:val="fr-FR"/>
        </w:rPr>
      </w:pPr>
      <w:r w:rsidRPr="00693E45">
        <w:rPr>
          <w:lang w:val="fr-FR"/>
        </w:rPr>
        <w:t>[L</w:t>
      </w:r>
      <w:r w:rsidR="009B7882" w:rsidRPr="00693E45">
        <w:rPr>
          <w:lang w:val="fr-FR"/>
        </w:rPr>
        <w:t>’annexe I</w:t>
      </w:r>
      <w:r w:rsidRPr="00693E45">
        <w:rPr>
          <w:lang w:val="fr-FR"/>
        </w:rPr>
        <w:t xml:space="preserve"> du document PCT/MIA/28/9, contenant une liste des participants, n</w:t>
      </w:r>
      <w:r w:rsidR="009B7882" w:rsidRPr="00693E45">
        <w:rPr>
          <w:lang w:val="fr-FR"/>
        </w:rPr>
        <w:t>’</w:t>
      </w:r>
      <w:r w:rsidRPr="00693E45">
        <w:rPr>
          <w:lang w:val="fr-FR"/>
        </w:rPr>
        <w:t>est pas reproduite ici]</w:t>
      </w:r>
    </w:p>
    <w:p w14:paraId="419FC882" w14:textId="13DC0D17" w:rsidR="007F3D49" w:rsidRPr="00693E45" w:rsidRDefault="007F3D49" w:rsidP="007F3D49">
      <w:pPr>
        <w:pStyle w:val="Endofdocument-Annex"/>
        <w:spacing w:before="720"/>
        <w:rPr>
          <w:lang w:val="fr-FR"/>
        </w:rPr>
        <w:sectPr w:rsidR="007F3D49" w:rsidRPr="00693E45" w:rsidSect="00CB472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693E45">
        <w:rPr>
          <w:lang w:val="fr-FR"/>
        </w:rPr>
        <w:t>[L</w:t>
      </w:r>
      <w:r w:rsidR="009B7882" w:rsidRPr="00693E45">
        <w:rPr>
          <w:lang w:val="fr-FR"/>
        </w:rPr>
        <w:t>’annexe I</w:t>
      </w:r>
      <w:r w:rsidRPr="00693E45">
        <w:rPr>
          <w:lang w:val="fr-FR"/>
        </w:rPr>
        <w:t>I (du document PCT/MIA/28/9) suit]</w:t>
      </w:r>
    </w:p>
    <w:p w14:paraId="29DBF593" w14:textId="297C1215" w:rsidR="007F3D49" w:rsidRPr="00693E45" w:rsidRDefault="007F3D49" w:rsidP="007F3D49">
      <w:pPr>
        <w:pStyle w:val="Endofdocument-Annex"/>
        <w:ind w:left="0"/>
        <w:rPr>
          <w:lang w:val="fr-FR"/>
        </w:rPr>
      </w:pPr>
      <w:r w:rsidRPr="00693E45">
        <w:rPr>
          <w:lang w:val="fr-FR"/>
        </w:rPr>
        <w:lastRenderedPageBreak/>
        <w:t>ANNEXE</w:t>
      </w:r>
      <w:r w:rsidR="00C6045B" w:rsidRPr="00693E45">
        <w:rPr>
          <w:lang w:val="fr-FR"/>
        </w:rPr>
        <w:t> </w:t>
      </w:r>
      <w:r w:rsidRPr="00693E45">
        <w:rPr>
          <w:lang w:val="fr-FR"/>
        </w:rPr>
        <w:t>II (du document PCT/MIA/28/9)</w:t>
      </w:r>
    </w:p>
    <w:p w14:paraId="7668D3C7" w14:textId="77777777" w:rsidR="007F3D49" w:rsidRPr="00693E45" w:rsidRDefault="007F3D49" w:rsidP="007F3D49">
      <w:pPr>
        <w:pStyle w:val="Endofdocument-Annex"/>
        <w:ind w:left="0"/>
        <w:rPr>
          <w:lang w:val="fr-FR"/>
        </w:rPr>
      </w:pPr>
    </w:p>
    <w:p w14:paraId="2E916F28" w14:textId="3B579372" w:rsidR="007F3D49" w:rsidRPr="00693E45" w:rsidRDefault="006104FA" w:rsidP="007F3D49">
      <w:pPr>
        <w:pStyle w:val="Endofdocument-Annex"/>
        <w:ind w:left="0"/>
        <w:rPr>
          <w:lang w:val="fr-FR"/>
        </w:rPr>
      </w:pPr>
      <w:r w:rsidRPr="00693E45">
        <w:rPr>
          <w:lang w:val="fr-FR"/>
        </w:rPr>
        <w:t>ONZIÈME RÉUNION INFORMELLE DU SOUS</w:t>
      </w:r>
      <w:r w:rsidR="00CB4729" w:rsidRPr="00693E45">
        <w:rPr>
          <w:lang w:val="fr-FR"/>
        </w:rPr>
        <w:noBreakHyphen/>
      </w:r>
      <w:r w:rsidRPr="00693E45">
        <w:rPr>
          <w:lang w:val="fr-FR"/>
        </w:rPr>
        <w:t>GROUPE DE LA RÉUNION DES ADMINISTRATIONS INTERNATIONALES CHARGÉ DE LA QUALITÉ</w:t>
      </w:r>
    </w:p>
    <w:p w14:paraId="1C6220BC" w14:textId="4C6C79FF" w:rsidR="007F3D49" w:rsidRPr="00693E45" w:rsidRDefault="00CB4729" w:rsidP="007F3D49">
      <w:pPr>
        <w:pStyle w:val="Endofdocument-Annex"/>
        <w:ind w:left="0"/>
        <w:rPr>
          <w:lang w:val="fr-FR"/>
        </w:rPr>
      </w:pPr>
      <w:r w:rsidRPr="00693E45">
        <w:rPr>
          <w:lang w:val="fr-FR"/>
        </w:rPr>
        <w:t>GENÈVE, 22 ET 23 MARS 2021</w:t>
      </w:r>
    </w:p>
    <w:p w14:paraId="7B8E7F8B" w14:textId="77777777" w:rsidR="007F3D49" w:rsidRPr="00693E45" w:rsidRDefault="007F3D49" w:rsidP="007F3D49">
      <w:pPr>
        <w:pStyle w:val="Endofdocument-Annex"/>
        <w:ind w:left="0"/>
        <w:rPr>
          <w:lang w:val="fr-FR"/>
        </w:rPr>
      </w:pPr>
    </w:p>
    <w:p w14:paraId="24C000FE" w14:textId="41BE36B7" w:rsidR="007F3D49" w:rsidRPr="00693E45" w:rsidRDefault="00CB4729" w:rsidP="007F3D49">
      <w:pPr>
        <w:pStyle w:val="Endofdocument-Annex"/>
        <w:ind w:left="0"/>
        <w:rPr>
          <w:lang w:val="fr-FR"/>
        </w:rPr>
      </w:pPr>
      <w:r w:rsidRPr="00693E45">
        <w:rPr>
          <w:lang w:val="fr-FR"/>
        </w:rPr>
        <w:t>RÉSUMÉ PRÉSENTÉ PAR LE PRÉSIDENT</w:t>
      </w:r>
    </w:p>
    <w:p w14:paraId="74F2CFBC" w14:textId="77777777" w:rsidR="007F3D49" w:rsidRPr="00693E45" w:rsidRDefault="007F3D49" w:rsidP="007F3D49">
      <w:pPr>
        <w:pStyle w:val="Endofdocument-Annex"/>
        <w:ind w:left="0"/>
        <w:rPr>
          <w:lang w:val="fr-FR"/>
        </w:rPr>
      </w:pPr>
    </w:p>
    <w:p w14:paraId="221859BB" w14:textId="6F4842D5" w:rsidR="007F3D49" w:rsidRPr="00693E45" w:rsidRDefault="007F3D49" w:rsidP="00CB4729">
      <w:pPr>
        <w:pStyle w:val="ONUMFS"/>
        <w:numPr>
          <w:ilvl w:val="0"/>
          <w:numId w:val="20"/>
        </w:numPr>
        <w:rPr>
          <w:lang w:val="fr-FR"/>
        </w:rPr>
      </w:pPr>
      <w:r w:rsidRPr="00693E45">
        <w:rPr>
          <w:lang w:val="fr-FR"/>
        </w:rPr>
        <w:t>M.</w:t>
      </w:r>
      <w:r w:rsidR="00C6045B" w:rsidRPr="00693E45">
        <w:rPr>
          <w:lang w:val="fr-FR"/>
        </w:rPr>
        <w:t> </w:t>
      </w:r>
      <w:r w:rsidRPr="00693E45">
        <w:rPr>
          <w:lang w:val="fr-FR"/>
        </w:rPr>
        <w:t>Michael</w:t>
      </w:r>
      <w:r w:rsidR="00C6045B" w:rsidRPr="00693E45">
        <w:rPr>
          <w:lang w:val="fr-FR"/>
        </w:rPr>
        <w:t> </w:t>
      </w:r>
      <w:r w:rsidRPr="00693E45">
        <w:rPr>
          <w:lang w:val="fr-FR"/>
        </w:rPr>
        <w:t>Richardson,</w:t>
      </w:r>
      <w:r w:rsidR="006104FA" w:rsidRPr="00693E45">
        <w:rPr>
          <w:lang w:val="fr-FR"/>
        </w:rPr>
        <w:t xml:space="preserve"> directeur de la Division du développement fonctionnel</w:t>
      </w:r>
      <w:r w:rsidR="009B7882" w:rsidRPr="00693E45">
        <w:rPr>
          <w:lang w:val="fr-FR"/>
        </w:rPr>
        <w:t xml:space="preserve"> du PCT</w:t>
      </w:r>
      <w:r w:rsidR="006104FA" w:rsidRPr="00693E45">
        <w:rPr>
          <w:lang w:val="fr-FR"/>
        </w:rPr>
        <w:t xml:space="preserve"> de l</w:t>
      </w:r>
      <w:r w:rsidR="009B7882" w:rsidRPr="00693E45">
        <w:rPr>
          <w:lang w:val="fr-FR"/>
        </w:rPr>
        <w:t>’</w:t>
      </w:r>
      <w:r w:rsidR="006104FA" w:rsidRPr="00693E45">
        <w:rPr>
          <w:lang w:val="fr-FR"/>
        </w:rPr>
        <w:t>Organisation Mondiale de la Propriété Intellectuelle (OMPI), a souhaité la bienvenue aux participants au nom du Directeur général de l</w:t>
      </w:r>
      <w:r w:rsidR="009B7882" w:rsidRPr="00693E45">
        <w:rPr>
          <w:lang w:val="fr-FR"/>
        </w:rPr>
        <w:t>’</w:t>
      </w:r>
      <w:r w:rsidR="006104FA" w:rsidRPr="00693E45">
        <w:rPr>
          <w:lang w:val="fr-FR"/>
        </w:rPr>
        <w:t>OMPI</w:t>
      </w:r>
      <w:r w:rsidRPr="00693E45">
        <w:rPr>
          <w:lang w:val="fr-FR"/>
        </w:rPr>
        <w:t>, M.</w:t>
      </w:r>
      <w:r w:rsidR="0091379C" w:rsidRPr="00693E45">
        <w:rPr>
          <w:lang w:val="fr-FR"/>
        </w:rPr>
        <w:t> </w:t>
      </w:r>
      <w:proofErr w:type="spellStart"/>
      <w:r w:rsidR="009B7882" w:rsidRPr="00693E45">
        <w:rPr>
          <w:lang w:val="fr-FR"/>
        </w:rPr>
        <w:t>Daren</w:t>
      </w:r>
      <w:proofErr w:type="spellEnd"/>
      <w:r w:rsidR="009B7882" w:rsidRPr="00693E45">
        <w:rPr>
          <w:lang w:val="fr-FR"/>
        </w:rPr>
        <w:t> Tang</w:t>
      </w:r>
      <w:r w:rsidRPr="00693E45">
        <w:rPr>
          <w:lang w:val="fr-FR"/>
        </w:rPr>
        <w:t>.</w:t>
      </w:r>
    </w:p>
    <w:p w14:paraId="1B372D48" w14:textId="77777777" w:rsidR="007F3D49" w:rsidRPr="00693E45" w:rsidRDefault="007F3D49" w:rsidP="007F3D49">
      <w:pPr>
        <w:pStyle w:val="Heading1"/>
        <w:rPr>
          <w:lang w:val="fr-FR"/>
        </w:rPr>
      </w:pPr>
      <w:r w:rsidRPr="00693E45">
        <w:rPr>
          <w:lang w:val="fr-FR"/>
        </w:rPr>
        <w:t>1.</w:t>
      </w:r>
      <w:r w:rsidRPr="00693E45">
        <w:rPr>
          <w:b w:val="0"/>
          <w:lang w:val="fr-FR"/>
        </w:rPr>
        <w:tab/>
      </w:r>
      <w:r w:rsidRPr="00693E45">
        <w:rPr>
          <w:lang w:val="fr-FR"/>
        </w:rPr>
        <w:t>Systèmes de gestion de la qualité</w:t>
      </w:r>
    </w:p>
    <w:p w14:paraId="481A2298" w14:textId="618E0303" w:rsidR="009B7882" w:rsidRPr="00693E45" w:rsidRDefault="007F3D49" w:rsidP="007F3D49">
      <w:pPr>
        <w:pStyle w:val="Heading2"/>
        <w:rPr>
          <w:lang w:val="fr-FR"/>
        </w:rPr>
      </w:pPr>
      <w:r w:rsidRPr="00693E45">
        <w:rPr>
          <w:lang w:val="fr-FR"/>
        </w:rPr>
        <w:t>a)</w:t>
      </w:r>
      <w:r w:rsidR="00CB4729" w:rsidRPr="00693E45">
        <w:rPr>
          <w:lang w:val="fr-FR"/>
        </w:rPr>
        <w:tab/>
      </w:r>
      <w:r w:rsidR="00512D92" w:rsidRPr="00693E45">
        <w:rPr>
          <w:lang w:val="fr-FR"/>
        </w:rPr>
        <w:t xml:space="preserve">Rapports sur les systèmes de gestion de la qualité au titre du </w:t>
      </w:r>
      <w:r w:rsidR="009B7882" w:rsidRPr="00693E45">
        <w:rPr>
          <w:lang w:val="fr-FR"/>
        </w:rPr>
        <w:t>chapitre 2</w:t>
      </w:r>
      <w:r w:rsidR="00512D92" w:rsidRPr="00693E45">
        <w:rPr>
          <w:lang w:val="fr-FR"/>
        </w:rPr>
        <w:t>1 des directives concernant la recherche internationale et l</w:t>
      </w:r>
      <w:r w:rsidR="009B7882" w:rsidRPr="00693E45">
        <w:rPr>
          <w:lang w:val="fr-FR"/>
        </w:rPr>
        <w:t>’</w:t>
      </w:r>
      <w:r w:rsidR="00512D92" w:rsidRPr="00693E45">
        <w:rPr>
          <w:lang w:val="fr-FR"/>
        </w:rPr>
        <w:t>examen préliminaire international selon</w:t>
      </w:r>
      <w:r w:rsidR="009B7882" w:rsidRPr="00693E45">
        <w:rPr>
          <w:lang w:val="fr-FR"/>
        </w:rPr>
        <w:t xml:space="preserve"> le PCT</w:t>
      </w:r>
    </w:p>
    <w:p w14:paraId="51570B8B" w14:textId="61EC7A3B" w:rsidR="009B7882" w:rsidRPr="00693E45" w:rsidRDefault="007F3D49" w:rsidP="00CB4729">
      <w:pPr>
        <w:pStyle w:val="ONUMFS"/>
        <w:rPr>
          <w:lang w:val="fr-FR"/>
        </w:rPr>
      </w:pPr>
      <w:r w:rsidRPr="00693E45">
        <w:rPr>
          <w:lang w:val="fr-FR"/>
        </w:rPr>
        <w:t>Les administrations sont convenues que le système de rapports sur les systèmes de gestion de la qualité était utile et se sont félicitées du résumé présenté par le Bureau international.</w:t>
      </w:r>
    </w:p>
    <w:p w14:paraId="432FC279" w14:textId="519D3A16" w:rsidR="009B7882" w:rsidRPr="00693E45" w:rsidRDefault="00533EAE" w:rsidP="00CB4729">
      <w:pPr>
        <w:pStyle w:val="ONUMFS"/>
        <w:rPr>
          <w:lang w:val="fr-FR"/>
        </w:rPr>
      </w:pPr>
      <w:r w:rsidRPr="00693E45">
        <w:rPr>
          <w:lang w:val="fr-FR"/>
        </w:rPr>
        <w:t>L</w:t>
      </w:r>
      <w:r w:rsidR="009B7882" w:rsidRPr="00693E45">
        <w:rPr>
          <w:lang w:val="fr-FR"/>
        </w:rPr>
        <w:t>’</w:t>
      </w:r>
      <w:r w:rsidRPr="00693E45">
        <w:rPr>
          <w:lang w:val="fr-FR"/>
        </w:rPr>
        <w:t>Office des brevets d</w:t>
      </w:r>
      <w:r w:rsidR="009B7882" w:rsidRPr="00693E45">
        <w:rPr>
          <w:lang w:val="fr-FR"/>
        </w:rPr>
        <w:t>’</w:t>
      </w:r>
      <w:r w:rsidRPr="00693E45">
        <w:rPr>
          <w:lang w:val="fr-FR"/>
        </w:rPr>
        <w:t xml:space="preserve">Israël a déclaré </w:t>
      </w:r>
      <w:r w:rsidR="0028225E" w:rsidRPr="00693E45">
        <w:rPr>
          <w:lang w:val="fr-FR"/>
        </w:rPr>
        <w:t>que, dans le cadre des mesures de réponse à la pandémie de COVID</w:t>
      </w:r>
      <w:r w:rsidR="00CB4729" w:rsidRPr="00693E45">
        <w:rPr>
          <w:lang w:val="fr-FR"/>
        </w:rPr>
        <w:noBreakHyphen/>
      </w:r>
      <w:r w:rsidR="0028225E" w:rsidRPr="00693E45">
        <w:rPr>
          <w:lang w:val="fr-FR"/>
        </w:rPr>
        <w:t>19, il accordait la priorité à l</w:t>
      </w:r>
      <w:r w:rsidR="009B7882" w:rsidRPr="00693E45">
        <w:rPr>
          <w:lang w:val="fr-FR"/>
        </w:rPr>
        <w:t>’</w:t>
      </w:r>
      <w:r w:rsidR="0028225E" w:rsidRPr="00693E45">
        <w:rPr>
          <w:lang w:val="fr-FR"/>
        </w:rPr>
        <w:t>examen des demandes de brevet portant sur le diagnostic, le traitement, la prévention et l</w:t>
      </w:r>
      <w:r w:rsidR="009B7882" w:rsidRPr="00693E45">
        <w:rPr>
          <w:lang w:val="fr-FR"/>
        </w:rPr>
        <w:t>’</w:t>
      </w:r>
      <w:r w:rsidR="0028225E" w:rsidRPr="00693E45">
        <w:rPr>
          <w:lang w:val="fr-FR"/>
        </w:rPr>
        <w:t xml:space="preserve">éradication du coronavirus, et cela sans </w:t>
      </w:r>
      <w:r w:rsidR="009104EC" w:rsidRPr="00693E45">
        <w:rPr>
          <w:lang w:val="fr-FR"/>
        </w:rPr>
        <w:t>supplément de taxes</w:t>
      </w:r>
      <w:r w:rsidR="00691836" w:rsidRPr="00693E45">
        <w:rPr>
          <w:lang w:val="fr-FR"/>
        </w:rPr>
        <w:t xml:space="preserve">, </w:t>
      </w:r>
      <w:r w:rsidR="00465618" w:rsidRPr="00693E45">
        <w:rPr>
          <w:lang w:val="fr-FR"/>
        </w:rPr>
        <w:t>à l</w:t>
      </w:r>
      <w:r w:rsidR="009B7882" w:rsidRPr="00693E45">
        <w:rPr>
          <w:lang w:val="fr-FR"/>
        </w:rPr>
        <w:t>’</w:t>
      </w:r>
      <w:r w:rsidR="00465618" w:rsidRPr="00693E45">
        <w:rPr>
          <w:lang w:val="fr-FR"/>
        </w:rPr>
        <w:t>instar d</w:t>
      </w:r>
      <w:r w:rsidR="00691836" w:rsidRPr="00693E45">
        <w:rPr>
          <w:lang w:val="fr-FR"/>
        </w:rPr>
        <w:t>es demandes de brevets “verts”.</w:t>
      </w:r>
    </w:p>
    <w:p w14:paraId="4F5C654C" w14:textId="5B51058E" w:rsidR="009B7882" w:rsidRPr="00693E45" w:rsidRDefault="00DD2B8C" w:rsidP="00CB4729">
      <w:pPr>
        <w:pStyle w:val="ONUMFS"/>
        <w:rPr>
          <w:lang w:val="fr-FR"/>
        </w:rPr>
      </w:pPr>
      <w:r w:rsidRPr="00693E45">
        <w:rPr>
          <w:lang w:val="fr-FR"/>
        </w:rPr>
        <w:t>Une administration a fourni des informations concernant l</w:t>
      </w:r>
      <w:r w:rsidR="009B7882" w:rsidRPr="00693E45">
        <w:rPr>
          <w:lang w:val="fr-FR"/>
        </w:rPr>
        <w:t>’</w:t>
      </w:r>
      <w:r w:rsidRPr="00693E45">
        <w:rPr>
          <w:lang w:val="fr-FR"/>
        </w:rPr>
        <w:t>outil de recherche faisant appel à l</w:t>
      </w:r>
      <w:r w:rsidR="009B7882" w:rsidRPr="00693E45">
        <w:rPr>
          <w:lang w:val="fr-FR"/>
        </w:rPr>
        <w:t>’</w:t>
      </w:r>
      <w:r w:rsidRPr="00693E45">
        <w:rPr>
          <w:lang w:val="fr-FR"/>
        </w:rPr>
        <w:t>intelligence artificielle qu</w:t>
      </w:r>
      <w:r w:rsidR="009B7882" w:rsidRPr="00693E45">
        <w:rPr>
          <w:lang w:val="fr-FR"/>
        </w:rPr>
        <w:t>’</w:t>
      </w:r>
      <w:r w:rsidRPr="00693E45">
        <w:rPr>
          <w:lang w:val="fr-FR"/>
        </w:rPr>
        <w:t xml:space="preserve">elle utilisait en complément des recherches </w:t>
      </w:r>
      <w:r w:rsidR="008818B1" w:rsidRPr="00693E45">
        <w:rPr>
          <w:lang w:val="fr-FR"/>
        </w:rPr>
        <w:t>effectuées par s</w:t>
      </w:r>
      <w:r w:rsidRPr="00693E45">
        <w:rPr>
          <w:lang w:val="fr-FR"/>
        </w:rPr>
        <w:t>es examinateurs de breve</w:t>
      </w:r>
      <w:r w:rsidR="003D2437" w:rsidRPr="00693E45">
        <w:rPr>
          <w:lang w:val="fr-FR"/>
        </w:rPr>
        <w:t>ts.  Ce</w:t>
      </w:r>
      <w:r w:rsidR="00857A79" w:rsidRPr="00693E45">
        <w:rPr>
          <w:lang w:val="fr-FR"/>
        </w:rPr>
        <w:t xml:space="preserve">t outil procédait à une </w:t>
      </w:r>
      <w:r w:rsidR="00D3173F" w:rsidRPr="00693E45">
        <w:rPr>
          <w:lang w:val="fr-FR"/>
        </w:rPr>
        <w:t>analyse d</w:t>
      </w:r>
      <w:r w:rsidR="00857A79" w:rsidRPr="00693E45">
        <w:rPr>
          <w:lang w:val="fr-FR"/>
        </w:rPr>
        <w:t>es textes des demandes afin d</w:t>
      </w:r>
      <w:r w:rsidR="00D3173F" w:rsidRPr="00693E45">
        <w:rPr>
          <w:lang w:val="fr-FR"/>
        </w:rPr>
        <w:t>e répartir</w:t>
      </w:r>
      <w:r w:rsidR="00857A79" w:rsidRPr="00693E45">
        <w:rPr>
          <w:lang w:val="fr-FR"/>
        </w:rPr>
        <w:t xml:space="preserve"> ces dernières </w:t>
      </w:r>
      <w:r w:rsidR="00D3173F" w:rsidRPr="00693E45">
        <w:rPr>
          <w:lang w:val="fr-FR"/>
        </w:rPr>
        <w:t>entre les</w:t>
      </w:r>
      <w:r w:rsidR="00857A79" w:rsidRPr="00693E45">
        <w:rPr>
          <w:lang w:val="fr-FR"/>
        </w:rPr>
        <w:t xml:space="preserve"> examinateurs</w:t>
      </w:r>
      <w:r w:rsidR="00422577" w:rsidRPr="00693E45">
        <w:rPr>
          <w:lang w:val="fr-FR"/>
        </w:rPr>
        <w:t>,</w:t>
      </w:r>
      <w:r w:rsidR="00857A79" w:rsidRPr="00693E45">
        <w:rPr>
          <w:lang w:val="fr-FR"/>
        </w:rPr>
        <w:t xml:space="preserve"> et </w:t>
      </w:r>
      <w:r w:rsidR="00D3173F" w:rsidRPr="00693E45">
        <w:rPr>
          <w:lang w:val="fr-FR"/>
        </w:rPr>
        <w:t>à la sélection d</w:t>
      </w:r>
      <w:r w:rsidR="009B7882" w:rsidRPr="00693E45">
        <w:rPr>
          <w:lang w:val="fr-FR"/>
        </w:rPr>
        <w:t>’</w:t>
      </w:r>
      <w:r w:rsidR="00857A79" w:rsidRPr="00693E45">
        <w:rPr>
          <w:lang w:val="fr-FR"/>
        </w:rPr>
        <w:t>exemples</w:t>
      </w:r>
      <w:r w:rsidR="008818B1" w:rsidRPr="00693E45">
        <w:rPr>
          <w:lang w:val="fr-FR"/>
        </w:rPr>
        <w:t xml:space="preserve"> potentiellement pertinents de l</w:t>
      </w:r>
      <w:r w:rsidR="009B7882" w:rsidRPr="00693E45">
        <w:rPr>
          <w:lang w:val="fr-FR"/>
        </w:rPr>
        <w:t>’</w:t>
      </w:r>
      <w:r w:rsidR="008818B1" w:rsidRPr="00693E45">
        <w:rPr>
          <w:lang w:val="fr-FR"/>
        </w:rPr>
        <w:t>état de la technique</w:t>
      </w:r>
      <w:r w:rsidR="00D3173F" w:rsidRPr="00693E45">
        <w:rPr>
          <w:lang w:val="fr-FR"/>
        </w:rPr>
        <w:t>, à prendre en considération dans le cadre de l</w:t>
      </w:r>
      <w:r w:rsidR="009B7882" w:rsidRPr="00693E45">
        <w:rPr>
          <w:lang w:val="fr-FR"/>
        </w:rPr>
        <w:t>’</w:t>
      </w:r>
      <w:r w:rsidR="00D3173F" w:rsidRPr="00693E45">
        <w:rPr>
          <w:lang w:val="fr-FR"/>
        </w:rPr>
        <w:t>exam</w:t>
      </w:r>
      <w:r w:rsidR="003D2437" w:rsidRPr="00693E45">
        <w:rPr>
          <w:lang w:val="fr-FR"/>
        </w:rPr>
        <w:t>en.  Ce</w:t>
      </w:r>
      <w:r w:rsidR="008A3016" w:rsidRPr="00693E45">
        <w:rPr>
          <w:lang w:val="fr-FR"/>
        </w:rPr>
        <w:t>tte administration avait également rédigé des clauses normalisées pour l</w:t>
      </w:r>
      <w:r w:rsidR="009B7882" w:rsidRPr="00693E45">
        <w:rPr>
          <w:lang w:val="fr-FR"/>
        </w:rPr>
        <w:t>’</w:t>
      </w:r>
      <w:r w:rsidR="008A3016" w:rsidRPr="00693E45">
        <w:rPr>
          <w:lang w:val="fr-FR"/>
        </w:rPr>
        <w:t>examen des conditions de forme dans les phases internationale</w:t>
      </w:r>
      <w:r w:rsidR="00C6045B" w:rsidRPr="00693E45">
        <w:rPr>
          <w:lang w:val="fr-FR"/>
        </w:rPr>
        <w:t>s</w:t>
      </w:r>
      <w:r w:rsidR="008A3016" w:rsidRPr="00693E45">
        <w:rPr>
          <w:lang w:val="fr-FR"/>
        </w:rPr>
        <w:t xml:space="preserve"> et nationales.</w:t>
      </w:r>
    </w:p>
    <w:p w14:paraId="6F7DA7C5" w14:textId="4761AECC" w:rsidR="009B7882" w:rsidRPr="00693E45" w:rsidRDefault="002F7DA4" w:rsidP="00CB4729">
      <w:pPr>
        <w:pStyle w:val="ONUMFS"/>
        <w:rPr>
          <w:lang w:val="fr-FR"/>
        </w:rPr>
      </w:pPr>
      <w:r w:rsidRPr="00693E45">
        <w:rPr>
          <w:lang w:val="fr-FR"/>
        </w:rPr>
        <w:t>Une administration a informé le sous</w:t>
      </w:r>
      <w:r w:rsidR="00CB4729" w:rsidRPr="00693E45">
        <w:rPr>
          <w:lang w:val="fr-FR"/>
        </w:rPr>
        <w:noBreakHyphen/>
      </w:r>
      <w:r w:rsidRPr="00693E45">
        <w:rPr>
          <w:lang w:val="fr-FR"/>
        </w:rPr>
        <w:t>groupe de l</w:t>
      </w:r>
      <w:r w:rsidR="009B7882" w:rsidRPr="00693E45">
        <w:rPr>
          <w:lang w:val="fr-FR"/>
        </w:rPr>
        <w:t>’</w:t>
      </w:r>
      <w:r w:rsidRPr="00693E45">
        <w:rPr>
          <w:lang w:val="fr-FR"/>
        </w:rPr>
        <w:t>évolution de ses travaux de modernisation informatique concernant trois</w:t>
      </w:r>
      <w:r w:rsidR="0091379C" w:rsidRPr="00693E45">
        <w:rPr>
          <w:lang w:val="fr-FR"/>
        </w:rPr>
        <w:t> </w:t>
      </w:r>
      <w:r w:rsidRPr="00693E45">
        <w:rPr>
          <w:lang w:val="fr-FR"/>
        </w:rPr>
        <w:t>projets différen</w:t>
      </w:r>
      <w:r w:rsidR="003D2437" w:rsidRPr="00693E45">
        <w:rPr>
          <w:lang w:val="fr-FR"/>
        </w:rPr>
        <w:t>ts.  Ce</w:t>
      </w:r>
      <w:r w:rsidR="00D0366F" w:rsidRPr="00693E45">
        <w:rPr>
          <w:lang w:val="fr-FR"/>
        </w:rPr>
        <w:t>tte administration s</w:t>
      </w:r>
      <w:r w:rsidR="009B7882" w:rsidRPr="00693E45">
        <w:rPr>
          <w:lang w:val="fr-FR"/>
        </w:rPr>
        <w:t>’</w:t>
      </w:r>
      <w:r w:rsidR="00D0366F" w:rsidRPr="00693E45">
        <w:rPr>
          <w:lang w:val="fr-FR"/>
        </w:rPr>
        <w:t>apprêtait à donner à ses clients la possibilité d</w:t>
      </w:r>
      <w:r w:rsidR="009B7882" w:rsidRPr="00693E45">
        <w:rPr>
          <w:lang w:val="fr-FR"/>
        </w:rPr>
        <w:t>’</w:t>
      </w:r>
      <w:r w:rsidR="00D0366F" w:rsidRPr="00693E45">
        <w:rPr>
          <w:lang w:val="fr-FR"/>
        </w:rPr>
        <w:t xml:space="preserve">accéder </w:t>
      </w:r>
      <w:r w:rsidR="00B223BB" w:rsidRPr="00693E45">
        <w:rPr>
          <w:lang w:val="fr-FR"/>
        </w:rPr>
        <w:t xml:space="preserve">électroniquement </w:t>
      </w:r>
      <w:r w:rsidR="00D0366F" w:rsidRPr="00693E45">
        <w:rPr>
          <w:lang w:val="fr-FR"/>
        </w:rPr>
        <w:t xml:space="preserve">aux documents </w:t>
      </w:r>
      <w:r w:rsidR="00B405E2" w:rsidRPr="00693E45">
        <w:rPr>
          <w:lang w:val="fr-FR"/>
        </w:rPr>
        <w:t>d</w:t>
      </w:r>
      <w:r w:rsidR="009B7882" w:rsidRPr="00693E45">
        <w:rPr>
          <w:lang w:val="fr-FR"/>
        </w:rPr>
        <w:t>’</w:t>
      </w:r>
      <w:r w:rsidR="00D0366F" w:rsidRPr="00693E45">
        <w:rPr>
          <w:lang w:val="fr-FR"/>
        </w:rPr>
        <w:t>une demande internationale</w:t>
      </w:r>
      <w:r w:rsidR="00B223BB" w:rsidRPr="00693E45">
        <w:rPr>
          <w:lang w:val="fr-FR"/>
        </w:rPr>
        <w:t xml:space="preserve"> et </w:t>
      </w:r>
      <w:r w:rsidR="00B405E2" w:rsidRPr="00693E45">
        <w:rPr>
          <w:lang w:val="fr-FR"/>
        </w:rPr>
        <w:t>de</w:t>
      </w:r>
      <w:r w:rsidR="00B223BB" w:rsidRPr="00693E45">
        <w:rPr>
          <w:lang w:val="fr-FR"/>
        </w:rPr>
        <w:t xml:space="preserve"> ses citations, </w:t>
      </w:r>
      <w:r w:rsidR="00B405E2" w:rsidRPr="00693E45">
        <w:rPr>
          <w:lang w:val="fr-FR"/>
        </w:rPr>
        <w:t>par l</w:t>
      </w:r>
      <w:r w:rsidR="009B7882" w:rsidRPr="00693E45">
        <w:rPr>
          <w:lang w:val="fr-FR"/>
        </w:rPr>
        <w:t>’</w:t>
      </w:r>
      <w:r w:rsidR="00B405E2" w:rsidRPr="00693E45">
        <w:rPr>
          <w:lang w:val="fr-FR"/>
        </w:rPr>
        <w:t>intermédiaire d</w:t>
      </w:r>
      <w:r w:rsidR="009B7882" w:rsidRPr="00693E45">
        <w:rPr>
          <w:lang w:val="fr-FR"/>
        </w:rPr>
        <w:t>’</w:t>
      </w:r>
      <w:r w:rsidR="00B405E2" w:rsidRPr="00693E45">
        <w:rPr>
          <w:lang w:val="fr-FR"/>
        </w:rPr>
        <w:t xml:space="preserve">une </w:t>
      </w:r>
      <w:r w:rsidR="0091379C" w:rsidRPr="00693E45">
        <w:rPr>
          <w:lang w:val="fr-FR"/>
        </w:rPr>
        <w:t>plateforme</w:t>
      </w:r>
      <w:r w:rsidR="00B405E2" w:rsidRPr="00693E45">
        <w:rPr>
          <w:lang w:val="fr-FR"/>
        </w:rPr>
        <w:t xml:space="preserve"> de distribution numérique facilitant l</w:t>
      </w:r>
      <w:r w:rsidR="009B7882" w:rsidRPr="00693E45">
        <w:rPr>
          <w:lang w:val="fr-FR"/>
        </w:rPr>
        <w:t>’</w:t>
      </w:r>
      <w:r w:rsidR="00B405E2" w:rsidRPr="00693E45">
        <w:rPr>
          <w:lang w:val="fr-FR"/>
        </w:rPr>
        <w:t>envoi et la réception de messages et documents confidentiels ayant un ou plusieurs destinatair</w:t>
      </w:r>
      <w:r w:rsidR="003D2437" w:rsidRPr="00693E45">
        <w:rPr>
          <w:lang w:val="fr-FR"/>
        </w:rPr>
        <w:t>es.  Ce</w:t>
      </w:r>
      <w:r w:rsidR="00F3235E" w:rsidRPr="00693E45">
        <w:rPr>
          <w:lang w:val="fr-FR"/>
        </w:rPr>
        <w:t xml:space="preserve">tte administration </w:t>
      </w:r>
      <w:r w:rsidR="00EF50C7" w:rsidRPr="00693E45">
        <w:rPr>
          <w:lang w:val="fr-FR"/>
        </w:rPr>
        <w:t xml:space="preserve">allait également lancer un système de délivrance électronique permettant de </w:t>
      </w:r>
      <w:r w:rsidR="001B40C7" w:rsidRPr="00693E45">
        <w:rPr>
          <w:lang w:val="fr-FR"/>
        </w:rPr>
        <w:t>télécharger</w:t>
      </w:r>
      <w:r w:rsidR="00EF50C7" w:rsidRPr="00693E45">
        <w:rPr>
          <w:lang w:val="fr-FR"/>
        </w:rPr>
        <w:t xml:space="preserve"> les brevets délivrés et les documents connexes sous forme de fichiers PDF, à partir d</w:t>
      </w:r>
      <w:r w:rsidR="009B7882" w:rsidRPr="00693E45">
        <w:rPr>
          <w:lang w:val="fr-FR"/>
        </w:rPr>
        <w:t>’</w:t>
      </w:r>
      <w:r w:rsidR="00EF50C7" w:rsidRPr="00693E45">
        <w:rPr>
          <w:lang w:val="fr-FR"/>
        </w:rPr>
        <w:t>un répertoi</w:t>
      </w:r>
      <w:r w:rsidR="003D2437" w:rsidRPr="00693E45">
        <w:rPr>
          <w:lang w:val="fr-FR"/>
        </w:rPr>
        <w:t>re.  Au</w:t>
      </w:r>
      <w:r w:rsidR="001B40C7" w:rsidRPr="00693E45">
        <w:rPr>
          <w:lang w:val="fr-FR"/>
        </w:rPr>
        <w:t xml:space="preserve"> lieu de recevoir leurs documents de brevet par la poste, sur papier, les clients recevraient des instructions sur l</w:t>
      </w:r>
      <w:r w:rsidR="00A8505F" w:rsidRPr="00693E45">
        <w:rPr>
          <w:lang w:val="fr-FR"/>
        </w:rPr>
        <w:t xml:space="preserve">a manière de </w:t>
      </w:r>
      <w:r w:rsidR="001B40C7" w:rsidRPr="00693E45">
        <w:rPr>
          <w:lang w:val="fr-FR"/>
        </w:rPr>
        <w:t>télécharge</w:t>
      </w:r>
      <w:r w:rsidR="00A8505F" w:rsidRPr="00693E45">
        <w:rPr>
          <w:lang w:val="fr-FR"/>
        </w:rPr>
        <w:t>r</w:t>
      </w:r>
      <w:r w:rsidR="001B40C7" w:rsidRPr="00693E45">
        <w:rPr>
          <w:lang w:val="fr-FR"/>
        </w:rPr>
        <w:t xml:space="preserve"> ces documen</w:t>
      </w:r>
      <w:r w:rsidR="003D2437" w:rsidRPr="00693E45">
        <w:rPr>
          <w:lang w:val="fr-FR"/>
        </w:rPr>
        <w:t>ts.  En</w:t>
      </w:r>
      <w:r w:rsidR="00A64053" w:rsidRPr="00693E45">
        <w:rPr>
          <w:lang w:val="fr-FR"/>
        </w:rPr>
        <w:t xml:space="preserve">fin, </w:t>
      </w:r>
      <w:r w:rsidR="00A8505F" w:rsidRPr="00693E45">
        <w:rPr>
          <w:lang w:val="fr-FR"/>
        </w:rPr>
        <w:t>cette administration allait lancer un nouveau service électronique permettant aux déposants de demander en ligne l</w:t>
      </w:r>
      <w:r w:rsidR="009B7882" w:rsidRPr="00693E45">
        <w:rPr>
          <w:lang w:val="fr-FR"/>
        </w:rPr>
        <w:t>’</w:t>
      </w:r>
      <w:r w:rsidR="00A8505F" w:rsidRPr="00693E45">
        <w:rPr>
          <w:lang w:val="fr-FR"/>
        </w:rPr>
        <w:t>entrée en phase nationale de leurs dépôts selon</w:t>
      </w:r>
      <w:r w:rsidR="009B7882" w:rsidRPr="00693E45">
        <w:rPr>
          <w:lang w:val="fr-FR"/>
        </w:rPr>
        <w:t xml:space="preserve"> le </w:t>
      </w:r>
      <w:r w:rsidR="003D2437" w:rsidRPr="00693E45">
        <w:rPr>
          <w:lang w:val="fr-FR"/>
        </w:rPr>
        <w:t>PCT.  Le</w:t>
      </w:r>
      <w:r w:rsidR="00A8505F" w:rsidRPr="00693E45">
        <w:rPr>
          <w:lang w:val="fr-FR"/>
        </w:rPr>
        <w:t xml:space="preserve">s clients </w:t>
      </w:r>
      <w:r w:rsidR="00605C3C" w:rsidRPr="00693E45">
        <w:rPr>
          <w:lang w:val="fr-FR"/>
        </w:rPr>
        <w:t>contribuaient</w:t>
      </w:r>
      <w:r w:rsidR="00A8505F" w:rsidRPr="00693E45">
        <w:rPr>
          <w:lang w:val="fr-FR"/>
        </w:rPr>
        <w:t xml:space="preserve"> à la conception du nouveau service électronique,</w:t>
      </w:r>
      <w:r w:rsidR="00605C3C" w:rsidRPr="00693E45">
        <w:rPr>
          <w:lang w:val="fr-FR"/>
        </w:rPr>
        <w:t xml:space="preserve"> laquelle fait appel à des interfaces de programmation d</w:t>
      </w:r>
      <w:r w:rsidR="009B7882" w:rsidRPr="00693E45">
        <w:rPr>
          <w:lang w:val="fr-FR"/>
        </w:rPr>
        <w:t>’</w:t>
      </w:r>
      <w:r w:rsidR="00605C3C" w:rsidRPr="00693E45">
        <w:rPr>
          <w:lang w:val="fr-FR"/>
        </w:rPr>
        <w:t>application</w:t>
      </w:r>
      <w:r w:rsidR="00422577" w:rsidRPr="00693E45">
        <w:rPr>
          <w:lang w:val="fr-FR"/>
        </w:rPr>
        <w:t>s</w:t>
      </w:r>
      <w:r w:rsidR="00605C3C" w:rsidRPr="00693E45">
        <w:rPr>
          <w:lang w:val="fr-FR"/>
        </w:rPr>
        <w:t xml:space="preserve"> (API).  </w:t>
      </w:r>
      <w:r w:rsidR="00D84A44" w:rsidRPr="00693E45">
        <w:rPr>
          <w:lang w:val="fr-FR"/>
        </w:rPr>
        <w:t>Les clients</w:t>
      </w:r>
      <w:r w:rsidR="00DF1F0A" w:rsidRPr="00693E45">
        <w:rPr>
          <w:lang w:val="fr-FR"/>
        </w:rPr>
        <w:t xml:space="preserve"> prenaient également part à des séances d</w:t>
      </w:r>
      <w:r w:rsidR="009B7882" w:rsidRPr="00693E45">
        <w:rPr>
          <w:lang w:val="fr-FR"/>
        </w:rPr>
        <w:t>’</w:t>
      </w:r>
      <w:r w:rsidR="00DF1F0A" w:rsidRPr="00693E45">
        <w:rPr>
          <w:lang w:val="fr-FR"/>
        </w:rPr>
        <w:t xml:space="preserve">essais de convivialité et </w:t>
      </w:r>
      <w:r w:rsidR="00D84A44" w:rsidRPr="00693E45">
        <w:rPr>
          <w:lang w:val="fr-FR"/>
        </w:rPr>
        <w:t xml:space="preserve">participeraient à </w:t>
      </w:r>
      <w:r w:rsidR="005D2649" w:rsidRPr="00693E45">
        <w:rPr>
          <w:lang w:val="fr-FR"/>
        </w:rPr>
        <w:t>des tests d</w:t>
      </w:r>
      <w:r w:rsidR="009B7882" w:rsidRPr="00693E45">
        <w:rPr>
          <w:lang w:val="fr-FR"/>
        </w:rPr>
        <w:t>’</w:t>
      </w:r>
      <w:r w:rsidR="005D2649" w:rsidRPr="00693E45">
        <w:rPr>
          <w:lang w:val="fr-FR"/>
        </w:rPr>
        <w:t>acceptation avant le lancement du service.</w:t>
      </w:r>
    </w:p>
    <w:p w14:paraId="304DC751" w14:textId="1E80BE5A" w:rsidR="009B7882" w:rsidRPr="00693E45" w:rsidRDefault="00522C29" w:rsidP="00CB4729">
      <w:pPr>
        <w:pStyle w:val="ONUMFS"/>
        <w:rPr>
          <w:lang w:val="fr-FR"/>
        </w:rPr>
      </w:pPr>
      <w:r w:rsidRPr="00693E45">
        <w:rPr>
          <w:lang w:val="fr-FR"/>
        </w:rPr>
        <w:t>L</w:t>
      </w:r>
      <w:r w:rsidR="009B7882" w:rsidRPr="00693E45">
        <w:rPr>
          <w:lang w:val="fr-FR"/>
        </w:rPr>
        <w:t>’</w:t>
      </w:r>
      <w:r w:rsidRPr="00693E45">
        <w:rPr>
          <w:lang w:val="fr-FR"/>
        </w:rPr>
        <w:t>Office européen des brevets a expliqué qu</w:t>
      </w:r>
      <w:r w:rsidR="009B7882" w:rsidRPr="00693E45">
        <w:rPr>
          <w:lang w:val="fr-FR"/>
        </w:rPr>
        <w:t>’</w:t>
      </w:r>
      <w:r w:rsidRPr="00693E45">
        <w:rPr>
          <w:lang w:val="fr-FR"/>
        </w:rPr>
        <w:t>il étendait sa certification ISO</w:t>
      </w:r>
      <w:r w:rsidR="00C6045B" w:rsidRPr="00693E45">
        <w:rPr>
          <w:lang w:val="fr-FR"/>
        </w:rPr>
        <w:t> </w:t>
      </w:r>
      <w:r w:rsidRPr="00693E45">
        <w:rPr>
          <w:lang w:val="fr-FR"/>
        </w:rPr>
        <w:t xml:space="preserve">9001 à un plus large éventail de procédures et avait créé </w:t>
      </w:r>
      <w:r w:rsidR="00E773A4" w:rsidRPr="00693E45">
        <w:rPr>
          <w:lang w:val="fr-FR"/>
        </w:rPr>
        <w:t xml:space="preserve">une nouvelle direction principale pour </w:t>
      </w:r>
      <w:r w:rsidR="00FD0B11" w:rsidRPr="00693E45">
        <w:rPr>
          <w:lang w:val="fr-FR"/>
        </w:rPr>
        <w:t xml:space="preserve">les </w:t>
      </w:r>
      <w:r w:rsidR="00E773A4" w:rsidRPr="00693E45">
        <w:rPr>
          <w:lang w:val="fr-FR"/>
        </w:rPr>
        <w:t>administr</w:t>
      </w:r>
      <w:r w:rsidR="003D2437" w:rsidRPr="00693E45">
        <w:rPr>
          <w:lang w:val="fr-FR"/>
        </w:rPr>
        <w:t>er.  Il</w:t>
      </w:r>
      <w:r w:rsidR="00FD0B11" w:rsidRPr="00693E45">
        <w:rPr>
          <w:lang w:val="fr-FR"/>
        </w:rPr>
        <w:t xml:space="preserve"> avait également adopté </w:t>
      </w:r>
      <w:r w:rsidR="00485307" w:rsidRPr="00693E45">
        <w:rPr>
          <w:lang w:val="fr-FR"/>
        </w:rPr>
        <w:t xml:space="preserve">une approche fédérée </w:t>
      </w:r>
      <w:r w:rsidR="009B7882" w:rsidRPr="00693E45">
        <w:rPr>
          <w:lang w:val="fr-FR"/>
        </w:rPr>
        <w:t>à l’égard</w:t>
      </w:r>
      <w:r w:rsidR="00485307" w:rsidRPr="00693E45">
        <w:rPr>
          <w:lang w:val="fr-FR"/>
        </w:rPr>
        <w:t xml:space="preserve"> de la gestion des risques et préparait actuellement son rapport annuel sur la qualité, qui serait publié sur le site</w:t>
      </w:r>
      <w:r w:rsidR="0091379C" w:rsidRPr="00693E45">
        <w:rPr>
          <w:lang w:val="fr-FR"/>
        </w:rPr>
        <w:t> </w:t>
      </w:r>
      <w:r w:rsidR="00485307" w:rsidRPr="00693E45">
        <w:rPr>
          <w:lang w:val="fr-FR"/>
        </w:rPr>
        <w:t>Web de l</w:t>
      </w:r>
      <w:r w:rsidR="009B7882" w:rsidRPr="00693E45">
        <w:rPr>
          <w:lang w:val="fr-FR"/>
        </w:rPr>
        <w:t>’</w:t>
      </w:r>
      <w:r w:rsidR="00485307" w:rsidRPr="00693E45">
        <w:rPr>
          <w:lang w:val="fr-FR"/>
        </w:rPr>
        <w:t xml:space="preserve">OEB. </w:t>
      </w:r>
      <w:r w:rsidR="00F1388E" w:rsidRPr="00693E45">
        <w:rPr>
          <w:lang w:val="fr-FR"/>
        </w:rPr>
        <w:t xml:space="preserve"> S</w:t>
      </w:r>
      <w:r w:rsidR="009B7882" w:rsidRPr="00693E45">
        <w:rPr>
          <w:lang w:val="fr-FR"/>
        </w:rPr>
        <w:t>’</w:t>
      </w:r>
      <w:r w:rsidR="00F1388E" w:rsidRPr="00693E45">
        <w:rPr>
          <w:lang w:val="fr-FR"/>
        </w:rPr>
        <w:t>agissant de la continuité de ses opérations, l</w:t>
      </w:r>
      <w:r w:rsidR="009B7882" w:rsidRPr="00693E45">
        <w:rPr>
          <w:lang w:val="fr-FR"/>
        </w:rPr>
        <w:t>’</w:t>
      </w:r>
      <w:r w:rsidR="00F1388E" w:rsidRPr="00693E45">
        <w:rPr>
          <w:lang w:val="fr-FR"/>
        </w:rPr>
        <w:t xml:space="preserve">OEB </w:t>
      </w:r>
      <w:r w:rsidR="00106E87" w:rsidRPr="00693E45">
        <w:rPr>
          <w:lang w:val="fr-FR"/>
        </w:rPr>
        <w:t>a indiqué qu</w:t>
      </w:r>
      <w:r w:rsidR="008A4673" w:rsidRPr="00693E45">
        <w:rPr>
          <w:lang w:val="fr-FR"/>
        </w:rPr>
        <w:t>e</w:t>
      </w:r>
      <w:r w:rsidR="00106E87" w:rsidRPr="00693E45">
        <w:rPr>
          <w:lang w:val="fr-FR"/>
        </w:rPr>
        <w:t xml:space="preserve"> la possibilité d</w:t>
      </w:r>
      <w:r w:rsidR="009B7882" w:rsidRPr="00693E45">
        <w:rPr>
          <w:lang w:val="fr-FR"/>
        </w:rPr>
        <w:t>’</w:t>
      </w:r>
      <w:r w:rsidR="00106E87" w:rsidRPr="00693E45">
        <w:rPr>
          <w:lang w:val="fr-FR"/>
        </w:rPr>
        <w:t xml:space="preserve">utiliser la vidéoconférence dans les procédures orales </w:t>
      </w:r>
      <w:r w:rsidR="008A4673" w:rsidRPr="00693E45">
        <w:rPr>
          <w:lang w:val="fr-FR"/>
        </w:rPr>
        <w:t xml:space="preserve">existait </w:t>
      </w:r>
      <w:r w:rsidR="009B7882" w:rsidRPr="00693E45">
        <w:rPr>
          <w:lang w:val="fr-FR"/>
        </w:rPr>
        <w:t>depuis 1998</w:t>
      </w:r>
      <w:r w:rsidR="008A4673" w:rsidRPr="00693E45">
        <w:rPr>
          <w:lang w:val="fr-FR"/>
        </w:rPr>
        <w:t xml:space="preserve">, mais </w:t>
      </w:r>
      <w:r w:rsidR="00496BC7" w:rsidRPr="00693E45">
        <w:rPr>
          <w:lang w:val="fr-FR"/>
        </w:rPr>
        <w:t xml:space="preserve">avait rarement été </w:t>
      </w:r>
      <w:r w:rsidR="00496BC7" w:rsidRPr="00693E45">
        <w:rPr>
          <w:lang w:val="fr-FR"/>
        </w:rPr>
        <w:lastRenderedPageBreak/>
        <w:t>utilisée</w:t>
      </w:r>
      <w:r w:rsidR="008A4673" w:rsidRPr="00693E45">
        <w:rPr>
          <w:lang w:val="fr-FR"/>
        </w:rPr>
        <w:t xml:space="preserve"> jusqu</w:t>
      </w:r>
      <w:r w:rsidR="009B7882" w:rsidRPr="00693E45">
        <w:rPr>
          <w:lang w:val="fr-FR"/>
        </w:rPr>
        <w:t>’</w:t>
      </w:r>
      <w:r w:rsidR="008A4673" w:rsidRPr="00693E45">
        <w:rPr>
          <w:lang w:val="fr-FR"/>
        </w:rPr>
        <w:t>à l</w:t>
      </w:r>
      <w:r w:rsidR="009B7882" w:rsidRPr="00693E45">
        <w:rPr>
          <w:lang w:val="fr-FR"/>
        </w:rPr>
        <w:t>’</w:t>
      </w:r>
      <w:r w:rsidR="008A4673" w:rsidRPr="00693E45">
        <w:rPr>
          <w:lang w:val="fr-FR"/>
        </w:rPr>
        <w:t xml:space="preserve">année </w:t>
      </w:r>
      <w:r w:rsidR="00487F99" w:rsidRPr="00693E45">
        <w:rPr>
          <w:lang w:val="fr-FR"/>
        </w:rPr>
        <w:t>pass</w:t>
      </w:r>
      <w:r w:rsidR="003D2437" w:rsidRPr="00693E45">
        <w:rPr>
          <w:lang w:val="fr-FR"/>
        </w:rPr>
        <w:t>ée.  Dé</w:t>
      </w:r>
      <w:r w:rsidR="001159CD" w:rsidRPr="00693E45">
        <w:rPr>
          <w:lang w:val="fr-FR"/>
        </w:rPr>
        <w:t xml:space="preserve">sormais, toutes les procédures orales </w:t>
      </w:r>
      <w:r w:rsidR="00D7434C" w:rsidRPr="00693E45">
        <w:rPr>
          <w:lang w:val="fr-FR"/>
        </w:rPr>
        <w:t xml:space="preserve">relatives </w:t>
      </w:r>
      <w:r w:rsidR="001159CD" w:rsidRPr="00693E45">
        <w:rPr>
          <w:lang w:val="fr-FR"/>
        </w:rPr>
        <w:t xml:space="preserve">aux demandes </w:t>
      </w:r>
      <w:r w:rsidR="00D7434C" w:rsidRPr="00693E45">
        <w:rPr>
          <w:lang w:val="fr-FR"/>
        </w:rPr>
        <w:t xml:space="preserve">de brevet se déroulaient par vidéoconférence.  </w:t>
      </w:r>
      <w:r w:rsidR="000F0D87" w:rsidRPr="00693E45">
        <w:rPr>
          <w:lang w:val="fr-FR"/>
        </w:rPr>
        <w:t>L</w:t>
      </w:r>
      <w:r w:rsidR="009B7882" w:rsidRPr="00693E45">
        <w:rPr>
          <w:lang w:val="fr-FR"/>
        </w:rPr>
        <w:t>’</w:t>
      </w:r>
      <w:r w:rsidR="000F0D87" w:rsidRPr="00693E45">
        <w:rPr>
          <w:lang w:val="fr-FR"/>
        </w:rPr>
        <w:t>OEB procédait également à des essais d</w:t>
      </w:r>
      <w:r w:rsidR="009B7882" w:rsidRPr="00693E45">
        <w:rPr>
          <w:lang w:val="fr-FR"/>
        </w:rPr>
        <w:t>’</w:t>
      </w:r>
      <w:r w:rsidR="000F0D87" w:rsidRPr="00693E45">
        <w:rPr>
          <w:lang w:val="fr-FR"/>
        </w:rPr>
        <w:t>utilisation de la vidéoconférence pour les procédures d</w:t>
      </w:r>
      <w:r w:rsidR="009B7882" w:rsidRPr="00693E45">
        <w:rPr>
          <w:lang w:val="fr-FR"/>
        </w:rPr>
        <w:t>’</w:t>
      </w:r>
      <w:r w:rsidR="000F0D87" w:rsidRPr="00693E45">
        <w:rPr>
          <w:lang w:val="fr-FR"/>
        </w:rPr>
        <w:t>opposition,</w:t>
      </w:r>
      <w:r w:rsidR="00E91C81" w:rsidRPr="00693E45">
        <w:rPr>
          <w:lang w:val="fr-FR"/>
        </w:rPr>
        <w:t xml:space="preserve"> </w:t>
      </w:r>
      <w:r w:rsidR="0096231F" w:rsidRPr="00693E45">
        <w:rPr>
          <w:lang w:val="fr-FR"/>
        </w:rPr>
        <w:t xml:space="preserve">étant donné que </w:t>
      </w:r>
      <w:r w:rsidR="00A25BAD" w:rsidRPr="00693E45">
        <w:rPr>
          <w:lang w:val="fr-FR"/>
        </w:rPr>
        <w:t xml:space="preserve">Zoom permet </w:t>
      </w:r>
      <w:r w:rsidR="0096231F" w:rsidRPr="00693E45">
        <w:rPr>
          <w:lang w:val="fr-FR"/>
        </w:rPr>
        <w:t>l</w:t>
      </w:r>
      <w:r w:rsidR="009B7882" w:rsidRPr="00693E45">
        <w:rPr>
          <w:lang w:val="fr-FR"/>
        </w:rPr>
        <w:t>’</w:t>
      </w:r>
      <w:r w:rsidR="0096231F" w:rsidRPr="00693E45">
        <w:rPr>
          <w:lang w:val="fr-FR"/>
        </w:rPr>
        <w:t>interprétation</w:t>
      </w:r>
      <w:r w:rsidR="00A25BAD" w:rsidRPr="00693E45">
        <w:rPr>
          <w:lang w:val="fr-FR"/>
        </w:rPr>
        <w:t>.</w:t>
      </w:r>
    </w:p>
    <w:p w14:paraId="75EF8156" w14:textId="09B59F19" w:rsidR="009B7882" w:rsidRPr="00693E45" w:rsidRDefault="00816604" w:rsidP="00CB4729">
      <w:pPr>
        <w:pStyle w:val="ONUMFS"/>
        <w:rPr>
          <w:lang w:val="fr-FR"/>
        </w:rPr>
      </w:pPr>
      <w:r w:rsidRPr="00693E45">
        <w:rPr>
          <w:lang w:val="fr-FR"/>
        </w:rPr>
        <w:t>Une administration a accepté de communiquer le plan d</w:t>
      </w:r>
      <w:r w:rsidR="009B7882" w:rsidRPr="00693E45">
        <w:rPr>
          <w:lang w:val="fr-FR"/>
        </w:rPr>
        <w:t>’</w:t>
      </w:r>
      <w:r w:rsidRPr="00693E45">
        <w:rPr>
          <w:lang w:val="fr-FR"/>
        </w:rPr>
        <w:t>amélioration</w:t>
      </w:r>
      <w:r w:rsidR="009B7882" w:rsidRPr="00693E45">
        <w:rPr>
          <w:lang w:val="fr-FR"/>
        </w:rPr>
        <w:t xml:space="preserve"> du PCT</w:t>
      </w:r>
      <w:r w:rsidRPr="00693E45">
        <w:rPr>
          <w:lang w:val="fr-FR"/>
        </w:rPr>
        <w:t xml:space="preserve"> mentionné d</w:t>
      </w:r>
      <w:r w:rsidR="00CB4729" w:rsidRPr="00693E45">
        <w:rPr>
          <w:lang w:val="fr-FR"/>
        </w:rPr>
        <w:t>ans son rapport sur le wiki du S</w:t>
      </w:r>
      <w:r w:rsidRPr="00693E45">
        <w:rPr>
          <w:lang w:val="fr-FR"/>
        </w:rPr>
        <w:t>ous</w:t>
      </w:r>
      <w:r w:rsidR="00CB4729" w:rsidRPr="00693E45">
        <w:rPr>
          <w:lang w:val="fr-FR"/>
        </w:rPr>
        <w:noBreakHyphen/>
      </w:r>
      <w:r w:rsidRPr="00693E45">
        <w:rPr>
          <w:lang w:val="fr-FR"/>
        </w:rPr>
        <w:t>groupe chargé de la qualité.</w:t>
      </w:r>
    </w:p>
    <w:p w14:paraId="73729EC0" w14:textId="75462E47" w:rsidR="009B7882" w:rsidRPr="00693E45" w:rsidRDefault="005239A9" w:rsidP="00CB4729">
      <w:pPr>
        <w:pStyle w:val="ONUMFS"/>
        <w:rPr>
          <w:lang w:val="fr-FR"/>
        </w:rPr>
      </w:pPr>
      <w:r w:rsidRPr="00693E45">
        <w:rPr>
          <w:lang w:val="fr-FR"/>
        </w:rPr>
        <w:t>En réponse à une question de l</w:t>
      </w:r>
      <w:r w:rsidR="009B7882" w:rsidRPr="00693E45">
        <w:rPr>
          <w:lang w:val="fr-FR"/>
        </w:rPr>
        <w:t>’</w:t>
      </w:r>
      <w:r w:rsidRPr="00693E45">
        <w:rPr>
          <w:lang w:val="fr-FR"/>
        </w:rPr>
        <w:t>une des administrations concernant les parties des rapports de recherche internationale et des opinions écrites qui étaient analysées dans le cadre du projet relatif aux dossiers d</w:t>
      </w:r>
      <w:r w:rsidR="009B7882" w:rsidRPr="00693E45">
        <w:rPr>
          <w:lang w:val="fr-FR"/>
        </w:rPr>
        <w:t>’</w:t>
      </w:r>
      <w:r w:rsidRPr="00693E45">
        <w:rPr>
          <w:lang w:val="fr-FR"/>
        </w:rPr>
        <w:t>harmonisation entre l</w:t>
      </w:r>
      <w:r w:rsidR="009B7882" w:rsidRPr="00693E45">
        <w:rPr>
          <w:lang w:val="fr-FR"/>
        </w:rPr>
        <w:t>’</w:t>
      </w:r>
      <w:r w:rsidRPr="00693E45">
        <w:rPr>
          <w:lang w:val="fr-FR"/>
        </w:rPr>
        <w:t>Office européen des brevets (OEB) et certaines autres administrations internationales en Europe, l</w:t>
      </w:r>
      <w:r w:rsidR="009B7882" w:rsidRPr="00693E45">
        <w:rPr>
          <w:lang w:val="fr-FR"/>
        </w:rPr>
        <w:t>’</w:t>
      </w:r>
      <w:r w:rsidRPr="00693E45">
        <w:rPr>
          <w:lang w:val="fr-FR"/>
        </w:rPr>
        <w:t>OEB a expliqué que ce projet s</w:t>
      </w:r>
      <w:r w:rsidR="009B7882" w:rsidRPr="00693E45">
        <w:rPr>
          <w:lang w:val="fr-FR"/>
        </w:rPr>
        <w:t>’</w:t>
      </w:r>
      <w:r w:rsidRPr="00693E45">
        <w:rPr>
          <w:lang w:val="fr-FR"/>
        </w:rPr>
        <w:t>inscrivait dans le cadre des activités entreprises en vertu du Protocole sur la centralisation de la Convention sur le brevet europé</w:t>
      </w:r>
      <w:r w:rsidR="003D2437" w:rsidRPr="00693E45">
        <w:rPr>
          <w:lang w:val="fr-FR"/>
        </w:rPr>
        <w:t>en.  Le</w:t>
      </w:r>
      <w:r w:rsidR="00BA2443" w:rsidRPr="00693E45">
        <w:rPr>
          <w:lang w:val="fr-FR"/>
        </w:rPr>
        <w:t xml:space="preserve"> projet visait à harmoniser la recherche à travers l</w:t>
      </w:r>
      <w:r w:rsidR="009B7882" w:rsidRPr="00693E45">
        <w:rPr>
          <w:lang w:val="fr-FR"/>
        </w:rPr>
        <w:t>’</w:t>
      </w:r>
      <w:r w:rsidR="00BA2443" w:rsidRPr="00693E45">
        <w:rPr>
          <w:lang w:val="fr-FR"/>
        </w:rPr>
        <w:t>Europe par deux</w:t>
      </w:r>
      <w:r w:rsidR="0091379C" w:rsidRPr="00693E45">
        <w:rPr>
          <w:lang w:val="fr-FR"/>
        </w:rPr>
        <w:t> </w:t>
      </w:r>
      <w:r w:rsidR="00BA2443" w:rsidRPr="00693E45">
        <w:rPr>
          <w:lang w:val="fr-FR"/>
        </w:rPr>
        <w:t>activit</w:t>
      </w:r>
      <w:r w:rsidR="003D2437" w:rsidRPr="00693E45">
        <w:rPr>
          <w:lang w:val="fr-FR"/>
        </w:rPr>
        <w:t>és.  Ce</w:t>
      </w:r>
      <w:r w:rsidR="00BA2443" w:rsidRPr="00693E45">
        <w:rPr>
          <w:lang w:val="fr-FR"/>
        </w:rPr>
        <w:t>la comprenait tout d</w:t>
      </w:r>
      <w:r w:rsidR="009B7882" w:rsidRPr="00693E45">
        <w:rPr>
          <w:lang w:val="fr-FR"/>
        </w:rPr>
        <w:t>’</w:t>
      </w:r>
      <w:r w:rsidR="00BA2443" w:rsidRPr="00693E45">
        <w:rPr>
          <w:lang w:val="fr-FR"/>
        </w:rPr>
        <w:t>abord un exercice général, dans lequel trois</w:t>
      </w:r>
      <w:r w:rsidR="0091379C" w:rsidRPr="00693E45">
        <w:rPr>
          <w:lang w:val="fr-FR"/>
        </w:rPr>
        <w:t> </w:t>
      </w:r>
      <w:r w:rsidR="00BA2443" w:rsidRPr="00693E45">
        <w:rPr>
          <w:lang w:val="fr-FR"/>
        </w:rPr>
        <w:t>autres offices de propriété intellectuelle de pays d</w:t>
      </w:r>
      <w:r w:rsidR="009B7882" w:rsidRPr="00693E45">
        <w:rPr>
          <w:lang w:val="fr-FR"/>
        </w:rPr>
        <w:t>’</w:t>
      </w:r>
      <w:r w:rsidR="00BA2443" w:rsidRPr="00693E45">
        <w:rPr>
          <w:lang w:val="fr-FR"/>
        </w:rPr>
        <w:t>Europe comparaient avec un examinateur de l</w:t>
      </w:r>
      <w:r w:rsidR="009B7882" w:rsidRPr="00693E45">
        <w:rPr>
          <w:lang w:val="fr-FR"/>
        </w:rPr>
        <w:t>’</w:t>
      </w:r>
      <w:r w:rsidR="00BA2443" w:rsidRPr="00693E45">
        <w:rPr>
          <w:lang w:val="fr-FR"/>
        </w:rPr>
        <w:t>OEB les recherches qu</w:t>
      </w:r>
      <w:r w:rsidR="009B7882" w:rsidRPr="00693E45">
        <w:rPr>
          <w:lang w:val="fr-FR"/>
        </w:rPr>
        <w:t>’</w:t>
      </w:r>
      <w:r w:rsidR="00BA2443" w:rsidRPr="00693E45">
        <w:rPr>
          <w:lang w:val="fr-FR"/>
        </w:rPr>
        <w:t>ils avaient effectuées sur un maximum de 50</w:t>
      </w:r>
      <w:r w:rsidR="00C6045B" w:rsidRPr="00693E45">
        <w:rPr>
          <w:lang w:val="fr-FR"/>
        </w:rPr>
        <w:t> </w:t>
      </w:r>
      <w:r w:rsidR="00BA2443" w:rsidRPr="00693E45">
        <w:rPr>
          <w:lang w:val="fr-FR"/>
        </w:rPr>
        <w:t xml:space="preserve">dossiers par </w:t>
      </w:r>
      <w:r w:rsidR="003D2437" w:rsidRPr="00693E45">
        <w:rPr>
          <w:lang w:val="fr-FR"/>
        </w:rPr>
        <w:t>an.  Ce</w:t>
      </w:r>
      <w:r w:rsidR="00BA2443" w:rsidRPr="00693E45">
        <w:rPr>
          <w:lang w:val="fr-FR"/>
        </w:rPr>
        <w:t xml:space="preserve">tte activité </w:t>
      </w:r>
      <w:r w:rsidR="00FF622C" w:rsidRPr="00693E45">
        <w:rPr>
          <w:lang w:val="fr-FR"/>
        </w:rPr>
        <w:t>avait pour but</w:t>
      </w:r>
      <w:r w:rsidR="00BA2443" w:rsidRPr="00693E45">
        <w:rPr>
          <w:lang w:val="fr-FR"/>
        </w:rPr>
        <w:t xml:space="preserve"> de comparer des </w:t>
      </w:r>
      <w:proofErr w:type="gramStart"/>
      <w:r w:rsidR="00BA2443" w:rsidRPr="00693E45">
        <w:rPr>
          <w:lang w:val="fr-FR"/>
        </w:rPr>
        <w:t>pratiques;  il</w:t>
      </w:r>
      <w:proofErr w:type="gramEnd"/>
      <w:r w:rsidR="00BA2443" w:rsidRPr="00693E45">
        <w:rPr>
          <w:lang w:val="fr-FR"/>
        </w:rPr>
        <w:t xml:space="preserve"> ne s</w:t>
      </w:r>
      <w:r w:rsidR="009B7882" w:rsidRPr="00693E45">
        <w:rPr>
          <w:lang w:val="fr-FR"/>
        </w:rPr>
        <w:t>’</w:t>
      </w:r>
      <w:r w:rsidR="00BA2443" w:rsidRPr="00693E45">
        <w:rPr>
          <w:lang w:val="fr-FR"/>
        </w:rPr>
        <w:t>agissait pas de définir une norme de quali</w:t>
      </w:r>
      <w:r w:rsidR="003D2437" w:rsidRPr="00693E45">
        <w:rPr>
          <w:lang w:val="fr-FR"/>
        </w:rPr>
        <w:t>té.  De</w:t>
      </w:r>
      <w:r w:rsidR="000B0C5E" w:rsidRPr="00693E45">
        <w:rPr>
          <w:lang w:val="fr-FR"/>
        </w:rPr>
        <w:t>uxièmement, des offices de propriété intellectuelle étudiaient des cas particuliers présentant des divergences en ce qui concerne la détermination de questions telles que l</w:t>
      </w:r>
      <w:r w:rsidR="009B7882" w:rsidRPr="00693E45">
        <w:rPr>
          <w:lang w:val="fr-FR"/>
        </w:rPr>
        <w:t>’</w:t>
      </w:r>
      <w:r w:rsidR="00712170" w:rsidRPr="00693E45">
        <w:rPr>
          <w:lang w:val="fr-FR"/>
        </w:rPr>
        <w:t>unité de l</w:t>
      </w:r>
      <w:r w:rsidR="009B7882" w:rsidRPr="00693E45">
        <w:rPr>
          <w:lang w:val="fr-FR"/>
        </w:rPr>
        <w:t>’</w:t>
      </w:r>
      <w:r w:rsidR="00712170" w:rsidRPr="00693E45">
        <w:rPr>
          <w:lang w:val="fr-FR"/>
        </w:rPr>
        <w:t>invention</w:t>
      </w:r>
      <w:r w:rsidR="000B0C5E" w:rsidRPr="00693E45">
        <w:rPr>
          <w:lang w:val="fr-FR"/>
        </w:rPr>
        <w:t xml:space="preserve">.  </w:t>
      </w:r>
      <w:r w:rsidR="00FF622C" w:rsidRPr="00693E45">
        <w:rPr>
          <w:lang w:val="fr-FR"/>
        </w:rPr>
        <w:t>L</w:t>
      </w:r>
      <w:r w:rsidR="009B7882" w:rsidRPr="00693E45">
        <w:rPr>
          <w:lang w:val="fr-FR"/>
        </w:rPr>
        <w:t>’</w:t>
      </w:r>
      <w:r w:rsidR="00FF622C" w:rsidRPr="00693E45">
        <w:rPr>
          <w:lang w:val="fr-FR"/>
        </w:rPr>
        <w:t xml:space="preserve">Institut nordique des brevets (NPI) </w:t>
      </w:r>
      <w:r w:rsidR="00B56172" w:rsidRPr="00693E45">
        <w:rPr>
          <w:lang w:val="fr-FR"/>
        </w:rPr>
        <w:t>a expliqué qu</w:t>
      </w:r>
      <w:r w:rsidR="009B7882" w:rsidRPr="00693E45">
        <w:rPr>
          <w:lang w:val="fr-FR"/>
        </w:rPr>
        <w:t>’</w:t>
      </w:r>
      <w:r w:rsidR="00B56172" w:rsidRPr="00693E45">
        <w:rPr>
          <w:lang w:val="fr-FR"/>
        </w:rPr>
        <w:t>il s</w:t>
      </w:r>
      <w:r w:rsidR="009B7882" w:rsidRPr="00693E45">
        <w:rPr>
          <w:lang w:val="fr-FR"/>
        </w:rPr>
        <w:t>’</w:t>
      </w:r>
      <w:r w:rsidR="00B56172" w:rsidRPr="00693E45">
        <w:rPr>
          <w:lang w:val="fr-FR"/>
        </w:rPr>
        <w:t>agissait d</w:t>
      </w:r>
      <w:r w:rsidR="009B7882" w:rsidRPr="00693E45">
        <w:rPr>
          <w:lang w:val="fr-FR"/>
        </w:rPr>
        <w:t>’</w:t>
      </w:r>
      <w:r w:rsidR="00B56172" w:rsidRPr="00693E45">
        <w:rPr>
          <w:lang w:val="fr-FR"/>
        </w:rPr>
        <w:t>un exercice de comparaison pratiqué “à l</w:t>
      </w:r>
      <w:r w:rsidR="009B7882" w:rsidRPr="00693E45">
        <w:rPr>
          <w:lang w:val="fr-FR"/>
        </w:rPr>
        <w:t>’</w:t>
      </w:r>
      <w:r w:rsidR="00B56172" w:rsidRPr="00693E45">
        <w:rPr>
          <w:lang w:val="fr-FR"/>
        </w:rPr>
        <w:t>aveugle”, sans savoir par quel examinateur la recherche avait été fai</w:t>
      </w:r>
      <w:r w:rsidR="003D2437" w:rsidRPr="00693E45">
        <w:rPr>
          <w:lang w:val="fr-FR"/>
        </w:rPr>
        <w:t>te.  La</w:t>
      </w:r>
      <w:r w:rsidR="00B56172" w:rsidRPr="00693E45">
        <w:rPr>
          <w:lang w:val="fr-FR"/>
        </w:rPr>
        <w:t xml:space="preserve"> comparaison des dossiers effectuée au sein du Comité permanent chargé de l</w:t>
      </w:r>
      <w:r w:rsidR="009B7882" w:rsidRPr="00693E45">
        <w:rPr>
          <w:lang w:val="fr-FR"/>
        </w:rPr>
        <w:t>’</w:t>
      </w:r>
      <w:r w:rsidR="00B56172" w:rsidRPr="00693E45">
        <w:rPr>
          <w:lang w:val="fr-FR"/>
        </w:rPr>
        <w:t>harmonisation des activités de recherche (PCHSA)</w:t>
      </w:r>
      <w:r w:rsidR="00283061" w:rsidRPr="00693E45">
        <w:rPr>
          <w:lang w:val="fr-FR"/>
        </w:rPr>
        <w:t xml:space="preserve"> portait notamment sur </w:t>
      </w:r>
      <w:r w:rsidR="00E44225" w:rsidRPr="00693E45">
        <w:rPr>
          <w:lang w:val="fr-FR"/>
        </w:rPr>
        <w:t xml:space="preserve">des </w:t>
      </w:r>
      <w:r w:rsidR="00172315" w:rsidRPr="00693E45">
        <w:rPr>
          <w:lang w:val="fr-FR"/>
        </w:rPr>
        <w:t>indicateur</w:t>
      </w:r>
      <w:r w:rsidR="00E44225" w:rsidRPr="00693E45">
        <w:rPr>
          <w:lang w:val="fr-FR"/>
        </w:rPr>
        <w:t>s</w:t>
      </w:r>
      <w:r w:rsidR="00283061" w:rsidRPr="00693E45">
        <w:rPr>
          <w:lang w:val="fr-FR"/>
        </w:rPr>
        <w:t xml:space="preserve"> de classement et de recherche</w:t>
      </w:r>
      <w:r w:rsidR="008D4705" w:rsidRPr="00693E45">
        <w:rPr>
          <w:lang w:val="fr-FR"/>
        </w:rPr>
        <w:t xml:space="preserve"> et examinait l</w:t>
      </w:r>
      <w:r w:rsidR="009B7882" w:rsidRPr="00693E45">
        <w:rPr>
          <w:lang w:val="fr-FR"/>
        </w:rPr>
        <w:t>’</w:t>
      </w:r>
      <w:r w:rsidR="008D4705" w:rsidRPr="00693E45">
        <w:rPr>
          <w:lang w:val="fr-FR"/>
        </w:rPr>
        <w:t>interprétation des revendications et de citations données en relevant diverses difficultés liées à l</w:t>
      </w:r>
      <w:r w:rsidR="009B7882" w:rsidRPr="00693E45">
        <w:rPr>
          <w:lang w:val="fr-FR"/>
        </w:rPr>
        <w:t>’</w:t>
      </w:r>
      <w:r w:rsidR="008D4705" w:rsidRPr="00693E45">
        <w:rPr>
          <w:lang w:val="fr-FR"/>
        </w:rPr>
        <w:t xml:space="preserve">interprétation des résultats, par exemple le fait </w:t>
      </w:r>
      <w:r w:rsidR="00A25BAD" w:rsidRPr="00693E45">
        <w:rPr>
          <w:lang w:val="fr-FR"/>
        </w:rPr>
        <w:t xml:space="preserve">que </w:t>
      </w:r>
      <w:r w:rsidR="008D4705" w:rsidRPr="00693E45">
        <w:rPr>
          <w:lang w:val="fr-FR"/>
        </w:rPr>
        <w:t>deux</w:t>
      </w:r>
      <w:r w:rsidR="0091379C" w:rsidRPr="00693E45">
        <w:rPr>
          <w:lang w:val="fr-FR"/>
        </w:rPr>
        <w:t> </w:t>
      </w:r>
      <w:r w:rsidR="008D4705" w:rsidRPr="00693E45">
        <w:rPr>
          <w:lang w:val="fr-FR"/>
        </w:rPr>
        <w:t>examinateurs pouvaient parvenir au même résultat à partir de citations différentes.</w:t>
      </w:r>
    </w:p>
    <w:p w14:paraId="0FBC74F8" w14:textId="23C5705A" w:rsidR="007F3D49" w:rsidRPr="00693E45" w:rsidRDefault="007F3D49" w:rsidP="00CB4729">
      <w:pPr>
        <w:pStyle w:val="ONUMFS"/>
        <w:ind w:left="567"/>
        <w:rPr>
          <w:lang w:val="fr-FR"/>
        </w:rPr>
      </w:pPr>
      <w:r w:rsidRPr="00693E45">
        <w:rPr>
          <w:lang w:val="fr-FR"/>
        </w:rPr>
        <w:t>Le sous</w:t>
      </w:r>
      <w:r w:rsidR="00CB4729" w:rsidRPr="00693E45">
        <w:rPr>
          <w:lang w:val="fr-FR"/>
        </w:rPr>
        <w:noBreakHyphen/>
      </w:r>
      <w:r w:rsidRPr="00693E45">
        <w:rPr>
          <w:lang w:val="fr-FR"/>
        </w:rPr>
        <w:t>groupe a recommandé</w:t>
      </w:r>
      <w:r w:rsidR="009B7882" w:rsidRPr="00693E45">
        <w:rPr>
          <w:lang w:val="fr-FR"/>
        </w:rPr>
        <w:t> :</w:t>
      </w:r>
    </w:p>
    <w:p w14:paraId="4BE000D2" w14:textId="12C4A4CF" w:rsidR="007F3D49" w:rsidRPr="00693E45" w:rsidRDefault="007F3D49" w:rsidP="00CB4729">
      <w:pPr>
        <w:pStyle w:val="ONUMFS"/>
        <w:numPr>
          <w:ilvl w:val="2"/>
          <w:numId w:val="6"/>
        </w:numPr>
        <w:rPr>
          <w:lang w:val="fr-FR"/>
        </w:rPr>
      </w:pPr>
      <w:proofErr w:type="gramStart"/>
      <w:r w:rsidRPr="00693E45">
        <w:rPr>
          <w:lang w:val="fr-FR"/>
        </w:rPr>
        <w:t>de</w:t>
      </w:r>
      <w:proofErr w:type="gramEnd"/>
      <w:r w:rsidRPr="00693E45">
        <w:rPr>
          <w:lang w:val="fr-FR"/>
        </w:rPr>
        <w:t xml:space="preserve"> poursuivre la communication de rapports sur les systèmes existants de gestion de la qualité selon le mécanisme actuel, en indiquant les changements apportés depuis le rapport précédent et en insérant un résumé de ces changements ainsi que toute autre question pertinente dans l</w:t>
      </w:r>
      <w:r w:rsidR="009B7882" w:rsidRPr="00693E45">
        <w:rPr>
          <w:lang w:val="fr-FR"/>
        </w:rPr>
        <w:t>’</w:t>
      </w:r>
      <w:r w:rsidRPr="00693E45">
        <w:rPr>
          <w:lang w:val="fr-FR"/>
        </w:rPr>
        <w:t xml:space="preserve">introduction du rapport; </w:t>
      </w:r>
      <w:r w:rsidR="0091379C" w:rsidRPr="00693E45">
        <w:rPr>
          <w:lang w:val="fr-FR"/>
        </w:rPr>
        <w:t xml:space="preserve"> </w:t>
      </w:r>
      <w:r w:rsidRPr="00693E45">
        <w:rPr>
          <w:lang w:val="fr-FR"/>
        </w:rPr>
        <w:t>et</w:t>
      </w:r>
    </w:p>
    <w:p w14:paraId="4C4D0627" w14:textId="44C9F759" w:rsidR="009B7882" w:rsidRPr="00693E45" w:rsidRDefault="008601E4" w:rsidP="00CB4729">
      <w:pPr>
        <w:pStyle w:val="ONUMFS"/>
        <w:numPr>
          <w:ilvl w:val="2"/>
          <w:numId w:val="6"/>
        </w:numPr>
        <w:rPr>
          <w:lang w:val="fr-FR"/>
        </w:rPr>
      </w:pPr>
      <w:proofErr w:type="gramStart"/>
      <w:r w:rsidRPr="00693E45">
        <w:rPr>
          <w:lang w:val="fr-FR"/>
        </w:rPr>
        <w:t>que</w:t>
      </w:r>
      <w:proofErr w:type="gramEnd"/>
      <w:r w:rsidRPr="00693E45">
        <w:rPr>
          <w:lang w:val="fr-FR"/>
        </w:rPr>
        <w:t xml:space="preserve"> les administrations intéressées présentent une vue d</w:t>
      </w:r>
      <w:r w:rsidR="009B7882" w:rsidRPr="00693E45">
        <w:rPr>
          <w:lang w:val="fr-FR"/>
        </w:rPr>
        <w:t>’</w:t>
      </w:r>
      <w:r w:rsidRPr="00693E45">
        <w:rPr>
          <w:lang w:val="fr-FR"/>
        </w:rPr>
        <w:t>ensemble ou des aspects particuliers de leurs systèmes de gestion de la qualité à de futures réunions du sous</w:t>
      </w:r>
      <w:r w:rsidR="00CB4729" w:rsidRPr="00693E45">
        <w:rPr>
          <w:lang w:val="fr-FR"/>
        </w:rPr>
        <w:noBreakHyphen/>
      </w:r>
      <w:r w:rsidRPr="00693E45">
        <w:rPr>
          <w:lang w:val="fr-FR"/>
        </w:rPr>
        <w:t>groupe.</w:t>
      </w:r>
    </w:p>
    <w:p w14:paraId="5037C71B" w14:textId="10389B4A" w:rsidR="009B7882" w:rsidRPr="00693E45" w:rsidRDefault="00CB4729" w:rsidP="007F3D49">
      <w:pPr>
        <w:pStyle w:val="Heading2"/>
        <w:rPr>
          <w:lang w:val="fr-FR"/>
        </w:rPr>
      </w:pPr>
      <w:r w:rsidRPr="00693E45">
        <w:rPr>
          <w:lang w:val="fr-FR"/>
        </w:rPr>
        <w:t>b)</w:t>
      </w:r>
      <w:r w:rsidRPr="00693E45">
        <w:rPr>
          <w:lang w:val="fr-FR"/>
        </w:rPr>
        <w:tab/>
      </w:r>
      <w:r w:rsidR="00732012" w:rsidRPr="00693E45">
        <w:rPr>
          <w:lang w:val="fr-FR"/>
        </w:rPr>
        <w:t>Retour d</w:t>
      </w:r>
      <w:r w:rsidR="009B7882" w:rsidRPr="00693E45">
        <w:rPr>
          <w:lang w:val="fr-FR"/>
        </w:rPr>
        <w:t>’</w:t>
      </w:r>
      <w:r w:rsidR="00732012" w:rsidRPr="00693E45">
        <w:rPr>
          <w:lang w:val="fr-FR"/>
        </w:rPr>
        <w:t>information sur l</w:t>
      </w:r>
      <w:r w:rsidR="009B7882" w:rsidRPr="00693E45">
        <w:rPr>
          <w:lang w:val="fr-FR"/>
        </w:rPr>
        <w:t>’</w:t>
      </w:r>
      <w:r w:rsidR="00732012" w:rsidRPr="00693E45">
        <w:rPr>
          <w:lang w:val="fr-FR"/>
        </w:rPr>
        <w:t>examen collégial des systèmes de gestion de la qualité des administrations internationales</w:t>
      </w:r>
    </w:p>
    <w:p w14:paraId="5522317F" w14:textId="494470F1" w:rsidR="007F3D49" w:rsidRPr="00693E45" w:rsidRDefault="008C528D" w:rsidP="00CB4729">
      <w:pPr>
        <w:pStyle w:val="ONUMFS"/>
        <w:rPr>
          <w:lang w:val="fr-FR"/>
        </w:rPr>
      </w:pPr>
      <w:r w:rsidRPr="00693E45">
        <w:rPr>
          <w:lang w:val="fr-FR"/>
        </w:rPr>
        <w:t>L</w:t>
      </w:r>
      <w:r w:rsidR="00304F52" w:rsidRPr="00693E45">
        <w:rPr>
          <w:lang w:val="fr-FR"/>
        </w:rPr>
        <w:t>e Bureau international a rappelé que des examens collégiaux ont été effectués pour la cinquième fois cette ann</w:t>
      </w:r>
      <w:r w:rsidR="003D2437" w:rsidRPr="00693E45">
        <w:rPr>
          <w:lang w:val="fr-FR"/>
        </w:rPr>
        <w:t>ée.  En</w:t>
      </w:r>
      <w:r w:rsidR="009B7882" w:rsidRPr="00693E45">
        <w:rPr>
          <w:lang w:val="fr-FR"/>
        </w:rPr>
        <w:t> 2017</w:t>
      </w:r>
      <w:r w:rsidR="007F3D49" w:rsidRPr="00693E45">
        <w:rPr>
          <w:lang w:val="fr-FR"/>
        </w:rPr>
        <w:t>,</w:t>
      </w:r>
      <w:r w:rsidR="00014BB5" w:rsidRPr="00693E45">
        <w:rPr>
          <w:lang w:val="fr-FR"/>
        </w:rPr>
        <w:t xml:space="preserve"> </w:t>
      </w:r>
      <w:r w:rsidR="005510F3" w:rsidRPr="00693E45">
        <w:rPr>
          <w:lang w:val="fr-FR"/>
        </w:rPr>
        <w:t>quatre</w:t>
      </w:r>
      <w:r w:rsidR="0091379C" w:rsidRPr="00693E45">
        <w:rPr>
          <w:lang w:val="fr-FR"/>
        </w:rPr>
        <w:t> </w:t>
      </w:r>
      <w:r w:rsidR="005510F3" w:rsidRPr="00693E45">
        <w:rPr>
          <w:lang w:val="fr-FR"/>
        </w:rPr>
        <w:t xml:space="preserve">administrations ont participé à des examens </w:t>
      </w:r>
      <w:proofErr w:type="gramStart"/>
      <w:r w:rsidR="005510F3" w:rsidRPr="00693E45">
        <w:rPr>
          <w:lang w:val="fr-FR"/>
        </w:rPr>
        <w:t xml:space="preserve">collégiaux;  </w:t>
      </w:r>
      <w:r w:rsidR="009B7882" w:rsidRPr="00693E45">
        <w:rPr>
          <w:lang w:val="fr-FR"/>
        </w:rPr>
        <w:t>en</w:t>
      </w:r>
      <w:proofErr w:type="gramEnd"/>
      <w:r w:rsidR="009B7882" w:rsidRPr="00693E45">
        <w:rPr>
          <w:lang w:val="fr-FR"/>
        </w:rPr>
        <w:t> 2021</w:t>
      </w:r>
      <w:r w:rsidR="005510F3" w:rsidRPr="00693E45">
        <w:rPr>
          <w:lang w:val="fr-FR"/>
        </w:rPr>
        <w:t>, le nombre d</w:t>
      </w:r>
      <w:r w:rsidR="009B7882" w:rsidRPr="00693E45">
        <w:rPr>
          <w:lang w:val="fr-FR"/>
        </w:rPr>
        <w:t>’</w:t>
      </w:r>
      <w:r w:rsidR="005510F3" w:rsidRPr="00693E45">
        <w:rPr>
          <w:lang w:val="fr-FR"/>
        </w:rPr>
        <w:t>administrations participantes est passé à ne</w:t>
      </w:r>
      <w:r w:rsidR="003D2437" w:rsidRPr="00693E45">
        <w:rPr>
          <w:lang w:val="fr-FR"/>
        </w:rPr>
        <w:t>uf.  Eu</w:t>
      </w:r>
      <w:r w:rsidR="00B91087" w:rsidRPr="00693E45">
        <w:rPr>
          <w:lang w:val="fr-FR"/>
        </w:rPr>
        <w:t xml:space="preserve"> égard à l</w:t>
      </w:r>
      <w:r w:rsidR="009B7882" w:rsidRPr="00693E45">
        <w:rPr>
          <w:lang w:val="fr-FR"/>
        </w:rPr>
        <w:t>’</w:t>
      </w:r>
      <w:r w:rsidR="00B91087" w:rsidRPr="00693E45">
        <w:rPr>
          <w:lang w:val="fr-FR"/>
        </w:rPr>
        <w:t>adoption du format virtuel pour les réunions, la constitution des groupes s</w:t>
      </w:r>
      <w:r w:rsidR="009B7882" w:rsidRPr="00693E45">
        <w:rPr>
          <w:lang w:val="fr-FR"/>
        </w:rPr>
        <w:t>’</w:t>
      </w:r>
      <w:r w:rsidR="00B91087" w:rsidRPr="00693E45">
        <w:rPr>
          <w:lang w:val="fr-FR"/>
        </w:rPr>
        <w:t xml:space="preserve">est effectuée, cette année, </w:t>
      </w:r>
      <w:r w:rsidR="002A58AE" w:rsidRPr="00693E45">
        <w:rPr>
          <w:lang w:val="fr-FR"/>
        </w:rPr>
        <w:t xml:space="preserve">en fonction des </w:t>
      </w:r>
      <w:r w:rsidR="00B91087" w:rsidRPr="00693E45">
        <w:rPr>
          <w:lang w:val="fr-FR"/>
        </w:rPr>
        <w:t>fuseaux horaires</w:t>
      </w:r>
      <w:r w:rsidR="006B3E24" w:rsidRPr="00693E45">
        <w:rPr>
          <w:lang w:val="fr-FR"/>
        </w:rPr>
        <w:t>, de sorte qu</w:t>
      </w:r>
      <w:r w:rsidR="009B7882" w:rsidRPr="00693E45">
        <w:rPr>
          <w:lang w:val="fr-FR"/>
        </w:rPr>
        <w:t>’</w:t>
      </w:r>
      <w:r w:rsidR="006B3E24" w:rsidRPr="00693E45">
        <w:rPr>
          <w:lang w:val="fr-FR"/>
        </w:rPr>
        <w:t>il y avait deux</w:t>
      </w:r>
      <w:r w:rsidR="0091379C" w:rsidRPr="00693E45">
        <w:rPr>
          <w:lang w:val="fr-FR"/>
        </w:rPr>
        <w:t> </w:t>
      </w:r>
      <w:r w:rsidR="006B3E24" w:rsidRPr="00693E45">
        <w:rPr>
          <w:lang w:val="fr-FR"/>
        </w:rPr>
        <w:t>groupes principaux, le groupe de l</w:t>
      </w:r>
      <w:r w:rsidR="009B7882" w:rsidRPr="00693E45">
        <w:rPr>
          <w:lang w:val="fr-FR"/>
        </w:rPr>
        <w:t>’</w:t>
      </w:r>
      <w:r w:rsidR="006B3E24" w:rsidRPr="00693E45">
        <w:rPr>
          <w:lang w:val="fr-FR"/>
        </w:rPr>
        <w:t>Ouest et le groupe de l</w:t>
      </w:r>
      <w:r w:rsidR="009B7882" w:rsidRPr="00693E45">
        <w:rPr>
          <w:lang w:val="fr-FR"/>
        </w:rPr>
        <w:t>’</w:t>
      </w:r>
      <w:r w:rsidR="006B3E24" w:rsidRPr="00693E45">
        <w:rPr>
          <w:lang w:val="fr-FR"/>
        </w:rPr>
        <w:t>Est, afin de prendre en compte l</w:t>
      </w:r>
      <w:r w:rsidR="000B22D8" w:rsidRPr="00693E45">
        <w:rPr>
          <w:lang w:val="fr-FR"/>
        </w:rPr>
        <w:t>e</w:t>
      </w:r>
      <w:r w:rsidR="006B3E24" w:rsidRPr="00693E45">
        <w:rPr>
          <w:lang w:val="fr-FR"/>
        </w:rPr>
        <w:t xml:space="preserve"> décalage horai</w:t>
      </w:r>
      <w:r w:rsidR="003D2437" w:rsidRPr="00693E45">
        <w:rPr>
          <w:lang w:val="fr-FR"/>
        </w:rPr>
        <w:t>re.  Ce</w:t>
      </w:r>
      <w:r w:rsidR="002D6FF8" w:rsidRPr="00693E45">
        <w:rPr>
          <w:lang w:val="fr-FR"/>
        </w:rPr>
        <w:t>la avait permis à un plus grand nombre d</w:t>
      </w:r>
      <w:r w:rsidR="009B7882" w:rsidRPr="00693E45">
        <w:rPr>
          <w:lang w:val="fr-FR"/>
        </w:rPr>
        <w:t>’</w:t>
      </w:r>
      <w:r w:rsidR="002D6FF8" w:rsidRPr="00693E45">
        <w:rPr>
          <w:lang w:val="fr-FR"/>
        </w:rPr>
        <w:t>experts de participer aux discussions.</w:t>
      </w:r>
    </w:p>
    <w:p w14:paraId="1BD1CB14" w14:textId="61ADA763" w:rsidR="007F3D49" w:rsidRPr="00693E45" w:rsidRDefault="00D44AD4" w:rsidP="00CB4729">
      <w:pPr>
        <w:pStyle w:val="ONUMFS"/>
        <w:rPr>
          <w:lang w:val="fr-FR"/>
        </w:rPr>
      </w:pPr>
      <w:r w:rsidRPr="00693E45">
        <w:rPr>
          <w:lang w:val="fr-FR"/>
        </w:rPr>
        <w:t>Selon les neuf</w:t>
      </w:r>
      <w:r w:rsidR="0091379C" w:rsidRPr="00693E45">
        <w:rPr>
          <w:lang w:val="fr-FR"/>
        </w:rPr>
        <w:t> </w:t>
      </w:r>
      <w:r w:rsidRPr="00693E45">
        <w:rPr>
          <w:lang w:val="fr-FR"/>
        </w:rPr>
        <w:t>administrations participantes, l</w:t>
      </w:r>
      <w:r w:rsidR="009B7882" w:rsidRPr="00693E45">
        <w:rPr>
          <w:lang w:val="fr-FR"/>
        </w:rPr>
        <w:t>’</w:t>
      </w:r>
      <w:r w:rsidRPr="00693E45">
        <w:rPr>
          <w:lang w:val="fr-FR"/>
        </w:rPr>
        <w:t>expérience avait été positi</w:t>
      </w:r>
      <w:r w:rsidR="003D2437" w:rsidRPr="00693E45">
        <w:rPr>
          <w:lang w:val="fr-FR"/>
        </w:rPr>
        <w:t>ve.  El</w:t>
      </w:r>
      <w:r w:rsidRPr="00693E45">
        <w:rPr>
          <w:lang w:val="fr-FR"/>
        </w:rPr>
        <w:t>le avait permis aux participants</w:t>
      </w:r>
      <w:r w:rsidR="006A00BD" w:rsidRPr="00693E45">
        <w:rPr>
          <w:lang w:val="fr-FR"/>
        </w:rPr>
        <w:t xml:space="preserve"> de mieux connaître les systèmes de gestion de la qualité des autres administrations et d</w:t>
      </w:r>
      <w:r w:rsidR="009B7882" w:rsidRPr="00693E45">
        <w:rPr>
          <w:lang w:val="fr-FR"/>
        </w:rPr>
        <w:t>’</w:t>
      </w:r>
      <w:r w:rsidR="006A00BD" w:rsidRPr="00693E45">
        <w:rPr>
          <w:lang w:val="fr-FR"/>
        </w:rPr>
        <w:t>apprendre des détails qui pouvaient s</w:t>
      </w:r>
      <w:r w:rsidR="009B7882" w:rsidRPr="00693E45">
        <w:rPr>
          <w:lang w:val="fr-FR"/>
        </w:rPr>
        <w:t>’</w:t>
      </w:r>
      <w:r w:rsidR="006A00BD" w:rsidRPr="00693E45">
        <w:rPr>
          <w:lang w:val="fr-FR"/>
        </w:rPr>
        <w:t>avérer utiles pour leurs propres systèm</w:t>
      </w:r>
      <w:r w:rsidR="003D2437" w:rsidRPr="00693E45">
        <w:rPr>
          <w:lang w:val="fr-FR"/>
        </w:rPr>
        <w:t>es.  Le</w:t>
      </w:r>
      <w:r w:rsidR="00725C88" w:rsidRPr="00693E45">
        <w:rPr>
          <w:lang w:val="fr-FR"/>
        </w:rPr>
        <w:t xml:space="preserve">s offices interrogés avaient </w:t>
      </w:r>
      <w:r w:rsidR="009C379B" w:rsidRPr="00693E45">
        <w:rPr>
          <w:lang w:val="fr-FR"/>
        </w:rPr>
        <w:t xml:space="preserve">trouvé </w:t>
      </w:r>
      <w:r w:rsidR="00725C88" w:rsidRPr="00693E45">
        <w:rPr>
          <w:lang w:val="fr-FR"/>
        </w:rPr>
        <w:t xml:space="preserve">que les questions posées étaient utiles, tant par leur clarté que </w:t>
      </w:r>
      <w:r w:rsidR="00925F11" w:rsidRPr="00693E45">
        <w:rPr>
          <w:lang w:val="fr-FR"/>
        </w:rPr>
        <w:t xml:space="preserve">pour leur efficacité à mettre en lumière </w:t>
      </w:r>
      <w:r w:rsidR="00725C88" w:rsidRPr="00693E45">
        <w:rPr>
          <w:lang w:val="fr-FR"/>
        </w:rPr>
        <w:t>l</w:t>
      </w:r>
      <w:r w:rsidR="009C379B" w:rsidRPr="00693E45">
        <w:rPr>
          <w:lang w:val="fr-FR"/>
        </w:rPr>
        <w:t>a</w:t>
      </w:r>
      <w:r w:rsidR="00725C88" w:rsidRPr="00693E45">
        <w:rPr>
          <w:lang w:val="fr-FR"/>
        </w:rPr>
        <w:t xml:space="preserve"> </w:t>
      </w:r>
      <w:r w:rsidR="00925F11" w:rsidRPr="00693E45">
        <w:rPr>
          <w:lang w:val="fr-FR"/>
        </w:rPr>
        <w:t>raison</w:t>
      </w:r>
      <w:r w:rsidR="009C379B" w:rsidRPr="00693E45">
        <w:rPr>
          <w:lang w:val="fr-FR"/>
        </w:rPr>
        <w:t xml:space="preserve"> d</w:t>
      </w:r>
      <w:r w:rsidR="009B7882" w:rsidRPr="00693E45">
        <w:rPr>
          <w:lang w:val="fr-FR"/>
        </w:rPr>
        <w:t>’</w:t>
      </w:r>
      <w:r w:rsidR="009C379B" w:rsidRPr="00693E45">
        <w:rPr>
          <w:lang w:val="fr-FR"/>
        </w:rPr>
        <w:t>être</w:t>
      </w:r>
      <w:r w:rsidR="00925F11" w:rsidRPr="00693E45">
        <w:rPr>
          <w:lang w:val="fr-FR"/>
        </w:rPr>
        <w:t xml:space="preserve"> de certaines dispositio</w:t>
      </w:r>
      <w:r w:rsidR="003D2437" w:rsidRPr="00693E45">
        <w:rPr>
          <w:lang w:val="fr-FR"/>
        </w:rPr>
        <w:t>ns.  Le</w:t>
      </w:r>
      <w:r w:rsidR="00925F11" w:rsidRPr="00693E45">
        <w:rPr>
          <w:lang w:val="fr-FR"/>
        </w:rPr>
        <w:t>s administrations participantes encourageaient d</w:t>
      </w:r>
      <w:r w:rsidR="009B7882" w:rsidRPr="00693E45">
        <w:rPr>
          <w:lang w:val="fr-FR"/>
        </w:rPr>
        <w:t>’</w:t>
      </w:r>
      <w:r w:rsidR="00925F11" w:rsidRPr="00693E45">
        <w:rPr>
          <w:lang w:val="fr-FR"/>
        </w:rPr>
        <w:t>autres administrations à participer aux futures sessions.</w:t>
      </w:r>
    </w:p>
    <w:p w14:paraId="5A687975" w14:textId="23236602" w:rsidR="007F3D49" w:rsidRPr="00693E45" w:rsidRDefault="00925F11" w:rsidP="00CB4729">
      <w:pPr>
        <w:pStyle w:val="ONUMFS"/>
        <w:rPr>
          <w:lang w:val="fr-FR"/>
        </w:rPr>
      </w:pPr>
      <w:r w:rsidRPr="00693E45">
        <w:rPr>
          <w:lang w:val="fr-FR"/>
        </w:rPr>
        <w:lastRenderedPageBreak/>
        <w:t>À l</w:t>
      </w:r>
      <w:r w:rsidR="009B7882" w:rsidRPr="00693E45">
        <w:rPr>
          <w:lang w:val="fr-FR"/>
        </w:rPr>
        <w:t>’</w:t>
      </w:r>
      <w:r w:rsidRPr="00693E45">
        <w:rPr>
          <w:lang w:val="fr-FR"/>
        </w:rPr>
        <w:t>exception d</w:t>
      </w:r>
      <w:r w:rsidR="009B7882" w:rsidRPr="00693E45">
        <w:rPr>
          <w:lang w:val="fr-FR"/>
        </w:rPr>
        <w:t>’</w:t>
      </w:r>
      <w:r w:rsidRPr="00693E45">
        <w:rPr>
          <w:lang w:val="fr-FR"/>
        </w:rPr>
        <w:t xml:space="preserve">un problème mineur de qualité de son, </w:t>
      </w:r>
      <w:r w:rsidR="00495F7F" w:rsidRPr="00693E45">
        <w:rPr>
          <w:lang w:val="fr-FR"/>
        </w:rPr>
        <w:t>les mesures techniques avaient bien fonction</w:t>
      </w:r>
      <w:r w:rsidR="003D2437" w:rsidRPr="00693E45">
        <w:rPr>
          <w:lang w:val="fr-FR"/>
        </w:rPr>
        <w:t>né.  Le</w:t>
      </w:r>
      <w:r w:rsidR="00022986" w:rsidRPr="00693E45">
        <w:rPr>
          <w:lang w:val="fr-FR"/>
        </w:rPr>
        <w:t xml:space="preserve"> découpage en sessions d</w:t>
      </w:r>
      <w:r w:rsidR="009B7882" w:rsidRPr="00693E45">
        <w:rPr>
          <w:lang w:val="fr-FR"/>
        </w:rPr>
        <w:t>’</w:t>
      </w:r>
      <w:r w:rsidR="00022986" w:rsidRPr="00693E45">
        <w:rPr>
          <w:lang w:val="fr-FR"/>
        </w:rPr>
        <w:t>une heure</w:t>
      </w:r>
      <w:r w:rsidR="00F2436B" w:rsidRPr="00693E45">
        <w:rPr>
          <w:lang w:val="fr-FR"/>
        </w:rPr>
        <w:t>,</w:t>
      </w:r>
      <w:r w:rsidR="00022986" w:rsidRPr="00693E45">
        <w:rPr>
          <w:lang w:val="fr-FR"/>
        </w:rPr>
        <w:t xml:space="preserve"> entrecoupées de pauses de 15</w:t>
      </w:r>
      <w:r w:rsidR="00C6045B" w:rsidRPr="00693E45">
        <w:rPr>
          <w:lang w:val="fr-FR"/>
        </w:rPr>
        <w:t> </w:t>
      </w:r>
      <w:r w:rsidR="00022986" w:rsidRPr="00693E45">
        <w:rPr>
          <w:lang w:val="fr-FR"/>
        </w:rPr>
        <w:t xml:space="preserve">minutes </w:t>
      </w:r>
      <w:r w:rsidR="00DE61BC" w:rsidRPr="00693E45">
        <w:rPr>
          <w:lang w:val="fr-FR"/>
        </w:rPr>
        <w:t>avec une interruption plus longue entre les examens collégiaux et la session principale</w:t>
      </w:r>
      <w:r w:rsidR="00F2436B" w:rsidRPr="00693E45">
        <w:rPr>
          <w:lang w:val="fr-FR"/>
        </w:rPr>
        <w:t>, s</w:t>
      </w:r>
      <w:r w:rsidR="009B7882" w:rsidRPr="00693E45">
        <w:rPr>
          <w:lang w:val="fr-FR"/>
        </w:rPr>
        <w:t>’</w:t>
      </w:r>
      <w:r w:rsidR="00F2436B" w:rsidRPr="00693E45">
        <w:rPr>
          <w:lang w:val="fr-FR"/>
        </w:rPr>
        <w:t>était avéré appropr</w:t>
      </w:r>
      <w:r w:rsidR="003D2437" w:rsidRPr="00693E45">
        <w:rPr>
          <w:lang w:val="fr-FR"/>
        </w:rPr>
        <w:t>ié.  De</w:t>
      </w:r>
      <w:r w:rsidR="006B3E24" w:rsidRPr="00693E45">
        <w:rPr>
          <w:lang w:val="fr-FR"/>
        </w:rPr>
        <w:t>ux</w:t>
      </w:r>
      <w:r w:rsidR="0091379C" w:rsidRPr="00693E45">
        <w:rPr>
          <w:lang w:val="fr-FR"/>
        </w:rPr>
        <w:t> </w:t>
      </w:r>
      <w:r w:rsidR="006B3E24" w:rsidRPr="00693E45">
        <w:rPr>
          <w:lang w:val="fr-FR"/>
        </w:rPr>
        <w:t>administrations auraient préféré une durée légèrement supérieure, mais</w:t>
      </w:r>
      <w:r w:rsidR="005F7A3A" w:rsidRPr="00693E45">
        <w:rPr>
          <w:lang w:val="fr-FR"/>
        </w:rPr>
        <w:t xml:space="preserve"> </w:t>
      </w:r>
      <w:r w:rsidR="00CB4BF2" w:rsidRPr="00693E45">
        <w:rPr>
          <w:lang w:val="fr-FR"/>
        </w:rPr>
        <w:t xml:space="preserve">le format adopté laissait une petite marge de manœuvre, et il restait possible de faire ultérieurement un suivi </w:t>
      </w:r>
      <w:r w:rsidR="00E05DF1" w:rsidRPr="00693E45">
        <w:rPr>
          <w:lang w:val="fr-FR"/>
        </w:rPr>
        <w:t xml:space="preserve">sur certaines questions </w:t>
      </w:r>
      <w:r w:rsidR="00CB4BF2" w:rsidRPr="00693E45">
        <w:rPr>
          <w:lang w:val="fr-FR"/>
        </w:rPr>
        <w:t>par courrier électronique.</w:t>
      </w:r>
    </w:p>
    <w:p w14:paraId="75086A5F" w14:textId="7E624267" w:rsidR="007F3D49" w:rsidRPr="00693E45" w:rsidRDefault="007A0223" w:rsidP="00CB4729">
      <w:pPr>
        <w:pStyle w:val="ONUMFS"/>
        <w:rPr>
          <w:lang w:val="fr-FR"/>
        </w:rPr>
      </w:pPr>
      <w:r w:rsidRPr="00693E45">
        <w:rPr>
          <w:lang w:val="fr-FR"/>
        </w:rPr>
        <w:t xml:space="preserve">Les administrations ont reconnu </w:t>
      </w:r>
      <w:r w:rsidR="00590F18" w:rsidRPr="00693E45">
        <w:rPr>
          <w:lang w:val="fr-FR"/>
        </w:rPr>
        <w:t>les avantages d</w:t>
      </w:r>
      <w:r w:rsidRPr="00693E45">
        <w:rPr>
          <w:lang w:val="fr-FR"/>
        </w:rPr>
        <w:t>es réunions à distance</w:t>
      </w:r>
      <w:r w:rsidR="00590F18" w:rsidRPr="00693E45">
        <w:rPr>
          <w:lang w:val="fr-FR"/>
        </w:rPr>
        <w:t xml:space="preserve">, </w:t>
      </w:r>
      <w:r w:rsidR="009B7882" w:rsidRPr="00693E45">
        <w:rPr>
          <w:lang w:val="fr-FR"/>
        </w:rPr>
        <w:t>à savoir</w:t>
      </w:r>
      <w:r w:rsidRPr="00693E45">
        <w:rPr>
          <w:lang w:val="fr-FR"/>
        </w:rPr>
        <w:t xml:space="preserve"> de réduire les coûts et de permettre la participation d</w:t>
      </w:r>
      <w:r w:rsidR="009B7882" w:rsidRPr="00693E45">
        <w:rPr>
          <w:lang w:val="fr-FR"/>
        </w:rPr>
        <w:t>’</w:t>
      </w:r>
      <w:r w:rsidRPr="00693E45">
        <w:rPr>
          <w:lang w:val="fr-FR"/>
        </w:rPr>
        <w:t>un plus grand nombre d</w:t>
      </w:r>
      <w:r w:rsidR="009B7882" w:rsidRPr="00693E45">
        <w:rPr>
          <w:lang w:val="fr-FR"/>
        </w:rPr>
        <w:t>’</w:t>
      </w:r>
      <w:r w:rsidRPr="00693E45">
        <w:rPr>
          <w:lang w:val="fr-FR"/>
        </w:rPr>
        <w:t xml:space="preserve">experts, </w:t>
      </w:r>
      <w:r w:rsidR="00CF359F" w:rsidRPr="00693E45">
        <w:rPr>
          <w:lang w:val="fr-FR"/>
        </w:rPr>
        <w:t>mais n</w:t>
      </w:r>
      <w:r w:rsidR="009B7882" w:rsidRPr="00693E45">
        <w:rPr>
          <w:lang w:val="fr-FR"/>
        </w:rPr>
        <w:t>’</w:t>
      </w:r>
      <w:r w:rsidR="00CF359F" w:rsidRPr="00693E45">
        <w:rPr>
          <w:lang w:val="fr-FR"/>
        </w:rPr>
        <w:t>en ont pas moins souligné</w:t>
      </w:r>
      <w:r w:rsidR="00376D94" w:rsidRPr="00693E45">
        <w:rPr>
          <w:lang w:val="fr-FR"/>
        </w:rPr>
        <w:t xml:space="preserve"> </w:t>
      </w:r>
      <w:r w:rsidR="0071509A" w:rsidRPr="00693E45">
        <w:rPr>
          <w:lang w:val="fr-FR"/>
        </w:rPr>
        <w:t>l</w:t>
      </w:r>
      <w:r w:rsidR="009B7882" w:rsidRPr="00693E45">
        <w:rPr>
          <w:lang w:val="fr-FR"/>
        </w:rPr>
        <w:t>’</w:t>
      </w:r>
      <w:r w:rsidR="0071509A" w:rsidRPr="00693E45">
        <w:rPr>
          <w:lang w:val="fr-FR"/>
        </w:rPr>
        <w:t>utilité des rencontres en person</w:t>
      </w:r>
      <w:r w:rsidR="003D2437" w:rsidRPr="00693E45">
        <w:rPr>
          <w:lang w:val="fr-FR"/>
        </w:rPr>
        <w:t>ne.  Le</w:t>
      </w:r>
      <w:r w:rsidR="00CF359F" w:rsidRPr="00693E45">
        <w:rPr>
          <w:lang w:val="fr-FR"/>
        </w:rPr>
        <w:t xml:space="preserve"> Bureau international a observé que l</w:t>
      </w:r>
      <w:r w:rsidR="00590F18" w:rsidRPr="00693E45">
        <w:rPr>
          <w:lang w:val="fr-FR"/>
        </w:rPr>
        <w:t>e format hybride semblait être, en principe, la solution la plus souhaitable, dans la mesure, toutefois, où les installations offertes par l</w:t>
      </w:r>
      <w:r w:rsidR="009B7882" w:rsidRPr="00693E45">
        <w:rPr>
          <w:lang w:val="fr-FR"/>
        </w:rPr>
        <w:t>’</w:t>
      </w:r>
      <w:r w:rsidR="00590F18" w:rsidRPr="00693E45">
        <w:rPr>
          <w:lang w:val="fr-FR"/>
        </w:rPr>
        <w:t>hôte permettaient de faire ce choix.</w:t>
      </w:r>
    </w:p>
    <w:p w14:paraId="5EE5BBCA" w14:textId="3ECCDB56" w:rsidR="007F3D49" w:rsidRPr="00693E45" w:rsidRDefault="00D82664" w:rsidP="00FB09DD">
      <w:pPr>
        <w:pStyle w:val="ONUMFS"/>
        <w:ind w:left="567"/>
        <w:rPr>
          <w:lang w:val="fr-FR"/>
        </w:rPr>
      </w:pPr>
      <w:r w:rsidRPr="00693E45">
        <w:rPr>
          <w:lang w:val="fr-FR"/>
        </w:rPr>
        <w:t>Le sous</w:t>
      </w:r>
      <w:r w:rsidR="00CB4729" w:rsidRPr="00693E45">
        <w:rPr>
          <w:lang w:val="fr-FR"/>
        </w:rPr>
        <w:noBreakHyphen/>
      </w:r>
      <w:r w:rsidRPr="00693E45">
        <w:rPr>
          <w:lang w:val="fr-FR"/>
        </w:rPr>
        <w:t>groupe a pris note du retour d</w:t>
      </w:r>
      <w:r w:rsidR="009B7882" w:rsidRPr="00693E45">
        <w:rPr>
          <w:lang w:val="fr-FR"/>
        </w:rPr>
        <w:t>’</w:t>
      </w:r>
      <w:r w:rsidRPr="00693E45">
        <w:rPr>
          <w:lang w:val="fr-FR"/>
        </w:rPr>
        <w:t>information sur l</w:t>
      </w:r>
      <w:r w:rsidR="004A7F81" w:rsidRPr="00693E45">
        <w:rPr>
          <w:lang w:val="fr-FR"/>
        </w:rPr>
        <w:t>es sessions d</w:t>
      </w:r>
      <w:r w:rsidR="009B7882" w:rsidRPr="00693E45">
        <w:rPr>
          <w:lang w:val="fr-FR"/>
        </w:rPr>
        <w:t>’</w:t>
      </w:r>
      <w:r w:rsidRPr="00693E45">
        <w:rPr>
          <w:lang w:val="fr-FR"/>
        </w:rPr>
        <w:t>examen collégial</w:t>
      </w:r>
      <w:r w:rsidR="004A7F81" w:rsidRPr="00693E45">
        <w:rPr>
          <w:lang w:val="fr-FR"/>
        </w:rPr>
        <w:t>,</w:t>
      </w:r>
      <w:r w:rsidRPr="00693E45">
        <w:rPr>
          <w:lang w:val="fr-FR"/>
        </w:rPr>
        <w:t xml:space="preserve"> et a recommandé que les administrations intéressées procèdent à nouveau à </w:t>
      </w:r>
      <w:r w:rsidR="004A7F81" w:rsidRPr="00693E45">
        <w:rPr>
          <w:lang w:val="fr-FR"/>
        </w:rPr>
        <w:t>des</w:t>
      </w:r>
      <w:r w:rsidRPr="00693E45">
        <w:rPr>
          <w:lang w:val="fr-FR"/>
        </w:rPr>
        <w:t xml:space="preserve"> examen</w:t>
      </w:r>
      <w:r w:rsidR="004A7F81" w:rsidRPr="00693E45">
        <w:rPr>
          <w:lang w:val="fr-FR"/>
        </w:rPr>
        <w:t>s</w:t>
      </w:r>
      <w:r w:rsidRPr="00693E45">
        <w:rPr>
          <w:lang w:val="fr-FR"/>
        </w:rPr>
        <w:t xml:space="preserve"> collégia</w:t>
      </w:r>
      <w:r w:rsidR="004A7F81" w:rsidRPr="00693E45">
        <w:rPr>
          <w:lang w:val="fr-FR"/>
        </w:rPr>
        <w:t>ux</w:t>
      </w:r>
      <w:r w:rsidRPr="00693E45">
        <w:rPr>
          <w:lang w:val="fr-FR"/>
        </w:rPr>
        <w:t xml:space="preserve"> des rapports sur les systèmes de gestion de la qualité à la prochaine réuni</w:t>
      </w:r>
      <w:r w:rsidR="003D2437" w:rsidRPr="00693E45">
        <w:rPr>
          <w:lang w:val="fr-FR"/>
        </w:rPr>
        <w:t>on.  Le</w:t>
      </w:r>
      <w:r w:rsidR="004A7F81" w:rsidRPr="00693E45">
        <w:rPr>
          <w:lang w:val="fr-FR"/>
        </w:rPr>
        <w:t xml:space="preserve"> Bureau international inviterait les administrations à participer à cet examen par l</w:t>
      </w:r>
      <w:r w:rsidR="009B7882" w:rsidRPr="00693E45">
        <w:rPr>
          <w:lang w:val="fr-FR"/>
        </w:rPr>
        <w:t>’</w:t>
      </w:r>
      <w:r w:rsidR="004A7F81" w:rsidRPr="00693E45">
        <w:rPr>
          <w:lang w:val="fr-FR"/>
        </w:rPr>
        <w:t>intermédiaire d</w:t>
      </w:r>
      <w:r w:rsidR="009B7882" w:rsidRPr="00693E45">
        <w:rPr>
          <w:lang w:val="fr-FR"/>
        </w:rPr>
        <w:t>’</w:t>
      </w:r>
      <w:r w:rsidR="004A7F81" w:rsidRPr="00693E45">
        <w:rPr>
          <w:lang w:val="fr-FR"/>
        </w:rPr>
        <w:t>une circulaire sollicitant la communication des rapports sur les systèmes de gestion de la qualité</w:t>
      </w:r>
      <w:r w:rsidR="00936677" w:rsidRPr="00693E45">
        <w:rPr>
          <w:lang w:val="fr-FR"/>
        </w:rPr>
        <w:t>.</w:t>
      </w:r>
    </w:p>
    <w:p w14:paraId="2E622933" w14:textId="28443564" w:rsidR="007F3D49" w:rsidRPr="00693E45" w:rsidRDefault="00FB09DD" w:rsidP="007F3D49">
      <w:pPr>
        <w:pStyle w:val="Heading1"/>
        <w:rPr>
          <w:lang w:val="fr-FR"/>
        </w:rPr>
      </w:pPr>
      <w:r w:rsidRPr="00693E45">
        <w:rPr>
          <w:lang w:val="fr-FR"/>
        </w:rPr>
        <w:t>2.</w:t>
      </w:r>
      <w:r w:rsidRPr="00693E45">
        <w:rPr>
          <w:lang w:val="fr-FR"/>
        </w:rPr>
        <w:tab/>
      </w:r>
      <w:r w:rsidR="00AA5817" w:rsidRPr="00693E45">
        <w:rPr>
          <w:lang w:val="fr-FR"/>
        </w:rPr>
        <w:t>Meilleure compréhension des travaux des autres offices</w:t>
      </w:r>
    </w:p>
    <w:p w14:paraId="06D343D3" w14:textId="1D35F1CF" w:rsidR="007F3D49" w:rsidRPr="00693E45" w:rsidRDefault="00FB09DD" w:rsidP="007F3D49">
      <w:pPr>
        <w:pStyle w:val="Heading2"/>
        <w:rPr>
          <w:lang w:val="fr-FR"/>
        </w:rPr>
      </w:pPr>
      <w:r w:rsidRPr="00693E45">
        <w:rPr>
          <w:lang w:val="fr-FR"/>
        </w:rPr>
        <w:t>a)</w:t>
      </w:r>
      <w:r w:rsidRPr="00693E45">
        <w:rPr>
          <w:lang w:val="fr-FR"/>
        </w:rPr>
        <w:tab/>
      </w:r>
      <w:r w:rsidR="000E0A4C" w:rsidRPr="00693E45">
        <w:rPr>
          <w:lang w:val="fr-FR"/>
        </w:rPr>
        <w:t>Enquête sur les stratégies de recherche</w:t>
      </w:r>
    </w:p>
    <w:p w14:paraId="71DDB544" w14:textId="368E7858" w:rsidR="007F3D49" w:rsidRPr="00693E45" w:rsidRDefault="0053199D" w:rsidP="00CB4729">
      <w:pPr>
        <w:pStyle w:val="ONUMFS"/>
        <w:rPr>
          <w:lang w:val="fr-FR"/>
        </w:rPr>
      </w:pPr>
      <w:r w:rsidRPr="00693E45">
        <w:rPr>
          <w:lang w:val="fr-FR"/>
        </w:rPr>
        <w:t>L</w:t>
      </w:r>
      <w:r w:rsidR="009B7882" w:rsidRPr="00693E45">
        <w:rPr>
          <w:lang w:val="fr-FR"/>
        </w:rPr>
        <w:t>’</w:t>
      </w:r>
      <w:r w:rsidRPr="00693E45">
        <w:rPr>
          <w:lang w:val="fr-FR"/>
        </w:rPr>
        <w:t>Office des brevets et des marques des États</w:t>
      </w:r>
      <w:r w:rsidR="00CB4729" w:rsidRPr="00693E45">
        <w:rPr>
          <w:lang w:val="fr-FR"/>
        </w:rPr>
        <w:noBreakHyphen/>
      </w:r>
      <w:r w:rsidRPr="00693E45">
        <w:rPr>
          <w:lang w:val="fr-FR"/>
        </w:rPr>
        <w:t>Unis d</w:t>
      </w:r>
      <w:r w:rsidR="009B7882" w:rsidRPr="00693E45">
        <w:rPr>
          <w:lang w:val="fr-FR"/>
        </w:rPr>
        <w:t>’</w:t>
      </w:r>
      <w:r w:rsidRPr="00693E45">
        <w:rPr>
          <w:lang w:val="fr-FR"/>
        </w:rPr>
        <w:t xml:space="preserve">Amérique a présenté </w:t>
      </w:r>
      <w:r w:rsidR="00B37D11" w:rsidRPr="00693E45">
        <w:rPr>
          <w:lang w:val="fr-FR"/>
        </w:rPr>
        <w:t>une version révisée du projet d</w:t>
      </w:r>
      <w:r w:rsidR="009B7882" w:rsidRPr="00693E45">
        <w:rPr>
          <w:lang w:val="fr-FR"/>
        </w:rPr>
        <w:t>’</w:t>
      </w:r>
      <w:r w:rsidR="00B37D11" w:rsidRPr="00693E45">
        <w:rPr>
          <w:lang w:val="fr-FR"/>
        </w:rPr>
        <w:t>enquête</w:t>
      </w:r>
      <w:r w:rsidR="006939AB" w:rsidRPr="00693E45">
        <w:rPr>
          <w:lang w:val="fr-FR"/>
        </w:rPr>
        <w:t xml:space="preserve">, prenant en compte les observations </w:t>
      </w:r>
      <w:r w:rsidR="00142F23" w:rsidRPr="00693E45">
        <w:rPr>
          <w:lang w:val="fr-FR"/>
        </w:rPr>
        <w:t xml:space="preserve">issues de </w:t>
      </w:r>
      <w:r w:rsidR="00BB50FA" w:rsidRPr="00693E45">
        <w:rPr>
          <w:lang w:val="fr-FR"/>
        </w:rPr>
        <w:t xml:space="preserve">la session précédente </w:t>
      </w:r>
      <w:r w:rsidR="00142F23" w:rsidRPr="00693E45">
        <w:rPr>
          <w:lang w:val="fr-FR"/>
        </w:rPr>
        <w:t>et</w:t>
      </w:r>
      <w:r w:rsidR="00BB50FA" w:rsidRPr="00693E45">
        <w:rPr>
          <w:lang w:val="fr-FR"/>
        </w:rPr>
        <w:t xml:space="preserve"> </w:t>
      </w:r>
      <w:r w:rsidR="00142F23" w:rsidRPr="00693E45">
        <w:rPr>
          <w:lang w:val="fr-FR"/>
        </w:rPr>
        <w:t>du</w:t>
      </w:r>
      <w:r w:rsidR="00BB50FA" w:rsidRPr="00693E45">
        <w:rPr>
          <w:lang w:val="fr-FR"/>
        </w:rPr>
        <w:t xml:space="preserve"> </w:t>
      </w:r>
      <w:r w:rsidR="00142F23" w:rsidRPr="00693E45">
        <w:rPr>
          <w:lang w:val="fr-FR"/>
        </w:rPr>
        <w:t>wi</w:t>
      </w:r>
      <w:r w:rsidR="003D2437" w:rsidRPr="00693E45">
        <w:rPr>
          <w:lang w:val="fr-FR"/>
        </w:rPr>
        <w:t>ki.  Ce</w:t>
      </w:r>
      <w:r w:rsidR="00B448FF" w:rsidRPr="00693E45">
        <w:rPr>
          <w:lang w:val="fr-FR"/>
        </w:rPr>
        <w:t>s dernières avaient été divisées en deux</w:t>
      </w:r>
      <w:r w:rsidR="0091379C" w:rsidRPr="00693E45">
        <w:rPr>
          <w:lang w:val="fr-FR"/>
        </w:rPr>
        <w:t> </w:t>
      </w:r>
      <w:r w:rsidR="00B448FF" w:rsidRPr="00693E45">
        <w:rPr>
          <w:lang w:val="fr-FR"/>
        </w:rPr>
        <w:t>parties</w:t>
      </w:r>
      <w:r w:rsidR="009B7882" w:rsidRPr="00693E45">
        <w:rPr>
          <w:lang w:val="fr-FR"/>
        </w:rPr>
        <w:t> :</w:t>
      </w:r>
      <w:r w:rsidR="00B448FF" w:rsidRPr="00693E45">
        <w:rPr>
          <w:lang w:val="fr-FR"/>
        </w:rPr>
        <w:t xml:space="preserve"> l</w:t>
      </w:r>
      <w:r w:rsidR="009B7882" w:rsidRPr="00693E45">
        <w:rPr>
          <w:lang w:val="fr-FR"/>
        </w:rPr>
        <w:t>’</w:t>
      </w:r>
      <w:r w:rsidR="00B448FF" w:rsidRPr="00693E45">
        <w:rPr>
          <w:lang w:val="fr-FR"/>
        </w:rPr>
        <w:t>une destinée à être développée davantage par les offices avec le Bureau international, et l</w:t>
      </w:r>
      <w:r w:rsidR="009B7882" w:rsidRPr="00693E45">
        <w:rPr>
          <w:lang w:val="fr-FR"/>
        </w:rPr>
        <w:t>’</w:t>
      </w:r>
      <w:r w:rsidR="00B448FF" w:rsidRPr="00693E45">
        <w:rPr>
          <w:lang w:val="fr-FR"/>
        </w:rPr>
        <w:t>autre qui était un modèle d</w:t>
      </w:r>
      <w:r w:rsidR="009B7882" w:rsidRPr="00693E45">
        <w:rPr>
          <w:lang w:val="fr-FR"/>
        </w:rPr>
        <w:t>’</w:t>
      </w:r>
      <w:r w:rsidR="00B448FF" w:rsidRPr="00693E45">
        <w:rPr>
          <w:lang w:val="fr-FR"/>
        </w:rPr>
        <w:t>enquête sur lequel les administrations intéressées pouvaient fonder une enquête auprès de leurs utilisateu</w:t>
      </w:r>
      <w:r w:rsidR="003D2437" w:rsidRPr="00693E45">
        <w:rPr>
          <w:lang w:val="fr-FR"/>
        </w:rPr>
        <w:t>rs.  Le</w:t>
      </w:r>
      <w:r w:rsidR="00B448FF" w:rsidRPr="00693E45">
        <w:rPr>
          <w:lang w:val="fr-FR"/>
        </w:rPr>
        <w:t>s questions avaient été simplifiées et remaniées, afin d</w:t>
      </w:r>
      <w:r w:rsidR="009B7882" w:rsidRPr="00693E45">
        <w:rPr>
          <w:lang w:val="fr-FR"/>
        </w:rPr>
        <w:t>’</w:t>
      </w:r>
      <w:r w:rsidR="00B448FF" w:rsidRPr="00693E45">
        <w:rPr>
          <w:lang w:val="fr-FR"/>
        </w:rPr>
        <w:t xml:space="preserve">être plus précises et </w:t>
      </w:r>
      <w:r w:rsidR="00EC081F" w:rsidRPr="00693E45">
        <w:rPr>
          <w:lang w:val="fr-FR"/>
        </w:rPr>
        <w:t>d</w:t>
      </w:r>
      <w:r w:rsidR="009B7882" w:rsidRPr="00693E45">
        <w:rPr>
          <w:lang w:val="fr-FR"/>
        </w:rPr>
        <w:t>’</w:t>
      </w:r>
      <w:r w:rsidR="00EC081F" w:rsidRPr="00693E45">
        <w:rPr>
          <w:lang w:val="fr-FR"/>
        </w:rPr>
        <w:t xml:space="preserve">utiliser un vocabulaire </w:t>
      </w:r>
      <w:r w:rsidR="00573A9E" w:rsidRPr="00693E45">
        <w:rPr>
          <w:lang w:val="fr-FR"/>
        </w:rPr>
        <w:t>non conno</w:t>
      </w:r>
      <w:r w:rsidR="003D2437" w:rsidRPr="00693E45">
        <w:rPr>
          <w:lang w:val="fr-FR"/>
        </w:rPr>
        <w:t>té.  Le</w:t>
      </w:r>
      <w:r w:rsidR="00FE4098" w:rsidRPr="00693E45">
        <w:rPr>
          <w:lang w:val="fr-FR"/>
        </w:rPr>
        <w:t xml:space="preserve">s offices pouvaient </w:t>
      </w:r>
      <w:r w:rsidR="00A42663" w:rsidRPr="00693E45">
        <w:rPr>
          <w:lang w:val="fr-FR"/>
        </w:rPr>
        <w:t>l</w:t>
      </w:r>
      <w:r w:rsidR="009B7882" w:rsidRPr="00693E45">
        <w:rPr>
          <w:lang w:val="fr-FR"/>
        </w:rPr>
        <w:t>’</w:t>
      </w:r>
      <w:r w:rsidR="00FE4098" w:rsidRPr="00693E45">
        <w:rPr>
          <w:lang w:val="fr-FR"/>
        </w:rPr>
        <w:t xml:space="preserve">utiliser </w:t>
      </w:r>
      <w:r w:rsidR="00A42663" w:rsidRPr="00693E45">
        <w:rPr>
          <w:lang w:val="fr-FR"/>
        </w:rPr>
        <w:t xml:space="preserve">comme </w:t>
      </w:r>
      <w:r w:rsidR="00FE4098" w:rsidRPr="00693E45">
        <w:rPr>
          <w:lang w:val="fr-FR"/>
        </w:rPr>
        <w:t>modèle</w:t>
      </w:r>
      <w:r w:rsidR="00A42663" w:rsidRPr="00693E45">
        <w:rPr>
          <w:lang w:val="fr-FR"/>
        </w:rPr>
        <w:t>,</w:t>
      </w:r>
      <w:r w:rsidR="00FE4098" w:rsidRPr="00693E45">
        <w:rPr>
          <w:lang w:val="fr-FR"/>
        </w:rPr>
        <w:t xml:space="preserve"> et y ajouter des questions</w:t>
      </w:r>
      <w:r w:rsidR="00A42663" w:rsidRPr="00693E45">
        <w:rPr>
          <w:lang w:val="fr-FR"/>
        </w:rPr>
        <w:t xml:space="preserve"> en fonction de leurs besoins propres.</w:t>
      </w:r>
    </w:p>
    <w:p w14:paraId="617FD3B5" w14:textId="5E70E81A" w:rsidR="007F3D49" w:rsidRPr="00693E45" w:rsidRDefault="00050815" w:rsidP="00CB4729">
      <w:pPr>
        <w:pStyle w:val="ONUMFS"/>
        <w:rPr>
          <w:lang w:val="fr-FR"/>
        </w:rPr>
      </w:pPr>
      <w:r w:rsidRPr="00693E45">
        <w:rPr>
          <w:lang w:val="fr-FR"/>
        </w:rPr>
        <w:t>Les administrations sont convenues que les principales préoccupations précédemment exprimées semblaient avoir été prises en compte, et ont remercié l</w:t>
      </w:r>
      <w:r w:rsidR="009B7882" w:rsidRPr="00693E45">
        <w:rPr>
          <w:lang w:val="fr-FR"/>
        </w:rPr>
        <w:t>’</w:t>
      </w:r>
      <w:r w:rsidRPr="00693E45">
        <w:rPr>
          <w:lang w:val="fr-FR"/>
        </w:rPr>
        <w:t>Office des brevets et des marques des États</w:t>
      </w:r>
      <w:r w:rsidR="00CB4729" w:rsidRPr="00693E45">
        <w:rPr>
          <w:lang w:val="fr-FR"/>
        </w:rPr>
        <w:noBreakHyphen/>
      </w:r>
      <w:r w:rsidRPr="00693E45">
        <w:rPr>
          <w:lang w:val="fr-FR"/>
        </w:rPr>
        <w:t>Unis d</w:t>
      </w:r>
      <w:r w:rsidR="009B7882" w:rsidRPr="00693E45">
        <w:rPr>
          <w:lang w:val="fr-FR"/>
        </w:rPr>
        <w:t>’</w:t>
      </w:r>
      <w:r w:rsidRPr="00693E45">
        <w:rPr>
          <w:lang w:val="fr-FR"/>
        </w:rPr>
        <w:t>Amérique pour le travail qu</w:t>
      </w:r>
      <w:r w:rsidR="009B7882" w:rsidRPr="00693E45">
        <w:rPr>
          <w:lang w:val="fr-FR"/>
        </w:rPr>
        <w:t>’</w:t>
      </w:r>
      <w:r w:rsidRPr="00693E45">
        <w:rPr>
          <w:lang w:val="fr-FR"/>
        </w:rPr>
        <w:t>il avait accomp</w:t>
      </w:r>
      <w:r w:rsidR="003D2437" w:rsidRPr="00693E45">
        <w:rPr>
          <w:lang w:val="fr-FR"/>
        </w:rPr>
        <w:t>li.  Pl</w:t>
      </w:r>
      <w:r w:rsidRPr="00693E45">
        <w:rPr>
          <w:lang w:val="fr-FR"/>
        </w:rPr>
        <w:t>usieurs administrations avaient cependant besoin de plus de temps pour examiner les propositions en déta</w:t>
      </w:r>
      <w:r w:rsidR="003D2437" w:rsidRPr="00693E45">
        <w:rPr>
          <w:lang w:val="fr-FR"/>
        </w:rPr>
        <w:t>il.  En</w:t>
      </w:r>
      <w:r w:rsidR="00F8008D" w:rsidRPr="00693E45">
        <w:rPr>
          <w:lang w:val="fr-FR"/>
        </w:rPr>
        <w:t xml:space="preserve"> outre, une administration a proposé plusieurs modifications précises à apporter aux textes des deux</w:t>
      </w:r>
      <w:r w:rsidR="0091379C" w:rsidRPr="00693E45">
        <w:rPr>
          <w:lang w:val="fr-FR"/>
        </w:rPr>
        <w:t> </w:t>
      </w:r>
      <w:r w:rsidR="00F8008D" w:rsidRPr="00693E45">
        <w:rPr>
          <w:lang w:val="fr-FR"/>
        </w:rPr>
        <w:t>enquêtes.</w:t>
      </w:r>
    </w:p>
    <w:p w14:paraId="7FE9B711" w14:textId="1605CC64" w:rsidR="007F3D49" w:rsidRPr="00693E45" w:rsidRDefault="00C64AE9" w:rsidP="00FB09DD">
      <w:pPr>
        <w:pStyle w:val="ONUMFS"/>
        <w:ind w:left="567"/>
        <w:rPr>
          <w:lang w:val="fr-FR"/>
        </w:rPr>
      </w:pPr>
      <w:r w:rsidRPr="00693E45">
        <w:rPr>
          <w:lang w:val="fr-FR"/>
        </w:rPr>
        <w:t>Le sous</w:t>
      </w:r>
      <w:r w:rsidR="00CB4729" w:rsidRPr="00693E45">
        <w:rPr>
          <w:lang w:val="fr-FR"/>
        </w:rPr>
        <w:noBreakHyphen/>
      </w:r>
      <w:r w:rsidRPr="00693E45">
        <w:rPr>
          <w:lang w:val="fr-FR"/>
        </w:rPr>
        <w:t>groupe a recommandé que l</w:t>
      </w:r>
      <w:r w:rsidR="009B7882" w:rsidRPr="00693E45">
        <w:rPr>
          <w:lang w:val="fr-FR"/>
        </w:rPr>
        <w:t>’</w:t>
      </w:r>
      <w:r w:rsidRPr="00693E45">
        <w:rPr>
          <w:lang w:val="fr-FR"/>
        </w:rPr>
        <w:t>Office des brevets et des marques des États</w:t>
      </w:r>
      <w:r w:rsidR="00CB4729" w:rsidRPr="00693E45">
        <w:rPr>
          <w:lang w:val="fr-FR"/>
        </w:rPr>
        <w:noBreakHyphen/>
      </w:r>
      <w:r w:rsidRPr="00693E45">
        <w:rPr>
          <w:lang w:val="fr-FR"/>
        </w:rPr>
        <w:t>Unis d</w:t>
      </w:r>
      <w:r w:rsidR="009B7882" w:rsidRPr="00693E45">
        <w:rPr>
          <w:lang w:val="fr-FR"/>
        </w:rPr>
        <w:t>’</w:t>
      </w:r>
      <w:r w:rsidRPr="00693E45">
        <w:rPr>
          <w:lang w:val="fr-FR"/>
        </w:rPr>
        <w:t xml:space="preserve">Amérique </w:t>
      </w:r>
      <w:r w:rsidR="006D42EF" w:rsidRPr="00693E45">
        <w:rPr>
          <w:lang w:val="fr-FR"/>
        </w:rPr>
        <w:t>examine les suggestions rédactionnelles précises qui ont été reçues et mette en ligne ses projets de textes révisés sur le wiki</w:t>
      </w:r>
      <w:r w:rsidRPr="00693E45">
        <w:rPr>
          <w:lang w:val="fr-FR"/>
        </w:rPr>
        <w:t xml:space="preserve"> </w:t>
      </w:r>
      <w:r w:rsidR="006D42EF" w:rsidRPr="00693E45">
        <w:rPr>
          <w:lang w:val="fr-FR"/>
        </w:rPr>
        <w:t>pour permettre la poursuite de leur examen pendant une durée de deux</w:t>
      </w:r>
      <w:r w:rsidR="0091379C" w:rsidRPr="00693E45">
        <w:rPr>
          <w:lang w:val="fr-FR"/>
        </w:rPr>
        <w:t> </w:t>
      </w:r>
      <w:r w:rsidR="006D42EF" w:rsidRPr="00693E45">
        <w:rPr>
          <w:lang w:val="fr-FR"/>
        </w:rPr>
        <w:t>semaines, de manière à avoir une version finale</w:t>
      </w:r>
      <w:r w:rsidR="00CD1B73" w:rsidRPr="00693E45">
        <w:rPr>
          <w:lang w:val="fr-FR"/>
        </w:rPr>
        <w:t xml:space="preserve"> des textes d</w:t>
      </w:r>
      <w:r w:rsidR="009B7882" w:rsidRPr="00693E45">
        <w:rPr>
          <w:lang w:val="fr-FR"/>
        </w:rPr>
        <w:t>’</w:t>
      </w:r>
      <w:r w:rsidR="00CD1B73" w:rsidRPr="00693E45">
        <w:rPr>
          <w:lang w:val="fr-FR"/>
        </w:rPr>
        <w:t xml:space="preserve">enquête à la </w:t>
      </w:r>
      <w:proofErr w:type="spellStart"/>
      <w:r w:rsidR="00CD1B73" w:rsidRPr="00693E45">
        <w:rPr>
          <w:lang w:val="fr-FR"/>
        </w:rPr>
        <w:t>mi</w:t>
      </w:r>
      <w:r w:rsidR="00CB4729" w:rsidRPr="00693E45">
        <w:rPr>
          <w:lang w:val="fr-FR"/>
        </w:rPr>
        <w:noBreakHyphen/>
      </w:r>
      <w:r w:rsidR="00CD1B73" w:rsidRPr="00693E45">
        <w:rPr>
          <w:lang w:val="fr-FR"/>
        </w:rPr>
        <w:t>mai</w:t>
      </w:r>
      <w:proofErr w:type="spellEnd"/>
      <w:r w:rsidR="00CD1B73" w:rsidRPr="00693E45">
        <w:rPr>
          <w:lang w:val="fr-FR"/>
        </w:rPr>
        <w:t>, débuter l</w:t>
      </w:r>
      <w:r w:rsidR="009B7882" w:rsidRPr="00693E45">
        <w:rPr>
          <w:lang w:val="fr-FR"/>
        </w:rPr>
        <w:t>’</w:t>
      </w:r>
      <w:r w:rsidR="00CD1B73" w:rsidRPr="00693E45">
        <w:rPr>
          <w:lang w:val="fr-FR"/>
        </w:rPr>
        <w:t>enquête en juillet et recevoir les réponses à temps pour qu</w:t>
      </w:r>
      <w:r w:rsidR="009B7882" w:rsidRPr="00693E45">
        <w:rPr>
          <w:lang w:val="fr-FR"/>
        </w:rPr>
        <w:t>’</w:t>
      </w:r>
      <w:r w:rsidR="00CD1B73" w:rsidRPr="00693E45">
        <w:rPr>
          <w:lang w:val="fr-FR"/>
        </w:rPr>
        <w:t>une analyse détaillée puisse en être faite avant la fin de l</w:t>
      </w:r>
      <w:r w:rsidR="009B7882" w:rsidRPr="00693E45">
        <w:rPr>
          <w:lang w:val="fr-FR"/>
        </w:rPr>
        <w:t>’</w:t>
      </w:r>
      <w:r w:rsidR="00CD1B73" w:rsidRPr="00693E45">
        <w:rPr>
          <w:lang w:val="fr-FR"/>
        </w:rPr>
        <w:t>année.</w:t>
      </w:r>
    </w:p>
    <w:p w14:paraId="04DEB323" w14:textId="77777777" w:rsidR="009B7882" w:rsidRPr="00693E45" w:rsidRDefault="007F3D49" w:rsidP="007F3D49">
      <w:pPr>
        <w:pStyle w:val="Heading2"/>
        <w:rPr>
          <w:lang w:val="fr-FR"/>
        </w:rPr>
      </w:pPr>
      <w:r w:rsidRPr="00693E45">
        <w:rPr>
          <w:lang w:val="fr-FR"/>
        </w:rPr>
        <w:t>b)</w:t>
      </w:r>
      <w:r w:rsidRPr="00693E45">
        <w:rPr>
          <w:lang w:val="fr-FR"/>
        </w:rPr>
        <w:tab/>
        <w:t>Clauses normalisées</w:t>
      </w:r>
    </w:p>
    <w:p w14:paraId="43BFF391" w14:textId="59084DDD" w:rsidR="007F3D49" w:rsidRPr="00693E45" w:rsidRDefault="004C6DBE" w:rsidP="00CB4729">
      <w:pPr>
        <w:pStyle w:val="ONUMFS"/>
        <w:rPr>
          <w:lang w:val="fr-FR"/>
        </w:rPr>
      </w:pPr>
      <w:r w:rsidRPr="00693E45">
        <w:rPr>
          <w:lang w:val="fr-FR"/>
        </w:rPr>
        <w:t xml:space="preserve">Le Bureau international </w:t>
      </w:r>
      <w:r w:rsidR="007E01C0" w:rsidRPr="00693E45">
        <w:rPr>
          <w:lang w:val="fr-FR"/>
        </w:rPr>
        <w:t>a décrit la portée des clauses disponibles</w:t>
      </w:r>
      <w:r w:rsidR="00351934" w:rsidRPr="00693E45">
        <w:rPr>
          <w:lang w:val="fr-FR"/>
        </w:rPr>
        <w:t>,</w:t>
      </w:r>
      <w:r w:rsidR="007E01C0" w:rsidRPr="00693E45">
        <w:rPr>
          <w:lang w:val="fr-FR"/>
        </w:rPr>
        <w:t xml:space="preserve"> et a rappelé qu</w:t>
      </w:r>
      <w:r w:rsidR="009B7882" w:rsidRPr="00693E45">
        <w:rPr>
          <w:lang w:val="fr-FR"/>
        </w:rPr>
        <w:t>’</w:t>
      </w:r>
      <w:r w:rsidR="007E01C0" w:rsidRPr="00693E45">
        <w:rPr>
          <w:lang w:val="fr-FR"/>
        </w:rPr>
        <w:t xml:space="preserve">elles </w:t>
      </w:r>
      <w:r w:rsidR="00351934" w:rsidRPr="00693E45">
        <w:rPr>
          <w:lang w:val="fr-FR"/>
        </w:rPr>
        <w:t>avaie</w:t>
      </w:r>
      <w:r w:rsidR="007E01C0" w:rsidRPr="00693E45">
        <w:rPr>
          <w:lang w:val="fr-FR"/>
        </w:rPr>
        <w:t>nt été adoptées officiellement en anglais, en français et en espagnol, et qu</w:t>
      </w:r>
      <w:r w:rsidR="009B7882" w:rsidRPr="00693E45">
        <w:rPr>
          <w:lang w:val="fr-FR"/>
        </w:rPr>
        <w:t>’</w:t>
      </w:r>
      <w:r w:rsidR="007E01C0" w:rsidRPr="00693E45">
        <w:rPr>
          <w:lang w:val="fr-FR"/>
        </w:rPr>
        <w:t>il en existait également des versions en chinois et en arabe (cette dernière étant fondée sur la version antérieure de ces claus</w:t>
      </w:r>
      <w:r w:rsidR="003D2437" w:rsidRPr="00693E45">
        <w:rPr>
          <w:lang w:val="fr-FR"/>
        </w:rPr>
        <w:t>es).  Un</w:t>
      </w:r>
      <w:r w:rsidR="007E01C0" w:rsidRPr="00693E45">
        <w:rPr>
          <w:lang w:val="fr-FR"/>
        </w:rPr>
        <w:t>e version russe a</w:t>
      </w:r>
      <w:r w:rsidR="00351934" w:rsidRPr="00693E45">
        <w:rPr>
          <w:lang w:val="fr-FR"/>
        </w:rPr>
        <w:t>vait</w:t>
      </w:r>
      <w:r w:rsidR="007E01C0" w:rsidRPr="00693E45">
        <w:rPr>
          <w:lang w:val="fr-FR"/>
        </w:rPr>
        <w:t xml:space="preserve"> été établie et </w:t>
      </w:r>
      <w:r w:rsidR="00351934" w:rsidRPr="00693E45">
        <w:rPr>
          <w:lang w:val="fr-FR"/>
        </w:rPr>
        <w:t>était</w:t>
      </w:r>
      <w:r w:rsidR="007E01C0" w:rsidRPr="00693E45">
        <w:rPr>
          <w:lang w:val="fr-FR"/>
        </w:rPr>
        <w:t xml:space="preserve"> en cours d</w:t>
      </w:r>
      <w:r w:rsidR="009B7882" w:rsidRPr="00693E45">
        <w:rPr>
          <w:lang w:val="fr-FR"/>
        </w:rPr>
        <w:t>’</w:t>
      </w:r>
      <w:r w:rsidR="007E01C0" w:rsidRPr="00693E45">
        <w:rPr>
          <w:lang w:val="fr-FR"/>
        </w:rPr>
        <w:t xml:space="preserve">actualisation par </w:t>
      </w:r>
      <w:proofErr w:type="spellStart"/>
      <w:r w:rsidR="007F3D49" w:rsidRPr="00693E45">
        <w:rPr>
          <w:lang w:val="fr-FR"/>
        </w:rPr>
        <w:t>Rospate</w:t>
      </w:r>
      <w:r w:rsidR="003D2437" w:rsidRPr="00693E45">
        <w:rPr>
          <w:lang w:val="fr-FR"/>
        </w:rPr>
        <w:t>nt</w:t>
      </w:r>
      <w:proofErr w:type="spellEnd"/>
      <w:r w:rsidR="003D2437" w:rsidRPr="00693E45">
        <w:rPr>
          <w:lang w:val="fr-FR"/>
        </w:rPr>
        <w:t>.  Le</w:t>
      </w:r>
      <w:r w:rsidR="007E01C0" w:rsidRPr="00693E45">
        <w:rPr>
          <w:lang w:val="fr-FR"/>
        </w:rPr>
        <w:t xml:space="preserve"> Bureau international a réitéré son offre d</w:t>
      </w:r>
      <w:r w:rsidR="009B7882" w:rsidRPr="00693E45">
        <w:rPr>
          <w:lang w:val="fr-FR"/>
        </w:rPr>
        <w:t>’</w:t>
      </w:r>
      <w:r w:rsidR="007E01C0" w:rsidRPr="00693E45">
        <w:rPr>
          <w:lang w:val="fr-FR"/>
        </w:rPr>
        <w:t>établir ces clauses dans d</w:t>
      </w:r>
      <w:r w:rsidR="009B7882" w:rsidRPr="00693E45">
        <w:rPr>
          <w:lang w:val="fr-FR"/>
        </w:rPr>
        <w:t>’</w:t>
      </w:r>
      <w:r w:rsidR="007E01C0" w:rsidRPr="00693E45">
        <w:rPr>
          <w:lang w:val="fr-FR"/>
        </w:rPr>
        <w:t>autres langues de publication</w:t>
      </w:r>
      <w:r w:rsidR="009B7882" w:rsidRPr="00693E45">
        <w:rPr>
          <w:lang w:val="fr-FR"/>
        </w:rPr>
        <w:t xml:space="preserve"> du PCT</w:t>
      </w:r>
      <w:r w:rsidR="007E01C0" w:rsidRPr="00693E45">
        <w:rPr>
          <w:lang w:val="fr-FR"/>
        </w:rPr>
        <w:t xml:space="preserve"> si les administrations concernées étaient </w:t>
      </w:r>
      <w:r w:rsidR="007A2D43" w:rsidRPr="00693E45">
        <w:rPr>
          <w:lang w:val="fr-FR"/>
        </w:rPr>
        <w:t>prêt</w:t>
      </w:r>
      <w:r w:rsidR="007E01C0" w:rsidRPr="00693E45">
        <w:rPr>
          <w:lang w:val="fr-FR"/>
        </w:rPr>
        <w:t>es à les utilis</w:t>
      </w:r>
      <w:r w:rsidR="003D2437" w:rsidRPr="00693E45">
        <w:rPr>
          <w:lang w:val="fr-FR"/>
        </w:rPr>
        <w:t>er.  De</w:t>
      </w:r>
      <w:r w:rsidR="00CA6721" w:rsidRPr="00693E45">
        <w:rPr>
          <w:lang w:val="fr-FR"/>
        </w:rPr>
        <w:t xml:space="preserve"> plus, il </w:t>
      </w:r>
      <w:r w:rsidR="007A2D43" w:rsidRPr="00693E45">
        <w:rPr>
          <w:lang w:val="fr-FR"/>
        </w:rPr>
        <w:t>était</w:t>
      </w:r>
      <w:r w:rsidR="00CA6721" w:rsidRPr="00693E45">
        <w:rPr>
          <w:lang w:val="fr-FR"/>
        </w:rPr>
        <w:t xml:space="preserve"> prévu d</w:t>
      </w:r>
      <w:r w:rsidR="009B7882" w:rsidRPr="00693E45">
        <w:rPr>
          <w:lang w:val="fr-FR"/>
        </w:rPr>
        <w:t>’</w:t>
      </w:r>
      <w:r w:rsidR="00CA6721" w:rsidRPr="00693E45">
        <w:rPr>
          <w:lang w:val="fr-FR"/>
        </w:rPr>
        <w:t>apporter des améliorations à l</w:t>
      </w:r>
      <w:r w:rsidR="009B7882" w:rsidRPr="00693E45">
        <w:rPr>
          <w:lang w:val="fr-FR"/>
        </w:rPr>
        <w:t>’</w:t>
      </w:r>
      <w:r w:rsidR="00CA6721" w:rsidRPr="00693E45">
        <w:rPr>
          <w:lang w:val="fr-FR"/>
        </w:rPr>
        <w:t>interface, afin d</w:t>
      </w:r>
      <w:r w:rsidR="009B7882" w:rsidRPr="00693E45">
        <w:rPr>
          <w:lang w:val="fr-FR"/>
        </w:rPr>
        <w:t>’</w:t>
      </w:r>
      <w:r w:rsidR="00CA6721" w:rsidRPr="00693E45">
        <w:rPr>
          <w:lang w:val="fr-FR"/>
        </w:rPr>
        <w:t>aider les examinateurs qui utilisent ces clauses</w:t>
      </w:r>
      <w:r w:rsidR="007A2D43" w:rsidRPr="00693E45">
        <w:rPr>
          <w:lang w:val="fr-FR"/>
        </w:rPr>
        <w:t xml:space="preserve"> </w:t>
      </w:r>
      <w:r w:rsidR="00CA6721" w:rsidRPr="00693E45">
        <w:rPr>
          <w:lang w:val="fr-FR"/>
        </w:rPr>
        <w:t>pour rédiger des opinions écrites en utilisant le système</w:t>
      </w:r>
      <w:r w:rsidR="007F3D49" w:rsidRPr="00693E45">
        <w:rPr>
          <w:lang w:val="fr-FR"/>
        </w:rPr>
        <w:t xml:space="preserve"> </w:t>
      </w:r>
      <w:proofErr w:type="spellStart"/>
      <w:r w:rsidR="007F3D49" w:rsidRPr="00693E45">
        <w:rPr>
          <w:lang w:val="fr-FR"/>
        </w:rPr>
        <w:t>ePCT</w:t>
      </w:r>
      <w:proofErr w:type="spellEnd"/>
      <w:r w:rsidR="007F3D49" w:rsidRPr="00693E45">
        <w:rPr>
          <w:lang w:val="fr-FR"/>
        </w:rPr>
        <w:t>.</w:t>
      </w:r>
    </w:p>
    <w:p w14:paraId="35EFDB24" w14:textId="4FA1658E" w:rsidR="007F3D49" w:rsidRPr="00693E45" w:rsidRDefault="00702E89" w:rsidP="00CB4729">
      <w:pPr>
        <w:pStyle w:val="ONUMFS"/>
        <w:rPr>
          <w:lang w:val="fr-FR"/>
        </w:rPr>
      </w:pPr>
      <w:r w:rsidRPr="00693E45">
        <w:rPr>
          <w:lang w:val="fr-FR"/>
        </w:rPr>
        <w:lastRenderedPageBreak/>
        <w:t>Les administrations ont exprimé leurs remerciements à l</w:t>
      </w:r>
      <w:r w:rsidR="009B7882" w:rsidRPr="00693E45">
        <w:rPr>
          <w:lang w:val="fr-FR"/>
        </w:rPr>
        <w:t>’</w:t>
      </w:r>
      <w:r w:rsidRPr="00693E45">
        <w:rPr>
          <w:lang w:val="fr-FR"/>
        </w:rPr>
        <w:t>Office de la propriété intellectuelle du Canada pour le rôle directeur qu</w:t>
      </w:r>
      <w:r w:rsidR="009B7882" w:rsidRPr="00693E45">
        <w:rPr>
          <w:lang w:val="fr-FR"/>
        </w:rPr>
        <w:t>’</w:t>
      </w:r>
      <w:r w:rsidRPr="00693E45">
        <w:rPr>
          <w:lang w:val="fr-FR"/>
        </w:rPr>
        <w:t>il a joué dans l</w:t>
      </w:r>
      <w:r w:rsidR="009B7882" w:rsidRPr="00693E45">
        <w:rPr>
          <w:lang w:val="fr-FR"/>
        </w:rPr>
        <w:t>’</w:t>
      </w:r>
      <w:r w:rsidRPr="00693E45">
        <w:rPr>
          <w:lang w:val="fr-FR"/>
        </w:rPr>
        <w:t>élaboration de clauses normalisé</w:t>
      </w:r>
      <w:r w:rsidR="003D2437" w:rsidRPr="00693E45">
        <w:rPr>
          <w:lang w:val="fr-FR"/>
        </w:rPr>
        <w:t>es.  Le</w:t>
      </w:r>
      <w:r w:rsidRPr="00693E45">
        <w:rPr>
          <w:lang w:val="fr-FR"/>
        </w:rPr>
        <w:t>s administrations se sont dites intéressées à partager des clauses existantes ou nouvellement rédigées sur les questions suivantes</w:t>
      </w:r>
      <w:r w:rsidR="009B7882" w:rsidRPr="00693E45">
        <w:rPr>
          <w:lang w:val="fr-FR"/>
        </w:rPr>
        <w:t> :</w:t>
      </w:r>
    </w:p>
    <w:p w14:paraId="4DB6C945" w14:textId="3D7981E5" w:rsidR="007F3D49" w:rsidRPr="00693E45" w:rsidRDefault="002C3E85" w:rsidP="00FB09DD">
      <w:pPr>
        <w:pStyle w:val="ONUMFS"/>
        <w:numPr>
          <w:ilvl w:val="1"/>
          <w:numId w:val="6"/>
        </w:numPr>
        <w:rPr>
          <w:lang w:val="fr-FR"/>
        </w:rPr>
      </w:pPr>
      <w:proofErr w:type="gramStart"/>
      <w:r w:rsidRPr="00693E45">
        <w:rPr>
          <w:lang w:val="fr-FR"/>
        </w:rPr>
        <w:t>unité</w:t>
      </w:r>
      <w:proofErr w:type="gramEnd"/>
      <w:r w:rsidRPr="00693E45">
        <w:rPr>
          <w:lang w:val="fr-FR"/>
        </w:rPr>
        <w:t xml:space="preserve"> d</w:t>
      </w:r>
      <w:r w:rsidR="005F0461" w:rsidRPr="00693E45">
        <w:rPr>
          <w:lang w:val="fr-FR"/>
        </w:rPr>
        <w:t>e l</w:t>
      </w:r>
      <w:r w:rsidR="009B7882" w:rsidRPr="00693E45">
        <w:rPr>
          <w:lang w:val="fr-FR"/>
        </w:rPr>
        <w:t>’</w:t>
      </w:r>
      <w:r w:rsidRPr="00693E45">
        <w:rPr>
          <w:lang w:val="fr-FR"/>
        </w:rPr>
        <w:t xml:space="preserve">invention sur le fondement du </w:t>
      </w:r>
      <w:r w:rsidR="009B7882" w:rsidRPr="00693E45">
        <w:rPr>
          <w:lang w:val="fr-FR"/>
        </w:rPr>
        <w:t>“r</w:t>
      </w:r>
      <w:r w:rsidRPr="00693E45">
        <w:rPr>
          <w:lang w:val="fr-FR"/>
        </w:rPr>
        <w:t xml:space="preserve">aisonnement </w:t>
      </w:r>
      <w:r w:rsidR="007F3D49" w:rsidRPr="00693E45">
        <w:rPr>
          <w:lang w:val="fr-FR"/>
        </w:rPr>
        <w:t>minimu</w:t>
      </w:r>
      <w:r w:rsidR="009B7882" w:rsidRPr="00693E45">
        <w:rPr>
          <w:lang w:val="fr-FR"/>
        </w:rPr>
        <w:t>m”</w:t>
      </w:r>
      <w:r w:rsidRPr="00693E45">
        <w:rPr>
          <w:lang w:val="fr-FR"/>
        </w:rPr>
        <w:t xml:space="preserve"> prévu au </w:t>
      </w:r>
      <w:r w:rsidR="009B7882" w:rsidRPr="00693E45">
        <w:rPr>
          <w:lang w:val="fr-FR"/>
        </w:rPr>
        <w:t>chapitre 1</w:t>
      </w:r>
      <w:r w:rsidRPr="00693E45">
        <w:rPr>
          <w:lang w:val="fr-FR"/>
        </w:rPr>
        <w:t>0 des Directives concernant la recherche internationale et l</w:t>
      </w:r>
      <w:r w:rsidR="009B7882" w:rsidRPr="00693E45">
        <w:rPr>
          <w:lang w:val="fr-FR"/>
        </w:rPr>
        <w:t>’</w:t>
      </w:r>
      <w:r w:rsidRPr="00693E45">
        <w:rPr>
          <w:lang w:val="fr-FR"/>
        </w:rPr>
        <w:t>examen préliminaire international selon</w:t>
      </w:r>
      <w:r w:rsidR="009B7882" w:rsidRPr="00693E45">
        <w:rPr>
          <w:lang w:val="fr-FR"/>
        </w:rPr>
        <w:t xml:space="preserve"> le PCT</w:t>
      </w:r>
      <w:r w:rsidR="007F3D49" w:rsidRPr="00693E45">
        <w:rPr>
          <w:lang w:val="fr-FR"/>
        </w:rPr>
        <w:t>;</w:t>
      </w:r>
    </w:p>
    <w:p w14:paraId="78544A0F" w14:textId="610A34C1" w:rsidR="007F3D49" w:rsidRPr="00693E45" w:rsidRDefault="007F3D49" w:rsidP="00FB09DD">
      <w:pPr>
        <w:pStyle w:val="ONUMFS"/>
        <w:numPr>
          <w:ilvl w:val="1"/>
          <w:numId w:val="6"/>
        </w:numPr>
        <w:rPr>
          <w:lang w:val="fr-FR"/>
        </w:rPr>
      </w:pPr>
      <w:proofErr w:type="gramStart"/>
      <w:r w:rsidRPr="00693E45">
        <w:rPr>
          <w:lang w:val="fr-FR"/>
        </w:rPr>
        <w:t>formalit</w:t>
      </w:r>
      <w:r w:rsidR="002C3E85" w:rsidRPr="00693E45">
        <w:rPr>
          <w:lang w:val="fr-FR"/>
        </w:rPr>
        <w:t>é</w:t>
      </w:r>
      <w:r w:rsidRPr="00693E45">
        <w:rPr>
          <w:lang w:val="fr-FR"/>
        </w:rPr>
        <w:t>s</w:t>
      </w:r>
      <w:proofErr w:type="gramEnd"/>
      <w:r w:rsidRPr="00693E45">
        <w:rPr>
          <w:lang w:val="fr-FR"/>
        </w:rPr>
        <w:t xml:space="preserve"> </w:t>
      </w:r>
      <w:r w:rsidR="002C3E85" w:rsidRPr="00693E45">
        <w:rPr>
          <w:lang w:val="fr-FR"/>
        </w:rPr>
        <w:t>d</w:t>
      </w:r>
      <w:r w:rsidR="009B7882" w:rsidRPr="00693E45">
        <w:rPr>
          <w:lang w:val="fr-FR"/>
        </w:rPr>
        <w:t>’</w:t>
      </w:r>
      <w:r w:rsidRPr="00693E45">
        <w:rPr>
          <w:lang w:val="fr-FR"/>
        </w:rPr>
        <w:t>exam</w:t>
      </w:r>
      <w:r w:rsidR="002C3E85" w:rsidRPr="00693E45">
        <w:rPr>
          <w:lang w:val="fr-FR"/>
        </w:rPr>
        <w:t>en</w:t>
      </w:r>
      <w:r w:rsidRPr="00693E45">
        <w:rPr>
          <w:lang w:val="fr-FR"/>
        </w:rPr>
        <w:t xml:space="preserve">;  </w:t>
      </w:r>
      <w:r w:rsidR="002C3E85" w:rsidRPr="00693E45">
        <w:rPr>
          <w:lang w:val="fr-FR"/>
        </w:rPr>
        <w:t>et</w:t>
      </w:r>
    </w:p>
    <w:p w14:paraId="54AA142A" w14:textId="3408FBBB" w:rsidR="007F3D49" w:rsidRPr="00693E45" w:rsidRDefault="00E420BE" w:rsidP="00FB09DD">
      <w:pPr>
        <w:pStyle w:val="ONUMFS"/>
        <w:numPr>
          <w:ilvl w:val="1"/>
          <w:numId w:val="6"/>
        </w:numPr>
        <w:rPr>
          <w:lang w:val="fr-FR"/>
        </w:rPr>
      </w:pPr>
      <w:proofErr w:type="gramStart"/>
      <w:r w:rsidRPr="00693E45">
        <w:rPr>
          <w:lang w:val="fr-FR"/>
        </w:rPr>
        <w:t>explication</w:t>
      </w:r>
      <w:proofErr w:type="gramEnd"/>
      <w:r w:rsidRPr="00693E45">
        <w:rPr>
          <w:lang w:val="fr-FR"/>
        </w:rPr>
        <w:t xml:space="preserve"> de concepts liés aux brevets à des déposants non expérimentés.</w:t>
      </w:r>
    </w:p>
    <w:p w14:paraId="1BD46CB2" w14:textId="33E22B03" w:rsidR="007F3D49" w:rsidRPr="00693E45" w:rsidRDefault="00A36151" w:rsidP="00FB09DD">
      <w:pPr>
        <w:pStyle w:val="ONUMFS"/>
        <w:ind w:left="567"/>
        <w:rPr>
          <w:lang w:val="fr-FR"/>
        </w:rPr>
      </w:pPr>
      <w:r w:rsidRPr="00693E45">
        <w:rPr>
          <w:lang w:val="fr-FR"/>
        </w:rPr>
        <w:t>Le sous</w:t>
      </w:r>
      <w:r w:rsidR="00CB4729" w:rsidRPr="00693E45">
        <w:rPr>
          <w:lang w:val="fr-FR"/>
        </w:rPr>
        <w:noBreakHyphen/>
      </w:r>
      <w:r w:rsidRPr="00693E45">
        <w:rPr>
          <w:lang w:val="fr-FR"/>
        </w:rPr>
        <w:t>groupe a recommandé que les administrations mettent en ligne dès que possible sur le wiki des propositions ou autres éléments pertinents ayant rapport à l</w:t>
      </w:r>
      <w:r w:rsidR="009B7882" w:rsidRPr="00693E45">
        <w:rPr>
          <w:lang w:val="fr-FR"/>
        </w:rPr>
        <w:t>’</w:t>
      </w:r>
      <w:r w:rsidRPr="00693E45">
        <w:rPr>
          <w:lang w:val="fr-FR"/>
        </w:rPr>
        <w:t>élaboration de clauses sur les sujets ci</w:t>
      </w:r>
      <w:r w:rsidR="00CB4729" w:rsidRPr="00693E45">
        <w:rPr>
          <w:lang w:val="fr-FR"/>
        </w:rPr>
        <w:noBreakHyphen/>
      </w:r>
      <w:r w:rsidRPr="00693E45">
        <w:rPr>
          <w:lang w:val="fr-FR"/>
        </w:rPr>
        <w:t>dessus.</w:t>
      </w:r>
    </w:p>
    <w:p w14:paraId="6341CD16" w14:textId="67959BE8" w:rsidR="009B7882" w:rsidRPr="00693E45" w:rsidRDefault="00FB09DD" w:rsidP="00FB09DD">
      <w:pPr>
        <w:pStyle w:val="Heading1"/>
        <w:keepLines/>
        <w:tabs>
          <w:tab w:val="left" w:pos="567"/>
        </w:tabs>
        <w:rPr>
          <w:lang w:val="fr-FR"/>
        </w:rPr>
      </w:pPr>
      <w:r w:rsidRPr="00693E45">
        <w:rPr>
          <w:lang w:val="fr-FR"/>
        </w:rPr>
        <w:t>3.</w:t>
      </w:r>
      <w:r w:rsidRPr="00693E45">
        <w:rPr>
          <w:lang w:val="fr-FR"/>
        </w:rPr>
        <w:tab/>
      </w:r>
      <w:r w:rsidR="005F0461" w:rsidRPr="00693E45">
        <w:rPr>
          <w:lang w:val="fr-FR"/>
        </w:rPr>
        <w:t>Caractéristiques des rapports de recherche internationale</w:t>
      </w:r>
    </w:p>
    <w:p w14:paraId="16C06DAD" w14:textId="444B4942" w:rsidR="009B7882" w:rsidRPr="00693E45" w:rsidRDefault="00730886" w:rsidP="00CB4729">
      <w:pPr>
        <w:pStyle w:val="ONUMFS"/>
        <w:rPr>
          <w:lang w:val="fr-FR"/>
        </w:rPr>
      </w:pPr>
      <w:r w:rsidRPr="00693E45">
        <w:rPr>
          <w:lang w:val="fr-FR"/>
        </w:rPr>
        <w:t>Le Bureau international a rappelé que diverses suggestions avaient été notées au cours des dernières années concernant des caractéristiques nouvelles ou améliorées qu</w:t>
      </w:r>
      <w:r w:rsidR="009B7882" w:rsidRPr="00693E45">
        <w:rPr>
          <w:lang w:val="fr-FR"/>
        </w:rPr>
        <w:t>’</w:t>
      </w:r>
      <w:r w:rsidRPr="00693E45">
        <w:rPr>
          <w:lang w:val="fr-FR"/>
        </w:rPr>
        <w:t>il serait souhaitable de mesurer si les informations pertinentes étaient disponibles en temps utile</w:t>
      </w:r>
      <w:r w:rsidR="00720F3F" w:rsidRPr="00693E45">
        <w:rPr>
          <w:lang w:val="fr-FR"/>
        </w:rPr>
        <w:t xml:space="preserve"> et avec exactitu</w:t>
      </w:r>
      <w:r w:rsidR="003D2437" w:rsidRPr="00693E45">
        <w:rPr>
          <w:lang w:val="fr-FR"/>
        </w:rPr>
        <w:t>de.  Le</w:t>
      </w:r>
      <w:r w:rsidR="009F5F0C" w:rsidRPr="00693E45">
        <w:rPr>
          <w:lang w:val="fr-FR"/>
        </w:rPr>
        <w:t xml:space="preserve"> Bureau international procédait à l</w:t>
      </w:r>
      <w:r w:rsidR="009B7882" w:rsidRPr="00693E45">
        <w:rPr>
          <w:lang w:val="fr-FR"/>
        </w:rPr>
        <w:t>’</w:t>
      </w:r>
      <w:r w:rsidR="009F5F0C" w:rsidRPr="00693E45">
        <w:rPr>
          <w:lang w:val="fr-FR"/>
        </w:rPr>
        <w:t>évaluation des besoins d</w:t>
      </w:r>
      <w:r w:rsidR="009B7882" w:rsidRPr="00693E45">
        <w:rPr>
          <w:lang w:val="fr-FR"/>
        </w:rPr>
        <w:t>’</w:t>
      </w:r>
      <w:r w:rsidR="009F5F0C" w:rsidRPr="00693E45">
        <w:rPr>
          <w:lang w:val="fr-FR"/>
        </w:rPr>
        <w:t>extraction de données des rapports de recherche au format XML, en vue de permettre un retour d</w:t>
      </w:r>
      <w:r w:rsidR="009B7882" w:rsidRPr="00693E45">
        <w:rPr>
          <w:lang w:val="fr-FR"/>
        </w:rPr>
        <w:t>’</w:t>
      </w:r>
      <w:r w:rsidR="009F5F0C" w:rsidRPr="00693E45">
        <w:rPr>
          <w:lang w:val="fr-FR"/>
        </w:rPr>
        <w:t>information</w:t>
      </w:r>
      <w:r w:rsidRPr="00693E45">
        <w:rPr>
          <w:lang w:val="fr-FR"/>
        </w:rPr>
        <w:t xml:space="preserve"> </w:t>
      </w:r>
      <w:r w:rsidR="009F5F0C" w:rsidRPr="00693E45">
        <w:rPr>
          <w:lang w:val="fr-FR"/>
        </w:rPr>
        <w:t>en temps quasi</w:t>
      </w:r>
      <w:r w:rsidR="00C6045B" w:rsidRPr="00693E45">
        <w:rPr>
          <w:lang w:val="fr-FR"/>
        </w:rPr>
        <w:t xml:space="preserve"> </w:t>
      </w:r>
      <w:r w:rsidR="009F5F0C" w:rsidRPr="00693E45">
        <w:rPr>
          <w:lang w:val="fr-FR"/>
        </w:rPr>
        <w:t>réel concernant certaines des caractéristiques pertinentes de la phase internationale au cours des prochaines anné</w:t>
      </w:r>
      <w:r w:rsidR="003D2437" w:rsidRPr="00693E45">
        <w:rPr>
          <w:lang w:val="fr-FR"/>
        </w:rPr>
        <w:t>es.  Le</w:t>
      </w:r>
      <w:r w:rsidR="009F5F0C" w:rsidRPr="00693E45">
        <w:rPr>
          <w:lang w:val="fr-FR"/>
        </w:rPr>
        <w:t>s questions liées aux caractéristiques de la phase nationale seraient plus longues à traiter.</w:t>
      </w:r>
    </w:p>
    <w:p w14:paraId="3D58DAD2" w14:textId="486C34BE" w:rsidR="007F3D49" w:rsidRPr="00693E45" w:rsidRDefault="00F37DA1" w:rsidP="00CB4729">
      <w:pPr>
        <w:pStyle w:val="ONUMFS"/>
        <w:rPr>
          <w:lang w:val="fr-FR"/>
        </w:rPr>
      </w:pPr>
      <w:r w:rsidRPr="00693E45">
        <w:rPr>
          <w:lang w:val="fr-FR"/>
        </w:rPr>
        <w:t>L</w:t>
      </w:r>
      <w:r w:rsidR="009B7882" w:rsidRPr="00693E45">
        <w:rPr>
          <w:lang w:val="fr-FR"/>
        </w:rPr>
        <w:t>’</w:t>
      </w:r>
      <w:r w:rsidRPr="00693E45">
        <w:rPr>
          <w:lang w:val="fr-FR"/>
        </w:rPr>
        <w:t xml:space="preserve">Office de la propriété intellectuelle du Canada a présenté une feuille de calcul </w:t>
      </w:r>
      <w:r w:rsidR="00A84092" w:rsidRPr="00693E45">
        <w:rPr>
          <w:lang w:val="fr-FR"/>
        </w:rPr>
        <w:t>propos</w:t>
      </w:r>
      <w:r w:rsidRPr="00693E45">
        <w:rPr>
          <w:lang w:val="fr-FR"/>
        </w:rPr>
        <w:t>ant des vues de caractéristiques</w:t>
      </w:r>
      <w:r w:rsidR="00D81A46" w:rsidRPr="00693E45">
        <w:rPr>
          <w:lang w:val="fr-FR"/>
        </w:rPr>
        <w:t xml:space="preserve"> personnalisées</w:t>
      </w:r>
      <w:r w:rsidRPr="00693E45">
        <w:rPr>
          <w:lang w:val="fr-FR"/>
        </w:rPr>
        <w:t xml:space="preserve"> à partir des données </w:t>
      </w:r>
      <w:r w:rsidR="00A84092" w:rsidRPr="00693E45">
        <w:rPr>
          <w:lang w:val="fr-FR"/>
        </w:rPr>
        <w:t xml:space="preserve">fournies </w:t>
      </w:r>
      <w:r w:rsidRPr="00693E45">
        <w:rPr>
          <w:lang w:val="fr-FR"/>
        </w:rPr>
        <w:t>sous forme de fichiers .</w:t>
      </w:r>
      <w:r w:rsidR="003D2437" w:rsidRPr="00693E45">
        <w:rPr>
          <w:lang w:val="fr-FR"/>
        </w:rPr>
        <w:t>CSV.  Si</w:t>
      </w:r>
      <w:r w:rsidRPr="00693E45">
        <w:rPr>
          <w:lang w:val="fr-FR"/>
        </w:rPr>
        <w:t xml:space="preserve"> ce travail n</w:t>
      </w:r>
      <w:r w:rsidR="009B7882" w:rsidRPr="00693E45">
        <w:rPr>
          <w:lang w:val="fr-FR"/>
        </w:rPr>
        <w:t>’</w:t>
      </w:r>
      <w:r w:rsidRPr="00693E45">
        <w:rPr>
          <w:lang w:val="fr-FR"/>
        </w:rPr>
        <w:t>était pas encore terminé, il était utile en ce sens qu</w:t>
      </w:r>
      <w:r w:rsidR="009B7882" w:rsidRPr="00693E45">
        <w:rPr>
          <w:lang w:val="fr-FR"/>
        </w:rPr>
        <w:t>’</w:t>
      </w:r>
      <w:r w:rsidRPr="00693E45">
        <w:rPr>
          <w:lang w:val="fr-FR"/>
        </w:rPr>
        <w:t xml:space="preserve">il permettait de faire une comparaison entre des offices </w:t>
      </w:r>
      <w:r w:rsidR="002326A1" w:rsidRPr="00693E45">
        <w:rPr>
          <w:lang w:val="fr-FR"/>
        </w:rPr>
        <w:t xml:space="preserve">sélectionnés comme présentant un intérêt pour </w:t>
      </w:r>
      <w:r w:rsidR="007F0D9A" w:rsidRPr="00693E45">
        <w:rPr>
          <w:lang w:val="fr-FR"/>
        </w:rPr>
        <w:t xml:space="preserve">tout </w:t>
      </w:r>
      <w:r w:rsidR="00D041F0" w:rsidRPr="00693E45">
        <w:rPr>
          <w:lang w:val="fr-FR"/>
        </w:rPr>
        <w:t xml:space="preserve">objet particulier examiné. </w:t>
      </w:r>
      <w:r w:rsidR="007B79D8" w:rsidRPr="00693E45">
        <w:rPr>
          <w:lang w:val="fr-FR"/>
        </w:rPr>
        <w:t xml:space="preserve"> L</w:t>
      </w:r>
      <w:r w:rsidR="009B7882" w:rsidRPr="00693E45">
        <w:rPr>
          <w:lang w:val="fr-FR"/>
        </w:rPr>
        <w:t>’</w:t>
      </w:r>
      <w:r w:rsidR="007B79D8" w:rsidRPr="00693E45">
        <w:rPr>
          <w:lang w:val="fr-FR"/>
        </w:rPr>
        <w:t>Office a proposé de fournir des informations supplémentaires aux administrations intéressées par l</w:t>
      </w:r>
      <w:r w:rsidR="009B7882" w:rsidRPr="00693E45">
        <w:rPr>
          <w:lang w:val="fr-FR"/>
        </w:rPr>
        <w:t>’</w:t>
      </w:r>
      <w:r w:rsidR="007B79D8" w:rsidRPr="00693E45">
        <w:rPr>
          <w:lang w:val="fr-FR"/>
        </w:rPr>
        <w:t>intermédiaire du wiki, observant que la préparation initiale de la feuille de calcul avait nécessité beaucoup d</w:t>
      </w:r>
      <w:r w:rsidR="009B7882" w:rsidRPr="00693E45">
        <w:rPr>
          <w:lang w:val="fr-FR"/>
        </w:rPr>
        <w:t>’</w:t>
      </w:r>
      <w:r w:rsidR="007B79D8" w:rsidRPr="00693E45">
        <w:rPr>
          <w:lang w:val="fr-FR"/>
        </w:rPr>
        <w:t xml:space="preserve">efforts, notamment </w:t>
      </w:r>
      <w:r w:rsidR="00C10DC7" w:rsidRPr="00693E45">
        <w:rPr>
          <w:lang w:val="fr-FR"/>
        </w:rPr>
        <w:t>de</w:t>
      </w:r>
      <w:r w:rsidR="007B79D8" w:rsidRPr="00693E45">
        <w:rPr>
          <w:lang w:val="fr-FR"/>
        </w:rPr>
        <w:t xml:space="preserve"> validation, mais que le travail deviendrait plus facile avec l</w:t>
      </w:r>
      <w:r w:rsidR="009B7882" w:rsidRPr="00693E45">
        <w:rPr>
          <w:lang w:val="fr-FR"/>
        </w:rPr>
        <w:t>’</w:t>
      </w:r>
      <w:r w:rsidR="007B79D8" w:rsidRPr="00693E45">
        <w:rPr>
          <w:lang w:val="fr-FR"/>
        </w:rPr>
        <w:t>expérience et grâce au modèle validé.</w:t>
      </w:r>
    </w:p>
    <w:p w14:paraId="14CF8CD3" w14:textId="1CF5878C" w:rsidR="007F3D49" w:rsidRPr="00693E45" w:rsidRDefault="00D81A46" w:rsidP="00CB4729">
      <w:pPr>
        <w:pStyle w:val="ONUMFS"/>
        <w:rPr>
          <w:lang w:val="fr-FR"/>
        </w:rPr>
      </w:pPr>
      <w:r w:rsidRPr="00693E45">
        <w:rPr>
          <w:lang w:val="fr-FR"/>
        </w:rPr>
        <w:t>Les administrations ont indiqué qu</w:t>
      </w:r>
      <w:r w:rsidR="009B7882" w:rsidRPr="00693E45">
        <w:rPr>
          <w:lang w:val="fr-FR"/>
        </w:rPr>
        <w:t>’</w:t>
      </w:r>
      <w:r w:rsidRPr="00693E45">
        <w:rPr>
          <w:lang w:val="fr-FR"/>
        </w:rPr>
        <w:t xml:space="preserve">elles continuaient à considérer </w:t>
      </w:r>
      <w:r w:rsidR="00AD5830" w:rsidRPr="00693E45">
        <w:rPr>
          <w:lang w:val="fr-FR"/>
        </w:rPr>
        <w:t xml:space="preserve">que </w:t>
      </w:r>
      <w:r w:rsidRPr="00693E45">
        <w:rPr>
          <w:lang w:val="fr-FR"/>
        </w:rPr>
        <w:t xml:space="preserve">les rapports de caractéristiques </w:t>
      </w:r>
      <w:r w:rsidR="00AD5830" w:rsidRPr="00693E45">
        <w:rPr>
          <w:lang w:val="fr-FR"/>
        </w:rPr>
        <w:t>étaient</w:t>
      </w:r>
      <w:r w:rsidRPr="00693E45">
        <w:rPr>
          <w:lang w:val="fr-FR"/>
        </w:rPr>
        <w:t xml:space="preserve"> utile</w:t>
      </w:r>
      <w:r w:rsidR="00AD5830" w:rsidRPr="00693E45">
        <w:rPr>
          <w:lang w:val="fr-FR"/>
        </w:rPr>
        <w:t xml:space="preserve">s, toujours avec une réserve concernant </w:t>
      </w:r>
      <w:r w:rsidR="00172315" w:rsidRPr="00693E45">
        <w:rPr>
          <w:lang w:val="fr-FR"/>
        </w:rPr>
        <w:t>l</w:t>
      </w:r>
      <w:r w:rsidR="009B7882" w:rsidRPr="00693E45">
        <w:rPr>
          <w:lang w:val="fr-FR"/>
        </w:rPr>
        <w:t>’</w:t>
      </w:r>
      <w:r w:rsidR="00172315" w:rsidRPr="00693E45">
        <w:rPr>
          <w:lang w:val="fr-FR"/>
        </w:rPr>
        <w:t>indicateur</w:t>
      </w:r>
      <w:r w:rsidR="00AD5830" w:rsidRPr="00693E45">
        <w:rPr>
          <w:lang w:val="fr-FR"/>
        </w:rPr>
        <w:t xml:space="preserve"> de la langue des citations de brevets (à remplacer éventuellement par “les citations de brevets qui ne sont pas dans la langue de publication de la demande internationale”), et que le rapport relatif aux demandes </w:t>
      </w:r>
      <w:r w:rsidR="00691FA5" w:rsidRPr="00693E45">
        <w:rPr>
          <w:lang w:val="fr-FR"/>
        </w:rPr>
        <w:t>contenant des citations des catégories O, T ou L était d</w:t>
      </w:r>
      <w:r w:rsidR="009B7882" w:rsidRPr="00693E45">
        <w:rPr>
          <w:lang w:val="fr-FR"/>
        </w:rPr>
        <w:t>’</w:t>
      </w:r>
      <w:r w:rsidR="00691FA5" w:rsidRPr="00693E45">
        <w:rPr>
          <w:lang w:val="fr-FR"/>
        </w:rPr>
        <w:t>une utilité limit</w:t>
      </w:r>
      <w:r w:rsidR="003D2437" w:rsidRPr="00693E45">
        <w:rPr>
          <w:lang w:val="fr-FR"/>
        </w:rPr>
        <w:t>ée.  D’u</w:t>
      </w:r>
      <w:r w:rsidR="003E2F16" w:rsidRPr="00693E45">
        <w:rPr>
          <w:lang w:val="fr-FR"/>
        </w:rPr>
        <w:t>ne manière générale, les rapports existants fournissaient un aperçu clair des caractéristiques, ainsi qu</w:t>
      </w:r>
      <w:r w:rsidR="009B7882" w:rsidRPr="00693E45">
        <w:rPr>
          <w:lang w:val="fr-FR"/>
        </w:rPr>
        <w:t>’</w:t>
      </w:r>
      <w:r w:rsidR="003E2F16" w:rsidRPr="00693E45">
        <w:rPr>
          <w:lang w:val="fr-FR"/>
        </w:rPr>
        <w:t>un jeu de données commun pour l</w:t>
      </w:r>
      <w:r w:rsidR="009B7882" w:rsidRPr="00693E45">
        <w:rPr>
          <w:lang w:val="fr-FR"/>
        </w:rPr>
        <w:t>’</w:t>
      </w:r>
      <w:r w:rsidR="003E2F16" w:rsidRPr="00693E45">
        <w:rPr>
          <w:lang w:val="fr-FR"/>
        </w:rPr>
        <w:t>analyse des tendances et des différenc</w:t>
      </w:r>
      <w:r w:rsidR="003D2437" w:rsidRPr="00693E45">
        <w:rPr>
          <w:lang w:val="fr-FR"/>
        </w:rPr>
        <w:t>es.  Un</w:t>
      </w:r>
      <w:r w:rsidR="003E2F16" w:rsidRPr="00693E45">
        <w:rPr>
          <w:lang w:val="fr-FR"/>
        </w:rPr>
        <w:t xml:space="preserve"> outil interactif faciliterait cependant l</w:t>
      </w:r>
      <w:r w:rsidR="009B7882" w:rsidRPr="00693E45">
        <w:rPr>
          <w:lang w:val="fr-FR"/>
        </w:rPr>
        <w:t>’</w:t>
      </w:r>
      <w:r w:rsidR="003E2F16" w:rsidRPr="00693E45">
        <w:rPr>
          <w:lang w:val="fr-FR"/>
        </w:rPr>
        <w:t>accès à l</w:t>
      </w:r>
      <w:r w:rsidR="009B7882" w:rsidRPr="00693E45">
        <w:rPr>
          <w:lang w:val="fr-FR"/>
        </w:rPr>
        <w:t>’</w:t>
      </w:r>
      <w:r w:rsidR="003E2F16" w:rsidRPr="00693E45">
        <w:rPr>
          <w:lang w:val="fr-FR"/>
        </w:rPr>
        <w:t>information et l</w:t>
      </w:r>
      <w:r w:rsidR="009B7882" w:rsidRPr="00693E45">
        <w:rPr>
          <w:lang w:val="fr-FR"/>
        </w:rPr>
        <w:t>’</w:t>
      </w:r>
      <w:r w:rsidR="003E2F16" w:rsidRPr="00693E45">
        <w:rPr>
          <w:lang w:val="fr-FR"/>
        </w:rPr>
        <w:t>exploitation de cette dernière.</w:t>
      </w:r>
    </w:p>
    <w:p w14:paraId="795A28A8" w14:textId="4EEC2ADB" w:rsidR="007F3D49" w:rsidRPr="00693E45" w:rsidRDefault="00945B8A" w:rsidP="00CB4729">
      <w:pPr>
        <w:pStyle w:val="ONUMFS"/>
        <w:rPr>
          <w:lang w:val="fr-FR"/>
        </w:rPr>
      </w:pPr>
      <w:r w:rsidRPr="00693E45">
        <w:rPr>
          <w:lang w:val="fr-FR"/>
        </w:rPr>
        <w:t>Une administration a mentionné que la base de données de statistiques de propriété intellectuelle de l</w:t>
      </w:r>
      <w:r w:rsidR="009B7882" w:rsidRPr="00693E45">
        <w:rPr>
          <w:lang w:val="fr-FR"/>
        </w:rPr>
        <w:t>’</w:t>
      </w:r>
      <w:r w:rsidRPr="00693E45">
        <w:rPr>
          <w:lang w:val="fr-FR"/>
        </w:rPr>
        <w:t>OMPI ne permettait pas de voir la répartition trimestrielle des données et a demandé s</w:t>
      </w:r>
      <w:r w:rsidR="009B7882" w:rsidRPr="00693E45">
        <w:rPr>
          <w:lang w:val="fr-FR"/>
        </w:rPr>
        <w:t>’</w:t>
      </w:r>
      <w:r w:rsidRPr="00693E45">
        <w:rPr>
          <w:lang w:val="fr-FR"/>
        </w:rPr>
        <w:t>il était possible de rétablir cette fonction.</w:t>
      </w:r>
    </w:p>
    <w:p w14:paraId="12D6A31B" w14:textId="667DAD4B" w:rsidR="007F3D49" w:rsidRPr="00693E45" w:rsidRDefault="00945B8A" w:rsidP="00CB4729">
      <w:pPr>
        <w:pStyle w:val="ONUMFS"/>
        <w:rPr>
          <w:lang w:val="fr-FR"/>
        </w:rPr>
      </w:pPr>
      <w:r w:rsidRPr="00693E45">
        <w:rPr>
          <w:lang w:val="fr-FR"/>
        </w:rPr>
        <w:t>Plusieurs administrations ont fait part de leur intérêt concernant les possibilités qu</w:t>
      </w:r>
      <w:r w:rsidR="009B7882" w:rsidRPr="00693E45">
        <w:rPr>
          <w:lang w:val="fr-FR"/>
        </w:rPr>
        <w:t>’</w:t>
      </w:r>
      <w:r w:rsidRPr="00693E45">
        <w:rPr>
          <w:lang w:val="fr-FR"/>
        </w:rPr>
        <w:t>offrirait une base de données des citations</w:t>
      </w:r>
      <w:r w:rsidR="009B7882" w:rsidRPr="00693E45">
        <w:rPr>
          <w:lang w:val="fr-FR"/>
        </w:rPr>
        <w:t xml:space="preserve"> du PCT</w:t>
      </w:r>
      <w:r w:rsidRPr="00693E45">
        <w:rPr>
          <w:lang w:val="fr-FR"/>
        </w:rPr>
        <w:t xml:space="preserve">, </w:t>
      </w:r>
      <w:r w:rsidR="0093522E" w:rsidRPr="00693E45">
        <w:rPr>
          <w:lang w:val="fr-FR"/>
        </w:rPr>
        <w:t>tant en ce qui concerne l</w:t>
      </w:r>
      <w:r w:rsidR="009B7882" w:rsidRPr="00693E45">
        <w:rPr>
          <w:lang w:val="fr-FR"/>
        </w:rPr>
        <w:t>’</w:t>
      </w:r>
      <w:r w:rsidR="0093522E" w:rsidRPr="00693E45">
        <w:rPr>
          <w:lang w:val="fr-FR"/>
        </w:rPr>
        <w:t>accès à des rapports de caractéristiques actualisés que parce qu</w:t>
      </w:r>
      <w:r w:rsidR="009B7882" w:rsidRPr="00693E45">
        <w:rPr>
          <w:lang w:val="fr-FR"/>
        </w:rPr>
        <w:t>’</w:t>
      </w:r>
      <w:r w:rsidR="0093522E" w:rsidRPr="00693E45">
        <w:rPr>
          <w:lang w:val="fr-FR"/>
        </w:rPr>
        <w:t>elle permettrait de bénéficier d</w:t>
      </w:r>
      <w:r w:rsidR="009B7882" w:rsidRPr="00693E45">
        <w:rPr>
          <w:lang w:val="fr-FR"/>
        </w:rPr>
        <w:t>’</w:t>
      </w:r>
      <w:r w:rsidR="0093522E" w:rsidRPr="00693E45">
        <w:rPr>
          <w:lang w:val="fr-FR"/>
        </w:rPr>
        <w:t>autres fonctions liées au traitement</w:t>
      </w:r>
      <w:r w:rsidRPr="00693E45">
        <w:rPr>
          <w:lang w:val="fr-FR"/>
        </w:rPr>
        <w:t xml:space="preserve"> </w:t>
      </w:r>
      <w:r w:rsidR="0093522E" w:rsidRPr="00693E45">
        <w:rPr>
          <w:lang w:val="fr-FR"/>
        </w:rPr>
        <w:t>de demandes internationales déterminé</w:t>
      </w:r>
      <w:r w:rsidR="003D2437" w:rsidRPr="00693E45">
        <w:rPr>
          <w:lang w:val="fr-FR"/>
        </w:rPr>
        <w:t>es.  Ce</w:t>
      </w:r>
      <w:r w:rsidR="0093522E" w:rsidRPr="00693E45">
        <w:rPr>
          <w:lang w:val="fr-FR"/>
        </w:rPr>
        <w:t xml:space="preserve">s administrations ont demandé au Bureau international de les tenir informées </w:t>
      </w:r>
      <w:r w:rsidR="00743257" w:rsidRPr="00693E45">
        <w:rPr>
          <w:lang w:val="fr-FR"/>
        </w:rPr>
        <w:t xml:space="preserve">et de les consulter concernant </w:t>
      </w:r>
      <w:r w:rsidR="0093522E" w:rsidRPr="00693E45">
        <w:rPr>
          <w:lang w:val="fr-FR"/>
        </w:rPr>
        <w:t>l</w:t>
      </w:r>
      <w:r w:rsidR="007F0D9A" w:rsidRPr="00693E45">
        <w:rPr>
          <w:lang w:val="fr-FR"/>
        </w:rPr>
        <w:t xml:space="preserve">es </w:t>
      </w:r>
      <w:r w:rsidR="0093522E" w:rsidRPr="00693E45">
        <w:rPr>
          <w:lang w:val="fr-FR"/>
        </w:rPr>
        <w:t>évolution</w:t>
      </w:r>
      <w:r w:rsidR="007F0D9A" w:rsidRPr="00693E45">
        <w:rPr>
          <w:lang w:val="fr-FR"/>
        </w:rPr>
        <w:t>s</w:t>
      </w:r>
      <w:r w:rsidR="0093522E" w:rsidRPr="00693E45">
        <w:rPr>
          <w:lang w:val="fr-FR"/>
        </w:rPr>
        <w:t xml:space="preserve"> </w:t>
      </w:r>
      <w:r w:rsidR="00743257" w:rsidRPr="00693E45">
        <w:rPr>
          <w:lang w:val="fr-FR"/>
        </w:rPr>
        <w:t>de cette questi</w:t>
      </w:r>
      <w:r w:rsidR="003D2437" w:rsidRPr="00693E45">
        <w:rPr>
          <w:lang w:val="fr-FR"/>
        </w:rPr>
        <w:t>on.  Le</w:t>
      </w:r>
      <w:r w:rsidR="00743257" w:rsidRPr="00693E45">
        <w:rPr>
          <w:lang w:val="fr-FR"/>
        </w:rPr>
        <w:t xml:space="preserve"> Bureau international a observé que cela pouvait se faire </w:t>
      </w:r>
      <w:r w:rsidR="00DC6F89" w:rsidRPr="00693E45">
        <w:rPr>
          <w:lang w:val="fr-FR"/>
        </w:rPr>
        <w:t>au sein</w:t>
      </w:r>
      <w:r w:rsidR="00743257" w:rsidRPr="00693E45">
        <w:rPr>
          <w:lang w:val="fr-FR"/>
        </w:rPr>
        <w:t xml:space="preserve"> du </w:t>
      </w:r>
      <w:r w:rsidR="0091379C" w:rsidRPr="00693E45">
        <w:rPr>
          <w:lang w:val="fr-FR"/>
        </w:rPr>
        <w:t>Groupe</w:t>
      </w:r>
      <w:r w:rsidR="00743257" w:rsidRPr="00693E45">
        <w:rPr>
          <w:lang w:val="fr-FR"/>
        </w:rPr>
        <w:t xml:space="preserve"> de travail</w:t>
      </w:r>
      <w:r w:rsidR="009B7882" w:rsidRPr="00693E45">
        <w:rPr>
          <w:lang w:val="fr-FR"/>
        </w:rPr>
        <w:t xml:space="preserve"> du PCT</w:t>
      </w:r>
      <w:r w:rsidR="00743257" w:rsidRPr="00693E45">
        <w:rPr>
          <w:lang w:val="fr-FR"/>
        </w:rPr>
        <w:t>, au moyen de circulaires</w:t>
      </w:r>
      <w:r w:rsidR="009B7882" w:rsidRPr="00693E45">
        <w:rPr>
          <w:lang w:val="fr-FR"/>
        </w:rPr>
        <w:t xml:space="preserve"> du PCT</w:t>
      </w:r>
      <w:r w:rsidR="00743257" w:rsidRPr="00693E45">
        <w:rPr>
          <w:lang w:val="fr-FR"/>
        </w:rPr>
        <w:t xml:space="preserve">, </w:t>
      </w:r>
      <w:r w:rsidR="00DC6F89" w:rsidRPr="00693E45">
        <w:rPr>
          <w:lang w:val="fr-FR"/>
        </w:rPr>
        <w:t>par l</w:t>
      </w:r>
      <w:r w:rsidR="009B7882" w:rsidRPr="00693E45">
        <w:rPr>
          <w:lang w:val="fr-FR"/>
        </w:rPr>
        <w:t>’</w:t>
      </w:r>
      <w:r w:rsidR="00DC6F89" w:rsidRPr="00693E45">
        <w:rPr>
          <w:lang w:val="fr-FR"/>
        </w:rPr>
        <w:t>intermédiaire du wiki du sous</w:t>
      </w:r>
      <w:r w:rsidR="00CB4729" w:rsidRPr="00693E45">
        <w:rPr>
          <w:lang w:val="fr-FR"/>
        </w:rPr>
        <w:noBreakHyphen/>
      </w:r>
      <w:r w:rsidR="00DC6F89" w:rsidRPr="00693E45">
        <w:rPr>
          <w:lang w:val="fr-FR"/>
        </w:rPr>
        <w:t>groupe</w:t>
      </w:r>
      <w:r w:rsidR="00743257" w:rsidRPr="00693E45">
        <w:rPr>
          <w:lang w:val="fr-FR"/>
        </w:rPr>
        <w:t xml:space="preserve"> </w:t>
      </w:r>
      <w:r w:rsidR="00DC6F89" w:rsidRPr="00693E45">
        <w:rPr>
          <w:lang w:val="fr-FR"/>
        </w:rPr>
        <w:lastRenderedPageBreak/>
        <w:t>ou dans le cadre de prochaines sessions du sous</w:t>
      </w:r>
      <w:r w:rsidR="00CB4729" w:rsidRPr="00693E45">
        <w:rPr>
          <w:lang w:val="fr-FR"/>
        </w:rPr>
        <w:noBreakHyphen/>
      </w:r>
      <w:r w:rsidR="00DC6F89" w:rsidRPr="00693E45">
        <w:rPr>
          <w:lang w:val="fr-FR"/>
        </w:rPr>
        <w:t>groupe,</w:t>
      </w:r>
      <w:r w:rsidR="00172315" w:rsidRPr="00693E45">
        <w:rPr>
          <w:lang w:val="fr-FR"/>
        </w:rPr>
        <w:t xml:space="preserve"> selon les progrès accomplis et les questions concernées.</w:t>
      </w:r>
    </w:p>
    <w:p w14:paraId="4F3BEFD7" w14:textId="5CD3B451" w:rsidR="007F3D49" w:rsidRPr="00693E45" w:rsidRDefault="00172315" w:rsidP="00CB4729">
      <w:pPr>
        <w:pStyle w:val="ONUMFS"/>
        <w:rPr>
          <w:lang w:val="fr-FR"/>
        </w:rPr>
      </w:pPr>
      <w:r w:rsidRPr="00693E45">
        <w:rPr>
          <w:lang w:val="fr-FR"/>
        </w:rPr>
        <w:t>S</w:t>
      </w:r>
      <w:r w:rsidR="009B7882" w:rsidRPr="00693E45">
        <w:rPr>
          <w:lang w:val="fr-FR"/>
        </w:rPr>
        <w:t>’</w:t>
      </w:r>
      <w:r w:rsidRPr="00693E45">
        <w:rPr>
          <w:lang w:val="fr-FR"/>
        </w:rPr>
        <w:t>agissant de délibérations futures sur cette question, il a été constaté</w:t>
      </w:r>
      <w:r w:rsidR="0066609C" w:rsidRPr="00693E45">
        <w:rPr>
          <w:lang w:val="fr-FR"/>
        </w:rPr>
        <w:t xml:space="preserve"> </w:t>
      </w:r>
      <w:r w:rsidR="00261A11" w:rsidRPr="00693E45">
        <w:rPr>
          <w:lang w:val="fr-FR"/>
        </w:rPr>
        <w:t xml:space="preserve">que </w:t>
      </w:r>
      <w:r w:rsidR="00BA0AE0" w:rsidRPr="00693E45">
        <w:rPr>
          <w:lang w:val="fr-FR"/>
        </w:rPr>
        <w:t xml:space="preserve">peu de progrès avaient été </w:t>
      </w:r>
      <w:r w:rsidR="00261A11" w:rsidRPr="00693E45">
        <w:rPr>
          <w:lang w:val="fr-FR"/>
        </w:rPr>
        <w:t>accomplis</w:t>
      </w:r>
      <w:r w:rsidR="00BA0AE0" w:rsidRPr="00693E45">
        <w:rPr>
          <w:lang w:val="fr-FR"/>
        </w:rPr>
        <w:t xml:space="preserve"> concernant </w:t>
      </w:r>
      <w:r w:rsidR="0066609C" w:rsidRPr="00693E45">
        <w:rPr>
          <w:lang w:val="fr-FR"/>
        </w:rPr>
        <w:t>l</w:t>
      </w:r>
      <w:r w:rsidR="009B7882" w:rsidRPr="00693E45">
        <w:rPr>
          <w:lang w:val="fr-FR"/>
        </w:rPr>
        <w:t>’</w:t>
      </w:r>
      <w:r w:rsidR="0066609C" w:rsidRPr="00693E45">
        <w:rPr>
          <w:lang w:val="fr-FR"/>
        </w:rPr>
        <w:t>élaboration d</w:t>
      </w:r>
      <w:r w:rsidR="009B7882" w:rsidRPr="00693E45">
        <w:rPr>
          <w:lang w:val="fr-FR"/>
        </w:rPr>
        <w:t>’</w:t>
      </w:r>
      <w:r w:rsidR="0066609C" w:rsidRPr="00693E45">
        <w:rPr>
          <w:lang w:val="fr-FR"/>
        </w:rPr>
        <w:t>indicateu</w:t>
      </w:r>
      <w:r w:rsidR="003D2437" w:rsidRPr="00693E45">
        <w:rPr>
          <w:lang w:val="fr-FR"/>
        </w:rPr>
        <w:t>rs.  Ce</w:t>
      </w:r>
      <w:r w:rsidR="00BA0AE0" w:rsidRPr="00693E45">
        <w:rPr>
          <w:lang w:val="fr-FR"/>
        </w:rPr>
        <w:t>rtaines administrations ont cependant fait part de leur désir de voir maintenir ce sujet à l</w:t>
      </w:r>
      <w:r w:rsidR="009B7882" w:rsidRPr="00693E45">
        <w:rPr>
          <w:lang w:val="fr-FR"/>
        </w:rPr>
        <w:t>’</w:t>
      </w:r>
      <w:r w:rsidR="00BA0AE0" w:rsidRPr="00693E45">
        <w:rPr>
          <w:lang w:val="fr-FR"/>
        </w:rPr>
        <w:t>ordre du jo</w:t>
      </w:r>
      <w:r w:rsidR="003D2437" w:rsidRPr="00693E45">
        <w:rPr>
          <w:lang w:val="fr-FR"/>
        </w:rPr>
        <w:t>ur.  Le</w:t>
      </w:r>
      <w:r w:rsidR="00B309ED" w:rsidRPr="00693E45">
        <w:rPr>
          <w:lang w:val="fr-FR"/>
        </w:rPr>
        <w:t xml:space="preserve"> Bureau international a observé que si l</w:t>
      </w:r>
      <w:r w:rsidR="009B7882" w:rsidRPr="00693E45">
        <w:rPr>
          <w:lang w:val="fr-FR"/>
        </w:rPr>
        <w:t>’</w:t>
      </w:r>
      <w:r w:rsidR="00B309ED" w:rsidRPr="00693E45">
        <w:rPr>
          <w:lang w:val="fr-FR"/>
        </w:rPr>
        <w:t>élaboration de nouveaux systèmes d</w:t>
      </w:r>
      <w:r w:rsidR="009B7882" w:rsidRPr="00693E45">
        <w:rPr>
          <w:lang w:val="fr-FR"/>
        </w:rPr>
        <w:t>’</w:t>
      </w:r>
      <w:r w:rsidR="00B309ED" w:rsidRPr="00693E45">
        <w:rPr>
          <w:lang w:val="fr-FR"/>
        </w:rPr>
        <w:t>établissement de rapports de caractéristiques au cours des 12</w:t>
      </w:r>
      <w:r w:rsidR="00C6045B" w:rsidRPr="00693E45">
        <w:rPr>
          <w:lang w:val="fr-FR"/>
        </w:rPr>
        <w:t> </w:t>
      </w:r>
      <w:r w:rsidR="00B309ED" w:rsidRPr="00693E45">
        <w:rPr>
          <w:lang w:val="fr-FR"/>
        </w:rPr>
        <w:t>prochains mois était chose peu probable, des progrès étaient attendus sur des systèmes s</w:t>
      </w:r>
      <w:r w:rsidR="009B7882" w:rsidRPr="00693E45">
        <w:rPr>
          <w:lang w:val="fr-FR"/>
        </w:rPr>
        <w:t>’</w:t>
      </w:r>
      <w:r w:rsidR="00B309ED" w:rsidRPr="00693E45">
        <w:rPr>
          <w:lang w:val="fr-FR"/>
        </w:rPr>
        <w:t>y rattachant, notamment une base de données de citatio</w:t>
      </w:r>
      <w:r w:rsidR="003D2437" w:rsidRPr="00693E45">
        <w:rPr>
          <w:lang w:val="fr-FR"/>
        </w:rPr>
        <w:t>ns.  Le</w:t>
      </w:r>
      <w:r w:rsidR="00B309ED" w:rsidRPr="00693E45">
        <w:rPr>
          <w:lang w:val="fr-FR"/>
        </w:rPr>
        <w:t xml:space="preserve"> Bureau international a indiqué qu</w:t>
      </w:r>
      <w:r w:rsidR="009B7882" w:rsidRPr="00693E45">
        <w:rPr>
          <w:lang w:val="fr-FR"/>
        </w:rPr>
        <w:t>’</w:t>
      </w:r>
      <w:r w:rsidR="00B309ED" w:rsidRPr="00693E45">
        <w:rPr>
          <w:lang w:val="fr-FR"/>
        </w:rPr>
        <w:t>il serait probablement souhaitable</w:t>
      </w:r>
      <w:r w:rsidR="00783F5C" w:rsidRPr="00693E45">
        <w:rPr>
          <w:lang w:val="fr-FR"/>
        </w:rPr>
        <w:t xml:space="preserve"> d</w:t>
      </w:r>
      <w:r w:rsidR="009B7882" w:rsidRPr="00693E45">
        <w:rPr>
          <w:lang w:val="fr-FR"/>
        </w:rPr>
        <w:t>’</w:t>
      </w:r>
      <w:r w:rsidR="00783F5C" w:rsidRPr="00693E45">
        <w:rPr>
          <w:lang w:val="fr-FR"/>
        </w:rPr>
        <w:t>ajouter un point sur cette question à l</w:t>
      </w:r>
      <w:r w:rsidR="009B7882" w:rsidRPr="00693E45">
        <w:rPr>
          <w:lang w:val="fr-FR"/>
        </w:rPr>
        <w:t>’</w:t>
      </w:r>
      <w:r w:rsidR="00783F5C" w:rsidRPr="00693E45">
        <w:rPr>
          <w:lang w:val="fr-FR"/>
        </w:rPr>
        <w:t>ordre du jour de la prochaine session, mais que</w:t>
      </w:r>
      <w:r w:rsidR="00F52C21" w:rsidRPr="00693E45">
        <w:rPr>
          <w:lang w:val="fr-FR"/>
        </w:rPr>
        <w:t xml:space="preserve"> sa portée serait déterminée par</w:t>
      </w:r>
      <w:r w:rsidR="00B309ED" w:rsidRPr="00693E45">
        <w:rPr>
          <w:lang w:val="fr-FR"/>
        </w:rPr>
        <w:t xml:space="preserve"> </w:t>
      </w:r>
      <w:r w:rsidR="00F52C21" w:rsidRPr="00693E45">
        <w:rPr>
          <w:lang w:val="fr-FR"/>
        </w:rPr>
        <w:t>les évolutions qui seront intervenues entre</w:t>
      </w:r>
      <w:r w:rsidR="00CB4729" w:rsidRPr="00693E45">
        <w:rPr>
          <w:lang w:val="fr-FR"/>
        </w:rPr>
        <w:noBreakHyphen/>
      </w:r>
      <w:r w:rsidR="00F52C21" w:rsidRPr="00693E45">
        <w:rPr>
          <w:lang w:val="fr-FR"/>
        </w:rPr>
        <w:t>temps.</w:t>
      </w:r>
    </w:p>
    <w:p w14:paraId="496CEB50" w14:textId="22794384" w:rsidR="007F3D49" w:rsidRPr="00693E45" w:rsidRDefault="007F3D49" w:rsidP="00FB09DD">
      <w:pPr>
        <w:pStyle w:val="ONUMFS"/>
        <w:ind w:left="567"/>
        <w:rPr>
          <w:lang w:val="fr-FR"/>
        </w:rPr>
      </w:pPr>
      <w:r w:rsidRPr="00693E45">
        <w:rPr>
          <w:lang w:val="fr-FR"/>
        </w:rPr>
        <w:t>Le sous</w:t>
      </w:r>
      <w:r w:rsidR="00CB4729" w:rsidRPr="00693E45">
        <w:rPr>
          <w:lang w:val="fr-FR"/>
        </w:rPr>
        <w:noBreakHyphen/>
      </w:r>
      <w:r w:rsidRPr="00693E45">
        <w:rPr>
          <w:lang w:val="fr-FR"/>
        </w:rPr>
        <w:t>groupe a recommandé que</w:t>
      </w:r>
      <w:r w:rsidR="009B7882" w:rsidRPr="00693E45">
        <w:rPr>
          <w:lang w:val="fr-FR"/>
        </w:rPr>
        <w:t> :</w:t>
      </w:r>
    </w:p>
    <w:p w14:paraId="728C3E97" w14:textId="772E11AE" w:rsidR="007F3D49" w:rsidRPr="00693E45" w:rsidRDefault="000E6C6B" w:rsidP="00FB09DD">
      <w:pPr>
        <w:pStyle w:val="ONUMFS"/>
        <w:numPr>
          <w:ilvl w:val="1"/>
          <w:numId w:val="6"/>
        </w:numPr>
        <w:tabs>
          <w:tab w:val="clear" w:pos="1134"/>
          <w:tab w:val="num" w:pos="1701"/>
        </w:tabs>
        <w:ind w:left="1134"/>
        <w:rPr>
          <w:lang w:val="fr-FR"/>
        </w:rPr>
      </w:pPr>
      <w:proofErr w:type="gramStart"/>
      <w:r w:rsidRPr="00693E45">
        <w:rPr>
          <w:lang w:val="fr-FR"/>
        </w:rPr>
        <w:t>le</w:t>
      </w:r>
      <w:proofErr w:type="gramEnd"/>
      <w:r w:rsidRPr="00693E45">
        <w:rPr>
          <w:lang w:val="fr-FR"/>
        </w:rPr>
        <w:t xml:space="preserve"> Bureau international continue à établir des rapports annuels sur les caractéristiques des rapports de recherche internationale</w:t>
      </w:r>
      <w:r w:rsidR="007F3D49" w:rsidRPr="00693E45">
        <w:rPr>
          <w:lang w:val="fr-FR"/>
        </w:rPr>
        <w:t xml:space="preserve">;  </w:t>
      </w:r>
      <w:r w:rsidRPr="00693E45">
        <w:rPr>
          <w:lang w:val="fr-FR"/>
        </w:rPr>
        <w:t>et</w:t>
      </w:r>
    </w:p>
    <w:p w14:paraId="094A2197" w14:textId="5E7B9B6C" w:rsidR="007F3D49" w:rsidRPr="00693E45" w:rsidRDefault="00335B36" w:rsidP="00FB09DD">
      <w:pPr>
        <w:pStyle w:val="ONUMFS"/>
        <w:numPr>
          <w:ilvl w:val="1"/>
          <w:numId w:val="6"/>
        </w:numPr>
        <w:tabs>
          <w:tab w:val="clear" w:pos="1134"/>
          <w:tab w:val="num" w:pos="1701"/>
        </w:tabs>
        <w:ind w:left="1134"/>
        <w:rPr>
          <w:lang w:val="fr-FR"/>
        </w:rPr>
      </w:pPr>
      <w:proofErr w:type="gramStart"/>
      <w:r w:rsidRPr="00693E45">
        <w:rPr>
          <w:lang w:val="fr-FR"/>
        </w:rPr>
        <w:t>le</w:t>
      </w:r>
      <w:proofErr w:type="gramEnd"/>
      <w:r w:rsidRPr="00693E45">
        <w:rPr>
          <w:lang w:val="fr-FR"/>
        </w:rPr>
        <w:t xml:space="preserve"> Bureau international informe et consulte les offices, les administrations internationales et les États contractants concernant les questions relatives à l</w:t>
      </w:r>
      <w:r w:rsidR="009B7882" w:rsidRPr="00693E45">
        <w:rPr>
          <w:lang w:val="fr-FR"/>
        </w:rPr>
        <w:t>’</w:t>
      </w:r>
      <w:r w:rsidRPr="00693E45">
        <w:rPr>
          <w:lang w:val="fr-FR"/>
        </w:rPr>
        <w:t>éventuelle élaboration d</w:t>
      </w:r>
      <w:r w:rsidR="009B7882" w:rsidRPr="00693E45">
        <w:rPr>
          <w:lang w:val="fr-FR"/>
        </w:rPr>
        <w:t>’</w:t>
      </w:r>
      <w:r w:rsidRPr="00693E45">
        <w:rPr>
          <w:lang w:val="fr-FR"/>
        </w:rPr>
        <w:t>une base de données de citations</w:t>
      </w:r>
      <w:r w:rsidR="009B7882" w:rsidRPr="00693E45">
        <w:rPr>
          <w:lang w:val="fr-FR"/>
        </w:rPr>
        <w:t xml:space="preserve"> du PCT</w:t>
      </w:r>
      <w:r w:rsidRPr="00693E45">
        <w:rPr>
          <w:lang w:val="fr-FR"/>
        </w:rPr>
        <w:t xml:space="preserve"> </w:t>
      </w:r>
      <w:r w:rsidR="00CC39F1" w:rsidRPr="00693E45">
        <w:rPr>
          <w:lang w:val="fr-FR"/>
        </w:rPr>
        <w:t>et à ses utilisations possibles pour de futurs rapports de caractéristiques et d</w:t>
      </w:r>
      <w:r w:rsidR="009B7882" w:rsidRPr="00693E45">
        <w:rPr>
          <w:lang w:val="fr-FR"/>
        </w:rPr>
        <w:t>’</w:t>
      </w:r>
      <w:r w:rsidR="00CC39F1" w:rsidRPr="00693E45">
        <w:rPr>
          <w:lang w:val="fr-FR"/>
        </w:rPr>
        <w:t>autres usages.</w:t>
      </w:r>
    </w:p>
    <w:p w14:paraId="7BF765B5" w14:textId="667763CC" w:rsidR="007F3D49" w:rsidRPr="00693E45" w:rsidRDefault="007F3D49" w:rsidP="00FB09DD">
      <w:pPr>
        <w:pStyle w:val="Heading1"/>
        <w:tabs>
          <w:tab w:val="left" w:pos="567"/>
        </w:tabs>
        <w:rPr>
          <w:lang w:val="fr-FR"/>
        </w:rPr>
      </w:pPr>
      <w:r w:rsidRPr="00693E45">
        <w:rPr>
          <w:lang w:val="fr-FR"/>
        </w:rPr>
        <w:t>4.</w:t>
      </w:r>
      <w:r w:rsidR="00FB09DD" w:rsidRPr="00693E45">
        <w:rPr>
          <w:lang w:val="fr-FR"/>
        </w:rPr>
        <w:tab/>
        <w:t>I</w:t>
      </w:r>
      <w:r w:rsidR="00017CB3" w:rsidRPr="00693E45">
        <w:rPr>
          <w:lang w:val="fr-FR"/>
        </w:rPr>
        <w:t>ndicateurs relatifs</w:t>
      </w:r>
      <w:r w:rsidR="009B7882" w:rsidRPr="00693E45">
        <w:rPr>
          <w:lang w:val="fr-FR"/>
        </w:rPr>
        <w:t xml:space="preserve"> au PCT</w:t>
      </w:r>
    </w:p>
    <w:p w14:paraId="5D05D85F" w14:textId="3C213995" w:rsidR="007F3D49" w:rsidRPr="00693E45" w:rsidRDefault="00D27643" w:rsidP="00CB4729">
      <w:pPr>
        <w:pStyle w:val="ONUMFS"/>
        <w:rPr>
          <w:lang w:val="fr-FR"/>
        </w:rPr>
      </w:pPr>
      <w:r w:rsidRPr="00693E45">
        <w:rPr>
          <w:lang w:val="fr-FR"/>
        </w:rPr>
        <w:t xml:space="preserve">Les administrations </w:t>
      </w:r>
      <w:r w:rsidR="00F74771" w:rsidRPr="00693E45">
        <w:rPr>
          <w:lang w:val="fr-FR"/>
        </w:rPr>
        <w:t>se s</w:t>
      </w:r>
      <w:r w:rsidRPr="00693E45">
        <w:rPr>
          <w:lang w:val="fr-FR"/>
        </w:rPr>
        <w:t xml:space="preserve">ont </w:t>
      </w:r>
      <w:r w:rsidR="00816B45" w:rsidRPr="00693E45">
        <w:rPr>
          <w:lang w:val="fr-FR"/>
        </w:rPr>
        <w:t>dites favorables à</w:t>
      </w:r>
      <w:r w:rsidRPr="00693E45">
        <w:rPr>
          <w:lang w:val="fr-FR"/>
        </w:rPr>
        <w:t xml:space="preserve"> </w:t>
      </w:r>
      <w:r w:rsidR="002E37AF" w:rsidRPr="00693E45">
        <w:rPr>
          <w:lang w:val="fr-FR"/>
        </w:rPr>
        <w:t>l</w:t>
      </w:r>
      <w:r w:rsidR="009B7882" w:rsidRPr="00693E45">
        <w:rPr>
          <w:lang w:val="fr-FR"/>
        </w:rPr>
        <w:t>’</w:t>
      </w:r>
      <w:r w:rsidR="002E37AF" w:rsidRPr="00693E45">
        <w:rPr>
          <w:lang w:val="fr-FR"/>
        </w:rPr>
        <w:t>élargissement de l</w:t>
      </w:r>
      <w:r w:rsidR="009B7882" w:rsidRPr="00693E45">
        <w:rPr>
          <w:lang w:val="fr-FR"/>
        </w:rPr>
        <w:t>’</w:t>
      </w:r>
      <w:r w:rsidR="002E37AF" w:rsidRPr="00693E45">
        <w:rPr>
          <w:lang w:val="fr-FR"/>
        </w:rPr>
        <w:t>éventail des rapports mis à la disposition des offices récepteurs et des administrations internationales par l</w:t>
      </w:r>
      <w:r w:rsidR="009B7882" w:rsidRPr="00693E45">
        <w:rPr>
          <w:lang w:val="fr-FR"/>
        </w:rPr>
        <w:t>’</w:t>
      </w:r>
      <w:r w:rsidR="002E37AF" w:rsidRPr="00693E45">
        <w:rPr>
          <w:lang w:val="fr-FR"/>
        </w:rPr>
        <w:t xml:space="preserve">intermédiaire du système </w:t>
      </w:r>
      <w:proofErr w:type="spellStart"/>
      <w:r w:rsidR="002E37AF" w:rsidRPr="00693E45">
        <w:rPr>
          <w:lang w:val="fr-FR"/>
        </w:rPr>
        <w:t>ePCT</w:t>
      </w:r>
      <w:proofErr w:type="spellEnd"/>
      <w:r w:rsidR="002E37AF" w:rsidRPr="00693E45">
        <w:rPr>
          <w:lang w:val="fr-FR"/>
        </w:rPr>
        <w:t>, et en particulier</w:t>
      </w:r>
      <w:r w:rsidR="00F74771" w:rsidRPr="00693E45">
        <w:rPr>
          <w:lang w:val="fr-FR"/>
        </w:rPr>
        <w:t xml:space="preserve"> </w:t>
      </w:r>
      <w:r w:rsidR="00816B45" w:rsidRPr="00693E45">
        <w:rPr>
          <w:lang w:val="fr-FR"/>
        </w:rPr>
        <w:t>à</w:t>
      </w:r>
      <w:r w:rsidR="002E37AF" w:rsidRPr="00693E45">
        <w:rPr>
          <w:lang w:val="fr-FR"/>
        </w:rPr>
        <w:t xml:space="preserve"> l</w:t>
      </w:r>
      <w:r w:rsidR="009B7882" w:rsidRPr="00693E45">
        <w:rPr>
          <w:lang w:val="fr-FR"/>
        </w:rPr>
        <w:t>’</w:t>
      </w:r>
      <w:r w:rsidR="002E37AF" w:rsidRPr="00693E45">
        <w:rPr>
          <w:lang w:val="fr-FR"/>
        </w:rPr>
        <w:t xml:space="preserve">instauration </w:t>
      </w:r>
      <w:r w:rsidR="00514E72" w:rsidRPr="00693E45">
        <w:rPr>
          <w:lang w:val="fr-FR"/>
        </w:rPr>
        <w:t>d</w:t>
      </w:r>
      <w:r w:rsidR="009B7882" w:rsidRPr="00693E45">
        <w:rPr>
          <w:lang w:val="fr-FR"/>
        </w:rPr>
        <w:t>’</w:t>
      </w:r>
      <w:r w:rsidR="00514E72" w:rsidRPr="00693E45">
        <w:rPr>
          <w:lang w:val="fr-FR"/>
        </w:rPr>
        <w:t>un système d</w:t>
      </w:r>
      <w:r w:rsidR="009B7882" w:rsidRPr="00693E45">
        <w:rPr>
          <w:lang w:val="fr-FR"/>
        </w:rPr>
        <w:t>’</w:t>
      </w:r>
      <w:r w:rsidR="00514E72" w:rsidRPr="00693E45">
        <w:rPr>
          <w:lang w:val="fr-FR"/>
        </w:rPr>
        <w:t>envoi de rapports sans sollicitati</w:t>
      </w:r>
      <w:r w:rsidR="003D2437" w:rsidRPr="00693E45">
        <w:rPr>
          <w:lang w:val="fr-FR"/>
        </w:rPr>
        <w:t>on.  La</w:t>
      </w:r>
      <w:r w:rsidR="00514E72" w:rsidRPr="00693E45">
        <w:rPr>
          <w:lang w:val="fr-FR"/>
        </w:rPr>
        <w:t xml:space="preserve"> notification de rapports </w:t>
      </w:r>
      <w:r w:rsidR="00771584" w:rsidRPr="00693E45">
        <w:rPr>
          <w:lang w:val="fr-FR"/>
        </w:rPr>
        <w:t xml:space="preserve">présentait le double avantage </w:t>
      </w:r>
      <w:r w:rsidR="00255BCE" w:rsidRPr="00693E45">
        <w:rPr>
          <w:lang w:val="fr-FR"/>
        </w:rPr>
        <w:t>de faciliter l</w:t>
      </w:r>
      <w:r w:rsidR="009B7882" w:rsidRPr="00693E45">
        <w:rPr>
          <w:lang w:val="fr-FR"/>
        </w:rPr>
        <w:t>’</w:t>
      </w:r>
      <w:r w:rsidR="00255BCE" w:rsidRPr="00693E45">
        <w:rPr>
          <w:lang w:val="fr-FR"/>
        </w:rPr>
        <w:t xml:space="preserve">accès </w:t>
      </w:r>
      <w:r w:rsidR="00F74771" w:rsidRPr="00693E45">
        <w:rPr>
          <w:lang w:val="fr-FR"/>
        </w:rPr>
        <w:t>aux</w:t>
      </w:r>
      <w:r w:rsidR="00255BCE" w:rsidRPr="00693E45">
        <w:rPr>
          <w:lang w:val="fr-FR"/>
        </w:rPr>
        <w:t xml:space="preserve"> informations pertinentes et de favoriser une meilleure sensibilisation à l</w:t>
      </w:r>
      <w:r w:rsidR="009B7882" w:rsidRPr="00693E45">
        <w:rPr>
          <w:lang w:val="fr-FR"/>
        </w:rPr>
        <w:t>’</w:t>
      </w:r>
      <w:r w:rsidR="00255BCE" w:rsidRPr="00693E45">
        <w:rPr>
          <w:lang w:val="fr-FR"/>
        </w:rPr>
        <w:t>existence des rapports et à leur utilité pour la gestion des services</w:t>
      </w:r>
      <w:r w:rsidR="009B7882" w:rsidRPr="00693E45">
        <w:rPr>
          <w:lang w:val="fr-FR"/>
        </w:rPr>
        <w:t xml:space="preserve"> du PCT</w:t>
      </w:r>
      <w:r w:rsidR="00255BCE" w:rsidRPr="00693E45">
        <w:rPr>
          <w:lang w:val="fr-FR"/>
        </w:rPr>
        <w:t xml:space="preserve"> par les offic</w:t>
      </w:r>
      <w:r w:rsidR="003D2437" w:rsidRPr="00693E45">
        <w:rPr>
          <w:lang w:val="fr-FR"/>
        </w:rPr>
        <w:t>es.  Pl</w:t>
      </w:r>
      <w:r w:rsidR="00224B8F" w:rsidRPr="00693E45">
        <w:rPr>
          <w:lang w:val="fr-FR"/>
        </w:rPr>
        <w:t xml:space="preserve">usieurs administrations </w:t>
      </w:r>
      <w:r w:rsidR="00020E1D" w:rsidRPr="00693E45">
        <w:rPr>
          <w:lang w:val="fr-FR"/>
        </w:rPr>
        <w:t>ont confirmé qu</w:t>
      </w:r>
      <w:r w:rsidR="009B7882" w:rsidRPr="00693E45">
        <w:rPr>
          <w:lang w:val="fr-FR"/>
        </w:rPr>
        <w:t>’</w:t>
      </w:r>
      <w:r w:rsidR="00020E1D" w:rsidRPr="00693E45">
        <w:rPr>
          <w:lang w:val="fr-FR"/>
        </w:rPr>
        <w:t>elles étaient favorables à une augmentation de la quantité d</w:t>
      </w:r>
      <w:r w:rsidR="009B7882" w:rsidRPr="00693E45">
        <w:rPr>
          <w:lang w:val="fr-FR"/>
        </w:rPr>
        <w:t>’</w:t>
      </w:r>
      <w:r w:rsidR="00020E1D" w:rsidRPr="00693E45">
        <w:rPr>
          <w:lang w:val="fr-FR"/>
        </w:rPr>
        <w:t>informations disponibles directement dans des notifications par courrier électroniq</w:t>
      </w:r>
      <w:r w:rsidR="003D2437" w:rsidRPr="00693E45">
        <w:rPr>
          <w:lang w:val="fr-FR"/>
        </w:rPr>
        <w:t>ue.  En</w:t>
      </w:r>
      <w:r w:rsidR="00020E1D" w:rsidRPr="00693E45">
        <w:rPr>
          <w:lang w:val="fr-FR"/>
        </w:rPr>
        <w:t xml:space="preserve"> réponse à une question, le Bureau international a indiqué </w:t>
      </w:r>
      <w:r w:rsidR="00816B45" w:rsidRPr="00693E45">
        <w:rPr>
          <w:lang w:val="fr-FR"/>
        </w:rPr>
        <w:t>qu</w:t>
      </w:r>
      <w:r w:rsidR="009B7882" w:rsidRPr="00693E45">
        <w:rPr>
          <w:lang w:val="fr-FR"/>
        </w:rPr>
        <w:t>’</w:t>
      </w:r>
      <w:r w:rsidR="00816B45" w:rsidRPr="00693E45">
        <w:rPr>
          <w:lang w:val="fr-FR"/>
        </w:rPr>
        <w:t>il n</w:t>
      </w:r>
      <w:r w:rsidR="009B7882" w:rsidRPr="00693E45">
        <w:rPr>
          <w:lang w:val="fr-FR"/>
        </w:rPr>
        <w:t>’</w:t>
      </w:r>
      <w:r w:rsidR="00816B45" w:rsidRPr="00693E45">
        <w:rPr>
          <w:lang w:val="fr-FR"/>
        </w:rPr>
        <w:t>avait pas pour l</w:t>
      </w:r>
      <w:r w:rsidR="009B7882" w:rsidRPr="00693E45">
        <w:rPr>
          <w:lang w:val="fr-FR"/>
        </w:rPr>
        <w:t>’</w:t>
      </w:r>
      <w:r w:rsidR="00816B45" w:rsidRPr="00693E45">
        <w:rPr>
          <w:lang w:val="fr-FR"/>
        </w:rPr>
        <w:t>instant de calendrier précis pour la mise en place d</w:t>
      </w:r>
      <w:r w:rsidR="009B7882" w:rsidRPr="00693E45">
        <w:rPr>
          <w:lang w:val="fr-FR"/>
        </w:rPr>
        <w:t>’</w:t>
      </w:r>
      <w:r w:rsidR="00816B45" w:rsidRPr="00693E45">
        <w:rPr>
          <w:lang w:val="fr-FR"/>
        </w:rPr>
        <w:t>un tel systè</w:t>
      </w:r>
      <w:r w:rsidR="003D2437" w:rsidRPr="00693E45">
        <w:rPr>
          <w:lang w:val="fr-FR"/>
        </w:rPr>
        <w:t>me.  L’o</w:t>
      </w:r>
      <w:r w:rsidR="00816B45" w:rsidRPr="00693E45">
        <w:rPr>
          <w:lang w:val="fr-FR"/>
        </w:rPr>
        <w:t>bjectif prioritaire était actuellement d</w:t>
      </w:r>
      <w:r w:rsidR="009B7882" w:rsidRPr="00693E45">
        <w:rPr>
          <w:lang w:val="fr-FR"/>
        </w:rPr>
        <w:t>’</w:t>
      </w:r>
      <w:r w:rsidR="00816B45" w:rsidRPr="00693E45">
        <w:rPr>
          <w:lang w:val="fr-FR"/>
        </w:rPr>
        <w:t>améliorer la qualité des données.</w:t>
      </w:r>
    </w:p>
    <w:p w14:paraId="444AAC06" w14:textId="6DF330E1" w:rsidR="007F3D49" w:rsidRPr="00693E45" w:rsidRDefault="00921AF6" w:rsidP="00CB4729">
      <w:pPr>
        <w:pStyle w:val="ONUMFS"/>
        <w:rPr>
          <w:lang w:val="fr-FR"/>
        </w:rPr>
      </w:pPr>
      <w:r w:rsidRPr="00693E45">
        <w:rPr>
          <w:lang w:val="fr-FR"/>
        </w:rPr>
        <w:t>Les administrations ont présenté dans les grandes lignes la manière dont elles utilis</w:t>
      </w:r>
      <w:r w:rsidR="0005677B" w:rsidRPr="00693E45">
        <w:rPr>
          <w:lang w:val="fr-FR"/>
        </w:rPr>
        <w:t>ai</w:t>
      </w:r>
      <w:r w:rsidRPr="00693E45">
        <w:rPr>
          <w:lang w:val="fr-FR"/>
        </w:rPr>
        <w:t>ent les rappor</w:t>
      </w:r>
      <w:r w:rsidR="003D2437" w:rsidRPr="00693E45">
        <w:rPr>
          <w:lang w:val="fr-FR"/>
        </w:rPr>
        <w:t>ts.  La</w:t>
      </w:r>
      <w:r w:rsidRPr="00693E45">
        <w:rPr>
          <w:lang w:val="fr-FR"/>
        </w:rPr>
        <w:t xml:space="preserve"> plupart des administrations avaient leur propre système d</w:t>
      </w:r>
      <w:r w:rsidR="009B7882" w:rsidRPr="00693E45">
        <w:rPr>
          <w:lang w:val="fr-FR"/>
        </w:rPr>
        <w:t>’</w:t>
      </w:r>
      <w:r w:rsidRPr="00693E45">
        <w:rPr>
          <w:lang w:val="fr-FR"/>
        </w:rPr>
        <w:t>élaboration des principaux indicateurs, en particulier ceux relatifs aux délais d</w:t>
      </w:r>
      <w:r w:rsidR="009B7882" w:rsidRPr="00693E45">
        <w:rPr>
          <w:lang w:val="fr-FR"/>
        </w:rPr>
        <w:t>’</w:t>
      </w:r>
      <w:r w:rsidRPr="00693E45">
        <w:rPr>
          <w:lang w:val="fr-FR"/>
        </w:rPr>
        <w:t>exécution des travaux et aux rapports en attente d</w:t>
      </w:r>
      <w:r w:rsidR="009B7882" w:rsidRPr="00693E45">
        <w:rPr>
          <w:lang w:val="fr-FR"/>
        </w:rPr>
        <w:t>’</w:t>
      </w:r>
      <w:r w:rsidRPr="00693E45">
        <w:rPr>
          <w:lang w:val="fr-FR"/>
        </w:rPr>
        <w:t>achèveme</w:t>
      </w:r>
      <w:r w:rsidR="003D2437" w:rsidRPr="00693E45">
        <w:rPr>
          <w:lang w:val="fr-FR"/>
        </w:rPr>
        <w:t>nt.  Le</w:t>
      </w:r>
      <w:r w:rsidR="00856156" w:rsidRPr="00693E45">
        <w:rPr>
          <w:lang w:val="fr-FR"/>
        </w:rPr>
        <w:t>s rapports disponibles par l</w:t>
      </w:r>
      <w:r w:rsidR="009B7882" w:rsidRPr="00693E45">
        <w:rPr>
          <w:lang w:val="fr-FR"/>
        </w:rPr>
        <w:t>’</w:t>
      </w:r>
      <w:r w:rsidR="00856156" w:rsidRPr="00693E45">
        <w:rPr>
          <w:lang w:val="fr-FR"/>
        </w:rPr>
        <w:t xml:space="preserve">intermédiaire du système </w:t>
      </w:r>
      <w:proofErr w:type="spellStart"/>
      <w:r w:rsidR="00856156" w:rsidRPr="00693E45">
        <w:rPr>
          <w:lang w:val="fr-FR"/>
        </w:rPr>
        <w:t>ePCT</w:t>
      </w:r>
      <w:proofErr w:type="spellEnd"/>
      <w:r w:rsidR="00856156" w:rsidRPr="00693E45">
        <w:rPr>
          <w:lang w:val="fr-FR"/>
        </w:rPr>
        <w:t xml:space="preserve"> </w:t>
      </w:r>
      <w:r w:rsidR="000F7758" w:rsidRPr="00693E45">
        <w:rPr>
          <w:lang w:val="fr-FR"/>
        </w:rPr>
        <w:t>étaient cependant utiles, car ils permettaient de vérifier par recoupement que les services fonctionnaient selon les attentes</w:t>
      </w:r>
      <w:r w:rsidR="00655F0B" w:rsidRPr="00693E45">
        <w:rPr>
          <w:lang w:val="fr-FR"/>
        </w:rPr>
        <w:t xml:space="preserve"> et qu</w:t>
      </w:r>
      <w:r w:rsidR="009B7882" w:rsidRPr="00693E45">
        <w:rPr>
          <w:lang w:val="fr-FR"/>
        </w:rPr>
        <w:t>’</w:t>
      </w:r>
      <w:r w:rsidR="00655F0B" w:rsidRPr="00693E45">
        <w:rPr>
          <w:lang w:val="fr-FR"/>
        </w:rPr>
        <w:t>aucune erreur significative n</w:t>
      </w:r>
      <w:r w:rsidR="009B7882" w:rsidRPr="00693E45">
        <w:rPr>
          <w:lang w:val="fr-FR"/>
        </w:rPr>
        <w:t>’</w:t>
      </w:r>
      <w:r w:rsidR="00655F0B" w:rsidRPr="00693E45">
        <w:rPr>
          <w:lang w:val="fr-FR"/>
        </w:rPr>
        <w:t>était introduite lors de la transcription des données</w:t>
      </w:r>
      <w:r w:rsidR="0070746F" w:rsidRPr="00693E45">
        <w:rPr>
          <w:lang w:val="fr-FR"/>
        </w:rPr>
        <w:t xml:space="preserve"> à partir de formulaires reçus en format image</w:t>
      </w:r>
      <w:r w:rsidR="00040E82" w:rsidRPr="00693E45">
        <w:rPr>
          <w:lang w:val="fr-FR"/>
        </w:rPr>
        <w:t xml:space="preserve"> par le Bureau internation</w:t>
      </w:r>
      <w:r w:rsidR="003D2437" w:rsidRPr="00693E45">
        <w:rPr>
          <w:lang w:val="fr-FR"/>
        </w:rPr>
        <w:t>al.  Ce</w:t>
      </w:r>
      <w:r w:rsidR="00040E82" w:rsidRPr="00693E45">
        <w:rPr>
          <w:lang w:val="fr-FR"/>
        </w:rPr>
        <w:t xml:space="preserve">t arrangement hybride avait pour résultat que certaines notifications du système </w:t>
      </w:r>
      <w:proofErr w:type="spellStart"/>
      <w:r w:rsidR="00040E82" w:rsidRPr="00693E45">
        <w:rPr>
          <w:lang w:val="fr-FR"/>
        </w:rPr>
        <w:t>ePCT</w:t>
      </w:r>
      <w:proofErr w:type="spellEnd"/>
      <w:r w:rsidR="00040E82" w:rsidRPr="00693E45">
        <w:rPr>
          <w:lang w:val="fr-FR"/>
        </w:rPr>
        <w:t xml:space="preserve"> n</w:t>
      </w:r>
      <w:r w:rsidR="009B7882" w:rsidRPr="00693E45">
        <w:rPr>
          <w:lang w:val="fr-FR"/>
        </w:rPr>
        <w:t>’</w:t>
      </w:r>
      <w:r w:rsidR="00040E82" w:rsidRPr="00693E45">
        <w:rPr>
          <w:lang w:val="fr-FR"/>
        </w:rPr>
        <w:t>étaient pas utilisées</w:t>
      </w:r>
      <w:r w:rsidR="00B56853" w:rsidRPr="00693E45">
        <w:rPr>
          <w:lang w:val="fr-FR"/>
        </w:rPr>
        <w:t xml:space="preserve"> aux fins du traitement des demandes ordinaires, ce qui entraînait, selon une administration,</w:t>
      </w:r>
      <w:r w:rsidR="00040E82" w:rsidRPr="00693E45">
        <w:rPr>
          <w:lang w:val="fr-FR"/>
        </w:rPr>
        <w:t xml:space="preserve"> </w:t>
      </w:r>
      <w:r w:rsidR="00B56853" w:rsidRPr="00693E45">
        <w:rPr>
          <w:lang w:val="fr-FR"/>
        </w:rPr>
        <w:t>un risque de voir des notifications importantes “se perdre”</w:t>
      </w:r>
      <w:r w:rsidR="004A5978" w:rsidRPr="00693E45">
        <w:rPr>
          <w:lang w:val="fr-FR"/>
        </w:rPr>
        <w:t xml:space="preserve"> </w:t>
      </w:r>
      <w:r w:rsidR="00B56853" w:rsidRPr="00693E45">
        <w:rPr>
          <w:lang w:val="fr-FR"/>
        </w:rPr>
        <w:t>parmi des éléments moins pertinents qui ne faisaient pas nécessairement l</w:t>
      </w:r>
      <w:r w:rsidR="009B7882" w:rsidRPr="00693E45">
        <w:rPr>
          <w:lang w:val="fr-FR"/>
        </w:rPr>
        <w:t>’</w:t>
      </w:r>
      <w:r w:rsidR="00B56853" w:rsidRPr="00693E45">
        <w:rPr>
          <w:lang w:val="fr-FR"/>
        </w:rPr>
        <w:t>objet de vérifications approfondies ou régulièr</w:t>
      </w:r>
      <w:r w:rsidR="003D2437" w:rsidRPr="00693E45">
        <w:rPr>
          <w:lang w:val="fr-FR"/>
        </w:rPr>
        <w:t>es.  Un</w:t>
      </w:r>
      <w:r w:rsidR="00B56853" w:rsidRPr="00693E45">
        <w:rPr>
          <w:lang w:val="fr-FR"/>
        </w:rPr>
        <w:t>e administration a mentionné qu</w:t>
      </w:r>
      <w:r w:rsidR="009B7882" w:rsidRPr="00693E45">
        <w:rPr>
          <w:lang w:val="fr-FR"/>
        </w:rPr>
        <w:t>’</w:t>
      </w:r>
      <w:r w:rsidR="00B56853" w:rsidRPr="00693E45">
        <w:rPr>
          <w:lang w:val="fr-FR"/>
        </w:rPr>
        <w:t xml:space="preserve">elle utilisait de plus en plus souvent le système </w:t>
      </w:r>
      <w:proofErr w:type="spellStart"/>
      <w:r w:rsidR="00B56853" w:rsidRPr="00693E45">
        <w:rPr>
          <w:lang w:val="fr-FR"/>
        </w:rPr>
        <w:t>ePCT</w:t>
      </w:r>
      <w:proofErr w:type="spellEnd"/>
      <w:r w:rsidR="00B56853" w:rsidRPr="00693E45">
        <w:rPr>
          <w:lang w:val="fr-FR"/>
        </w:rPr>
        <w:t xml:space="preserve"> et avait trouvé utile la formation donnée par le Bureau international,</w:t>
      </w:r>
      <w:r w:rsidR="003A52C5" w:rsidRPr="00693E45">
        <w:rPr>
          <w:lang w:val="fr-FR"/>
        </w:rPr>
        <w:t xml:space="preserve"> tant sur les indicateurs que sur les autres fonctions de ce système</w:t>
      </w:r>
      <w:r w:rsidR="007F3D49" w:rsidRPr="00693E45">
        <w:rPr>
          <w:lang w:val="fr-FR"/>
        </w:rPr>
        <w:t>.</w:t>
      </w:r>
    </w:p>
    <w:p w14:paraId="7FB63127" w14:textId="5F4B3B70" w:rsidR="007F3D49" w:rsidRPr="00693E45" w:rsidRDefault="00826666" w:rsidP="00CB4729">
      <w:pPr>
        <w:pStyle w:val="ONUMFS"/>
        <w:rPr>
          <w:lang w:val="fr-FR"/>
        </w:rPr>
      </w:pPr>
      <w:r w:rsidRPr="00693E45">
        <w:rPr>
          <w:lang w:val="fr-FR"/>
        </w:rPr>
        <w:t>S</w:t>
      </w:r>
      <w:r w:rsidR="009B7882" w:rsidRPr="00693E45">
        <w:rPr>
          <w:lang w:val="fr-FR"/>
        </w:rPr>
        <w:t>’</w:t>
      </w:r>
      <w:r w:rsidRPr="00693E45">
        <w:rPr>
          <w:lang w:val="fr-FR"/>
        </w:rPr>
        <w:t>agissant de l</w:t>
      </w:r>
      <w:r w:rsidR="009B7882" w:rsidRPr="00693E45">
        <w:rPr>
          <w:lang w:val="fr-FR"/>
        </w:rPr>
        <w:t>’</w:t>
      </w:r>
      <w:r w:rsidRPr="00693E45">
        <w:rPr>
          <w:lang w:val="fr-FR"/>
        </w:rPr>
        <w:t xml:space="preserve">utilisation des rapports </w:t>
      </w:r>
      <w:proofErr w:type="spellStart"/>
      <w:r w:rsidRPr="00693E45">
        <w:rPr>
          <w:lang w:val="fr-FR"/>
        </w:rPr>
        <w:t>ePCT</w:t>
      </w:r>
      <w:proofErr w:type="spellEnd"/>
      <w:r w:rsidRPr="00693E45">
        <w:rPr>
          <w:lang w:val="fr-FR"/>
        </w:rPr>
        <w:t xml:space="preserve"> pour situer les </w:t>
      </w:r>
      <w:r w:rsidR="006975DA" w:rsidRPr="00693E45">
        <w:rPr>
          <w:lang w:val="fr-FR"/>
        </w:rPr>
        <w:t xml:space="preserve">difficultés de </w:t>
      </w:r>
      <w:r w:rsidRPr="00693E45">
        <w:rPr>
          <w:lang w:val="fr-FR"/>
        </w:rPr>
        <w:t>traitement, le Bureau international a souligné que l</w:t>
      </w:r>
      <w:r w:rsidR="009B7882" w:rsidRPr="00693E45">
        <w:rPr>
          <w:lang w:val="fr-FR"/>
        </w:rPr>
        <w:t>’</w:t>
      </w:r>
      <w:r w:rsidRPr="00693E45">
        <w:rPr>
          <w:lang w:val="fr-FR"/>
        </w:rPr>
        <w:t>accent devait être mis sur la recherche des causes de problèmes et l</w:t>
      </w:r>
      <w:r w:rsidR="009B7882" w:rsidRPr="00693E45">
        <w:rPr>
          <w:lang w:val="fr-FR"/>
        </w:rPr>
        <w:t>’</w:t>
      </w:r>
      <w:r w:rsidRPr="00693E45">
        <w:rPr>
          <w:lang w:val="fr-FR"/>
        </w:rPr>
        <w:t>amélioration des processus sous</w:t>
      </w:r>
      <w:r w:rsidR="00CB4729" w:rsidRPr="00693E45">
        <w:rPr>
          <w:lang w:val="fr-FR"/>
        </w:rPr>
        <w:noBreakHyphen/>
      </w:r>
      <w:r w:rsidRPr="00693E45">
        <w:rPr>
          <w:lang w:val="fr-FR"/>
        </w:rPr>
        <w:t>jacents, ainsi que sur la correction des demandes individuell</w:t>
      </w:r>
      <w:r w:rsidR="003D2437" w:rsidRPr="00693E45">
        <w:rPr>
          <w:lang w:val="fr-FR"/>
        </w:rPr>
        <w:t>es.  Le</w:t>
      </w:r>
      <w:r w:rsidR="00E97BDB" w:rsidRPr="00693E45">
        <w:rPr>
          <w:lang w:val="fr-FR"/>
        </w:rPr>
        <w:t xml:space="preserve"> Bureau international</w:t>
      </w:r>
      <w:r w:rsidR="006F1CF2" w:rsidRPr="00693E45">
        <w:rPr>
          <w:lang w:val="fr-FR"/>
        </w:rPr>
        <w:t xml:space="preserve"> </w:t>
      </w:r>
      <w:r w:rsidR="006975DA" w:rsidRPr="00693E45">
        <w:rPr>
          <w:lang w:val="fr-FR"/>
        </w:rPr>
        <w:t>encourageait tout retour d</w:t>
      </w:r>
      <w:r w:rsidR="009B7882" w:rsidRPr="00693E45">
        <w:rPr>
          <w:lang w:val="fr-FR"/>
        </w:rPr>
        <w:t>’</w:t>
      </w:r>
      <w:r w:rsidR="006975DA" w:rsidRPr="00693E45">
        <w:rPr>
          <w:lang w:val="fr-FR"/>
        </w:rPr>
        <w:t>information susceptible d</w:t>
      </w:r>
      <w:r w:rsidR="009B7882" w:rsidRPr="00693E45">
        <w:rPr>
          <w:lang w:val="fr-FR"/>
        </w:rPr>
        <w:t>’</w:t>
      </w:r>
      <w:r w:rsidR="006975DA" w:rsidRPr="00693E45">
        <w:rPr>
          <w:lang w:val="fr-FR"/>
        </w:rPr>
        <w:t>aider à répondre à ces besoins.</w:t>
      </w:r>
    </w:p>
    <w:p w14:paraId="0B88903E" w14:textId="04ECDB56" w:rsidR="007F3D49" w:rsidRPr="00693E45" w:rsidRDefault="006975DA" w:rsidP="00CB4729">
      <w:pPr>
        <w:pStyle w:val="ONUMFS"/>
        <w:rPr>
          <w:lang w:val="fr-FR"/>
        </w:rPr>
      </w:pPr>
      <w:r w:rsidRPr="00693E45">
        <w:rPr>
          <w:lang w:val="fr-FR"/>
        </w:rPr>
        <w:lastRenderedPageBreak/>
        <w:t>Un certain nombre de propositions ont été faites</w:t>
      </w:r>
      <w:r w:rsidR="004241A6" w:rsidRPr="00693E45">
        <w:rPr>
          <w:lang w:val="fr-FR"/>
        </w:rPr>
        <w:t xml:space="preserve"> </w:t>
      </w:r>
      <w:r w:rsidR="0005677B" w:rsidRPr="00693E45">
        <w:rPr>
          <w:lang w:val="fr-FR"/>
        </w:rPr>
        <w:t>concernant l</w:t>
      </w:r>
      <w:r w:rsidR="009B7882" w:rsidRPr="00693E45">
        <w:rPr>
          <w:lang w:val="fr-FR"/>
        </w:rPr>
        <w:t>’</w:t>
      </w:r>
      <w:r w:rsidR="004241A6" w:rsidRPr="00693E45">
        <w:rPr>
          <w:lang w:val="fr-FR"/>
        </w:rPr>
        <w:t>amélior</w:t>
      </w:r>
      <w:r w:rsidR="0005677B" w:rsidRPr="00693E45">
        <w:rPr>
          <w:lang w:val="fr-FR"/>
        </w:rPr>
        <w:t>ation d</w:t>
      </w:r>
      <w:r w:rsidR="004241A6" w:rsidRPr="00693E45">
        <w:rPr>
          <w:lang w:val="fr-FR"/>
        </w:rPr>
        <w:t xml:space="preserve">es rapports, notamment faire en sorte que tous les rapports puissent être réunis en un seul document, </w:t>
      </w:r>
      <w:r w:rsidR="00BA5BB4" w:rsidRPr="00693E45">
        <w:rPr>
          <w:lang w:val="fr-FR"/>
        </w:rPr>
        <w:t>éliminer les références à des données</w:t>
      </w:r>
      <w:r w:rsidR="001B40FD" w:rsidRPr="00693E45">
        <w:rPr>
          <w:lang w:val="fr-FR"/>
        </w:rPr>
        <w:t xml:space="preserve"> inutiles</w:t>
      </w:r>
      <w:r w:rsidR="0005677B" w:rsidRPr="00693E45">
        <w:rPr>
          <w:lang w:val="fr-FR"/>
        </w:rPr>
        <w:t xml:space="preserve"> telles que l</w:t>
      </w:r>
      <w:r w:rsidR="001B40FD" w:rsidRPr="00693E45">
        <w:rPr>
          <w:lang w:val="fr-FR"/>
        </w:rPr>
        <w:t>es doublons, et attirer l</w:t>
      </w:r>
      <w:r w:rsidR="009B7882" w:rsidRPr="00693E45">
        <w:rPr>
          <w:lang w:val="fr-FR"/>
        </w:rPr>
        <w:t>’</w:t>
      </w:r>
      <w:r w:rsidR="001B40FD" w:rsidRPr="00693E45">
        <w:rPr>
          <w:lang w:val="fr-FR"/>
        </w:rPr>
        <w:t xml:space="preserve">attention sur les “nouveautés” dans les notifications de rapports, </w:t>
      </w:r>
      <w:r w:rsidR="00BF4EEC" w:rsidRPr="00693E45">
        <w:rPr>
          <w:lang w:val="fr-FR"/>
        </w:rPr>
        <w:t>en mettant en évidence ce qui a changé depuis le rapport précéde</w:t>
      </w:r>
      <w:r w:rsidR="003D2437" w:rsidRPr="00693E45">
        <w:rPr>
          <w:lang w:val="fr-FR"/>
        </w:rPr>
        <w:t>nt.  Un</w:t>
      </w:r>
      <w:r w:rsidR="00BF4EEC" w:rsidRPr="00693E45">
        <w:rPr>
          <w:lang w:val="fr-FR"/>
        </w:rPr>
        <w:t>e administration</w:t>
      </w:r>
      <w:r w:rsidR="00E2420E" w:rsidRPr="00693E45">
        <w:rPr>
          <w:lang w:val="fr-FR"/>
        </w:rPr>
        <w:t xml:space="preserve"> a suggéré de donner accès aux rapports sur le wiki, ce qui serait plus facile que par l</w:t>
      </w:r>
      <w:r w:rsidR="009B7882" w:rsidRPr="00693E45">
        <w:rPr>
          <w:lang w:val="fr-FR"/>
        </w:rPr>
        <w:t>’</w:t>
      </w:r>
      <w:r w:rsidR="00E2420E" w:rsidRPr="00693E45">
        <w:rPr>
          <w:lang w:val="fr-FR"/>
        </w:rPr>
        <w:t xml:space="preserve">intermédiaire du système </w:t>
      </w:r>
      <w:proofErr w:type="spellStart"/>
      <w:r w:rsidR="007F3D49" w:rsidRPr="00693E45">
        <w:rPr>
          <w:lang w:val="fr-FR"/>
        </w:rPr>
        <w:t>ePCT</w:t>
      </w:r>
      <w:proofErr w:type="spellEnd"/>
      <w:r w:rsidR="007F3D49" w:rsidRPr="00693E45">
        <w:rPr>
          <w:lang w:val="fr-FR"/>
        </w:rPr>
        <w:t>.</w:t>
      </w:r>
    </w:p>
    <w:p w14:paraId="111263BB" w14:textId="3F1EB51D" w:rsidR="007F3D49" w:rsidRPr="00693E45" w:rsidRDefault="007B39EB" w:rsidP="00CB4729">
      <w:pPr>
        <w:pStyle w:val="ONUMFS"/>
        <w:rPr>
          <w:lang w:val="fr-FR"/>
        </w:rPr>
      </w:pPr>
      <w:r w:rsidRPr="00693E45">
        <w:rPr>
          <w:lang w:val="fr-FR"/>
        </w:rPr>
        <w:t>Les administrations ont observé qu</w:t>
      </w:r>
      <w:r w:rsidR="009B7882" w:rsidRPr="00693E45">
        <w:rPr>
          <w:lang w:val="fr-FR"/>
        </w:rPr>
        <w:t>’</w:t>
      </w:r>
      <w:r w:rsidRPr="00693E45">
        <w:rPr>
          <w:lang w:val="fr-FR"/>
        </w:rPr>
        <w:t>il était difficile d</w:t>
      </w:r>
      <w:r w:rsidR="009B7882" w:rsidRPr="00693E45">
        <w:rPr>
          <w:lang w:val="fr-FR"/>
        </w:rPr>
        <w:t>’</w:t>
      </w:r>
      <w:r w:rsidRPr="00693E45">
        <w:rPr>
          <w:lang w:val="fr-FR"/>
        </w:rPr>
        <w:t xml:space="preserve">obtenir rapidement des données précises </w:t>
      </w:r>
      <w:r w:rsidR="0005677B" w:rsidRPr="00693E45">
        <w:rPr>
          <w:lang w:val="fr-FR"/>
        </w:rPr>
        <w:t>dans certains domaines</w:t>
      </w:r>
      <w:r w:rsidRPr="00693E45">
        <w:rPr>
          <w:lang w:val="fr-FR"/>
        </w:rPr>
        <w:t>,</w:t>
      </w:r>
      <w:r w:rsidR="00835209" w:rsidRPr="00693E45">
        <w:rPr>
          <w:lang w:val="fr-FR"/>
        </w:rPr>
        <w:t xml:space="preserve"> </w:t>
      </w:r>
      <w:r w:rsidR="009B7882" w:rsidRPr="00693E45">
        <w:rPr>
          <w:lang w:val="fr-FR"/>
        </w:rPr>
        <w:t>y compris</w:t>
      </w:r>
      <w:r w:rsidR="00835209" w:rsidRPr="00693E45">
        <w:rPr>
          <w:lang w:val="fr-FR"/>
        </w:rPr>
        <w:t xml:space="preserve"> pour des demandes traitées selon le </w:t>
      </w:r>
      <w:r w:rsidR="009B7882" w:rsidRPr="00693E45">
        <w:rPr>
          <w:lang w:val="fr-FR"/>
        </w:rPr>
        <w:t>chapitre I</w:t>
      </w:r>
      <w:r w:rsidR="00835209" w:rsidRPr="00693E45">
        <w:rPr>
          <w:lang w:val="fr-FR"/>
        </w:rPr>
        <w:t>I, et ont recommandé au Bureau international de travailler avec les administrations internationales pour améliorer les flux de données.</w:t>
      </w:r>
    </w:p>
    <w:p w14:paraId="75250EAC" w14:textId="3FD893F4" w:rsidR="009B7882" w:rsidRPr="00693E45" w:rsidRDefault="00D7063E" w:rsidP="00FB09DD">
      <w:pPr>
        <w:pStyle w:val="ONUMFS"/>
        <w:ind w:left="567"/>
        <w:rPr>
          <w:lang w:val="fr-FR"/>
        </w:rPr>
      </w:pPr>
      <w:r w:rsidRPr="00693E45">
        <w:rPr>
          <w:lang w:val="fr-FR"/>
        </w:rPr>
        <w:t>Le sous</w:t>
      </w:r>
      <w:r w:rsidR="00CB4729" w:rsidRPr="00693E45">
        <w:rPr>
          <w:lang w:val="fr-FR"/>
        </w:rPr>
        <w:noBreakHyphen/>
      </w:r>
      <w:r w:rsidRPr="00693E45">
        <w:rPr>
          <w:lang w:val="fr-FR"/>
        </w:rPr>
        <w:t>groupe a recommandé que le Bureau international poursuive ses travaux d</w:t>
      </w:r>
      <w:r w:rsidR="009B7882" w:rsidRPr="00693E45">
        <w:rPr>
          <w:lang w:val="fr-FR"/>
        </w:rPr>
        <w:t>’</w:t>
      </w:r>
      <w:r w:rsidRPr="00693E45">
        <w:rPr>
          <w:lang w:val="fr-FR"/>
        </w:rPr>
        <w:t xml:space="preserve">élaboration </w:t>
      </w:r>
      <w:r w:rsidR="00792DDA" w:rsidRPr="00693E45">
        <w:rPr>
          <w:lang w:val="fr-FR"/>
        </w:rPr>
        <w:t>de rapports d</w:t>
      </w:r>
      <w:r w:rsidR="009B7882" w:rsidRPr="00693E45">
        <w:rPr>
          <w:lang w:val="fr-FR"/>
        </w:rPr>
        <w:t>’</w:t>
      </w:r>
      <w:r w:rsidR="00792DDA" w:rsidRPr="00693E45">
        <w:rPr>
          <w:lang w:val="fr-FR"/>
        </w:rPr>
        <w:t>indicateurs selon les orientations proposées.</w:t>
      </w:r>
    </w:p>
    <w:p w14:paraId="5E8DBF2A" w14:textId="58B3B396" w:rsidR="007F3D49" w:rsidRPr="00693E45" w:rsidRDefault="00FB09DD" w:rsidP="00FB09DD">
      <w:pPr>
        <w:pStyle w:val="Heading1"/>
        <w:tabs>
          <w:tab w:val="left" w:pos="567"/>
        </w:tabs>
        <w:rPr>
          <w:lang w:val="fr-FR"/>
        </w:rPr>
      </w:pPr>
      <w:r w:rsidRPr="00693E45">
        <w:rPr>
          <w:lang w:val="fr-FR"/>
        </w:rPr>
        <w:t>5.</w:t>
      </w:r>
      <w:r w:rsidRPr="00693E45">
        <w:rPr>
          <w:lang w:val="fr-FR"/>
        </w:rPr>
        <w:tab/>
      </w:r>
      <w:r w:rsidR="007F3D49" w:rsidRPr="00693E45">
        <w:rPr>
          <w:lang w:val="fr-FR"/>
        </w:rPr>
        <w:t>Unité de l</w:t>
      </w:r>
      <w:r w:rsidR="009B7882" w:rsidRPr="00693E45">
        <w:rPr>
          <w:lang w:val="fr-FR"/>
        </w:rPr>
        <w:t>’</w:t>
      </w:r>
      <w:r w:rsidR="007F3D49" w:rsidRPr="00693E45">
        <w:rPr>
          <w:lang w:val="fr-FR"/>
        </w:rPr>
        <w:t>invention</w:t>
      </w:r>
    </w:p>
    <w:p w14:paraId="7EEB9C66" w14:textId="2EF0BD9B" w:rsidR="007F3D49" w:rsidRPr="00693E45" w:rsidRDefault="007F3D49" w:rsidP="00CB4729">
      <w:pPr>
        <w:pStyle w:val="ONUMFS"/>
        <w:rPr>
          <w:lang w:val="fr-FR"/>
        </w:rPr>
      </w:pPr>
      <w:r w:rsidRPr="00693E45">
        <w:rPr>
          <w:lang w:val="fr-FR"/>
        </w:rPr>
        <w:t>IP</w:t>
      </w:r>
      <w:r w:rsidR="0091379C" w:rsidRPr="00693E45">
        <w:rPr>
          <w:lang w:val="fr-FR"/>
        </w:rPr>
        <w:t> </w:t>
      </w:r>
      <w:proofErr w:type="spellStart"/>
      <w:r w:rsidRPr="00693E45">
        <w:rPr>
          <w:lang w:val="fr-FR"/>
        </w:rPr>
        <w:t>Australia</w:t>
      </w:r>
      <w:proofErr w:type="spellEnd"/>
      <w:r w:rsidRPr="00693E45">
        <w:rPr>
          <w:lang w:val="fr-FR"/>
        </w:rPr>
        <w:t xml:space="preserve"> </w:t>
      </w:r>
      <w:r w:rsidR="00204533" w:rsidRPr="00693E45">
        <w:rPr>
          <w:lang w:val="fr-FR"/>
        </w:rPr>
        <w:t>a remercié les administrations pour les contributions apportées au débat sur le wiki, lesquel</w:t>
      </w:r>
      <w:r w:rsidR="003A761D" w:rsidRPr="00693E45">
        <w:rPr>
          <w:lang w:val="fr-FR"/>
        </w:rPr>
        <w:t>le</w:t>
      </w:r>
      <w:r w:rsidR="00204533" w:rsidRPr="00693E45">
        <w:rPr>
          <w:lang w:val="fr-FR"/>
        </w:rPr>
        <w:t xml:space="preserve">s avaient conduit le Bureau international à publier la circulaire </w:t>
      </w:r>
      <w:r w:rsidRPr="00693E45">
        <w:rPr>
          <w:lang w:val="fr-FR"/>
        </w:rPr>
        <w:t>C.</w:t>
      </w:r>
      <w:r w:rsidR="0091379C" w:rsidRPr="00693E45">
        <w:rPr>
          <w:lang w:val="fr-FR"/>
        </w:rPr>
        <w:t> </w:t>
      </w:r>
      <w:r w:rsidRPr="00693E45">
        <w:rPr>
          <w:lang w:val="fr-FR"/>
        </w:rPr>
        <w:t>PCT</w:t>
      </w:r>
      <w:r w:rsidR="00C6045B" w:rsidRPr="00693E45">
        <w:rPr>
          <w:lang w:val="fr-FR"/>
        </w:rPr>
        <w:t> </w:t>
      </w:r>
      <w:r w:rsidRPr="00693E45">
        <w:rPr>
          <w:lang w:val="fr-FR"/>
        </w:rPr>
        <w:t>1610</w:t>
      </w:r>
      <w:r w:rsidR="003A761D" w:rsidRPr="00693E45">
        <w:rPr>
          <w:lang w:val="fr-FR"/>
        </w:rPr>
        <w:t xml:space="preserve"> aux fins de consultation sur les propositions de modifications du </w:t>
      </w:r>
      <w:r w:rsidR="009B7882" w:rsidRPr="00693E45">
        <w:rPr>
          <w:lang w:val="fr-FR"/>
        </w:rPr>
        <w:t>chapitre 1</w:t>
      </w:r>
      <w:r w:rsidR="003A761D" w:rsidRPr="00693E45">
        <w:rPr>
          <w:lang w:val="fr-FR"/>
        </w:rPr>
        <w:t>0 des Directives concernant la recherche internationale et l</w:t>
      </w:r>
      <w:r w:rsidR="009B7882" w:rsidRPr="00693E45">
        <w:rPr>
          <w:lang w:val="fr-FR"/>
        </w:rPr>
        <w:t>’</w:t>
      </w:r>
      <w:r w:rsidR="003A761D" w:rsidRPr="00693E45">
        <w:rPr>
          <w:lang w:val="fr-FR"/>
        </w:rPr>
        <w:t xml:space="preserve">examen préliminaire international.  </w:t>
      </w:r>
      <w:r w:rsidRPr="00693E45">
        <w:rPr>
          <w:lang w:val="fr-FR"/>
        </w:rPr>
        <w:t>IP</w:t>
      </w:r>
      <w:r w:rsidR="0091379C" w:rsidRPr="00693E45">
        <w:rPr>
          <w:lang w:val="fr-FR"/>
        </w:rPr>
        <w:t> </w:t>
      </w:r>
      <w:proofErr w:type="spellStart"/>
      <w:r w:rsidRPr="00693E45">
        <w:rPr>
          <w:lang w:val="fr-FR"/>
        </w:rPr>
        <w:t>Australia</w:t>
      </w:r>
      <w:proofErr w:type="spellEnd"/>
      <w:r w:rsidRPr="00693E45">
        <w:rPr>
          <w:lang w:val="fr-FR"/>
        </w:rPr>
        <w:t xml:space="preserve"> </w:t>
      </w:r>
      <w:r w:rsidR="001D1701" w:rsidRPr="00693E45">
        <w:rPr>
          <w:lang w:val="fr-FR"/>
        </w:rPr>
        <w:t>a proposé que le Bureau international promulgue les modifications sur lesquelles les offices de propriété intellectuelle sont parvenus à un consensus</w:t>
      </w:r>
      <w:r w:rsidR="00001FE2" w:rsidRPr="00693E45">
        <w:rPr>
          <w:lang w:val="fr-FR"/>
        </w:rPr>
        <w:t>,</w:t>
      </w:r>
      <w:r w:rsidR="001D1701" w:rsidRPr="00693E45">
        <w:rPr>
          <w:lang w:val="fr-FR"/>
        </w:rPr>
        <w:t xml:space="preserve"> et que les débats sur les autres points se poursuivent dans le cadre d</w:t>
      </w:r>
      <w:r w:rsidR="009B7882" w:rsidRPr="00693E45">
        <w:rPr>
          <w:lang w:val="fr-FR"/>
        </w:rPr>
        <w:t>’</w:t>
      </w:r>
      <w:r w:rsidR="001D1701" w:rsidRPr="00693E45">
        <w:rPr>
          <w:lang w:val="fr-FR"/>
        </w:rPr>
        <w:t>une Phase</w:t>
      </w:r>
      <w:r w:rsidR="00C6045B" w:rsidRPr="00693E45">
        <w:rPr>
          <w:lang w:val="fr-FR"/>
        </w:rPr>
        <w:t> </w:t>
      </w:r>
      <w:r w:rsidR="001D1701" w:rsidRPr="00693E45">
        <w:rPr>
          <w:lang w:val="fr-FR"/>
        </w:rPr>
        <w:t>III, au cours de l</w:t>
      </w:r>
      <w:r w:rsidR="009B7882" w:rsidRPr="00693E45">
        <w:rPr>
          <w:lang w:val="fr-FR"/>
        </w:rPr>
        <w:t>’</w:t>
      </w:r>
      <w:r w:rsidR="001D1701" w:rsidRPr="00693E45">
        <w:rPr>
          <w:lang w:val="fr-FR"/>
        </w:rPr>
        <w:t>année</w:t>
      </w:r>
      <w:r w:rsidR="00C6045B" w:rsidRPr="00693E45">
        <w:rPr>
          <w:lang w:val="fr-FR"/>
        </w:rPr>
        <w:t> </w:t>
      </w:r>
      <w:r w:rsidR="001D1701" w:rsidRPr="00693E45">
        <w:rPr>
          <w:lang w:val="fr-FR"/>
        </w:rPr>
        <w:t xml:space="preserve">2021.  </w:t>
      </w:r>
      <w:r w:rsidRPr="00693E45">
        <w:rPr>
          <w:lang w:val="fr-FR"/>
        </w:rPr>
        <w:t>IP</w:t>
      </w:r>
      <w:r w:rsidR="0091379C" w:rsidRPr="00693E45">
        <w:rPr>
          <w:lang w:val="fr-FR"/>
        </w:rPr>
        <w:t> </w:t>
      </w:r>
      <w:proofErr w:type="spellStart"/>
      <w:r w:rsidRPr="00693E45">
        <w:rPr>
          <w:lang w:val="fr-FR"/>
        </w:rPr>
        <w:t>Australia</w:t>
      </w:r>
      <w:proofErr w:type="spellEnd"/>
      <w:r w:rsidRPr="00693E45">
        <w:rPr>
          <w:lang w:val="fr-FR"/>
        </w:rPr>
        <w:t xml:space="preserve"> </w:t>
      </w:r>
      <w:r w:rsidR="00601043" w:rsidRPr="00693E45">
        <w:rPr>
          <w:lang w:val="fr-FR"/>
        </w:rPr>
        <w:t>a également salué l</w:t>
      </w:r>
      <w:r w:rsidR="009B7882" w:rsidRPr="00693E45">
        <w:rPr>
          <w:lang w:val="fr-FR"/>
        </w:rPr>
        <w:t>’</w:t>
      </w:r>
      <w:r w:rsidR="00601043" w:rsidRPr="00693E45">
        <w:rPr>
          <w:lang w:val="fr-FR"/>
        </w:rPr>
        <w:t>approche plus globale proposée par le Bureau international concernant l</w:t>
      </w:r>
      <w:r w:rsidR="009B7882" w:rsidRPr="00693E45">
        <w:rPr>
          <w:lang w:val="fr-FR"/>
        </w:rPr>
        <w:t>’</w:t>
      </w:r>
      <w:r w:rsidR="00601043" w:rsidRPr="00693E45">
        <w:rPr>
          <w:lang w:val="fr-FR"/>
        </w:rPr>
        <w:t>utilisation d</w:t>
      </w:r>
      <w:r w:rsidR="009B7882" w:rsidRPr="00693E45">
        <w:rPr>
          <w:lang w:val="fr-FR"/>
        </w:rPr>
        <w:t>’</w:t>
      </w:r>
      <w:r w:rsidR="00601043" w:rsidRPr="00693E45">
        <w:rPr>
          <w:lang w:val="fr-FR"/>
        </w:rPr>
        <w:t>un langage plus épicène dans toutes ses publications relatives au système</w:t>
      </w:r>
      <w:r w:rsidR="009B7882" w:rsidRPr="00693E45">
        <w:rPr>
          <w:lang w:val="fr-FR"/>
        </w:rPr>
        <w:t xml:space="preserve"> du PCT</w:t>
      </w:r>
      <w:r w:rsidR="00601043" w:rsidRPr="00693E45">
        <w:rPr>
          <w:lang w:val="fr-FR"/>
        </w:rPr>
        <w:t>, plutôt que de le réserver aux parties des Directives modifiées au cours de la présente phase.</w:t>
      </w:r>
    </w:p>
    <w:p w14:paraId="2FDBF5B5" w14:textId="02338673" w:rsidR="007F3D49" w:rsidRPr="00693E45" w:rsidRDefault="00306168" w:rsidP="00CB4729">
      <w:pPr>
        <w:pStyle w:val="ONUMFS"/>
        <w:rPr>
          <w:lang w:val="fr-FR"/>
        </w:rPr>
      </w:pPr>
      <w:bookmarkStart w:id="9" w:name="_Ref67405440"/>
      <w:r w:rsidRPr="00693E45">
        <w:rPr>
          <w:lang w:val="fr-FR"/>
        </w:rPr>
        <w:t xml:space="preserve">Les administrations ayant pris la parole se sont toutes prononcées en faveur de la proposition de promulgation des modifications </w:t>
      </w:r>
      <w:r w:rsidR="00425C77" w:rsidRPr="00693E45">
        <w:rPr>
          <w:lang w:val="fr-FR"/>
        </w:rPr>
        <w:t xml:space="preserve">visant à inclure des exemples </w:t>
      </w:r>
      <w:r w:rsidR="0071428B" w:rsidRPr="00693E45">
        <w:rPr>
          <w:lang w:val="fr-FR"/>
        </w:rPr>
        <w:t>du principe</w:t>
      </w:r>
      <w:r w:rsidR="00425C77" w:rsidRPr="00693E45">
        <w:rPr>
          <w:lang w:val="fr-FR"/>
        </w:rPr>
        <w:t xml:space="preserve"> du “raisonnement minimum”. </w:t>
      </w:r>
      <w:r w:rsidR="0071428B" w:rsidRPr="00693E45">
        <w:rPr>
          <w:lang w:val="fr-FR"/>
        </w:rPr>
        <w:t xml:space="preserve"> Les administrations se sont également prononcées en faveur d</w:t>
      </w:r>
      <w:r w:rsidR="009B7882" w:rsidRPr="00693E45">
        <w:rPr>
          <w:lang w:val="fr-FR"/>
        </w:rPr>
        <w:t>’</w:t>
      </w:r>
      <w:r w:rsidR="0071428B" w:rsidRPr="00693E45">
        <w:rPr>
          <w:lang w:val="fr-FR"/>
        </w:rPr>
        <w:t>une modification supplémentaire consistant à remplacer le mot “contient” par</w:t>
      </w:r>
      <w:r w:rsidR="00FE418F" w:rsidRPr="00693E45">
        <w:rPr>
          <w:lang w:val="fr-FR"/>
        </w:rPr>
        <w:t xml:space="preserve"> le mot</w:t>
      </w:r>
      <w:r w:rsidR="0071428B" w:rsidRPr="00693E45">
        <w:rPr>
          <w:lang w:val="fr-FR"/>
        </w:rPr>
        <w:t xml:space="preserve"> “revendique” dans la première phrase du </w:t>
      </w:r>
      <w:r w:rsidR="009B7882" w:rsidRPr="00693E45">
        <w:rPr>
          <w:lang w:val="fr-FR"/>
        </w:rPr>
        <w:t>paragraphe 1</w:t>
      </w:r>
      <w:r w:rsidR="007F3D49" w:rsidRPr="00693E45">
        <w:rPr>
          <w:lang w:val="fr-FR"/>
        </w:rPr>
        <w:t xml:space="preserve">0.04A </w:t>
      </w:r>
      <w:r w:rsidR="0071428B" w:rsidRPr="00693E45">
        <w:rPr>
          <w:lang w:val="fr-FR"/>
        </w:rPr>
        <w:t>des Directiv</w:t>
      </w:r>
      <w:r w:rsidR="003D2437" w:rsidRPr="00693E45">
        <w:rPr>
          <w:lang w:val="fr-FR"/>
        </w:rPr>
        <w:t>es.  Le</w:t>
      </w:r>
      <w:r w:rsidR="0071428B" w:rsidRPr="00693E45">
        <w:rPr>
          <w:lang w:val="fr-FR"/>
        </w:rPr>
        <w:t xml:space="preserve"> début de ce paragraphe devrait par conséquent se lire </w:t>
      </w:r>
      <w:r w:rsidR="007F3D49" w:rsidRPr="00693E45">
        <w:rPr>
          <w:lang w:val="fr-FR"/>
        </w:rPr>
        <w:t>“</w:t>
      </w:r>
      <w:r w:rsidR="00B81D60" w:rsidRPr="00693E45">
        <w:rPr>
          <w:lang w:val="fr-FR"/>
        </w:rPr>
        <w:t>Afin d</w:t>
      </w:r>
      <w:r w:rsidR="009B7882" w:rsidRPr="00693E45">
        <w:rPr>
          <w:lang w:val="fr-FR"/>
        </w:rPr>
        <w:t>’</w:t>
      </w:r>
      <w:r w:rsidR="00B81D60" w:rsidRPr="00693E45">
        <w:rPr>
          <w:lang w:val="fr-FR"/>
        </w:rPr>
        <w:t>évaluer si une demande revendique des éléments manquant d</w:t>
      </w:r>
      <w:r w:rsidR="009B7882" w:rsidRPr="00693E45">
        <w:rPr>
          <w:lang w:val="fr-FR"/>
        </w:rPr>
        <w:t>’</w:t>
      </w:r>
      <w:r w:rsidR="00B81D60" w:rsidRPr="00693E45">
        <w:rPr>
          <w:lang w:val="fr-FR"/>
        </w:rPr>
        <w:t>unité, l</w:t>
      </w:r>
      <w:r w:rsidR="009B7882" w:rsidRPr="00693E45">
        <w:rPr>
          <w:lang w:val="fr-FR"/>
        </w:rPr>
        <w:t>’</w:t>
      </w:r>
      <w:r w:rsidR="00B81D60" w:rsidRPr="00693E45">
        <w:rPr>
          <w:lang w:val="fr-FR"/>
        </w:rPr>
        <w:t xml:space="preserve">administration peut appliquer le principe du </w:t>
      </w:r>
      <w:r w:rsidR="009B7882" w:rsidRPr="00693E45">
        <w:rPr>
          <w:lang w:val="fr-FR"/>
        </w:rPr>
        <w:t>‘</w:t>
      </w:r>
      <w:r w:rsidR="00B81D60" w:rsidRPr="00693E45">
        <w:rPr>
          <w:lang w:val="fr-FR"/>
        </w:rPr>
        <w:t>raisonnement minimum</w:t>
      </w:r>
      <w:r w:rsidR="009B7882" w:rsidRPr="00693E45">
        <w:rPr>
          <w:lang w:val="fr-FR"/>
        </w:rPr>
        <w:t>’</w:t>
      </w:r>
      <w:r w:rsidR="00B81D60" w:rsidRPr="00693E45">
        <w:rPr>
          <w:lang w:val="fr-FR"/>
        </w:rPr>
        <w:t>, qui consiste à déterminer quel est l</w:t>
      </w:r>
      <w:r w:rsidR="009B7882" w:rsidRPr="00693E45">
        <w:rPr>
          <w:lang w:val="fr-FR"/>
        </w:rPr>
        <w:t>’</w:t>
      </w:r>
      <w:r w:rsidR="00B81D60" w:rsidRPr="00693E45">
        <w:rPr>
          <w:lang w:val="fr-FR"/>
        </w:rPr>
        <w:t>objet commun ou correspondant</w:t>
      </w:r>
      <w:r w:rsidR="007F3D49" w:rsidRPr="00693E45">
        <w:rPr>
          <w:lang w:val="fr-FR"/>
        </w:rPr>
        <w:t>…”</w:t>
      </w:r>
      <w:r w:rsidR="003D2437" w:rsidRPr="00693E45">
        <w:rPr>
          <w:lang w:val="fr-FR"/>
        </w:rPr>
        <w:t>.</w:t>
      </w:r>
      <w:r w:rsidR="007F3D49" w:rsidRPr="00693E45">
        <w:rPr>
          <w:lang w:val="fr-FR"/>
        </w:rPr>
        <w:t xml:space="preserve">  </w:t>
      </w:r>
      <w:r w:rsidR="00F1183E" w:rsidRPr="00693E45">
        <w:rPr>
          <w:lang w:val="fr-FR"/>
        </w:rPr>
        <w:t>Les administrations ont en outre souscrit à la proposition de poursuivre les discussions par l</w:t>
      </w:r>
      <w:r w:rsidR="009B7882" w:rsidRPr="00693E45">
        <w:rPr>
          <w:lang w:val="fr-FR"/>
        </w:rPr>
        <w:t>’</w:t>
      </w:r>
      <w:r w:rsidR="00F1183E" w:rsidRPr="00693E45">
        <w:rPr>
          <w:lang w:val="fr-FR"/>
        </w:rPr>
        <w:t>intermédiaire du wiki concernant les questions dont le sous</w:t>
      </w:r>
      <w:r w:rsidR="00CB4729" w:rsidRPr="00693E45">
        <w:rPr>
          <w:lang w:val="fr-FR"/>
        </w:rPr>
        <w:noBreakHyphen/>
      </w:r>
      <w:r w:rsidR="00F1183E" w:rsidRPr="00693E45">
        <w:rPr>
          <w:lang w:val="fr-FR"/>
        </w:rPr>
        <w:t xml:space="preserve">groupe avait précédemment débattu sans parvenir à un consensus, de même que les points soulevés en réponse à la circulaire </w:t>
      </w:r>
      <w:r w:rsidR="007F3D49" w:rsidRPr="00693E45">
        <w:rPr>
          <w:lang w:val="fr-FR"/>
        </w:rPr>
        <w:t>C. PCT</w:t>
      </w:r>
      <w:r w:rsidR="00C6045B" w:rsidRPr="00693E45">
        <w:rPr>
          <w:lang w:val="fr-FR"/>
        </w:rPr>
        <w:t> </w:t>
      </w:r>
      <w:r w:rsidR="007F3D49" w:rsidRPr="00693E45">
        <w:rPr>
          <w:lang w:val="fr-FR"/>
        </w:rPr>
        <w:t>1610.</w:t>
      </w:r>
      <w:bookmarkEnd w:id="9"/>
    </w:p>
    <w:p w14:paraId="4C48DA84" w14:textId="5EEB7418" w:rsidR="009B7882" w:rsidRPr="00693E45" w:rsidRDefault="007F3D49" w:rsidP="00FB09DD">
      <w:pPr>
        <w:pStyle w:val="ONUMFS"/>
        <w:ind w:left="567"/>
        <w:rPr>
          <w:lang w:val="fr-FR"/>
        </w:rPr>
      </w:pPr>
      <w:r w:rsidRPr="00693E45">
        <w:rPr>
          <w:lang w:val="fr-FR"/>
        </w:rPr>
        <w:t>Le sous</w:t>
      </w:r>
      <w:r w:rsidR="00CB4729" w:rsidRPr="00693E45">
        <w:rPr>
          <w:lang w:val="fr-FR"/>
        </w:rPr>
        <w:noBreakHyphen/>
      </w:r>
      <w:r w:rsidRPr="00693E45">
        <w:rPr>
          <w:lang w:val="fr-FR"/>
        </w:rPr>
        <w:t>groupe a recommandé que</w:t>
      </w:r>
      <w:r w:rsidR="009B7882" w:rsidRPr="00693E45">
        <w:rPr>
          <w:lang w:val="fr-FR"/>
        </w:rPr>
        <w:t> :</w:t>
      </w:r>
    </w:p>
    <w:p w14:paraId="298132E9" w14:textId="4958B44F" w:rsidR="007F3D49" w:rsidRPr="00693E45" w:rsidRDefault="00286457" w:rsidP="00FB09DD">
      <w:pPr>
        <w:pStyle w:val="ONUMFS"/>
        <w:numPr>
          <w:ilvl w:val="2"/>
          <w:numId w:val="6"/>
        </w:numPr>
        <w:rPr>
          <w:lang w:val="fr-FR"/>
        </w:rPr>
      </w:pPr>
      <w:proofErr w:type="gramStart"/>
      <w:r w:rsidRPr="00693E45">
        <w:rPr>
          <w:lang w:val="fr-FR"/>
        </w:rPr>
        <w:t>le</w:t>
      </w:r>
      <w:proofErr w:type="gramEnd"/>
      <w:r w:rsidRPr="00693E45">
        <w:rPr>
          <w:lang w:val="fr-FR"/>
        </w:rPr>
        <w:t xml:space="preserve"> Bureau international intègre les modifications proposées dans la prochaine version des Directives, avec la modification supplémentaire décrite au </w:t>
      </w:r>
      <w:r w:rsidR="009B7882" w:rsidRPr="00693E45">
        <w:rPr>
          <w:lang w:val="fr-FR"/>
        </w:rPr>
        <w:t>paragraphe 3</w:t>
      </w:r>
      <w:r w:rsidRPr="00693E45">
        <w:rPr>
          <w:lang w:val="fr-FR"/>
        </w:rPr>
        <w:t>5 ci</w:t>
      </w:r>
      <w:r w:rsidR="00CB4729" w:rsidRPr="00693E45">
        <w:rPr>
          <w:lang w:val="fr-FR"/>
        </w:rPr>
        <w:noBreakHyphen/>
      </w:r>
      <w:r w:rsidRPr="00693E45">
        <w:rPr>
          <w:lang w:val="fr-FR"/>
        </w:rPr>
        <w:t>dessus, laquelle devait entrer en vigueur à compter du</w:t>
      </w:r>
      <w:r w:rsidR="009B7882" w:rsidRPr="00693E45">
        <w:rPr>
          <w:lang w:val="fr-FR"/>
        </w:rPr>
        <w:t xml:space="preserve"> 1</w:t>
      </w:r>
      <w:r w:rsidR="009B7882" w:rsidRPr="00693E45">
        <w:rPr>
          <w:vertAlign w:val="superscript"/>
          <w:lang w:val="fr-FR"/>
        </w:rPr>
        <w:t>er</w:t>
      </w:r>
      <w:r w:rsidR="009B7882" w:rsidRPr="00693E45">
        <w:rPr>
          <w:lang w:val="fr-FR"/>
        </w:rPr>
        <w:t> juillet 20</w:t>
      </w:r>
      <w:r w:rsidRPr="00693E45">
        <w:rPr>
          <w:lang w:val="fr-FR"/>
        </w:rPr>
        <w:t>21</w:t>
      </w:r>
      <w:r w:rsidR="007F3D49" w:rsidRPr="00693E45">
        <w:rPr>
          <w:lang w:val="fr-FR"/>
        </w:rPr>
        <w:t xml:space="preserve">;  </w:t>
      </w:r>
      <w:r w:rsidRPr="00693E45">
        <w:rPr>
          <w:lang w:val="fr-FR"/>
        </w:rPr>
        <w:t>et</w:t>
      </w:r>
    </w:p>
    <w:p w14:paraId="0256CEF2" w14:textId="7FADCE01" w:rsidR="009B7882" w:rsidRPr="00693E45" w:rsidRDefault="00E7656E" w:rsidP="00FB09DD">
      <w:pPr>
        <w:pStyle w:val="ONUMFS"/>
        <w:numPr>
          <w:ilvl w:val="2"/>
          <w:numId w:val="6"/>
        </w:numPr>
        <w:rPr>
          <w:lang w:val="fr-FR"/>
        </w:rPr>
      </w:pPr>
      <w:proofErr w:type="gramStart"/>
      <w:r w:rsidRPr="00693E45">
        <w:rPr>
          <w:lang w:val="fr-FR"/>
        </w:rPr>
        <w:t>les</w:t>
      </w:r>
      <w:proofErr w:type="gramEnd"/>
      <w:r w:rsidRPr="00693E45">
        <w:rPr>
          <w:lang w:val="fr-FR"/>
        </w:rPr>
        <w:t xml:space="preserve"> administrations poursuivent les discussions relatives aux autres questions au cours de l</w:t>
      </w:r>
      <w:r w:rsidR="009B7882" w:rsidRPr="00693E45">
        <w:rPr>
          <w:lang w:val="fr-FR"/>
        </w:rPr>
        <w:t>’</w:t>
      </w:r>
      <w:r w:rsidRPr="00693E45">
        <w:rPr>
          <w:lang w:val="fr-FR"/>
        </w:rPr>
        <w:t>année</w:t>
      </w:r>
      <w:r w:rsidR="00C6045B" w:rsidRPr="00693E45">
        <w:rPr>
          <w:lang w:val="fr-FR"/>
        </w:rPr>
        <w:t> </w:t>
      </w:r>
      <w:r w:rsidRPr="00693E45">
        <w:rPr>
          <w:lang w:val="fr-FR"/>
        </w:rPr>
        <w:t xml:space="preserve">2021, </w:t>
      </w:r>
      <w:r w:rsidR="009B7882" w:rsidRPr="00693E45">
        <w:rPr>
          <w:lang w:val="fr-FR"/>
        </w:rPr>
        <w:t>y compris</w:t>
      </w:r>
      <w:r w:rsidRPr="00693E45">
        <w:rPr>
          <w:lang w:val="fr-FR"/>
        </w:rPr>
        <w:t xml:space="preserve"> celles résultant des retours d</w:t>
      </w:r>
      <w:r w:rsidR="009B7882" w:rsidRPr="00693E45">
        <w:rPr>
          <w:lang w:val="fr-FR"/>
        </w:rPr>
        <w:t>’</w:t>
      </w:r>
      <w:r w:rsidRPr="00693E45">
        <w:rPr>
          <w:lang w:val="fr-FR"/>
        </w:rPr>
        <w:t xml:space="preserve">information sur la circulaire </w:t>
      </w:r>
      <w:r w:rsidR="007F3D49" w:rsidRPr="00693E45">
        <w:rPr>
          <w:lang w:val="fr-FR"/>
        </w:rPr>
        <w:t>C. PCT</w:t>
      </w:r>
      <w:r w:rsidR="00C6045B" w:rsidRPr="00693E45">
        <w:rPr>
          <w:lang w:val="fr-FR"/>
        </w:rPr>
        <w:t> </w:t>
      </w:r>
      <w:r w:rsidR="007F3D49" w:rsidRPr="00693E45">
        <w:rPr>
          <w:lang w:val="fr-FR"/>
        </w:rPr>
        <w:t>1610.</w:t>
      </w:r>
    </w:p>
    <w:p w14:paraId="56E673FF" w14:textId="74BB6E96" w:rsidR="007F3D49" w:rsidRPr="00693E45" w:rsidRDefault="007F3D49" w:rsidP="00FB09DD">
      <w:pPr>
        <w:pStyle w:val="Heading1"/>
        <w:tabs>
          <w:tab w:val="left" w:pos="567"/>
        </w:tabs>
        <w:rPr>
          <w:lang w:val="fr-FR"/>
        </w:rPr>
      </w:pPr>
      <w:r w:rsidRPr="00693E45">
        <w:rPr>
          <w:lang w:val="fr-FR"/>
        </w:rPr>
        <w:t>6.</w:t>
      </w:r>
      <w:r w:rsidRPr="00693E45">
        <w:rPr>
          <w:b w:val="0"/>
          <w:lang w:val="fr-FR"/>
        </w:rPr>
        <w:tab/>
      </w:r>
      <w:r w:rsidRPr="00693E45">
        <w:rPr>
          <w:lang w:val="fr-FR"/>
        </w:rPr>
        <w:t>Autres idées en matière d</w:t>
      </w:r>
      <w:r w:rsidR="009B7882" w:rsidRPr="00693E45">
        <w:rPr>
          <w:lang w:val="fr-FR"/>
        </w:rPr>
        <w:t>’</w:t>
      </w:r>
      <w:r w:rsidRPr="00693E45">
        <w:rPr>
          <w:lang w:val="fr-FR"/>
        </w:rPr>
        <w:t>amélioration de la qualité</w:t>
      </w:r>
    </w:p>
    <w:p w14:paraId="61FCE3E9" w14:textId="77777777" w:rsidR="007F3D49" w:rsidRPr="00693E45" w:rsidRDefault="007F3D49" w:rsidP="005F0461">
      <w:pPr>
        <w:pStyle w:val="Heading2"/>
        <w:tabs>
          <w:tab w:val="left" w:pos="2430"/>
        </w:tabs>
        <w:rPr>
          <w:lang w:val="fr-FR"/>
        </w:rPr>
      </w:pPr>
      <w:r w:rsidRPr="00693E45">
        <w:rPr>
          <w:lang w:val="fr-FR"/>
        </w:rPr>
        <w:t>Promotion du lien entre la phase internationale et la phase nationale</w:t>
      </w:r>
    </w:p>
    <w:p w14:paraId="3DC05F86" w14:textId="7E3872FD" w:rsidR="007F3D49" w:rsidRPr="00693E45" w:rsidRDefault="00453203" w:rsidP="00CB4729">
      <w:pPr>
        <w:pStyle w:val="ONUMFS"/>
        <w:rPr>
          <w:lang w:val="fr-FR"/>
        </w:rPr>
      </w:pPr>
      <w:r w:rsidRPr="00693E45">
        <w:rPr>
          <w:lang w:val="fr-FR"/>
        </w:rPr>
        <w:t>L</w:t>
      </w:r>
      <w:r w:rsidR="009B7882" w:rsidRPr="00693E45">
        <w:rPr>
          <w:lang w:val="fr-FR"/>
        </w:rPr>
        <w:t>’</w:t>
      </w:r>
      <w:r w:rsidRPr="00693E45">
        <w:rPr>
          <w:lang w:val="fr-FR"/>
        </w:rPr>
        <w:t>Office des brevets du Japon a rappelé au sous</w:t>
      </w:r>
      <w:r w:rsidR="00CB4729" w:rsidRPr="00693E45">
        <w:rPr>
          <w:lang w:val="fr-FR"/>
        </w:rPr>
        <w:noBreakHyphen/>
      </w:r>
      <w:r w:rsidRPr="00693E45">
        <w:rPr>
          <w:lang w:val="fr-FR"/>
        </w:rPr>
        <w:t>groupe qu</w:t>
      </w:r>
      <w:r w:rsidR="009B7882" w:rsidRPr="00693E45">
        <w:rPr>
          <w:lang w:val="fr-FR"/>
        </w:rPr>
        <w:t>’</w:t>
      </w:r>
      <w:r w:rsidRPr="00693E45">
        <w:rPr>
          <w:lang w:val="fr-FR"/>
        </w:rPr>
        <w:t xml:space="preserve">il avait mis en ligne une proposition de modification du </w:t>
      </w:r>
      <w:r w:rsidR="009B7882" w:rsidRPr="00693E45">
        <w:rPr>
          <w:lang w:val="fr-FR"/>
        </w:rPr>
        <w:t>paragraphe 1</w:t>
      </w:r>
      <w:r w:rsidRPr="00693E45">
        <w:rPr>
          <w:lang w:val="fr-FR"/>
        </w:rPr>
        <w:t xml:space="preserve">5.09 des Directives </w:t>
      </w:r>
      <w:r w:rsidR="00750446" w:rsidRPr="00693E45">
        <w:rPr>
          <w:lang w:val="fr-FR"/>
        </w:rPr>
        <w:t>concernant la recherche internationale et l</w:t>
      </w:r>
      <w:r w:rsidR="009B7882" w:rsidRPr="00693E45">
        <w:rPr>
          <w:lang w:val="fr-FR"/>
        </w:rPr>
        <w:t>’</w:t>
      </w:r>
      <w:r w:rsidR="00750446" w:rsidRPr="00693E45">
        <w:rPr>
          <w:lang w:val="fr-FR"/>
        </w:rPr>
        <w:t>examen préliminaire international qu</w:t>
      </w:r>
      <w:r w:rsidR="009B7882" w:rsidRPr="00693E45">
        <w:rPr>
          <w:lang w:val="fr-FR"/>
        </w:rPr>
        <w:t>’</w:t>
      </w:r>
      <w:r w:rsidR="00750446" w:rsidRPr="00693E45">
        <w:rPr>
          <w:lang w:val="fr-FR"/>
        </w:rPr>
        <w:t>il avait révisée</w:t>
      </w:r>
      <w:r w:rsidRPr="00693E45">
        <w:rPr>
          <w:lang w:val="fr-FR"/>
        </w:rPr>
        <w:t xml:space="preserve"> </w:t>
      </w:r>
      <w:r w:rsidR="00750446" w:rsidRPr="00693E45">
        <w:rPr>
          <w:lang w:val="fr-FR"/>
        </w:rPr>
        <w:t xml:space="preserve">à la suite des </w:t>
      </w:r>
      <w:r w:rsidR="00750446" w:rsidRPr="00693E45">
        <w:rPr>
          <w:lang w:val="fr-FR"/>
        </w:rPr>
        <w:lastRenderedPageBreak/>
        <w:t xml:space="preserve">observations formulées dans les réponses relatives à la circulaire </w:t>
      </w:r>
      <w:r w:rsidR="007F3D49" w:rsidRPr="00693E45">
        <w:rPr>
          <w:lang w:val="fr-FR"/>
        </w:rPr>
        <w:t>C. PCT</w:t>
      </w:r>
      <w:r w:rsidR="00C6045B" w:rsidRPr="00693E45">
        <w:rPr>
          <w:lang w:val="fr-FR"/>
        </w:rPr>
        <w:t> </w:t>
      </w:r>
      <w:r w:rsidR="007F3D49" w:rsidRPr="00693E45">
        <w:rPr>
          <w:lang w:val="fr-FR"/>
        </w:rPr>
        <w:t xml:space="preserve">1610.  </w:t>
      </w:r>
      <w:r w:rsidR="00750446" w:rsidRPr="00693E45">
        <w:rPr>
          <w:lang w:val="fr-FR"/>
        </w:rPr>
        <w:t>L</w:t>
      </w:r>
      <w:r w:rsidR="009B7882" w:rsidRPr="00693E45">
        <w:rPr>
          <w:lang w:val="fr-FR"/>
        </w:rPr>
        <w:t>’</w:t>
      </w:r>
      <w:r w:rsidR="00750446" w:rsidRPr="00693E45">
        <w:rPr>
          <w:lang w:val="fr-FR"/>
        </w:rPr>
        <w:t>Office des brevets du Japon</w:t>
      </w:r>
      <w:r w:rsidR="00087FC8" w:rsidRPr="00693E45">
        <w:rPr>
          <w:lang w:val="fr-FR"/>
        </w:rPr>
        <w:t xml:space="preserve"> a invité les autres administrations à mettre en ligne leurs observations concernant cette proposition avant le 1</w:t>
      </w:r>
      <w:r w:rsidR="009B7882" w:rsidRPr="00693E45">
        <w:rPr>
          <w:lang w:val="fr-FR"/>
        </w:rPr>
        <w:t>6 avril 20</w:t>
      </w:r>
      <w:r w:rsidR="00087FC8" w:rsidRPr="00693E45">
        <w:rPr>
          <w:lang w:val="fr-FR"/>
        </w:rPr>
        <w:t>21.</w:t>
      </w:r>
    </w:p>
    <w:p w14:paraId="181D7784" w14:textId="5FEA2CBA" w:rsidR="007F3D49" w:rsidRPr="00693E45" w:rsidRDefault="003A2BD3" w:rsidP="00CB4729">
      <w:pPr>
        <w:pStyle w:val="ONUMFS"/>
        <w:rPr>
          <w:lang w:val="fr-FR"/>
        </w:rPr>
      </w:pPr>
      <w:r w:rsidRPr="00693E45">
        <w:rPr>
          <w:lang w:val="fr-FR"/>
        </w:rPr>
        <w:t>Le Bureau international a informé le sous</w:t>
      </w:r>
      <w:r w:rsidR="00CB4729" w:rsidRPr="00693E45">
        <w:rPr>
          <w:lang w:val="fr-FR"/>
        </w:rPr>
        <w:noBreakHyphen/>
      </w:r>
      <w:r w:rsidRPr="00693E45">
        <w:rPr>
          <w:lang w:val="fr-FR"/>
        </w:rPr>
        <w:t xml:space="preserve">groupe que si la proposition de modification du </w:t>
      </w:r>
      <w:r w:rsidR="009B7882" w:rsidRPr="00693E45">
        <w:rPr>
          <w:lang w:val="fr-FR"/>
        </w:rPr>
        <w:t>paragraphe 1</w:t>
      </w:r>
      <w:r w:rsidRPr="00693E45">
        <w:rPr>
          <w:lang w:val="fr-FR"/>
        </w:rPr>
        <w:t>5.09 recueillait l</w:t>
      </w:r>
      <w:r w:rsidR="009B7882" w:rsidRPr="00693E45">
        <w:rPr>
          <w:lang w:val="fr-FR"/>
        </w:rPr>
        <w:t>’</w:t>
      </w:r>
      <w:r w:rsidRPr="00693E45">
        <w:rPr>
          <w:lang w:val="fr-FR"/>
        </w:rPr>
        <w:t xml:space="preserve">accord des administrations sur le wiki, elle serait promulguée avec les modifications du </w:t>
      </w:r>
      <w:r w:rsidR="009B7882" w:rsidRPr="00693E45">
        <w:rPr>
          <w:lang w:val="fr-FR"/>
        </w:rPr>
        <w:t>chapitre 1</w:t>
      </w:r>
      <w:r w:rsidRPr="00693E45">
        <w:rPr>
          <w:lang w:val="fr-FR"/>
        </w:rPr>
        <w:t>0 des Directives.</w:t>
      </w:r>
    </w:p>
    <w:p w14:paraId="3D7EC2A5" w14:textId="51045F94" w:rsidR="007F3D49" w:rsidRPr="00693E45" w:rsidRDefault="00FB09DD" w:rsidP="005F0461">
      <w:pPr>
        <w:pStyle w:val="Heading2"/>
        <w:tabs>
          <w:tab w:val="left" w:pos="2430"/>
        </w:tabs>
        <w:rPr>
          <w:lang w:val="fr-FR"/>
        </w:rPr>
      </w:pPr>
      <w:r w:rsidRPr="00693E45">
        <w:rPr>
          <w:lang w:val="fr-FR"/>
        </w:rPr>
        <w:t>B</w:t>
      </w:r>
      <w:r w:rsidR="00B505BD" w:rsidRPr="00693E45">
        <w:rPr>
          <w:lang w:val="fr-FR"/>
        </w:rPr>
        <w:t>ase de données de citations</w:t>
      </w:r>
      <w:r w:rsidR="009B7882" w:rsidRPr="00693E45">
        <w:rPr>
          <w:lang w:val="fr-FR"/>
        </w:rPr>
        <w:t xml:space="preserve"> du PCT</w:t>
      </w:r>
    </w:p>
    <w:p w14:paraId="42FDF68E" w14:textId="41B11A19" w:rsidR="007F3D49" w:rsidRPr="00693E45" w:rsidRDefault="00CD4976" w:rsidP="00CB4729">
      <w:pPr>
        <w:pStyle w:val="ONUMFS"/>
      </w:pPr>
      <w:r w:rsidRPr="00693E45">
        <w:rPr>
          <w:lang w:val="fr-FR"/>
        </w:rPr>
        <w:t xml:space="preserve">Deux administrations ont demandé au Bureau international de procéder à une </w:t>
      </w:r>
      <w:r w:rsidRPr="00693E45">
        <w:t>consultation auprès des administrations au sujet des évolutions prévues concernant un projet de base de données de citations</w:t>
      </w:r>
      <w:r w:rsidR="009B7882" w:rsidRPr="00693E45">
        <w:t xml:space="preserve"> du PCT</w:t>
      </w:r>
      <w:r w:rsidRPr="00693E45">
        <w:t>, notamment les outils permettant d</w:t>
      </w:r>
      <w:r w:rsidR="009B7882" w:rsidRPr="00693E45">
        <w:t>’</w:t>
      </w:r>
      <w:r w:rsidRPr="00693E45">
        <w:t>obtenir des données en temps réel et l</w:t>
      </w:r>
      <w:r w:rsidR="009B7882" w:rsidRPr="00693E45">
        <w:t>’</w:t>
      </w:r>
      <w:r w:rsidRPr="00693E45">
        <w:t>accès à la littérature non</w:t>
      </w:r>
      <w:r w:rsidR="00CB4729" w:rsidRPr="00693E45">
        <w:noBreakHyphen/>
      </w:r>
      <w:r w:rsidRPr="00693E45">
        <w:t>brevet dans la base de donné</w:t>
      </w:r>
      <w:r w:rsidR="003D2437" w:rsidRPr="00693E45">
        <w:t>es.  Le</w:t>
      </w:r>
      <w:r w:rsidRPr="00693E45">
        <w:t xml:space="preserve"> Bureau international a indiqué qu</w:t>
      </w:r>
      <w:r w:rsidR="009B7882" w:rsidRPr="00693E45">
        <w:t>’</w:t>
      </w:r>
      <w:r w:rsidRPr="00693E45">
        <w:t>il ajouterait ce sujet dans le wiki du sous</w:t>
      </w:r>
      <w:r w:rsidR="00CB4729" w:rsidRPr="00693E45">
        <w:noBreakHyphen/>
      </w:r>
      <w:r w:rsidRPr="00693E45">
        <w:t>groupe et, selon les progrès réalisés d</w:t>
      </w:r>
      <w:r w:rsidR="009B7882" w:rsidRPr="00693E45">
        <w:t>’</w:t>
      </w:r>
      <w:r w:rsidRPr="00693E45">
        <w:t>ici là,</w:t>
      </w:r>
      <w:r w:rsidR="00B505BD" w:rsidRPr="00693E45">
        <w:t xml:space="preserve"> </w:t>
      </w:r>
      <w:r w:rsidRPr="00693E45">
        <w:t>à l</w:t>
      </w:r>
      <w:r w:rsidR="009B7882" w:rsidRPr="00693E45">
        <w:t>’</w:t>
      </w:r>
      <w:r w:rsidRPr="00693E45">
        <w:t xml:space="preserve">ordre du jour de la prochaine session du </w:t>
      </w:r>
      <w:r w:rsidR="0091379C" w:rsidRPr="00693E45">
        <w:t>Groupe</w:t>
      </w:r>
      <w:r w:rsidR="00A7787E" w:rsidRPr="00693E45">
        <w:t xml:space="preserve"> de travail</w:t>
      </w:r>
      <w:r w:rsidR="009B7882" w:rsidRPr="00693E45">
        <w:t xml:space="preserve"> du PCT</w:t>
      </w:r>
      <w:r w:rsidR="00A7787E" w:rsidRPr="00693E45">
        <w:t>, prévue pour se tenir du 14 au 1</w:t>
      </w:r>
      <w:r w:rsidR="009B7882" w:rsidRPr="00693E45">
        <w:t>7 juin 20</w:t>
      </w:r>
      <w:r w:rsidR="00A7787E" w:rsidRPr="00693E45">
        <w:t>21.</w:t>
      </w:r>
    </w:p>
    <w:p w14:paraId="217B6B25" w14:textId="6D75AC51" w:rsidR="009B7882" w:rsidRPr="00693E45" w:rsidRDefault="00FB09DD" w:rsidP="00FB09DD">
      <w:pPr>
        <w:pStyle w:val="Heading2"/>
        <w:rPr>
          <w:lang w:val="fr-FR"/>
        </w:rPr>
      </w:pPr>
      <w:r w:rsidRPr="00693E45">
        <w:rPr>
          <w:lang w:val="fr-FR"/>
        </w:rPr>
        <w:t>Modification des directives concernant la recherche internationale et l’examen préliminaire international</w:t>
      </w:r>
    </w:p>
    <w:p w14:paraId="5E5D2C0B" w14:textId="41B3B25B" w:rsidR="009B7882" w:rsidRPr="00693E45" w:rsidRDefault="00840671" w:rsidP="00CB4729">
      <w:pPr>
        <w:pStyle w:val="ONUMFS"/>
        <w:rPr>
          <w:lang w:val="fr-FR"/>
        </w:rPr>
      </w:pPr>
      <w:r w:rsidRPr="00693E45">
        <w:rPr>
          <w:lang w:val="fr-FR"/>
        </w:rPr>
        <w:t>Une administration a demandé que</w:t>
      </w:r>
      <w:r w:rsidR="000D24AA" w:rsidRPr="00693E45">
        <w:rPr>
          <w:lang w:val="fr-FR"/>
        </w:rPr>
        <w:t xml:space="preserve"> la publication de la nouvelle version des Directives par le Bureau international soit accompagnée de la publication d</w:t>
      </w:r>
      <w:r w:rsidR="009B7882" w:rsidRPr="00693E45">
        <w:rPr>
          <w:lang w:val="fr-FR"/>
        </w:rPr>
        <w:t>’</w:t>
      </w:r>
      <w:r w:rsidR="000D24AA" w:rsidRPr="00693E45">
        <w:rPr>
          <w:lang w:val="fr-FR"/>
        </w:rPr>
        <w:t>une version annotée faisant apparaître les modifications apportées à la précédente version des Directives.</w:t>
      </w:r>
    </w:p>
    <w:p w14:paraId="5D56A1A6" w14:textId="4CF3E0D8" w:rsidR="007F3D49" w:rsidRPr="00693E45" w:rsidRDefault="007F3D49" w:rsidP="005F0461">
      <w:pPr>
        <w:pStyle w:val="Heading1"/>
        <w:tabs>
          <w:tab w:val="left" w:pos="2430"/>
        </w:tabs>
        <w:rPr>
          <w:lang w:val="fr-FR"/>
        </w:rPr>
      </w:pPr>
      <w:r w:rsidRPr="00693E45">
        <w:rPr>
          <w:lang w:val="fr-FR"/>
        </w:rPr>
        <w:t>Future</w:t>
      </w:r>
      <w:r w:rsidR="00CB4729" w:rsidRPr="00693E45">
        <w:rPr>
          <w:lang w:val="fr-FR"/>
        </w:rPr>
        <w:t>s réunions du S</w:t>
      </w:r>
      <w:r w:rsidR="00B57D6B" w:rsidRPr="00693E45">
        <w:rPr>
          <w:lang w:val="fr-FR"/>
        </w:rPr>
        <w:t>ous</w:t>
      </w:r>
      <w:r w:rsidR="00CB4729" w:rsidRPr="00693E45">
        <w:rPr>
          <w:lang w:val="fr-FR"/>
        </w:rPr>
        <w:noBreakHyphen/>
      </w:r>
      <w:r w:rsidR="00B57D6B" w:rsidRPr="00693E45">
        <w:rPr>
          <w:lang w:val="fr-FR"/>
        </w:rPr>
        <w:t>groupe chargé de la qualité</w:t>
      </w:r>
    </w:p>
    <w:p w14:paraId="4F669EF1" w14:textId="39C9BE43" w:rsidR="009B7882" w:rsidRPr="00693E45" w:rsidRDefault="00376533" w:rsidP="00CB4729">
      <w:pPr>
        <w:pStyle w:val="ONUMFS"/>
        <w:rPr>
          <w:lang w:val="fr-FR"/>
        </w:rPr>
      </w:pPr>
      <w:r w:rsidRPr="00693E45">
        <w:rPr>
          <w:lang w:val="fr-FR"/>
        </w:rPr>
        <w:t xml:space="preserve">Les administrations </w:t>
      </w:r>
      <w:r w:rsidR="008E320C" w:rsidRPr="00693E45">
        <w:rPr>
          <w:lang w:val="fr-FR"/>
        </w:rPr>
        <w:t>se sont félicitées du fait que le sous</w:t>
      </w:r>
      <w:r w:rsidR="00CB4729" w:rsidRPr="00693E45">
        <w:rPr>
          <w:lang w:val="fr-FR"/>
        </w:rPr>
        <w:noBreakHyphen/>
      </w:r>
      <w:r w:rsidR="008E320C" w:rsidRPr="00693E45">
        <w:rPr>
          <w:lang w:val="fr-FR"/>
        </w:rPr>
        <w:t xml:space="preserve">groupe ait pu </w:t>
      </w:r>
      <w:r w:rsidR="00803D7A" w:rsidRPr="00693E45">
        <w:rPr>
          <w:lang w:val="fr-FR"/>
        </w:rPr>
        <w:t>se réunir durant la pandémie de COVID</w:t>
      </w:r>
      <w:r w:rsidR="00CB4729" w:rsidRPr="00693E45">
        <w:rPr>
          <w:lang w:val="fr-FR"/>
        </w:rPr>
        <w:noBreakHyphen/>
      </w:r>
      <w:r w:rsidR="00803D7A" w:rsidRPr="00693E45">
        <w:rPr>
          <w:lang w:val="fr-FR"/>
        </w:rPr>
        <w:t xml:space="preserve">19, grâce au logiciel </w:t>
      </w:r>
      <w:proofErr w:type="spellStart"/>
      <w:r w:rsidR="00803D7A" w:rsidRPr="00693E45">
        <w:rPr>
          <w:lang w:val="fr-FR"/>
        </w:rPr>
        <w:t>Web</w:t>
      </w:r>
      <w:r w:rsidR="003D2437" w:rsidRPr="00693E45">
        <w:rPr>
          <w:lang w:val="fr-FR"/>
        </w:rPr>
        <w:t>ex</w:t>
      </w:r>
      <w:proofErr w:type="spellEnd"/>
      <w:r w:rsidR="003D2437" w:rsidRPr="00693E45">
        <w:rPr>
          <w:lang w:val="fr-FR"/>
        </w:rPr>
        <w:t>.  La</w:t>
      </w:r>
      <w:r w:rsidR="00803D7A" w:rsidRPr="00693E45">
        <w:rPr>
          <w:lang w:val="fr-FR"/>
        </w:rPr>
        <w:t xml:space="preserve"> réunion de cette année s</w:t>
      </w:r>
      <w:r w:rsidR="009B7882" w:rsidRPr="00693E45">
        <w:rPr>
          <w:lang w:val="fr-FR"/>
        </w:rPr>
        <w:t>’</w:t>
      </w:r>
      <w:r w:rsidR="00803D7A" w:rsidRPr="00693E45">
        <w:rPr>
          <w:lang w:val="fr-FR"/>
        </w:rPr>
        <w:t>était déroulée sans difficulté sur le plan technique, et la vidéoconférence avait permis d</w:t>
      </w:r>
      <w:r w:rsidR="009B7882" w:rsidRPr="00693E45">
        <w:rPr>
          <w:lang w:val="fr-FR"/>
        </w:rPr>
        <w:t>’</w:t>
      </w:r>
      <w:r w:rsidR="00803D7A" w:rsidRPr="00693E45">
        <w:rPr>
          <w:lang w:val="fr-FR"/>
        </w:rPr>
        <w:t>accueillir un plus grand nombre de participants qu</w:t>
      </w:r>
      <w:r w:rsidR="009B7882" w:rsidRPr="00693E45">
        <w:rPr>
          <w:lang w:val="fr-FR"/>
        </w:rPr>
        <w:t>’</w:t>
      </w:r>
      <w:r w:rsidR="00803D7A" w:rsidRPr="00693E45">
        <w:rPr>
          <w:lang w:val="fr-FR"/>
        </w:rPr>
        <w:t xml:space="preserve">une réunion physique </w:t>
      </w:r>
      <w:r w:rsidR="007F13FC" w:rsidRPr="00693E45">
        <w:rPr>
          <w:lang w:val="fr-FR"/>
        </w:rPr>
        <w:t xml:space="preserve">qui aurait obligé ces derniers à faire un voyage </w:t>
      </w:r>
      <w:r w:rsidR="00991996" w:rsidRPr="00693E45">
        <w:rPr>
          <w:lang w:val="fr-FR"/>
        </w:rPr>
        <w:t>pour s</w:t>
      </w:r>
      <w:r w:rsidR="009B7882" w:rsidRPr="00693E45">
        <w:rPr>
          <w:lang w:val="fr-FR"/>
        </w:rPr>
        <w:t>’</w:t>
      </w:r>
      <w:r w:rsidR="00991996" w:rsidRPr="00693E45">
        <w:rPr>
          <w:lang w:val="fr-FR"/>
        </w:rPr>
        <w:t>y rendre.</w:t>
      </w:r>
    </w:p>
    <w:p w14:paraId="6EC89229" w14:textId="5BCE4E3D" w:rsidR="007F3D49" w:rsidRPr="00693E45" w:rsidRDefault="00991996" w:rsidP="00CB4729">
      <w:pPr>
        <w:pStyle w:val="ONUMFS"/>
        <w:rPr>
          <w:lang w:val="fr-FR"/>
        </w:rPr>
      </w:pPr>
      <w:r w:rsidRPr="00693E45">
        <w:rPr>
          <w:lang w:val="fr-FR"/>
        </w:rPr>
        <w:t xml:space="preserve">Les administrations ont </w:t>
      </w:r>
      <w:r w:rsidR="00520815" w:rsidRPr="00693E45">
        <w:rPr>
          <w:lang w:val="fr-FR"/>
        </w:rPr>
        <w:t>évoqu</w:t>
      </w:r>
      <w:r w:rsidRPr="00693E45">
        <w:rPr>
          <w:lang w:val="fr-FR"/>
        </w:rPr>
        <w:t xml:space="preserve">é les divers avantages et inconvénients que présentent les réunions </w:t>
      </w:r>
      <w:r w:rsidR="00520815" w:rsidRPr="00693E45">
        <w:rPr>
          <w:lang w:val="fr-FR"/>
        </w:rPr>
        <w:t xml:space="preserve">à distance par rapport aux réunions en personne, </w:t>
      </w:r>
      <w:r w:rsidR="00BC403C" w:rsidRPr="00693E45">
        <w:rPr>
          <w:lang w:val="fr-FR"/>
        </w:rPr>
        <w:t>observant que ces dernières permettaient à leurs participants d</w:t>
      </w:r>
      <w:r w:rsidR="009B7882" w:rsidRPr="00693E45">
        <w:rPr>
          <w:lang w:val="fr-FR"/>
        </w:rPr>
        <w:t>’</w:t>
      </w:r>
      <w:r w:rsidR="00BC403C" w:rsidRPr="00693E45">
        <w:rPr>
          <w:lang w:val="fr-FR"/>
        </w:rPr>
        <w:t xml:space="preserve">avoir des entretiens face à face en dehors des séances plénières, </w:t>
      </w:r>
      <w:r w:rsidR="0072751D" w:rsidRPr="00693E45">
        <w:rPr>
          <w:lang w:val="fr-FR"/>
        </w:rPr>
        <w:t>ce qui leur fournissait de précieuses occasions d</w:t>
      </w:r>
      <w:r w:rsidR="009B7882" w:rsidRPr="00693E45">
        <w:rPr>
          <w:lang w:val="fr-FR"/>
        </w:rPr>
        <w:t>’</w:t>
      </w:r>
      <w:r w:rsidR="0072751D" w:rsidRPr="00693E45">
        <w:rPr>
          <w:lang w:val="fr-FR"/>
        </w:rPr>
        <w:t>établir des relations avec des homologues d</w:t>
      </w:r>
      <w:r w:rsidR="009B7882" w:rsidRPr="00693E45">
        <w:rPr>
          <w:lang w:val="fr-FR"/>
        </w:rPr>
        <w:t>’</w:t>
      </w:r>
      <w:r w:rsidR="0072751D" w:rsidRPr="00693E45">
        <w:rPr>
          <w:lang w:val="fr-FR"/>
        </w:rPr>
        <w:t>autres offices de propriété intellectuel</w:t>
      </w:r>
      <w:r w:rsidR="003D2437" w:rsidRPr="00693E45">
        <w:rPr>
          <w:lang w:val="fr-FR"/>
        </w:rPr>
        <w:t>le.  Ce</w:t>
      </w:r>
      <w:r w:rsidR="0072751D" w:rsidRPr="00693E45">
        <w:rPr>
          <w:lang w:val="fr-FR"/>
        </w:rPr>
        <w:t>rtaines administrations ont été d</w:t>
      </w:r>
      <w:r w:rsidR="009B7882" w:rsidRPr="00693E45">
        <w:rPr>
          <w:lang w:val="fr-FR"/>
        </w:rPr>
        <w:t>’</w:t>
      </w:r>
      <w:r w:rsidR="0072751D" w:rsidRPr="00693E45">
        <w:rPr>
          <w:lang w:val="fr-FR"/>
        </w:rPr>
        <w:t>avis qu</w:t>
      </w:r>
      <w:r w:rsidR="009B7882" w:rsidRPr="00693E45">
        <w:rPr>
          <w:lang w:val="fr-FR"/>
        </w:rPr>
        <w:t>’</w:t>
      </w:r>
      <w:r w:rsidR="0072751D" w:rsidRPr="00693E45">
        <w:rPr>
          <w:lang w:val="fr-FR"/>
        </w:rPr>
        <w:t>un</w:t>
      </w:r>
      <w:r w:rsidR="00C8143C" w:rsidRPr="00693E45">
        <w:rPr>
          <w:lang w:val="fr-FR"/>
        </w:rPr>
        <w:t xml:space="preserve"> mode d</w:t>
      </w:r>
      <w:r w:rsidR="0072751D" w:rsidRPr="00693E45">
        <w:rPr>
          <w:lang w:val="fr-FR"/>
        </w:rPr>
        <w:t xml:space="preserve">e réunion hybride, permettant à la fois une participation physique et à distance, </w:t>
      </w:r>
      <w:r w:rsidR="00C8143C" w:rsidRPr="00693E45">
        <w:rPr>
          <w:lang w:val="fr-FR"/>
        </w:rPr>
        <w:t>pourrait représ</w:t>
      </w:r>
      <w:r w:rsidR="00CB4729" w:rsidRPr="00693E45">
        <w:rPr>
          <w:lang w:val="fr-FR"/>
        </w:rPr>
        <w:t>enter un bon compromis pour le S</w:t>
      </w:r>
      <w:r w:rsidR="00C8143C" w:rsidRPr="00693E45">
        <w:rPr>
          <w:lang w:val="fr-FR"/>
        </w:rPr>
        <w:t>ous</w:t>
      </w:r>
      <w:r w:rsidR="00CB4729" w:rsidRPr="00693E45">
        <w:rPr>
          <w:lang w:val="fr-FR"/>
        </w:rPr>
        <w:noBreakHyphen/>
      </w:r>
      <w:r w:rsidR="00C8143C" w:rsidRPr="00693E45">
        <w:rPr>
          <w:lang w:val="fr-FR"/>
        </w:rPr>
        <w:t>groupe chargé de la quali</w:t>
      </w:r>
      <w:r w:rsidR="003D2437" w:rsidRPr="00693E45">
        <w:rPr>
          <w:lang w:val="fr-FR"/>
        </w:rPr>
        <w:t>té.  Un</w:t>
      </w:r>
      <w:r w:rsidR="00C8143C" w:rsidRPr="00693E45">
        <w:rPr>
          <w:lang w:val="fr-FR"/>
        </w:rPr>
        <w:t>e administration a suggéré que le sous</w:t>
      </w:r>
      <w:r w:rsidR="00CB4729" w:rsidRPr="00693E45">
        <w:rPr>
          <w:lang w:val="fr-FR"/>
        </w:rPr>
        <w:noBreakHyphen/>
      </w:r>
      <w:r w:rsidR="00C8143C" w:rsidRPr="00693E45">
        <w:rPr>
          <w:lang w:val="fr-FR"/>
        </w:rPr>
        <w:t>groupe tienne des réunions physiques et virtuelles en alternance.</w:t>
      </w:r>
    </w:p>
    <w:p w14:paraId="1F9C30E6" w14:textId="7CC1A9E9" w:rsidR="007F3D49" w:rsidRPr="00693E45" w:rsidRDefault="001D0B90" w:rsidP="00CB4729">
      <w:pPr>
        <w:pStyle w:val="ONUMFS"/>
        <w:rPr>
          <w:lang w:val="fr-FR"/>
        </w:rPr>
      </w:pPr>
      <w:r w:rsidRPr="00693E45">
        <w:rPr>
          <w:lang w:val="fr-FR"/>
        </w:rPr>
        <w:t xml:space="preserve">Le Bureau international a </w:t>
      </w:r>
      <w:r w:rsidR="001708F4" w:rsidRPr="00693E45">
        <w:rPr>
          <w:lang w:val="fr-FR"/>
        </w:rPr>
        <w:t>reconnu qu</w:t>
      </w:r>
      <w:r w:rsidR="009B7882" w:rsidRPr="00693E45">
        <w:rPr>
          <w:lang w:val="fr-FR"/>
        </w:rPr>
        <w:t>’</w:t>
      </w:r>
      <w:r w:rsidR="001708F4" w:rsidRPr="00693E45">
        <w:rPr>
          <w:lang w:val="fr-FR"/>
        </w:rPr>
        <w:t xml:space="preserve">une réunion hybride pouvait allier les avantages des réunions physiques et virtuelles, </w:t>
      </w:r>
      <w:r w:rsidR="008C7ACD" w:rsidRPr="00693E45">
        <w:rPr>
          <w:lang w:val="fr-FR"/>
        </w:rPr>
        <w:t xml:space="preserve">en </w:t>
      </w:r>
      <w:r w:rsidR="001D2231" w:rsidRPr="00693E45">
        <w:rPr>
          <w:lang w:val="fr-FR"/>
        </w:rPr>
        <w:t>précis</w:t>
      </w:r>
      <w:r w:rsidR="008C7ACD" w:rsidRPr="00693E45">
        <w:rPr>
          <w:lang w:val="fr-FR"/>
        </w:rPr>
        <w:t>ant toutefois que la possibilité d</w:t>
      </w:r>
      <w:r w:rsidR="009B7882" w:rsidRPr="00693E45">
        <w:rPr>
          <w:lang w:val="fr-FR"/>
        </w:rPr>
        <w:t>’</w:t>
      </w:r>
      <w:r w:rsidR="008C7ACD" w:rsidRPr="00693E45">
        <w:rPr>
          <w:lang w:val="fr-FR"/>
        </w:rPr>
        <w:t>a</w:t>
      </w:r>
      <w:r w:rsidR="001D2231" w:rsidRPr="00693E45">
        <w:rPr>
          <w:lang w:val="fr-FR"/>
        </w:rPr>
        <w:t xml:space="preserve">jouter des </w:t>
      </w:r>
      <w:r w:rsidR="008C7ACD" w:rsidRPr="00693E45">
        <w:rPr>
          <w:lang w:val="fr-FR"/>
        </w:rPr>
        <w:t xml:space="preserve">participants </w:t>
      </w:r>
      <w:r w:rsidR="001D2231" w:rsidRPr="00693E45">
        <w:rPr>
          <w:lang w:val="fr-FR"/>
        </w:rPr>
        <w:t xml:space="preserve">à distance dépendrait du lieu où se déroulerait </w:t>
      </w:r>
      <w:r w:rsidR="0010375F" w:rsidRPr="00693E45">
        <w:rPr>
          <w:lang w:val="fr-FR"/>
        </w:rPr>
        <w:t>la réunion pour les participants physiqu</w:t>
      </w:r>
      <w:r w:rsidR="003D2437" w:rsidRPr="00693E45">
        <w:rPr>
          <w:lang w:val="fr-FR"/>
        </w:rPr>
        <w:t>es.  Ad</w:t>
      </w:r>
      <w:r w:rsidR="000A0D2D" w:rsidRPr="00693E45">
        <w:rPr>
          <w:lang w:val="fr-FR"/>
        </w:rPr>
        <w:t>opter un mode de réunion variab</w:t>
      </w:r>
      <w:r w:rsidR="00CB4729" w:rsidRPr="00693E45">
        <w:rPr>
          <w:lang w:val="fr-FR"/>
        </w:rPr>
        <w:t>le pourrait aussi permettre au S</w:t>
      </w:r>
      <w:r w:rsidR="000A0D2D" w:rsidRPr="00693E45">
        <w:rPr>
          <w:lang w:val="fr-FR"/>
        </w:rPr>
        <w:t>ous</w:t>
      </w:r>
      <w:r w:rsidR="00CB4729" w:rsidRPr="00693E45">
        <w:rPr>
          <w:lang w:val="fr-FR"/>
        </w:rPr>
        <w:noBreakHyphen/>
      </w:r>
      <w:r w:rsidR="000A0D2D" w:rsidRPr="00693E45">
        <w:rPr>
          <w:lang w:val="fr-FR"/>
        </w:rPr>
        <w:t>groupe chargé de la qualité de se rencontrer physiquement au cours de la même semaine que la Réunion des administrations internationales et par vidéoconférence entre les réunions</w:t>
      </w:r>
      <w:r w:rsidR="00430334" w:rsidRPr="00693E45">
        <w:rPr>
          <w:lang w:val="fr-FR"/>
        </w:rPr>
        <w:t xml:space="preserve"> des administrations internationales </w:t>
      </w:r>
      <w:r w:rsidR="00E80FFF" w:rsidRPr="00693E45">
        <w:rPr>
          <w:lang w:val="fr-FR"/>
        </w:rPr>
        <w:t xml:space="preserve">instituées </w:t>
      </w:r>
      <w:r w:rsidR="00430334" w:rsidRPr="00693E45">
        <w:rPr>
          <w:lang w:val="fr-FR"/>
        </w:rPr>
        <w:t>selon</w:t>
      </w:r>
      <w:r w:rsidR="009B7882" w:rsidRPr="00693E45">
        <w:rPr>
          <w:lang w:val="fr-FR"/>
        </w:rPr>
        <w:t xml:space="preserve"> le </w:t>
      </w:r>
      <w:r w:rsidR="003D2437" w:rsidRPr="00693E45">
        <w:rPr>
          <w:lang w:val="fr-FR"/>
        </w:rPr>
        <w:t>PCT.  Ét</w:t>
      </w:r>
      <w:r w:rsidR="0004754F" w:rsidRPr="00693E45">
        <w:rPr>
          <w:lang w:val="fr-FR"/>
        </w:rPr>
        <w:t xml:space="preserve">ant donné </w:t>
      </w:r>
      <w:r w:rsidR="009D19F4" w:rsidRPr="00693E45">
        <w:rPr>
          <w:lang w:val="fr-FR"/>
        </w:rPr>
        <w:t>qu</w:t>
      </w:r>
      <w:r w:rsidR="009B7882" w:rsidRPr="00693E45">
        <w:rPr>
          <w:lang w:val="fr-FR"/>
        </w:rPr>
        <w:t>’</w:t>
      </w:r>
      <w:r w:rsidR="009D19F4" w:rsidRPr="00693E45">
        <w:rPr>
          <w:lang w:val="fr-FR"/>
        </w:rPr>
        <w:t xml:space="preserve">il était impossible de savoir quelles seraient les possibilités de voyage au cours de la prochaine année, le Bureau international suggérait </w:t>
      </w:r>
      <w:r w:rsidR="006C4A6B" w:rsidRPr="00693E45">
        <w:rPr>
          <w:lang w:val="fr-FR"/>
        </w:rPr>
        <w:t>que la question du format de la prochaine réunion du sous</w:t>
      </w:r>
      <w:r w:rsidR="00CB4729" w:rsidRPr="00693E45">
        <w:rPr>
          <w:lang w:val="fr-FR"/>
        </w:rPr>
        <w:noBreakHyphen/>
      </w:r>
      <w:r w:rsidR="006C4A6B" w:rsidRPr="00693E45">
        <w:rPr>
          <w:lang w:val="fr-FR"/>
        </w:rPr>
        <w:t xml:space="preserve">groupe soit examinée </w:t>
      </w:r>
      <w:r w:rsidR="005F72FE" w:rsidRPr="00693E45">
        <w:rPr>
          <w:lang w:val="fr-FR"/>
        </w:rPr>
        <w:t xml:space="preserve">plus près de la date de cette réunion, laquelle devait normalement se tenir au premier trimestre </w:t>
      </w:r>
      <w:r w:rsidR="009B7882" w:rsidRPr="00693E45">
        <w:rPr>
          <w:lang w:val="fr-FR"/>
        </w:rPr>
        <w:t>de 2022</w:t>
      </w:r>
      <w:r w:rsidR="005F72FE" w:rsidRPr="00693E45">
        <w:rPr>
          <w:lang w:val="fr-FR"/>
        </w:rPr>
        <w:t>.</w:t>
      </w:r>
    </w:p>
    <w:p w14:paraId="460CA0BA" w14:textId="6746A227" w:rsidR="000F5E56" w:rsidRPr="00693E45" w:rsidRDefault="007F3D49" w:rsidP="00C6045B">
      <w:pPr>
        <w:pStyle w:val="Endofdocument-Annex"/>
        <w:spacing w:before="720"/>
        <w:rPr>
          <w:lang w:val="fr-FR"/>
        </w:rPr>
      </w:pPr>
      <w:r w:rsidRPr="00693E45">
        <w:rPr>
          <w:lang w:val="fr-FR"/>
        </w:rPr>
        <w:t>[Fin de l</w:t>
      </w:r>
      <w:r w:rsidR="009B7882" w:rsidRPr="00693E45">
        <w:rPr>
          <w:lang w:val="fr-FR"/>
        </w:rPr>
        <w:t>’</w:t>
      </w:r>
      <w:r w:rsidRPr="00693E45">
        <w:rPr>
          <w:lang w:val="fr-FR"/>
        </w:rPr>
        <w:t>annexe et du document]</w:t>
      </w:r>
    </w:p>
    <w:sectPr w:rsidR="000F5E56" w:rsidRPr="00693E45" w:rsidSect="00CB4729">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B549" w16cex:dateUtc="2021-05-19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5A4FED" w16cid:durableId="244FB5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6F535" w14:textId="77777777" w:rsidR="00C6045B" w:rsidRDefault="00C6045B">
      <w:r>
        <w:separator/>
      </w:r>
    </w:p>
  </w:endnote>
  <w:endnote w:type="continuationSeparator" w:id="0">
    <w:p w14:paraId="1D608D94" w14:textId="77777777" w:rsidR="00C6045B" w:rsidRPr="009D30E6" w:rsidRDefault="00C6045B" w:rsidP="00D45252">
      <w:pPr>
        <w:rPr>
          <w:sz w:val="17"/>
          <w:szCs w:val="17"/>
        </w:rPr>
      </w:pPr>
      <w:r w:rsidRPr="009D30E6">
        <w:rPr>
          <w:sz w:val="17"/>
          <w:szCs w:val="17"/>
        </w:rPr>
        <w:separator/>
      </w:r>
    </w:p>
    <w:p w14:paraId="1C242ED9" w14:textId="77777777" w:rsidR="00C6045B" w:rsidRPr="009D30E6" w:rsidRDefault="00C6045B" w:rsidP="00D45252">
      <w:pPr>
        <w:spacing w:after="60"/>
        <w:rPr>
          <w:sz w:val="17"/>
          <w:szCs w:val="17"/>
        </w:rPr>
      </w:pPr>
      <w:r w:rsidRPr="009D30E6">
        <w:rPr>
          <w:sz w:val="17"/>
          <w:szCs w:val="17"/>
        </w:rPr>
        <w:t>[Suite de la note de la page précédente]</w:t>
      </w:r>
    </w:p>
  </w:endnote>
  <w:endnote w:type="continuationNotice" w:id="1">
    <w:p w14:paraId="5572AD7C" w14:textId="77777777" w:rsidR="00C6045B" w:rsidRPr="009D30E6" w:rsidRDefault="00C6045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7AE7" w14:textId="77777777" w:rsidR="00C6045B" w:rsidRDefault="00C6045B" w:rsidP="00C60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4FBD5" w14:textId="77777777" w:rsidR="00C6045B" w:rsidRPr="00E65068" w:rsidRDefault="00C6045B" w:rsidP="00E65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BAC1B" w14:textId="77777777" w:rsidR="00C6045B" w:rsidRDefault="00C60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1EB20" w14:textId="77777777" w:rsidR="00C6045B" w:rsidRDefault="00C6045B">
      <w:r>
        <w:separator/>
      </w:r>
    </w:p>
  </w:footnote>
  <w:footnote w:type="continuationSeparator" w:id="0">
    <w:p w14:paraId="10E74553" w14:textId="77777777" w:rsidR="00C6045B" w:rsidRDefault="00C6045B" w:rsidP="007461F1">
      <w:r>
        <w:separator/>
      </w:r>
    </w:p>
    <w:p w14:paraId="135B3D2C" w14:textId="77777777" w:rsidR="00C6045B" w:rsidRPr="009D30E6" w:rsidRDefault="00C6045B" w:rsidP="007461F1">
      <w:pPr>
        <w:spacing w:after="60"/>
        <w:rPr>
          <w:sz w:val="17"/>
          <w:szCs w:val="17"/>
        </w:rPr>
      </w:pPr>
      <w:r w:rsidRPr="009D30E6">
        <w:rPr>
          <w:sz w:val="17"/>
          <w:szCs w:val="17"/>
        </w:rPr>
        <w:t>[Suite de la note de la page précédente]</w:t>
      </w:r>
    </w:p>
  </w:footnote>
  <w:footnote w:type="continuationNotice" w:id="1">
    <w:p w14:paraId="62C5E3D1" w14:textId="77777777" w:rsidR="00C6045B" w:rsidRPr="009D30E6" w:rsidRDefault="00C6045B" w:rsidP="007461F1">
      <w:pPr>
        <w:spacing w:before="60"/>
        <w:jc w:val="right"/>
        <w:rPr>
          <w:sz w:val="17"/>
          <w:szCs w:val="17"/>
        </w:rPr>
      </w:pPr>
      <w:r w:rsidRPr="009D30E6">
        <w:rPr>
          <w:sz w:val="17"/>
          <w:szCs w:val="17"/>
        </w:rPr>
        <w:t>[Suite de la note page suivante]</w:t>
      </w:r>
    </w:p>
  </w:footnote>
  <w:footnote w:id="2">
    <w:p w14:paraId="04935DB3" w14:textId="1B297BA2" w:rsidR="00C6045B" w:rsidRPr="00CB4729" w:rsidRDefault="00C6045B" w:rsidP="007F3D49">
      <w:pPr>
        <w:pStyle w:val="FootnoteText"/>
      </w:pPr>
      <w:r w:rsidRPr="00CB4729">
        <w:rPr>
          <w:rStyle w:val="FootnoteReference"/>
        </w:rPr>
        <w:footnoteRef/>
      </w:r>
      <w:r w:rsidRPr="00CB4729">
        <w:tab/>
        <w:t>Un exemplaire de cette présentation est disponible sur le site Web de l’OMPI à l’adresse suivante : https://www.wipo.int/meetings/en/doc_details.jsp?doc_id=533911 (en anglais).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2ED3" w14:textId="77777777" w:rsidR="00C6045B" w:rsidRPr="00B25737" w:rsidRDefault="00C6045B" w:rsidP="00C6045B">
    <w:pPr>
      <w:jc w:val="right"/>
      <w:rPr>
        <w:caps/>
      </w:rPr>
    </w:pPr>
    <w:r>
      <w:rPr>
        <w:caps/>
      </w:rPr>
      <w:t>PCT/WG/14/2</w:t>
    </w:r>
  </w:p>
  <w:p w14:paraId="76BF3562" w14:textId="77777777" w:rsidR="00C6045B" w:rsidRDefault="00C6045B" w:rsidP="00C6045B">
    <w:pPr>
      <w:jc w:val="right"/>
    </w:pPr>
    <w:r>
      <w:t xml:space="preserve">page </w:t>
    </w:r>
    <w:r>
      <w:fldChar w:fldCharType="begin"/>
    </w:r>
    <w:r>
      <w:instrText xml:space="preserve"> PAGE  \* MERGEFORMAT </w:instrText>
    </w:r>
    <w:r>
      <w:fldChar w:fldCharType="separate"/>
    </w:r>
    <w:r>
      <w:rPr>
        <w:noProof/>
      </w:rPr>
      <w:t>1</w:t>
    </w:r>
    <w:r>
      <w:fldChar w:fldCharType="end"/>
    </w:r>
  </w:p>
  <w:p w14:paraId="206FDD8D" w14:textId="77777777" w:rsidR="00C6045B" w:rsidRDefault="00C6045B" w:rsidP="00C6045B">
    <w:pPr>
      <w:jc w:val="right"/>
    </w:pPr>
  </w:p>
  <w:p w14:paraId="7E9321E4" w14:textId="77777777" w:rsidR="00C6045B" w:rsidRDefault="00C6045B" w:rsidP="00C6045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2F72" w14:textId="77777777" w:rsidR="00C6045B" w:rsidRPr="00B25737" w:rsidRDefault="00C6045B" w:rsidP="00C6045B">
    <w:pPr>
      <w:jc w:val="right"/>
      <w:rPr>
        <w:caps/>
      </w:rPr>
    </w:pPr>
    <w:r w:rsidRPr="00480FF6">
      <w:rPr>
        <w:caps/>
        <w:color w:val="800080"/>
      </w:rPr>
      <w:t>PCT/WG/14/2</w:t>
    </w:r>
  </w:p>
  <w:p w14:paraId="5580F344" w14:textId="31DBA088" w:rsidR="00C6045B" w:rsidRDefault="00C6045B" w:rsidP="00C6045B">
    <w:pPr>
      <w:jc w:val="right"/>
    </w:pPr>
    <w:r w:rsidRPr="00480FF6">
      <w:rPr>
        <w:color w:val="800080"/>
      </w:rPr>
      <w:t>Page :</w:t>
    </w:r>
    <w:r>
      <w:t xml:space="preserve"> </w:t>
    </w:r>
    <w:r>
      <w:fldChar w:fldCharType="begin"/>
    </w:r>
    <w:r>
      <w:instrText xml:space="preserve"> PAGE  \* MERGEFORMAT </w:instrText>
    </w:r>
    <w:r>
      <w:fldChar w:fldCharType="separate"/>
    </w:r>
    <w:r w:rsidR="00913F6F">
      <w:rPr>
        <w:noProof/>
      </w:rPr>
      <w:t>2</w:t>
    </w:r>
    <w:r>
      <w:fldChar w:fldCharType="end"/>
    </w:r>
  </w:p>
  <w:p w14:paraId="4F016326" w14:textId="77777777" w:rsidR="00C6045B" w:rsidRDefault="00C6045B" w:rsidP="00477D6B">
    <w:pPr>
      <w:jc w:val="right"/>
    </w:pPr>
  </w:p>
  <w:p w14:paraId="034594C8" w14:textId="77777777" w:rsidR="00C6045B" w:rsidRDefault="00C6045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0264" w14:textId="77777777" w:rsidR="00C6045B" w:rsidRPr="002326AB" w:rsidRDefault="00C6045B" w:rsidP="00C6045B">
    <w:pPr>
      <w:jc w:val="right"/>
      <w:rPr>
        <w:caps/>
      </w:rPr>
    </w:pPr>
    <w:r>
      <w:rPr>
        <w:caps/>
      </w:rPr>
      <w:t>PCT/WG/14/2</w:t>
    </w:r>
  </w:p>
  <w:p w14:paraId="5EA396E9" w14:textId="77777777" w:rsidR="00C6045B" w:rsidRDefault="00C6045B" w:rsidP="00C6045B">
    <w:pPr>
      <w:jc w:val="right"/>
    </w:pPr>
    <w:r>
      <w:t xml:space="preserve">Annex, page </w:t>
    </w:r>
    <w:r>
      <w:fldChar w:fldCharType="begin"/>
    </w:r>
    <w:r>
      <w:instrText xml:space="preserve"> PAGE  \* MERGEFORMAT </w:instrText>
    </w:r>
    <w:r>
      <w:fldChar w:fldCharType="separate"/>
    </w:r>
    <w:r>
      <w:rPr>
        <w:noProof/>
      </w:rPr>
      <w:t>8</w:t>
    </w:r>
    <w:r>
      <w:fldChar w:fldCharType="end"/>
    </w:r>
  </w:p>
  <w:p w14:paraId="44E147A7" w14:textId="77777777" w:rsidR="00C6045B" w:rsidRDefault="00C6045B" w:rsidP="00C6045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D6B0" w14:textId="77777777" w:rsidR="00C6045B" w:rsidRPr="0016576B" w:rsidRDefault="00C6045B" w:rsidP="00C6045B">
    <w:pPr>
      <w:jc w:val="right"/>
      <w:rPr>
        <w:caps/>
        <w:color w:val="000000" w:themeColor="text1"/>
      </w:rPr>
    </w:pPr>
    <w:r w:rsidRPr="0016576B">
      <w:rPr>
        <w:caps/>
        <w:color w:val="000000" w:themeColor="text1"/>
      </w:rPr>
      <w:t>PCT/WG/14/2</w:t>
    </w:r>
  </w:p>
  <w:p w14:paraId="2A4A0604" w14:textId="71F87BA8" w:rsidR="00C6045B" w:rsidRDefault="00C6045B" w:rsidP="00C6045B">
    <w:pPr>
      <w:jc w:val="right"/>
    </w:pPr>
    <w:r>
      <w:t xml:space="preserve">Annexe, page </w:t>
    </w:r>
    <w:r>
      <w:fldChar w:fldCharType="begin"/>
    </w:r>
    <w:r>
      <w:instrText xml:space="preserve"> PAGE  \* MERGEFORMAT </w:instrText>
    </w:r>
    <w:r>
      <w:fldChar w:fldCharType="separate"/>
    </w:r>
    <w:r w:rsidR="0016576B">
      <w:rPr>
        <w:noProof/>
      </w:rPr>
      <w:t>9</w:t>
    </w:r>
    <w:r>
      <w:fldChar w:fldCharType="end"/>
    </w:r>
  </w:p>
  <w:p w14:paraId="74D58677" w14:textId="77777777" w:rsidR="00C6045B" w:rsidRDefault="00C6045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CCD0" w14:textId="77777777" w:rsidR="00C6045B" w:rsidRDefault="00C6045B" w:rsidP="00C6045B">
    <w:pPr>
      <w:pStyle w:val="Header"/>
      <w:jc w:val="right"/>
    </w:pPr>
    <w:r>
      <w:t>PCT/WG/14/2</w:t>
    </w:r>
  </w:p>
  <w:p w14:paraId="18AF0147" w14:textId="56724DC1" w:rsidR="00C6045B" w:rsidRDefault="00C6045B" w:rsidP="00C6045B">
    <w:pPr>
      <w:pStyle w:val="Header"/>
      <w:jc w:val="right"/>
    </w:pPr>
    <w:r>
      <w:t>ANNEXE</w:t>
    </w:r>
  </w:p>
  <w:p w14:paraId="0CD0BB17" w14:textId="77777777" w:rsidR="00C6045B" w:rsidRDefault="00C6045B" w:rsidP="00C6045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CC9D" w14:textId="77777777" w:rsidR="00C6045B" w:rsidRPr="00963071" w:rsidRDefault="00C6045B" w:rsidP="00477D6B">
    <w:pPr>
      <w:jc w:val="right"/>
      <w:rPr>
        <w:caps/>
      </w:rPr>
    </w:pPr>
    <w:bookmarkStart w:id="10" w:name="Code2"/>
    <w:bookmarkEnd w:id="10"/>
    <w:r>
      <w:rPr>
        <w:caps/>
      </w:rPr>
      <w:t>PCT/WG/14/2</w:t>
    </w:r>
  </w:p>
  <w:p w14:paraId="47354D5F" w14:textId="56C08366" w:rsidR="00C6045B" w:rsidRDefault="00CB4729" w:rsidP="00477D6B">
    <w:pPr>
      <w:jc w:val="right"/>
    </w:pPr>
    <w:r>
      <w:t xml:space="preserve">Annexe, </w:t>
    </w:r>
    <w:r w:rsidR="00C6045B">
      <w:t xml:space="preserve">page </w:t>
    </w:r>
    <w:r w:rsidR="00C6045B">
      <w:fldChar w:fldCharType="begin"/>
    </w:r>
    <w:r w:rsidR="00C6045B">
      <w:instrText xml:space="preserve"> PAGE  \* MERGEFORMAT </w:instrText>
    </w:r>
    <w:r w:rsidR="00C6045B">
      <w:fldChar w:fldCharType="separate"/>
    </w:r>
    <w:r w:rsidR="0016576B">
      <w:rPr>
        <w:noProof/>
      </w:rPr>
      <w:t>16</w:t>
    </w:r>
    <w:r w:rsidR="00C6045B">
      <w:fldChar w:fldCharType="end"/>
    </w:r>
  </w:p>
  <w:p w14:paraId="2CC2BA12" w14:textId="77777777" w:rsidR="00C6045B" w:rsidRDefault="00C6045B"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EB1BE" w14:textId="77777777" w:rsidR="00CB4729" w:rsidRDefault="00CB4729" w:rsidP="00C6045B">
    <w:pPr>
      <w:pStyle w:val="Header"/>
      <w:jc w:val="right"/>
    </w:pPr>
    <w:r>
      <w:t>PCT/WG/14/2</w:t>
    </w:r>
  </w:p>
  <w:p w14:paraId="2A058916" w14:textId="51023409" w:rsidR="00CB4729" w:rsidRDefault="00CB4729" w:rsidP="00C6045B">
    <w:pPr>
      <w:pStyle w:val="Header"/>
      <w:jc w:val="right"/>
    </w:pPr>
    <w:r>
      <w:t xml:space="preserve">Annexe, page </w:t>
    </w:r>
    <w:r>
      <w:fldChar w:fldCharType="begin"/>
    </w:r>
    <w:r>
      <w:instrText xml:space="preserve"> PAGE   \* MERGEFORMAT </w:instrText>
    </w:r>
    <w:r>
      <w:fldChar w:fldCharType="separate"/>
    </w:r>
    <w:r w:rsidR="0016576B">
      <w:rPr>
        <w:noProof/>
      </w:rPr>
      <w:t>10</w:t>
    </w:r>
    <w:r>
      <w:rPr>
        <w:noProof/>
      </w:rPr>
      <w:fldChar w:fldCharType="end"/>
    </w:r>
  </w:p>
  <w:p w14:paraId="3168DA46" w14:textId="77777777" w:rsidR="00CB4729" w:rsidRDefault="00CB4729" w:rsidP="00C604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5DE4C5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val="0"/>
        <w:iCs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CH"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131078" w:nlCheck="1" w:checkStyle="0"/>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49"/>
    <w:rsid w:val="00001FE2"/>
    <w:rsid w:val="000026FD"/>
    <w:rsid w:val="00003E30"/>
    <w:rsid w:val="00011B7D"/>
    <w:rsid w:val="00013D0A"/>
    <w:rsid w:val="00014BB5"/>
    <w:rsid w:val="00017CB3"/>
    <w:rsid w:val="00020E1D"/>
    <w:rsid w:val="00022986"/>
    <w:rsid w:val="00024F16"/>
    <w:rsid w:val="000254CF"/>
    <w:rsid w:val="00032E37"/>
    <w:rsid w:val="00035418"/>
    <w:rsid w:val="00040E82"/>
    <w:rsid w:val="000421A9"/>
    <w:rsid w:val="00042BC8"/>
    <w:rsid w:val="00044169"/>
    <w:rsid w:val="000443D9"/>
    <w:rsid w:val="000453DC"/>
    <w:rsid w:val="000467D1"/>
    <w:rsid w:val="0004754F"/>
    <w:rsid w:val="000478C6"/>
    <w:rsid w:val="00050815"/>
    <w:rsid w:val="000523B3"/>
    <w:rsid w:val="000543E8"/>
    <w:rsid w:val="0005677B"/>
    <w:rsid w:val="00067C3D"/>
    <w:rsid w:val="00071A1A"/>
    <w:rsid w:val="00075432"/>
    <w:rsid w:val="00081112"/>
    <w:rsid w:val="00087FC8"/>
    <w:rsid w:val="00090B1C"/>
    <w:rsid w:val="0009266B"/>
    <w:rsid w:val="0009458A"/>
    <w:rsid w:val="0009776E"/>
    <w:rsid w:val="000A0D2D"/>
    <w:rsid w:val="000B0C5E"/>
    <w:rsid w:val="000B22D8"/>
    <w:rsid w:val="000C03B7"/>
    <w:rsid w:val="000C2D80"/>
    <w:rsid w:val="000C3054"/>
    <w:rsid w:val="000D24AA"/>
    <w:rsid w:val="000E0A4C"/>
    <w:rsid w:val="000E6C6B"/>
    <w:rsid w:val="000F0D87"/>
    <w:rsid w:val="000F5E56"/>
    <w:rsid w:val="000F7758"/>
    <w:rsid w:val="0010375F"/>
    <w:rsid w:val="00106E87"/>
    <w:rsid w:val="00110004"/>
    <w:rsid w:val="001159CD"/>
    <w:rsid w:val="00135F1C"/>
    <w:rsid w:val="001362EE"/>
    <w:rsid w:val="00142F23"/>
    <w:rsid w:val="00143511"/>
    <w:rsid w:val="00154C7D"/>
    <w:rsid w:val="0016576B"/>
    <w:rsid w:val="00167D90"/>
    <w:rsid w:val="001702A5"/>
    <w:rsid w:val="001708F4"/>
    <w:rsid w:val="00172315"/>
    <w:rsid w:val="001728B7"/>
    <w:rsid w:val="001752E7"/>
    <w:rsid w:val="001832A6"/>
    <w:rsid w:val="00186501"/>
    <w:rsid w:val="00195C6E"/>
    <w:rsid w:val="0019755F"/>
    <w:rsid w:val="001A43F0"/>
    <w:rsid w:val="001A4DE2"/>
    <w:rsid w:val="001B266A"/>
    <w:rsid w:val="001B40C7"/>
    <w:rsid w:val="001B40FD"/>
    <w:rsid w:val="001C3684"/>
    <w:rsid w:val="001C37EF"/>
    <w:rsid w:val="001C6508"/>
    <w:rsid w:val="001C74EC"/>
    <w:rsid w:val="001D0B90"/>
    <w:rsid w:val="001D1701"/>
    <w:rsid w:val="001D1D0D"/>
    <w:rsid w:val="001D2231"/>
    <w:rsid w:val="001D3D56"/>
    <w:rsid w:val="001D573F"/>
    <w:rsid w:val="001E1A61"/>
    <w:rsid w:val="001F2B92"/>
    <w:rsid w:val="001F5516"/>
    <w:rsid w:val="0020431F"/>
    <w:rsid w:val="00204533"/>
    <w:rsid w:val="00211679"/>
    <w:rsid w:val="00211CEE"/>
    <w:rsid w:val="00222917"/>
    <w:rsid w:val="00224B8F"/>
    <w:rsid w:val="002303CB"/>
    <w:rsid w:val="002326A1"/>
    <w:rsid w:val="002402A1"/>
    <w:rsid w:val="00240654"/>
    <w:rsid w:val="00247F40"/>
    <w:rsid w:val="00255BCE"/>
    <w:rsid w:val="00256AEE"/>
    <w:rsid w:val="002579C4"/>
    <w:rsid w:val="00261A11"/>
    <w:rsid w:val="002634C4"/>
    <w:rsid w:val="00270C41"/>
    <w:rsid w:val="002738DF"/>
    <w:rsid w:val="0028225E"/>
    <w:rsid w:val="00283061"/>
    <w:rsid w:val="00286457"/>
    <w:rsid w:val="0029295D"/>
    <w:rsid w:val="00294A96"/>
    <w:rsid w:val="002956DE"/>
    <w:rsid w:val="002A17B0"/>
    <w:rsid w:val="002A3CE8"/>
    <w:rsid w:val="002A4BE8"/>
    <w:rsid w:val="002A562C"/>
    <w:rsid w:val="002A58AE"/>
    <w:rsid w:val="002A6E81"/>
    <w:rsid w:val="002C3E85"/>
    <w:rsid w:val="002C6462"/>
    <w:rsid w:val="002D52E9"/>
    <w:rsid w:val="002D6FF8"/>
    <w:rsid w:val="002E37AF"/>
    <w:rsid w:val="002E4C9D"/>
    <w:rsid w:val="002E4D1A"/>
    <w:rsid w:val="002F16BC"/>
    <w:rsid w:val="002F204B"/>
    <w:rsid w:val="002F4E68"/>
    <w:rsid w:val="002F7DA4"/>
    <w:rsid w:val="00301258"/>
    <w:rsid w:val="00302BE7"/>
    <w:rsid w:val="00303931"/>
    <w:rsid w:val="00304F52"/>
    <w:rsid w:val="00306168"/>
    <w:rsid w:val="00322C0B"/>
    <w:rsid w:val="00335B36"/>
    <w:rsid w:val="00350300"/>
    <w:rsid w:val="00351934"/>
    <w:rsid w:val="00355CFB"/>
    <w:rsid w:val="003626E7"/>
    <w:rsid w:val="003703EF"/>
    <w:rsid w:val="00370433"/>
    <w:rsid w:val="00375395"/>
    <w:rsid w:val="00375C2F"/>
    <w:rsid w:val="00376533"/>
    <w:rsid w:val="00376D94"/>
    <w:rsid w:val="00381798"/>
    <w:rsid w:val="003845C1"/>
    <w:rsid w:val="00397A4C"/>
    <w:rsid w:val="003A140F"/>
    <w:rsid w:val="003A25BF"/>
    <w:rsid w:val="003A2BD3"/>
    <w:rsid w:val="003A52C5"/>
    <w:rsid w:val="003A67A3"/>
    <w:rsid w:val="003A761D"/>
    <w:rsid w:val="003B1533"/>
    <w:rsid w:val="003D2437"/>
    <w:rsid w:val="003D3FCD"/>
    <w:rsid w:val="003D64A8"/>
    <w:rsid w:val="003D7C93"/>
    <w:rsid w:val="003D7CB6"/>
    <w:rsid w:val="003E2F16"/>
    <w:rsid w:val="003F0D7D"/>
    <w:rsid w:val="003F137D"/>
    <w:rsid w:val="003F176C"/>
    <w:rsid w:val="003F5F64"/>
    <w:rsid w:val="004008A2"/>
    <w:rsid w:val="004011A5"/>
    <w:rsid w:val="004025DF"/>
    <w:rsid w:val="0040540C"/>
    <w:rsid w:val="0040559C"/>
    <w:rsid w:val="00405E8A"/>
    <w:rsid w:val="00410737"/>
    <w:rsid w:val="00422577"/>
    <w:rsid w:val="00423E3E"/>
    <w:rsid w:val="004241A6"/>
    <w:rsid w:val="00425C77"/>
    <w:rsid w:val="00427AF4"/>
    <w:rsid w:val="00430334"/>
    <w:rsid w:val="004368DA"/>
    <w:rsid w:val="00436B91"/>
    <w:rsid w:val="00453203"/>
    <w:rsid w:val="004647DA"/>
    <w:rsid w:val="00465618"/>
    <w:rsid w:val="0047349F"/>
    <w:rsid w:val="00473B7A"/>
    <w:rsid w:val="00473E51"/>
    <w:rsid w:val="00477D6B"/>
    <w:rsid w:val="00480C9E"/>
    <w:rsid w:val="00481DEE"/>
    <w:rsid w:val="00485307"/>
    <w:rsid w:val="00487F99"/>
    <w:rsid w:val="004928FB"/>
    <w:rsid w:val="00495F7F"/>
    <w:rsid w:val="00496BC7"/>
    <w:rsid w:val="004A1D78"/>
    <w:rsid w:val="004A2A20"/>
    <w:rsid w:val="004A54A5"/>
    <w:rsid w:val="004A5978"/>
    <w:rsid w:val="004A7F81"/>
    <w:rsid w:val="004B0CD8"/>
    <w:rsid w:val="004B57B1"/>
    <w:rsid w:val="004C54EE"/>
    <w:rsid w:val="004C64B6"/>
    <w:rsid w:val="004C6DBE"/>
    <w:rsid w:val="004C7243"/>
    <w:rsid w:val="004D2005"/>
    <w:rsid w:val="004D6471"/>
    <w:rsid w:val="004D7F80"/>
    <w:rsid w:val="004E3C22"/>
    <w:rsid w:val="00504656"/>
    <w:rsid w:val="005124B8"/>
    <w:rsid w:val="005126A4"/>
    <w:rsid w:val="00512D92"/>
    <w:rsid w:val="0051455D"/>
    <w:rsid w:val="00514E72"/>
    <w:rsid w:val="00520815"/>
    <w:rsid w:val="00522723"/>
    <w:rsid w:val="00522C29"/>
    <w:rsid w:val="005239A9"/>
    <w:rsid w:val="00525B63"/>
    <w:rsid w:val="00525E59"/>
    <w:rsid w:val="0053199D"/>
    <w:rsid w:val="00533EAE"/>
    <w:rsid w:val="00541348"/>
    <w:rsid w:val="005421DD"/>
    <w:rsid w:val="0054249B"/>
    <w:rsid w:val="0054754B"/>
    <w:rsid w:val="0054758F"/>
    <w:rsid w:val="005510F3"/>
    <w:rsid w:val="00554B2C"/>
    <w:rsid w:val="00554FA5"/>
    <w:rsid w:val="00567A4C"/>
    <w:rsid w:val="00573A9E"/>
    <w:rsid w:val="00574036"/>
    <w:rsid w:val="0058209B"/>
    <w:rsid w:val="005879EB"/>
    <w:rsid w:val="00590F18"/>
    <w:rsid w:val="00595F07"/>
    <w:rsid w:val="005A26E2"/>
    <w:rsid w:val="005A6FA4"/>
    <w:rsid w:val="005B3D7E"/>
    <w:rsid w:val="005D2229"/>
    <w:rsid w:val="005D2649"/>
    <w:rsid w:val="005E0F20"/>
    <w:rsid w:val="005E2191"/>
    <w:rsid w:val="005E6516"/>
    <w:rsid w:val="005F000B"/>
    <w:rsid w:val="005F0461"/>
    <w:rsid w:val="005F23F7"/>
    <w:rsid w:val="005F2CB7"/>
    <w:rsid w:val="005F72FE"/>
    <w:rsid w:val="005F7A3A"/>
    <w:rsid w:val="00601043"/>
    <w:rsid w:val="00605827"/>
    <w:rsid w:val="00605AD5"/>
    <w:rsid w:val="00605C3C"/>
    <w:rsid w:val="00607C02"/>
    <w:rsid w:val="006103F6"/>
    <w:rsid w:val="006104FA"/>
    <w:rsid w:val="00613F14"/>
    <w:rsid w:val="00614647"/>
    <w:rsid w:val="00616671"/>
    <w:rsid w:val="006167FB"/>
    <w:rsid w:val="00626E0D"/>
    <w:rsid w:val="0062773F"/>
    <w:rsid w:val="00636A07"/>
    <w:rsid w:val="0065027C"/>
    <w:rsid w:val="00651993"/>
    <w:rsid w:val="00655F0B"/>
    <w:rsid w:val="0065658F"/>
    <w:rsid w:val="00661EEF"/>
    <w:rsid w:val="00662661"/>
    <w:rsid w:val="00664442"/>
    <w:rsid w:val="0066609C"/>
    <w:rsid w:val="006673FF"/>
    <w:rsid w:val="006726E9"/>
    <w:rsid w:val="006755A6"/>
    <w:rsid w:val="00680B52"/>
    <w:rsid w:val="00691836"/>
    <w:rsid w:val="00691FA5"/>
    <w:rsid w:val="006939AB"/>
    <w:rsid w:val="00693E45"/>
    <w:rsid w:val="006975DA"/>
    <w:rsid w:val="006A00BD"/>
    <w:rsid w:val="006A5434"/>
    <w:rsid w:val="006A780E"/>
    <w:rsid w:val="006B0DB5"/>
    <w:rsid w:val="006B0DD8"/>
    <w:rsid w:val="006B3E24"/>
    <w:rsid w:val="006B7373"/>
    <w:rsid w:val="006B7A81"/>
    <w:rsid w:val="006C2963"/>
    <w:rsid w:val="006C4A6B"/>
    <w:rsid w:val="006D42EF"/>
    <w:rsid w:val="006D6B04"/>
    <w:rsid w:val="006E469D"/>
    <w:rsid w:val="006E6ADB"/>
    <w:rsid w:val="006E7D7D"/>
    <w:rsid w:val="006F1CF2"/>
    <w:rsid w:val="00701FEF"/>
    <w:rsid w:val="00702E89"/>
    <w:rsid w:val="00706986"/>
    <w:rsid w:val="0070746F"/>
    <w:rsid w:val="00712170"/>
    <w:rsid w:val="00713DEF"/>
    <w:rsid w:val="0071428B"/>
    <w:rsid w:val="0071509A"/>
    <w:rsid w:val="00720F3F"/>
    <w:rsid w:val="00725C88"/>
    <w:rsid w:val="0072751D"/>
    <w:rsid w:val="00730886"/>
    <w:rsid w:val="00731EEF"/>
    <w:rsid w:val="00732012"/>
    <w:rsid w:val="00743257"/>
    <w:rsid w:val="007461F1"/>
    <w:rsid w:val="0075038B"/>
    <w:rsid w:val="00750446"/>
    <w:rsid w:val="00751BAB"/>
    <w:rsid w:val="00752E03"/>
    <w:rsid w:val="00771584"/>
    <w:rsid w:val="00771ECD"/>
    <w:rsid w:val="00783F5C"/>
    <w:rsid w:val="007848E3"/>
    <w:rsid w:val="00791837"/>
    <w:rsid w:val="00792DDA"/>
    <w:rsid w:val="00796616"/>
    <w:rsid w:val="007A0223"/>
    <w:rsid w:val="007A2D43"/>
    <w:rsid w:val="007A3714"/>
    <w:rsid w:val="007A52AA"/>
    <w:rsid w:val="007A597E"/>
    <w:rsid w:val="007B39EB"/>
    <w:rsid w:val="007B79D8"/>
    <w:rsid w:val="007C3A32"/>
    <w:rsid w:val="007C6B9C"/>
    <w:rsid w:val="007D1746"/>
    <w:rsid w:val="007D6961"/>
    <w:rsid w:val="007E01C0"/>
    <w:rsid w:val="007E1979"/>
    <w:rsid w:val="007F07CB"/>
    <w:rsid w:val="007F0D9A"/>
    <w:rsid w:val="007F13FC"/>
    <w:rsid w:val="007F3D49"/>
    <w:rsid w:val="0080061A"/>
    <w:rsid w:val="00800EB2"/>
    <w:rsid w:val="00803739"/>
    <w:rsid w:val="00803D7A"/>
    <w:rsid w:val="0080460C"/>
    <w:rsid w:val="008101BA"/>
    <w:rsid w:val="00810CEF"/>
    <w:rsid w:val="0081208D"/>
    <w:rsid w:val="00813698"/>
    <w:rsid w:val="00816604"/>
    <w:rsid w:val="00816B45"/>
    <w:rsid w:val="0082541F"/>
    <w:rsid w:val="00826666"/>
    <w:rsid w:val="00831ECA"/>
    <w:rsid w:val="00835209"/>
    <w:rsid w:val="00840671"/>
    <w:rsid w:val="0085414D"/>
    <w:rsid w:val="00856156"/>
    <w:rsid w:val="008562C8"/>
    <w:rsid w:val="00857A79"/>
    <w:rsid w:val="00857FD8"/>
    <w:rsid w:val="008601E4"/>
    <w:rsid w:val="00867DFB"/>
    <w:rsid w:val="00871401"/>
    <w:rsid w:val="00873491"/>
    <w:rsid w:val="008818B1"/>
    <w:rsid w:val="0088415C"/>
    <w:rsid w:val="00893850"/>
    <w:rsid w:val="008A26A7"/>
    <w:rsid w:val="008A3016"/>
    <w:rsid w:val="008A4673"/>
    <w:rsid w:val="008B2CC1"/>
    <w:rsid w:val="008B3008"/>
    <w:rsid w:val="008C528D"/>
    <w:rsid w:val="008C7ACD"/>
    <w:rsid w:val="008D2008"/>
    <w:rsid w:val="008D4705"/>
    <w:rsid w:val="008E320C"/>
    <w:rsid w:val="008E7930"/>
    <w:rsid w:val="0090731E"/>
    <w:rsid w:val="009104EC"/>
    <w:rsid w:val="0091379C"/>
    <w:rsid w:val="00913F6F"/>
    <w:rsid w:val="00921AF6"/>
    <w:rsid w:val="00925F11"/>
    <w:rsid w:val="009270CB"/>
    <w:rsid w:val="00932019"/>
    <w:rsid w:val="00932DDF"/>
    <w:rsid w:val="0093522E"/>
    <w:rsid w:val="00936677"/>
    <w:rsid w:val="00945B8A"/>
    <w:rsid w:val="00953A90"/>
    <w:rsid w:val="0095523A"/>
    <w:rsid w:val="0096231F"/>
    <w:rsid w:val="00963071"/>
    <w:rsid w:val="00964EC6"/>
    <w:rsid w:val="00966A22"/>
    <w:rsid w:val="00970C51"/>
    <w:rsid w:val="00974CD6"/>
    <w:rsid w:val="00981E0F"/>
    <w:rsid w:val="009823E6"/>
    <w:rsid w:val="00991156"/>
    <w:rsid w:val="00991996"/>
    <w:rsid w:val="009965B5"/>
    <w:rsid w:val="009B6CFB"/>
    <w:rsid w:val="009B7882"/>
    <w:rsid w:val="009C026E"/>
    <w:rsid w:val="009C379B"/>
    <w:rsid w:val="009C5374"/>
    <w:rsid w:val="009D08CC"/>
    <w:rsid w:val="009D19F4"/>
    <w:rsid w:val="009D1FFB"/>
    <w:rsid w:val="009D30E6"/>
    <w:rsid w:val="009E2507"/>
    <w:rsid w:val="009E3F6F"/>
    <w:rsid w:val="009E7B8F"/>
    <w:rsid w:val="009F0D5F"/>
    <w:rsid w:val="009F142D"/>
    <w:rsid w:val="009F20F7"/>
    <w:rsid w:val="009F499F"/>
    <w:rsid w:val="009F5F0C"/>
    <w:rsid w:val="009F64C3"/>
    <w:rsid w:val="00A051E7"/>
    <w:rsid w:val="00A103B7"/>
    <w:rsid w:val="00A1063A"/>
    <w:rsid w:val="00A11D74"/>
    <w:rsid w:val="00A1270E"/>
    <w:rsid w:val="00A129A8"/>
    <w:rsid w:val="00A15CF4"/>
    <w:rsid w:val="00A1637F"/>
    <w:rsid w:val="00A24AEE"/>
    <w:rsid w:val="00A25BAD"/>
    <w:rsid w:val="00A2782A"/>
    <w:rsid w:val="00A32DAB"/>
    <w:rsid w:val="00A33B07"/>
    <w:rsid w:val="00A34216"/>
    <w:rsid w:val="00A36151"/>
    <w:rsid w:val="00A42663"/>
    <w:rsid w:val="00A4417A"/>
    <w:rsid w:val="00A567B4"/>
    <w:rsid w:val="00A623DE"/>
    <w:rsid w:val="00A64053"/>
    <w:rsid w:val="00A66BD0"/>
    <w:rsid w:val="00A7787E"/>
    <w:rsid w:val="00A80308"/>
    <w:rsid w:val="00A8150F"/>
    <w:rsid w:val="00A83657"/>
    <w:rsid w:val="00A84092"/>
    <w:rsid w:val="00A8505F"/>
    <w:rsid w:val="00A87B47"/>
    <w:rsid w:val="00A907E2"/>
    <w:rsid w:val="00A919A2"/>
    <w:rsid w:val="00A92DAF"/>
    <w:rsid w:val="00AA09F5"/>
    <w:rsid w:val="00AA2828"/>
    <w:rsid w:val="00AA5817"/>
    <w:rsid w:val="00AB5972"/>
    <w:rsid w:val="00AB6C4A"/>
    <w:rsid w:val="00AB760F"/>
    <w:rsid w:val="00AC0AE4"/>
    <w:rsid w:val="00AC0DD4"/>
    <w:rsid w:val="00AD5830"/>
    <w:rsid w:val="00AD61DB"/>
    <w:rsid w:val="00AD62C0"/>
    <w:rsid w:val="00AF2FD6"/>
    <w:rsid w:val="00B1090C"/>
    <w:rsid w:val="00B12282"/>
    <w:rsid w:val="00B13E4B"/>
    <w:rsid w:val="00B17D6A"/>
    <w:rsid w:val="00B223BB"/>
    <w:rsid w:val="00B26312"/>
    <w:rsid w:val="00B27DA7"/>
    <w:rsid w:val="00B309ED"/>
    <w:rsid w:val="00B358A0"/>
    <w:rsid w:val="00B35AF5"/>
    <w:rsid w:val="00B37D11"/>
    <w:rsid w:val="00B405E2"/>
    <w:rsid w:val="00B4309F"/>
    <w:rsid w:val="00B44325"/>
    <w:rsid w:val="00B448FF"/>
    <w:rsid w:val="00B505BD"/>
    <w:rsid w:val="00B56172"/>
    <w:rsid w:val="00B56853"/>
    <w:rsid w:val="00B57D6B"/>
    <w:rsid w:val="00B605A3"/>
    <w:rsid w:val="00B6227D"/>
    <w:rsid w:val="00B81D60"/>
    <w:rsid w:val="00B91087"/>
    <w:rsid w:val="00B94213"/>
    <w:rsid w:val="00BA0AE0"/>
    <w:rsid w:val="00BA2443"/>
    <w:rsid w:val="00BA5BB4"/>
    <w:rsid w:val="00BB4C96"/>
    <w:rsid w:val="00BB50FA"/>
    <w:rsid w:val="00BC2D41"/>
    <w:rsid w:val="00BC403C"/>
    <w:rsid w:val="00BC5EEA"/>
    <w:rsid w:val="00BD19A5"/>
    <w:rsid w:val="00BD7727"/>
    <w:rsid w:val="00BD7D2C"/>
    <w:rsid w:val="00BE0BE0"/>
    <w:rsid w:val="00BF3AF7"/>
    <w:rsid w:val="00BF4EEC"/>
    <w:rsid w:val="00BF7E63"/>
    <w:rsid w:val="00C01A14"/>
    <w:rsid w:val="00C03091"/>
    <w:rsid w:val="00C0336A"/>
    <w:rsid w:val="00C03600"/>
    <w:rsid w:val="00C057BD"/>
    <w:rsid w:val="00C10DC7"/>
    <w:rsid w:val="00C119A9"/>
    <w:rsid w:val="00C11E8B"/>
    <w:rsid w:val="00C15C01"/>
    <w:rsid w:val="00C218DD"/>
    <w:rsid w:val="00C26891"/>
    <w:rsid w:val="00C270D0"/>
    <w:rsid w:val="00C37C63"/>
    <w:rsid w:val="00C46E44"/>
    <w:rsid w:val="00C544AE"/>
    <w:rsid w:val="00C54C36"/>
    <w:rsid w:val="00C6045B"/>
    <w:rsid w:val="00C608E2"/>
    <w:rsid w:val="00C61F0B"/>
    <w:rsid w:val="00C63E3F"/>
    <w:rsid w:val="00C64AE9"/>
    <w:rsid w:val="00C664C8"/>
    <w:rsid w:val="00C707C8"/>
    <w:rsid w:val="00C74236"/>
    <w:rsid w:val="00C77047"/>
    <w:rsid w:val="00C8143C"/>
    <w:rsid w:val="00C81500"/>
    <w:rsid w:val="00C94877"/>
    <w:rsid w:val="00CA6721"/>
    <w:rsid w:val="00CB4729"/>
    <w:rsid w:val="00CB4BF2"/>
    <w:rsid w:val="00CC39F1"/>
    <w:rsid w:val="00CD1B73"/>
    <w:rsid w:val="00CD4976"/>
    <w:rsid w:val="00CE071B"/>
    <w:rsid w:val="00CE39EC"/>
    <w:rsid w:val="00CE474E"/>
    <w:rsid w:val="00CF0460"/>
    <w:rsid w:val="00CF359F"/>
    <w:rsid w:val="00CF5F01"/>
    <w:rsid w:val="00CF5F81"/>
    <w:rsid w:val="00D0366F"/>
    <w:rsid w:val="00D041F0"/>
    <w:rsid w:val="00D04F8E"/>
    <w:rsid w:val="00D14E47"/>
    <w:rsid w:val="00D174D0"/>
    <w:rsid w:val="00D20C96"/>
    <w:rsid w:val="00D27643"/>
    <w:rsid w:val="00D3173F"/>
    <w:rsid w:val="00D34611"/>
    <w:rsid w:val="00D4013E"/>
    <w:rsid w:val="00D40D3C"/>
    <w:rsid w:val="00D42F6F"/>
    <w:rsid w:val="00D43E0F"/>
    <w:rsid w:val="00D44AD4"/>
    <w:rsid w:val="00D45252"/>
    <w:rsid w:val="00D46DFB"/>
    <w:rsid w:val="00D53565"/>
    <w:rsid w:val="00D54483"/>
    <w:rsid w:val="00D54529"/>
    <w:rsid w:val="00D55385"/>
    <w:rsid w:val="00D560BC"/>
    <w:rsid w:val="00D620F8"/>
    <w:rsid w:val="00D66ACE"/>
    <w:rsid w:val="00D7063E"/>
    <w:rsid w:val="00D70BE3"/>
    <w:rsid w:val="00D71B4D"/>
    <w:rsid w:val="00D71B8C"/>
    <w:rsid w:val="00D7434C"/>
    <w:rsid w:val="00D75C1E"/>
    <w:rsid w:val="00D81A46"/>
    <w:rsid w:val="00D82664"/>
    <w:rsid w:val="00D84A44"/>
    <w:rsid w:val="00D90556"/>
    <w:rsid w:val="00D93D55"/>
    <w:rsid w:val="00DA2882"/>
    <w:rsid w:val="00DB1C48"/>
    <w:rsid w:val="00DB321C"/>
    <w:rsid w:val="00DB3366"/>
    <w:rsid w:val="00DB357C"/>
    <w:rsid w:val="00DC3F2E"/>
    <w:rsid w:val="00DC41B4"/>
    <w:rsid w:val="00DC6F89"/>
    <w:rsid w:val="00DD2B8C"/>
    <w:rsid w:val="00DD4917"/>
    <w:rsid w:val="00DD6184"/>
    <w:rsid w:val="00DD6A16"/>
    <w:rsid w:val="00DE61BC"/>
    <w:rsid w:val="00DE682D"/>
    <w:rsid w:val="00DF039F"/>
    <w:rsid w:val="00DF1F0A"/>
    <w:rsid w:val="00E0091A"/>
    <w:rsid w:val="00E0135B"/>
    <w:rsid w:val="00E02A13"/>
    <w:rsid w:val="00E04802"/>
    <w:rsid w:val="00E05363"/>
    <w:rsid w:val="00E05DF1"/>
    <w:rsid w:val="00E077E6"/>
    <w:rsid w:val="00E16A9F"/>
    <w:rsid w:val="00E203AA"/>
    <w:rsid w:val="00E225CF"/>
    <w:rsid w:val="00E2420E"/>
    <w:rsid w:val="00E420BE"/>
    <w:rsid w:val="00E44225"/>
    <w:rsid w:val="00E5217A"/>
    <w:rsid w:val="00E527A5"/>
    <w:rsid w:val="00E559FC"/>
    <w:rsid w:val="00E6221E"/>
    <w:rsid w:val="00E65068"/>
    <w:rsid w:val="00E76456"/>
    <w:rsid w:val="00E7656E"/>
    <w:rsid w:val="00E773A4"/>
    <w:rsid w:val="00E80FFF"/>
    <w:rsid w:val="00E86248"/>
    <w:rsid w:val="00E8647A"/>
    <w:rsid w:val="00E87290"/>
    <w:rsid w:val="00E90D24"/>
    <w:rsid w:val="00E91C81"/>
    <w:rsid w:val="00E97BDB"/>
    <w:rsid w:val="00EA1B14"/>
    <w:rsid w:val="00EA2610"/>
    <w:rsid w:val="00EA4E8C"/>
    <w:rsid w:val="00EA5C95"/>
    <w:rsid w:val="00EA6B3E"/>
    <w:rsid w:val="00EB3DD7"/>
    <w:rsid w:val="00EC081F"/>
    <w:rsid w:val="00EC1ED4"/>
    <w:rsid w:val="00EC7945"/>
    <w:rsid w:val="00ED720F"/>
    <w:rsid w:val="00EE40BC"/>
    <w:rsid w:val="00EE71CB"/>
    <w:rsid w:val="00EF3927"/>
    <w:rsid w:val="00EF50C7"/>
    <w:rsid w:val="00EF6675"/>
    <w:rsid w:val="00EF71E6"/>
    <w:rsid w:val="00EF7FBE"/>
    <w:rsid w:val="00F07774"/>
    <w:rsid w:val="00F1183E"/>
    <w:rsid w:val="00F12C42"/>
    <w:rsid w:val="00F1388E"/>
    <w:rsid w:val="00F16975"/>
    <w:rsid w:val="00F17773"/>
    <w:rsid w:val="00F204A0"/>
    <w:rsid w:val="00F21C75"/>
    <w:rsid w:val="00F21F88"/>
    <w:rsid w:val="00F2436B"/>
    <w:rsid w:val="00F26773"/>
    <w:rsid w:val="00F3235E"/>
    <w:rsid w:val="00F3697B"/>
    <w:rsid w:val="00F37DA1"/>
    <w:rsid w:val="00F52C21"/>
    <w:rsid w:val="00F66152"/>
    <w:rsid w:val="00F66203"/>
    <w:rsid w:val="00F66CE3"/>
    <w:rsid w:val="00F74771"/>
    <w:rsid w:val="00F75103"/>
    <w:rsid w:val="00F76AE2"/>
    <w:rsid w:val="00F8008D"/>
    <w:rsid w:val="00F93DB1"/>
    <w:rsid w:val="00F96A10"/>
    <w:rsid w:val="00FB09DD"/>
    <w:rsid w:val="00FB2543"/>
    <w:rsid w:val="00FB4967"/>
    <w:rsid w:val="00FB4A03"/>
    <w:rsid w:val="00FB584D"/>
    <w:rsid w:val="00FC4090"/>
    <w:rsid w:val="00FD0B11"/>
    <w:rsid w:val="00FD5421"/>
    <w:rsid w:val="00FD5F1C"/>
    <w:rsid w:val="00FE4098"/>
    <w:rsid w:val="00FE418F"/>
    <w:rsid w:val="00FF4371"/>
    <w:rsid w:val="00FF62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DA317B"/>
  <w15:docId w15:val="{67C55539-73EA-4E3A-B6B2-AC90FF8C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semiHidden/>
    <w:unhideWhenUsed/>
    <w:rsid w:val="007F3D49"/>
    <w:rPr>
      <w:vertAlign w:val="superscript"/>
    </w:rPr>
  </w:style>
  <w:style w:type="character" w:customStyle="1" w:styleId="ONUMEChar">
    <w:name w:val="ONUM E Char"/>
    <w:link w:val="ONUME"/>
    <w:locked/>
    <w:rsid w:val="007F3D49"/>
    <w:rPr>
      <w:rFonts w:ascii="Arial" w:eastAsia="SimSun" w:hAnsi="Arial" w:cs="Arial"/>
      <w:sz w:val="22"/>
      <w:lang w:eastAsia="zh-CN"/>
    </w:rPr>
  </w:style>
  <w:style w:type="character" w:customStyle="1" w:styleId="Heading1Char">
    <w:name w:val="Heading 1 Char"/>
    <w:basedOn w:val="DefaultParagraphFont"/>
    <w:link w:val="Heading1"/>
    <w:locked/>
    <w:rsid w:val="007F3D49"/>
    <w:rPr>
      <w:rFonts w:ascii="Arial" w:eastAsia="SimSun" w:hAnsi="Arial" w:cs="Arial"/>
      <w:b/>
      <w:bCs/>
      <w:caps/>
      <w:kern w:val="32"/>
      <w:sz w:val="22"/>
      <w:szCs w:val="32"/>
      <w:lang w:eastAsia="zh-CN"/>
    </w:rPr>
  </w:style>
  <w:style w:type="character" w:styleId="CommentReference">
    <w:name w:val="annotation reference"/>
    <w:basedOn w:val="DefaultParagraphFont"/>
    <w:semiHidden/>
    <w:unhideWhenUsed/>
    <w:rsid w:val="0020431F"/>
    <w:rPr>
      <w:sz w:val="16"/>
      <w:szCs w:val="16"/>
    </w:rPr>
  </w:style>
  <w:style w:type="paragraph" w:styleId="CommentSubject">
    <w:name w:val="annotation subject"/>
    <w:basedOn w:val="CommentText"/>
    <w:next w:val="CommentText"/>
    <w:link w:val="CommentSubjectChar"/>
    <w:semiHidden/>
    <w:unhideWhenUsed/>
    <w:rsid w:val="0020431F"/>
    <w:rPr>
      <w:b/>
      <w:bCs/>
      <w:sz w:val="20"/>
    </w:rPr>
  </w:style>
  <w:style w:type="character" w:customStyle="1" w:styleId="CommentTextChar">
    <w:name w:val="Comment Text Char"/>
    <w:basedOn w:val="DefaultParagraphFont"/>
    <w:link w:val="CommentText"/>
    <w:semiHidden/>
    <w:rsid w:val="0020431F"/>
    <w:rPr>
      <w:rFonts w:ascii="Arial" w:eastAsia="SimSun" w:hAnsi="Arial" w:cs="Arial"/>
      <w:sz w:val="18"/>
      <w:lang w:eastAsia="zh-CN"/>
    </w:rPr>
  </w:style>
  <w:style w:type="character" w:customStyle="1" w:styleId="CommentSubjectChar">
    <w:name w:val="Comment Subject Char"/>
    <w:basedOn w:val="CommentTextChar"/>
    <w:link w:val="CommentSubject"/>
    <w:semiHidden/>
    <w:rsid w:val="0020431F"/>
    <w:rPr>
      <w:rFonts w:ascii="Arial" w:eastAsia="SimSun" w:hAnsi="Arial" w:cs="Arial"/>
      <w:b/>
      <w:bCs/>
      <w:sz w:val="18"/>
      <w:lang w:eastAsia="zh-CN"/>
    </w:rPr>
  </w:style>
  <w:style w:type="character" w:styleId="Hyperlink">
    <w:name w:val="Hyperlink"/>
    <w:basedOn w:val="DefaultParagraphFont"/>
    <w:semiHidden/>
    <w:unhideWhenUsed/>
    <w:rsid w:val="003D2437"/>
    <w:rPr>
      <w:color w:val="0000FF" w:themeColor="hyperlink"/>
      <w:u w:val="single"/>
    </w:rPr>
  </w:style>
  <w:style w:type="paragraph" w:styleId="Revision">
    <w:name w:val="Revision"/>
    <w:hidden/>
    <w:uiPriority w:val="99"/>
    <w:semiHidden/>
    <w:rsid w:val="003D2437"/>
    <w:rPr>
      <w:rFonts w:ascii="Arial" w:eastAsia="SimSun" w:hAnsi="Arial" w:cs="Arial"/>
      <w:sz w:val="22"/>
      <w:lang w:eastAsia="zh-CN"/>
    </w:rPr>
  </w:style>
  <w:style w:type="paragraph" w:styleId="BalloonText">
    <w:name w:val="Balloon Text"/>
    <w:basedOn w:val="Normal"/>
    <w:link w:val="BalloonTextChar"/>
    <w:semiHidden/>
    <w:unhideWhenUsed/>
    <w:rsid w:val="003D2437"/>
    <w:rPr>
      <w:rFonts w:ascii="Segoe UI" w:hAnsi="Segoe UI" w:cs="Segoe UI"/>
      <w:sz w:val="18"/>
      <w:szCs w:val="18"/>
    </w:rPr>
  </w:style>
  <w:style w:type="character" w:customStyle="1" w:styleId="BalloonTextChar">
    <w:name w:val="Balloon Text Char"/>
    <w:basedOn w:val="DefaultParagraphFont"/>
    <w:link w:val="BalloonText"/>
    <w:semiHidden/>
    <w:rsid w:val="003D2437"/>
    <w:rPr>
      <w:rFonts w:ascii="Segoe UI" w:eastAsia="SimSun" w:hAnsi="Segoe UI" w:cs="Segoe UI"/>
      <w:sz w:val="18"/>
      <w:szCs w:val="18"/>
      <w:lang w:eastAsia="zh-CN"/>
    </w:rPr>
  </w:style>
  <w:style w:type="paragraph" w:styleId="Title">
    <w:name w:val="Title"/>
    <w:basedOn w:val="Heading1"/>
    <w:next w:val="Normal"/>
    <w:link w:val="TitleChar"/>
    <w:qFormat/>
    <w:rsid w:val="00CB4729"/>
    <w:pPr>
      <w:spacing w:before="0" w:after="600"/>
    </w:pPr>
    <w:rPr>
      <w:caps w:val="0"/>
      <w:sz w:val="28"/>
      <w:lang w:val="fr-FR"/>
    </w:rPr>
  </w:style>
  <w:style w:type="character" w:customStyle="1" w:styleId="TitleChar">
    <w:name w:val="Title Char"/>
    <w:basedOn w:val="DefaultParagraphFont"/>
    <w:link w:val="Title"/>
    <w:rsid w:val="00CB4729"/>
    <w:rPr>
      <w:rFonts w:ascii="Arial" w:eastAsia="SimSun" w:hAnsi="Arial" w:cs="Arial"/>
      <w:b/>
      <w:bCs/>
      <w:kern w:val="32"/>
      <w:sz w:val="28"/>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120E-D5D4-4E7A-8BDC-BD3F0BFB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9088</Words>
  <Characters>51646</Characters>
  <Application>Microsoft Office Word</Application>
  <DocSecurity>0</DocSecurity>
  <Lines>755</Lines>
  <Paragraphs>156</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60726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dc:title>
  <dc:creator>OLIVIÉ Karen</dc:creator>
  <cp:keywords>FOR OFFICIAL USE ONLY</cp:keywords>
  <cp:lastModifiedBy>SHOUSHA Sally</cp:lastModifiedBy>
  <cp:revision>3</cp:revision>
  <cp:lastPrinted>2011-05-19T12:37:00Z</cp:lastPrinted>
  <dcterms:created xsi:type="dcterms:W3CDTF">2021-05-21T12:49:00Z</dcterms:created>
  <dcterms:modified xsi:type="dcterms:W3CDTF">2021-05-21T12:51:00Z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cda68173-4a29-4b1c-a09d-b7d039a58e60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