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B763" w14:textId="77777777" w:rsidR="001A0344" w:rsidRDefault="00424D32" w:rsidP="00424D32">
      <w:pPr>
        <w:spacing w:before="360" w:after="240"/>
        <w:jc w:val="right"/>
      </w:pPr>
      <w:bookmarkStart w:id="0" w:name="TitleOfDoc"/>
      <w:r w:rsidRPr="00C3136F">
        <w:rPr>
          <w:noProof/>
          <w:lang w:val="en-GB" w:eastAsia="en-GB"/>
        </w:rPr>
        <w:drawing>
          <wp:inline distT="0" distB="0" distL="0" distR="0" wp14:anchorId="19858006" wp14:editId="318D269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0F89" w14:textId="77777777" w:rsidR="001A0344" w:rsidRDefault="00424D32" w:rsidP="00424D32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PCT/WG/1</w:t>
      </w:r>
      <w:r w:rsidR="00656349">
        <w:rPr>
          <w:rFonts w:ascii="Arial Black" w:hAnsi="Arial Black"/>
          <w:caps/>
          <w:sz w:val="15"/>
          <w:lang w:val="fr-CH"/>
        </w:rPr>
        <w:t>5</w:t>
      </w:r>
      <w:r w:rsidRPr="00C3136F">
        <w:rPr>
          <w:rFonts w:ascii="Arial Black" w:hAnsi="Arial Black"/>
          <w:caps/>
          <w:sz w:val="15"/>
          <w:lang w:val="fr-CH"/>
        </w:rPr>
        <w:t>/</w:t>
      </w:r>
      <w:bookmarkStart w:id="1" w:name="Code"/>
      <w:r w:rsidR="00656349">
        <w:rPr>
          <w:rFonts w:ascii="Arial Black" w:hAnsi="Arial Black"/>
          <w:caps/>
          <w:sz w:val="15"/>
          <w:lang w:val="fr-CH"/>
        </w:rPr>
        <w:t>4</w:t>
      </w:r>
    </w:p>
    <w:bookmarkEnd w:id="1"/>
    <w:p w14:paraId="46B01628" w14:textId="55DF991D" w:rsidR="001A0344" w:rsidRDefault="00424D32" w:rsidP="00424D32">
      <w:pPr>
        <w:jc w:val="right"/>
        <w:rPr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ORIGINAL</w:t>
      </w:r>
      <w:r w:rsidR="0070367A">
        <w:rPr>
          <w:rFonts w:ascii="Arial Black" w:hAnsi="Arial Black"/>
          <w:caps/>
          <w:sz w:val="15"/>
          <w:lang w:val="fr-CH"/>
        </w:rPr>
        <w:t> :</w:t>
      </w:r>
      <w:r w:rsidRPr="00C3136F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C3136F">
        <w:rPr>
          <w:rFonts w:ascii="Arial Black" w:hAnsi="Arial Black"/>
          <w:caps/>
          <w:sz w:val="15"/>
          <w:lang w:val="fr-CH"/>
        </w:rPr>
        <w:t>anglais</w:t>
      </w:r>
    </w:p>
    <w:bookmarkEnd w:id="2"/>
    <w:p w14:paraId="29E430C5" w14:textId="247E68BB" w:rsidR="001A0344" w:rsidRDefault="00424D32" w:rsidP="00424D32">
      <w:pPr>
        <w:spacing w:after="1200"/>
        <w:jc w:val="right"/>
        <w:rPr>
          <w:lang w:val="fr-CH"/>
        </w:rPr>
      </w:pPr>
      <w:r w:rsidRPr="00C3136F">
        <w:rPr>
          <w:rFonts w:ascii="Arial Black" w:hAnsi="Arial Black"/>
          <w:caps/>
          <w:sz w:val="15"/>
          <w:lang w:val="fr-CH"/>
        </w:rPr>
        <w:t>DATE</w:t>
      </w:r>
      <w:r w:rsidR="0070367A">
        <w:rPr>
          <w:rFonts w:ascii="Arial Black" w:hAnsi="Arial Black"/>
          <w:caps/>
          <w:sz w:val="15"/>
          <w:lang w:val="fr-CH"/>
        </w:rPr>
        <w:t> :</w:t>
      </w:r>
      <w:r w:rsidRPr="00C3136F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="00656349">
        <w:rPr>
          <w:rFonts w:ascii="Arial Black" w:hAnsi="Arial Black"/>
          <w:caps/>
          <w:sz w:val="15"/>
          <w:lang w:val="fr-CH"/>
        </w:rPr>
        <w:t>10</w:t>
      </w:r>
      <w:r w:rsidR="00660161" w:rsidRPr="00C3136F">
        <w:rPr>
          <w:rFonts w:ascii="Arial Black" w:hAnsi="Arial Black"/>
          <w:caps/>
          <w:sz w:val="15"/>
          <w:lang w:val="fr-CH"/>
        </w:rPr>
        <w:t> </w:t>
      </w:r>
      <w:r w:rsidR="00656349">
        <w:rPr>
          <w:rFonts w:ascii="Arial Black" w:hAnsi="Arial Black"/>
          <w:caps/>
          <w:sz w:val="15"/>
          <w:lang w:val="fr-CH"/>
        </w:rPr>
        <w:t>août</w:t>
      </w:r>
      <w:r w:rsidR="00660161" w:rsidRPr="00C3136F">
        <w:rPr>
          <w:rFonts w:ascii="Arial Black" w:hAnsi="Arial Black"/>
          <w:caps/>
          <w:sz w:val="15"/>
          <w:lang w:val="fr-CH"/>
        </w:rPr>
        <w:t> 20</w:t>
      </w:r>
      <w:r w:rsidR="00656349">
        <w:rPr>
          <w:rFonts w:ascii="Arial Black" w:hAnsi="Arial Black"/>
          <w:caps/>
          <w:sz w:val="15"/>
          <w:lang w:val="fr-CH"/>
        </w:rPr>
        <w:t>22</w:t>
      </w:r>
    </w:p>
    <w:bookmarkEnd w:id="3"/>
    <w:p w14:paraId="6AB6CE2E" w14:textId="77777777" w:rsidR="001A0344" w:rsidRDefault="00424D32" w:rsidP="00424D32">
      <w:pPr>
        <w:pStyle w:val="Heading1"/>
        <w:spacing w:before="0" w:after="600"/>
        <w:rPr>
          <w:lang w:val="fr-CH"/>
        </w:rPr>
      </w:pPr>
      <w:r w:rsidRPr="00C3136F">
        <w:rPr>
          <w:caps w:val="0"/>
          <w:sz w:val="28"/>
          <w:lang w:val="fr-CH"/>
        </w:rPr>
        <w:t>Groupe de travail du Traité de coopération en matière de brevets (PCT)</w:t>
      </w:r>
      <w:bookmarkStart w:id="4" w:name="_GoBack"/>
      <w:bookmarkEnd w:id="4"/>
    </w:p>
    <w:p w14:paraId="56A03786" w14:textId="6A8383E1" w:rsidR="001A0344" w:rsidRDefault="00424D32" w:rsidP="00424D32">
      <w:pPr>
        <w:outlineLvl w:val="1"/>
        <w:rPr>
          <w:b/>
          <w:sz w:val="24"/>
          <w:szCs w:val="24"/>
          <w:lang w:val="fr-CH"/>
        </w:rPr>
      </w:pPr>
      <w:r w:rsidRPr="00C3136F">
        <w:rPr>
          <w:b/>
          <w:sz w:val="24"/>
          <w:szCs w:val="24"/>
          <w:lang w:val="fr-CH"/>
        </w:rPr>
        <w:t>Qu</w:t>
      </w:r>
      <w:r w:rsidR="00656349">
        <w:rPr>
          <w:b/>
          <w:sz w:val="24"/>
          <w:szCs w:val="24"/>
          <w:lang w:val="fr-CH"/>
        </w:rPr>
        <w:t>in</w:t>
      </w:r>
      <w:r w:rsidRPr="00C3136F">
        <w:rPr>
          <w:b/>
          <w:sz w:val="24"/>
          <w:szCs w:val="24"/>
          <w:lang w:val="fr-CH"/>
        </w:rPr>
        <w:t>z</w:t>
      </w:r>
      <w:r w:rsidR="0070367A">
        <w:rPr>
          <w:b/>
          <w:sz w:val="24"/>
          <w:szCs w:val="24"/>
          <w:lang w:val="fr-CH"/>
        </w:rPr>
        <w:t>ième session</w:t>
      </w:r>
    </w:p>
    <w:p w14:paraId="30D6E4B7" w14:textId="77777777" w:rsidR="001A0344" w:rsidRDefault="00424D32" w:rsidP="00424D32">
      <w:pPr>
        <w:spacing w:after="720"/>
        <w:outlineLvl w:val="1"/>
        <w:rPr>
          <w:b/>
          <w:sz w:val="24"/>
          <w:szCs w:val="24"/>
          <w:lang w:val="fr-CH"/>
        </w:rPr>
      </w:pPr>
      <w:r w:rsidRPr="00C3136F">
        <w:rPr>
          <w:b/>
          <w:sz w:val="24"/>
          <w:szCs w:val="24"/>
          <w:lang w:val="fr-CH"/>
        </w:rPr>
        <w:t xml:space="preserve">Genève, </w:t>
      </w:r>
      <w:r w:rsidR="00656349">
        <w:rPr>
          <w:b/>
          <w:sz w:val="24"/>
          <w:szCs w:val="24"/>
          <w:lang w:val="fr-CH"/>
        </w:rPr>
        <w:t xml:space="preserve">3 – </w:t>
      </w:r>
      <w:r w:rsidRPr="00C3136F">
        <w:rPr>
          <w:b/>
          <w:sz w:val="24"/>
          <w:szCs w:val="24"/>
          <w:lang w:val="fr-CH"/>
        </w:rPr>
        <w:t>7</w:t>
      </w:r>
      <w:r w:rsidR="00660161" w:rsidRPr="00C3136F">
        <w:rPr>
          <w:b/>
          <w:sz w:val="24"/>
          <w:szCs w:val="24"/>
          <w:lang w:val="fr-CH"/>
        </w:rPr>
        <w:t> </w:t>
      </w:r>
      <w:r w:rsidR="00656349">
        <w:rPr>
          <w:b/>
          <w:sz w:val="24"/>
          <w:szCs w:val="24"/>
          <w:lang w:val="fr-CH"/>
        </w:rPr>
        <w:t>octobre</w:t>
      </w:r>
      <w:r w:rsidR="00660161" w:rsidRPr="00C3136F">
        <w:rPr>
          <w:b/>
          <w:sz w:val="24"/>
          <w:szCs w:val="24"/>
          <w:lang w:val="fr-CH"/>
        </w:rPr>
        <w:t> </w:t>
      </w:r>
      <w:r w:rsidR="00656349">
        <w:rPr>
          <w:b/>
          <w:sz w:val="24"/>
          <w:szCs w:val="24"/>
          <w:lang w:val="fr-CH"/>
        </w:rPr>
        <w:t>2022</w:t>
      </w:r>
    </w:p>
    <w:p w14:paraId="0AD01422" w14:textId="1A8DA4B4" w:rsidR="001A0344" w:rsidRDefault="001D0F84" w:rsidP="00424D32">
      <w:pPr>
        <w:spacing w:after="360"/>
        <w:outlineLvl w:val="0"/>
        <w:rPr>
          <w:caps/>
          <w:sz w:val="24"/>
          <w:lang w:val="fr-CH"/>
        </w:rPr>
      </w:pPr>
      <w:r>
        <w:rPr>
          <w:caps/>
          <w:sz w:val="24"/>
          <w:lang w:val="fr-CH"/>
        </w:rPr>
        <w:t>Registre des ressources d’apprentissage en ligne</w:t>
      </w:r>
    </w:p>
    <w:p w14:paraId="1D872294" w14:textId="77777777" w:rsidR="001A0344" w:rsidRDefault="00424D32" w:rsidP="00424D32">
      <w:pPr>
        <w:spacing w:after="960"/>
        <w:rPr>
          <w:i/>
          <w:lang w:val="fr-CH"/>
        </w:rPr>
      </w:pPr>
      <w:bookmarkStart w:id="5" w:name="Prepared"/>
      <w:bookmarkEnd w:id="0"/>
      <w:r w:rsidRPr="00C3136F">
        <w:rPr>
          <w:i/>
          <w:lang w:val="fr-CH"/>
        </w:rPr>
        <w:t>Document établi par le Bureau international</w:t>
      </w:r>
    </w:p>
    <w:bookmarkEnd w:id="5"/>
    <w:p w14:paraId="75D445C3" w14:textId="77777777" w:rsidR="001A0344" w:rsidRDefault="00424D32" w:rsidP="00424D32">
      <w:pPr>
        <w:pStyle w:val="Heading1"/>
      </w:pPr>
      <w:r w:rsidRPr="00C3136F">
        <w:t>Résumé</w:t>
      </w:r>
    </w:p>
    <w:p w14:paraId="7073FC66" w14:textId="7523A759" w:rsidR="001A0344" w:rsidRDefault="00424D32" w:rsidP="001D0F84">
      <w:pPr>
        <w:pStyle w:val="ONUMFS"/>
        <w:rPr>
          <w:lang w:val="fr-CH"/>
        </w:rPr>
      </w:pPr>
      <w:r w:rsidRPr="00C3136F">
        <w:rPr>
          <w:lang w:val="fr-CH"/>
        </w:rPr>
        <w:t>Le présent document</w:t>
      </w:r>
      <w:r w:rsidR="00656349">
        <w:rPr>
          <w:lang w:val="fr-CH"/>
        </w:rPr>
        <w:t xml:space="preserve"> contient une</w:t>
      </w:r>
      <w:r w:rsidRPr="00C3136F">
        <w:rPr>
          <w:lang w:val="fr-CH"/>
        </w:rPr>
        <w:t xml:space="preserve"> </w:t>
      </w:r>
      <w:r w:rsidR="00CA2B25" w:rsidRPr="00C3136F">
        <w:rPr>
          <w:lang w:val="fr-CH"/>
        </w:rPr>
        <w:t>propos</w:t>
      </w:r>
      <w:r w:rsidR="00656349">
        <w:rPr>
          <w:lang w:val="fr-CH"/>
        </w:rPr>
        <w:t>ition concernant</w:t>
      </w:r>
      <w:r w:rsidRPr="00C3136F">
        <w:rPr>
          <w:lang w:val="fr-CH"/>
        </w:rPr>
        <w:t xml:space="preserve"> la création d</w:t>
      </w:r>
      <w:r w:rsidR="0070367A">
        <w:rPr>
          <w:lang w:val="fr-CH"/>
        </w:rPr>
        <w:t>’</w:t>
      </w:r>
      <w:r w:rsidRPr="00C3136F">
        <w:rPr>
          <w:lang w:val="fr-CH"/>
        </w:rPr>
        <w:t xml:space="preserve">un </w:t>
      </w:r>
      <w:r w:rsidR="008203EB" w:rsidRPr="00C3136F">
        <w:rPr>
          <w:lang w:val="fr-CH"/>
        </w:rPr>
        <w:t>registre</w:t>
      </w:r>
      <w:r w:rsidRPr="00C3136F">
        <w:rPr>
          <w:lang w:val="fr-CH"/>
        </w:rPr>
        <w:t xml:space="preserve"> indépendant de</w:t>
      </w:r>
      <w:r w:rsidR="00CA2B25" w:rsidRPr="00C3136F">
        <w:rPr>
          <w:lang w:val="fr-CH"/>
        </w:rPr>
        <w:t>s</w:t>
      </w:r>
      <w:r w:rsidRPr="00C3136F">
        <w:rPr>
          <w:lang w:val="fr-CH"/>
        </w:rPr>
        <w:t xml:space="preserve"> ressources d</w:t>
      </w:r>
      <w:r w:rsidR="0070367A">
        <w:rPr>
          <w:lang w:val="fr-CH"/>
        </w:rPr>
        <w:t>’</w:t>
      </w:r>
      <w:r w:rsidRPr="00C3136F">
        <w:rPr>
          <w:lang w:val="fr-CH"/>
        </w:rPr>
        <w:t>apprentissage en ligne.</w:t>
      </w:r>
    </w:p>
    <w:p w14:paraId="17169950" w14:textId="77777777" w:rsidR="001A0344" w:rsidRDefault="00A10B94" w:rsidP="00A10B94">
      <w:pPr>
        <w:pStyle w:val="Heading1"/>
      </w:pPr>
      <w:r w:rsidRPr="00C3136F">
        <w:t>Introduction</w:t>
      </w:r>
    </w:p>
    <w:p w14:paraId="39CDF74B" w14:textId="6BAD8368" w:rsidR="002276BB" w:rsidRDefault="00CC6440" w:rsidP="001D0F84">
      <w:pPr>
        <w:pStyle w:val="ONUMFS"/>
        <w:rPr>
          <w:lang w:val="fr-CH"/>
        </w:rPr>
      </w:pPr>
      <w:r w:rsidRPr="00656349">
        <w:rPr>
          <w:lang w:val="fr-CH"/>
        </w:rPr>
        <w:t>À</w:t>
      </w:r>
      <w:r w:rsidR="00424D32" w:rsidRPr="00656349">
        <w:rPr>
          <w:lang w:val="fr-CH"/>
        </w:rPr>
        <w:t xml:space="preserve"> sa </w:t>
      </w:r>
      <w:r w:rsidR="00656349" w:rsidRPr="00656349">
        <w:rPr>
          <w:lang w:val="fr-CH"/>
        </w:rPr>
        <w:t>quatorz</w:t>
      </w:r>
      <w:r w:rsidR="0070367A">
        <w:rPr>
          <w:lang w:val="fr-CH"/>
        </w:rPr>
        <w:t>ième session</w:t>
      </w:r>
      <w:r w:rsidR="00424D32" w:rsidRPr="00656349">
        <w:rPr>
          <w:lang w:val="fr-CH"/>
        </w:rPr>
        <w:t>, le Groupe de travail</w:t>
      </w:r>
      <w:r w:rsidR="00660161" w:rsidRPr="00656349">
        <w:rPr>
          <w:lang w:val="fr-CH"/>
        </w:rPr>
        <w:t xml:space="preserve"> du PCT</w:t>
      </w:r>
      <w:r w:rsidR="00424D32" w:rsidRPr="00656349">
        <w:rPr>
          <w:lang w:val="fr-CH"/>
        </w:rPr>
        <w:t xml:space="preserve"> a examiné </w:t>
      </w:r>
      <w:r w:rsidR="00656349">
        <w:rPr>
          <w:lang w:val="fr-CH"/>
        </w:rPr>
        <w:t>l</w:t>
      </w:r>
      <w:r w:rsidR="0070367A">
        <w:rPr>
          <w:lang w:val="fr-CH"/>
        </w:rPr>
        <w:t>’</w:t>
      </w:r>
      <w:r w:rsidR="00656349">
        <w:rPr>
          <w:lang w:val="fr-CH"/>
        </w:rPr>
        <w:t>évaluation des enquêtes concernant</w:t>
      </w:r>
      <w:r w:rsidR="00CA2B25" w:rsidRPr="00C3136F">
        <w:rPr>
          <w:lang w:val="fr-CH"/>
        </w:rPr>
        <w:t xml:space="preserve"> l</w:t>
      </w:r>
      <w:r w:rsidR="0070367A">
        <w:rPr>
          <w:lang w:val="fr-CH"/>
        </w:rPr>
        <w:t>’</w:t>
      </w:r>
      <w:r w:rsidR="00CA2B25" w:rsidRPr="00C3136F">
        <w:rPr>
          <w:lang w:val="fr-CH"/>
        </w:rPr>
        <w:t>utilisation des ressources d</w:t>
      </w:r>
      <w:r w:rsidR="0070367A">
        <w:rPr>
          <w:lang w:val="fr-CH"/>
        </w:rPr>
        <w:t>’</w:t>
      </w:r>
      <w:r w:rsidR="00CA2B25" w:rsidRPr="00C3136F">
        <w:rPr>
          <w:lang w:val="fr-CH"/>
        </w:rPr>
        <w:t>apprentissage en ligne pour la formation des examinateurs de brevets sur le fo</w:t>
      </w:r>
      <w:r w:rsidR="00656349">
        <w:rPr>
          <w:lang w:val="fr-CH"/>
        </w:rPr>
        <w:t xml:space="preserve">nd (voir le document PCT/WG/14/15 et les </w:t>
      </w:r>
      <w:r w:rsidR="006D7ABE" w:rsidRPr="00C3136F">
        <w:rPr>
          <w:lang w:val="fr-CH"/>
        </w:rPr>
        <w:t>circulaire</w:t>
      </w:r>
      <w:r w:rsidR="00656349">
        <w:rPr>
          <w:lang w:val="fr-CH"/>
        </w:rPr>
        <w:t>s</w:t>
      </w:r>
      <w:r w:rsidR="006D7ABE" w:rsidRPr="00C3136F">
        <w:rPr>
          <w:lang w:val="fr-CH"/>
        </w:rPr>
        <w:t xml:space="preserve"> C.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PCT</w:t>
      </w:r>
      <w:r w:rsidR="00660161" w:rsidRPr="00C3136F">
        <w:rPr>
          <w:lang w:val="fr-CH"/>
        </w:rPr>
        <w:t> </w:t>
      </w:r>
      <w:r w:rsidR="006D7ABE" w:rsidRPr="00C3136F">
        <w:rPr>
          <w:lang w:val="fr-CH"/>
        </w:rPr>
        <w:t>1</w:t>
      </w:r>
      <w:r w:rsidR="00656349">
        <w:rPr>
          <w:lang w:val="fr-CH"/>
        </w:rPr>
        <w:t>588 et 1</w:t>
      </w:r>
      <w:r w:rsidR="006D7ABE" w:rsidRPr="00C3136F">
        <w:rPr>
          <w:lang w:val="fr-CH"/>
        </w:rPr>
        <w:t>620.</w:t>
      </w:r>
    </w:p>
    <w:p w14:paraId="4BEB7859" w14:textId="596625EF" w:rsidR="001A0344" w:rsidRDefault="0008136D" w:rsidP="001D0F84">
      <w:pPr>
        <w:pStyle w:val="ONUMFS"/>
        <w:rPr>
          <w:lang w:val="fr-CH"/>
        </w:rPr>
      </w:pPr>
      <w:r w:rsidRPr="00141F34">
        <w:rPr>
          <w:lang w:val="fr-CH"/>
        </w:rPr>
        <w:t>D</w:t>
      </w:r>
      <w:r w:rsidR="0070367A">
        <w:rPr>
          <w:lang w:val="fr-CH"/>
        </w:rPr>
        <w:t>’</w:t>
      </w:r>
      <w:r w:rsidRPr="00141F34">
        <w:rPr>
          <w:lang w:val="fr-CH"/>
        </w:rPr>
        <w:t xml:space="preserve">après les commentaires </w:t>
      </w:r>
      <w:r w:rsidR="00656349" w:rsidRPr="00141F34">
        <w:rPr>
          <w:lang w:val="fr-CH"/>
        </w:rPr>
        <w:t xml:space="preserve">reçus </w:t>
      </w:r>
      <w:r w:rsidRPr="00141F34">
        <w:rPr>
          <w:lang w:val="fr-CH"/>
        </w:rPr>
        <w:t>concernant l</w:t>
      </w:r>
      <w:r w:rsidR="0070367A">
        <w:rPr>
          <w:lang w:val="fr-CH"/>
        </w:rPr>
        <w:t>’</w:t>
      </w:r>
      <w:r w:rsidRPr="00141F34">
        <w:rPr>
          <w:lang w:val="fr-CH"/>
        </w:rPr>
        <w:t>utilité de l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ligne, il apparaît que de nombreux offices considèrent l</w:t>
      </w:r>
      <w:r w:rsidR="0070367A">
        <w:rPr>
          <w:lang w:val="fr-CH"/>
        </w:rPr>
        <w:t>’</w:t>
      </w:r>
      <w:r w:rsidRPr="00141F34">
        <w:rPr>
          <w:lang w:val="fr-CH"/>
        </w:rPr>
        <w:t>utilisation systématique</w:t>
      </w:r>
      <w:r w:rsidR="005948CE" w:rsidRPr="00141F34">
        <w:rPr>
          <w:lang w:val="fr-CH"/>
        </w:rPr>
        <w:t xml:space="preserve"> de</w:t>
      </w:r>
      <w:r w:rsidRPr="00141F34">
        <w:rPr>
          <w:lang w:val="fr-CH"/>
        </w:rPr>
        <w:t xml:space="preserve"> cette forme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comme un élément très efficace de la formation des examinateurs débutan</w:t>
      </w:r>
      <w:r w:rsidR="00531693" w:rsidRPr="00141F34">
        <w:rPr>
          <w:lang w:val="fr-CH"/>
        </w:rPr>
        <w:t>ts</w:t>
      </w:r>
      <w:r w:rsidR="00656349" w:rsidRPr="00141F34">
        <w:rPr>
          <w:lang w:val="fr-CH"/>
        </w:rPr>
        <w:t xml:space="preserve">, </w:t>
      </w:r>
      <w:r w:rsidR="00141F34" w:rsidRPr="00141F34">
        <w:rPr>
          <w:lang w:val="fr-CH"/>
        </w:rPr>
        <w:t>ainsi que des examinateurs expériment</w:t>
      </w:r>
      <w:r w:rsidR="001D0F84" w:rsidRPr="00141F34">
        <w:rPr>
          <w:lang w:val="fr-CH"/>
        </w:rPr>
        <w:t>és</w:t>
      </w:r>
      <w:r w:rsidR="001D0F84">
        <w:rPr>
          <w:lang w:val="fr-CH"/>
        </w:rPr>
        <w:t xml:space="preserve">.  </w:t>
      </w:r>
      <w:r w:rsidR="001D0F84" w:rsidRPr="00141F34">
        <w:rPr>
          <w:lang w:val="fr-CH"/>
        </w:rPr>
        <w:t>Di</w:t>
      </w:r>
      <w:r w:rsidR="00141F34" w:rsidRPr="00141F34">
        <w:rPr>
          <w:lang w:val="fr-CH"/>
        </w:rPr>
        <w:t>vers offices se sont engagés dans la mise au point de ressources d</w:t>
      </w:r>
      <w:r w:rsidR="0070367A">
        <w:rPr>
          <w:lang w:val="fr-CH"/>
        </w:rPr>
        <w:t>’</w:t>
      </w:r>
      <w:r w:rsidR="00141F34" w:rsidRPr="00141F34">
        <w:rPr>
          <w:lang w:val="fr-CH"/>
        </w:rPr>
        <w:t>apprentissage en ligne dans le cadre des efforts qu</w:t>
      </w:r>
      <w:r w:rsidR="0070367A">
        <w:rPr>
          <w:lang w:val="fr-CH"/>
        </w:rPr>
        <w:t>’</w:t>
      </w:r>
      <w:r w:rsidR="00141F34" w:rsidRPr="00141F34">
        <w:rPr>
          <w:lang w:val="fr-CH"/>
        </w:rPr>
        <w:t>ils déploient pour à créer une infrastructure de formation en faveur des activités d</w:t>
      </w:r>
      <w:r w:rsidR="0070367A">
        <w:rPr>
          <w:lang w:val="fr-CH"/>
        </w:rPr>
        <w:t>’</w:t>
      </w:r>
      <w:r w:rsidR="00141F34" w:rsidRPr="00141F34">
        <w:rPr>
          <w:lang w:val="fr-CH"/>
        </w:rPr>
        <w:t>apprentissa</w:t>
      </w:r>
      <w:r w:rsidR="001D0F84" w:rsidRPr="00141F34">
        <w:rPr>
          <w:lang w:val="fr-CH"/>
        </w:rPr>
        <w:t>ge</w:t>
      </w:r>
      <w:r w:rsidR="001D0F84">
        <w:rPr>
          <w:lang w:val="fr-CH"/>
        </w:rPr>
        <w:t xml:space="preserve">.  </w:t>
      </w:r>
      <w:r w:rsidR="001D0F84" w:rsidRPr="00141F34">
        <w:rPr>
          <w:lang w:val="fr-CH"/>
        </w:rPr>
        <w:t>Le</w:t>
      </w:r>
      <w:r w:rsidRPr="00141F34">
        <w:rPr>
          <w:lang w:val="fr-CH"/>
        </w:rPr>
        <w:t>s raisons en sont multiples</w:t>
      </w:r>
      <w:r w:rsidR="0070367A">
        <w:rPr>
          <w:lang w:val="fr-CH"/>
        </w:rPr>
        <w:t> :</w:t>
      </w:r>
      <w:r w:rsidRPr="00141F34">
        <w:rPr>
          <w:lang w:val="fr-CH"/>
        </w:rPr>
        <w:t xml:space="preserve"> l</w:t>
      </w:r>
      <w:r w:rsidR="0070367A">
        <w:rPr>
          <w:lang w:val="fr-CH"/>
        </w:rPr>
        <w:t>’</w:t>
      </w:r>
      <w:r w:rsidRPr="00141F34">
        <w:rPr>
          <w:lang w:val="fr-CH"/>
        </w:rPr>
        <w:t>établissement d</w:t>
      </w:r>
      <w:r w:rsidR="0070367A">
        <w:rPr>
          <w:lang w:val="fr-CH"/>
        </w:rPr>
        <w:t>’</w:t>
      </w:r>
      <w:r w:rsidRPr="00141F34">
        <w:rPr>
          <w:lang w:val="fr-CH"/>
        </w:rPr>
        <w:t xml:space="preserve">une base commune pour tous les </w:t>
      </w:r>
      <w:r w:rsidR="005948CE" w:rsidRPr="00141F34">
        <w:rPr>
          <w:lang w:val="fr-CH"/>
        </w:rPr>
        <w:t>participants</w:t>
      </w:r>
      <w:r w:rsidRPr="00141F34">
        <w:rPr>
          <w:lang w:val="fr-CH"/>
        </w:rPr>
        <w:t>, l</w:t>
      </w:r>
      <w:r w:rsidR="0070367A">
        <w:rPr>
          <w:lang w:val="fr-CH"/>
        </w:rPr>
        <w:t>’</w:t>
      </w:r>
      <w:r w:rsidRPr="00141F34">
        <w:rPr>
          <w:lang w:val="fr-CH"/>
        </w:rPr>
        <w:t>avantage de suivre les cours à son propre rythme, la possibilité d</w:t>
      </w:r>
      <w:r w:rsidR="0070367A">
        <w:rPr>
          <w:lang w:val="fr-CH"/>
        </w:rPr>
        <w:t>’</w:t>
      </w:r>
      <w:r w:rsidRPr="00141F34">
        <w:rPr>
          <w:lang w:val="fr-CH"/>
        </w:rPr>
        <w:t xml:space="preserve">améliorer continuellement les </w:t>
      </w:r>
      <w:r w:rsidR="00656349" w:rsidRPr="00141F34">
        <w:rPr>
          <w:lang w:val="fr-CH"/>
        </w:rPr>
        <w:t>ressources</w:t>
      </w:r>
      <w:r w:rsidRPr="00141F34">
        <w:rPr>
          <w:lang w:val="fr-CH"/>
        </w:rPr>
        <w:t xml:space="preserve"> d</w:t>
      </w:r>
      <w:r w:rsidR="0070367A">
        <w:rPr>
          <w:lang w:val="fr-CH"/>
        </w:rPr>
        <w:t>’</w:t>
      </w:r>
      <w:r w:rsidRPr="00141F34">
        <w:rPr>
          <w:lang w:val="fr-CH"/>
        </w:rPr>
        <w:t xml:space="preserve">apprentissage grâce aux observations des </w:t>
      </w:r>
      <w:r w:rsidR="005948CE" w:rsidRPr="00141F34">
        <w:rPr>
          <w:lang w:val="fr-CH"/>
        </w:rPr>
        <w:t xml:space="preserve">participants </w:t>
      </w:r>
      <w:r w:rsidRPr="00141F34">
        <w:rPr>
          <w:lang w:val="fr-CH"/>
        </w:rPr>
        <w:t xml:space="preserve">et de mener des évaluations </w:t>
      </w:r>
      <w:r w:rsidRPr="00C3136F">
        <w:rPr>
          <w:lang w:val="fr-CH"/>
        </w:rPr>
        <w:t>normalisées dans le cadre des activités d</w:t>
      </w:r>
      <w:r w:rsidR="0070367A">
        <w:rPr>
          <w:lang w:val="fr-CH"/>
        </w:rPr>
        <w:t>’</w:t>
      </w:r>
      <w:r w:rsidRPr="00C3136F">
        <w:rPr>
          <w:lang w:val="fr-CH"/>
        </w:rPr>
        <w:t>apprentissage en ligne.</w:t>
      </w:r>
    </w:p>
    <w:p w14:paraId="504A4783" w14:textId="1F9C790A" w:rsidR="001A0344" w:rsidRDefault="00FD1408" w:rsidP="001D0F84">
      <w:pPr>
        <w:pStyle w:val="ONUMFS"/>
        <w:rPr>
          <w:lang w:val="fr-CH"/>
        </w:rPr>
      </w:pPr>
      <w:r w:rsidRPr="00C3136F">
        <w:rPr>
          <w:lang w:val="fr-CH"/>
        </w:rPr>
        <w:lastRenderedPageBreak/>
        <w:t xml:space="preserve">Il ressort </w:t>
      </w:r>
      <w:r w:rsidR="00656349">
        <w:rPr>
          <w:lang w:val="fr-CH"/>
        </w:rPr>
        <w:t xml:space="preserve">également </w:t>
      </w:r>
      <w:r w:rsidRPr="00C3136F">
        <w:rPr>
          <w:lang w:val="fr-CH"/>
        </w:rPr>
        <w:t xml:space="preserve">des commentaires reçus que, en particulier, les offices de petite </w:t>
      </w:r>
      <w:r w:rsidR="00C3136F" w:rsidRPr="00C3136F">
        <w:rPr>
          <w:lang w:val="fr-CH"/>
        </w:rPr>
        <w:t>ou</w:t>
      </w:r>
      <w:r w:rsidRPr="00C3136F">
        <w:rPr>
          <w:lang w:val="fr-CH"/>
        </w:rPr>
        <w:t xml:space="preserve"> moyenne taille, ont moins de ressources</w:t>
      </w:r>
      <w:r w:rsidR="00656349">
        <w:rPr>
          <w:lang w:val="fr-CH"/>
        </w:rPr>
        <w:t>, voire aucune,</w:t>
      </w:r>
      <w:r w:rsidRPr="00C3136F">
        <w:rPr>
          <w:lang w:val="fr-CH"/>
        </w:rPr>
        <w:t xml:space="preserve"> pour concevoir</w:t>
      </w:r>
      <w:r w:rsidR="00656349">
        <w:rPr>
          <w:lang w:val="fr-CH"/>
        </w:rPr>
        <w:t xml:space="preserve"> ou maintenir</w:t>
      </w:r>
      <w:r w:rsidRPr="00C3136F">
        <w:rPr>
          <w:lang w:val="fr-CH"/>
        </w:rPr>
        <w:t xml:space="preserve"> eux</w:t>
      </w:r>
      <w:r w:rsidR="003A7A06">
        <w:rPr>
          <w:lang w:val="fr-CH"/>
        </w:rPr>
        <w:noBreakHyphen/>
      </w:r>
      <w:r w:rsidRPr="00C3136F">
        <w:rPr>
          <w:lang w:val="fr-CH"/>
        </w:rPr>
        <w:t>mêmes des ressources d</w:t>
      </w:r>
      <w:r w:rsidR="0070367A">
        <w:rPr>
          <w:lang w:val="fr-CH"/>
        </w:rPr>
        <w:t>’</w:t>
      </w:r>
      <w:r w:rsidRPr="00C3136F">
        <w:rPr>
          <w:lang w:val="fr-CH"/>
        </w:rPr>
        <w:t>apprentissage en ligne,</w:t>
      </w:r>
      <w:r w:rsidR="00C3136F" w:rsidRPr="00C3136F">
        <w:rPr>
          <w:lang w:val="fr-CH"/>
        </w:rPr>
        <w:t xml:space="preserve"> et</w:t>
      </w:r>
      <w:r w:rsidRPr="00C3136F">
        <w:rPr>
          <w:lang w:val="fr-CH"/>
        </w:rPr>
        <w:t xml:space="preserve"> apprécient grandement de pouvoir accéder à des ressources en ligne externes pour la formation de leurs exper</w:t>
      </w:r>
      <w:r w:rsidR="001D0F84" w:rsidRPr="00C3136F">
        <w:rPr>
          <w:lang w:val="fr-CH"/>
        </w:rPr>
        <w:t>ts</w:t>
      </w:r>
      <w:r w:rsidR="001D0F84">
        <w:rPr>
          <w:lang w:val="fr-CH"/>
        </w:rPr>
        <w:t xml:space="preserve">.  </w:t>
      </w:r>
      <w:r w:rsidR="001D0F84" w:rsidRPr="00C3136F">
        <w:rPr>
          <w:lang w:val="fr-CH"/>
        </w:rPr>
        <w:t>Il</w:t>
      </w:r>
      <w:r w:rsidRPr="00C3136F">
        <w:rPr>
          <w:lang w:val="fr-CH"/>
        </w:rPr>
        <w:t xml:space="preserve"> serait donc très utile que davantage d</w:t>
      </w:r>
      <w:r w:rsidR="0070367A">
        <w:rPr>
          <w:lang w:val="fr-CH"/>
        </w:rPr>
        <w:t>’</w:t>
      </w:r>
      <w:r w:rsidRPr="00C3136F">
        <w:rPr>
          <w:lang w:val="fr-CH"/>
        </w:rPr>
        <w:t>offices mettent leurs ressources de formation à la disposition des utilisateurs des autres offices, sans aucune restricti</w:t>
      </w:r>
      <w:r w:rsidR="001D0F84" w:rsidRPr="00C3136F">
        <w:rPr>
          <w:lang w:val="fr-CH"/>
        </w:rPr>
        <w:t>on</w:t>
      </w:r>
      <w:r w:rsidR="001D0F84">
        <w:rPr>
          <w:lang w:val="fr-CH"/>
        </w:rPr>
        <w:t xml:space="preserve">.  </w:t>
      </w:r>
      <w:r w:rsidR="001D0F84" w:rsidRPr="00C3136F">
        <w:rPr>
          <w:lang w:val="fr-CH"/>
        </w:rPr>
        <w:t>Ce</w:t>
      </w:r>
      <w:r w:rsidRPr="00C3136F">
        <w:rPr>
          <w:lang w:val="fr-CH"/>
        </w:rPr>
        <w:t>la peut contribuer au partage des meilleures pratiques entre les offices, tant pour les pratiques d</w:t>
      </w:r>
      <w:r w:rsidR="0070367A">
        <w:rPr>
          <w:lang w:val="fr-CH"/>
        </w:rPr>
        <w:t>’</w:t>
      </w:r>
      <w:r w:rsidRPr="00C3136F">
        <w:rPr>
          <w:lang w:val="fr-CH"/>
        </w:rPr>
        <w:t>examen que pour les pratiques et techniques de formation en ligne, comme l</w:t>
      </w:r>
      <w:r w:rsidR="0070367A">
        <w:rPr>
          <w:lang w:val="fr-CH"/>
        </w:rPr>
        <w:t>’</w:t>
      </w:r>
      <w:r w:rsidRPr="00C3136F">
        <w:rPr>
          <w:lang w:val="fr-CH"/>
        </w:rPr>
        <w:t>indiquent certains commentaires.</w:t>
      </w:r>
    </w:p>
    <w:p w14:paraId="22BA9232" w14:textId="2CD57F7D" w:rsidR="001A0344" w:rsidRDefault="00141F34" w:rsidP="001D0F84">
      <w:pPr>
        <w:pStyle w:val="ONUMFS"/>
        <w:rPr>
          <w:lang w:val="fr-CH"/>
        </w:rPr>
      </w:pPr>
      <w:bookmarkStart w:id="6" w:name="_Ref73348412"/>
      <w:r w:rsidRPr="00141F34">
        <w:rPr>
          <w:lang w:val="fr-CH"/>
        </w:rPr>
        <w:t>Les paragraphes</w:t>
      </w:r>
      <w:r w:rsidR="00200FEB">
        <w:rPr>
          <w:lang w:val="fr-CH"/>
        </w:rPr>
        <w:t> </w:t>
      </w:r>
      <w:r w:rsidRPr="00141F34">
        <w:rPr>
          <w:lang w:val="fr-CH"/>
        </w:rPr>
        <w:t xml:space="preserve">20 et 21 du document </w:t>
      </w:r>
      <w:hyperlink r:id="rId9" w:history="1">
        <w:r w:rsidRPr="00141F34">
          <w:rPr>
            <w:rStyle w:val="Hyperlink"/>
            <w:lang w:val="fr-CH"/>
          </w:rPr>
          <w:t>PCT/WG/14/15</w:t>
        </w:r>
      </w:hyperlink>
      <w:r w:rsidRPr="00141F34">
        <w:rPr>
          <w:lang w:val="fr-CH"/>
        </w:rPr>
        <w:t>, reproduits ci</w:t>
      </w:r>
      <w:r w:rsidR="003A7A06">
        <w:rPr>
          <w:lang w:val="fr-CH"/>
        </w:rPr>
        <w:noBreakHyphen/>
      </w:r>
      <w:r w:rsidRPr="00141F34">
        <w:rPr>
          <w:lang w:val="fr-CH"/>
        </w:rPr>
        <w:t>dessous, proposent donc d</w:t>
      </w:r>
      <w:r w:rsidR="0070367A">
        <w:rPr>
          <w:lang w:val="fr-CH"/>
        </w:rPr>
        <w:t>’</w:t>
      </w:r>
      <w:r w:rsidRPr="00141F34">
        <w:rPr>
          <w:lang w:val="fr-CH"/>
        </w:rPr>
        <w:t>envisager la création d</w:t>
      </w:r>
      <w:r w:rsidR="0070367A">
        <w:rPr>
          <w:lang w:val="fr-CH"/>
        </w:rPr>
        <w:t>’</w:t>
      </w:r>
      <w:r w:rsidRPr="00141F34">
        <w:rPr>
          <w:lang w:val="fr-CH"/>
        </w:rPr>
        <w:t>un registre indépendant des ressources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</w:t>
      </w:r>
      <w:r w:rsidR="0070367A">
        <w:rPr>
          <w:lang w:val="fr-CH"/>
        </w:rPr>
        <w:t> :</w:t>
      </w:r>
    </w:p>
    <w:p w14:paraId="61DF6A8C" w14:textId="2A7E2FBB" w:rsidR="001A0344" w:rsidRDefault="00656349" w:rsidP="00656349">
      <w:pPr>
        <w:pStyle w:val="ONUME"/>
        <w:numPr>
          <w:ilvl w:val="0"/>
          <w:numId w:val="0"/>
        </w:numPr>
        <w:ind w:left="567"/>
        <w:rPr>
          <w:lang w:val="fr-CH"/>
        </w:rPr>
      </w:pPr>
      <w:r w:rsidRPr="00656349">
        <w:rPr>
          <w:lang w:val="fr-CH"/>
        </w:rPr>
        <w:t>“</w:t>
      </w:r>
      <w:proofErr w:type="gramStart"/>
      <w:r w:rsidRPr="00656349">
        <w:rPr>
          <w:lang w:val="fr-CH"/>
        </w:rPr>
        <w:t>20.…</w:t>
      </w:r>
      <w:proofErr w:type="gramEnd"/>
      <w:r w:rsidRPr="00656349">
        <w:rPr>
          <w:lang w:val="fr-CH"/>
        </w:rPr>
        <w:t>.</w:t>
      </w:r>
      <w:r w:rsidR="00437FAF">
        <w:rPr>
          <w:lang w:val="fr-CH"/>
        </w:rPr>
        <w:t>,</w:t>
      </w:r>
      <w:r w:rsidR="00FD1408" w:rsidRPr="00C3136F">
        <w:rPr>
          <w:lang w:val="fr-CH"/>
        </w:rPr>
        <w:t xml:space="preserve"> comme l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élaboration de ressources d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apprentissage en ligne nécessite également des ressources financières ou humaines considérables, certains offices peuvent ne pas souhaiter les partager publiquement, mais uniquement avec des experts d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autres offices des breve</w:t>
      </w:r>
      <w:bookmarkEnd w:id="6"/>
      <w:r w:rsidR="001D0F84" w:rsidRPr="00C3136F">
        <w:rPr>
          <w:lang w:val="fr-CH"/>
        </w:rPr>
        <w:t>ts</w:t>
      </w:r>
      <w:r w:rsidR="001D0F84">
        <w:rPr>
          <w:lang w:val="fr-CH"/>
        </w:rPr>
        <w:t xml:space="preserve">.  </w:t>
      </w:r>
      <w:r w:rsidR="001D0F84" w:rsidRPr="00C3136F">
        <w:rPr>
          <w:lang w:val="fr-CH"/>
        </w:rPr>
        <w:t>Af</w:t>
      </w:r>
      <w:r w:rsidR="00FD1408" w:rsidRPr="00C3136F">
        <w:rPr>
          <w:lang w:val="fr-CH"/>
        </w:rPr>
        <w:t>in d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atténuer la charge administrative que représente</w:t>
      </w:r>
      <w:r w:rsidR="001D0F84">
        <w:rPr>
          <w:lang w:val="fr-CH"/>
        </w:rPr>
        <w:t>nt</w:t>
      </w:r>
      <w:r w:rsidR="00FD1408" w:rsidRPr="00C3136F">
        <w:rPr>
          <w:lang w:val="fr-CH"/>
        </w:rPr>
        <w:t xml:space="preserve"> pour ces offices la gestion des demandes et l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accès à ces ressources, on pourrait envisager la création d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>un r</w:t>
      </w:r>
      <w:r w:rsidR="00C3136F" w:rsidRPr="00C3136F">
        <w:rPr>
          <w:lang w:val="fr-CH"/>
        </w:rPr>
        <w:t>egistre</w:t>
      </w:r>
      <w:r w:rsidR="00FD1408" w:rsidRPr="00C3136F">
        <w:rPr>
          <w:lang w:val="fr-CH"/>
        </w:rPr>
        <w:t xml:space="preserve"> indépendant des ressources d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 xml:space="preserve">apprentissage en ligne, qui </w:t>
      </w:r>
      <w:r w:rsidR="00C3136F" w:rsidRPr="00C3136F">
        <w:rPr>
          <w:lang w:val="fr-CH"/>
        </w:rPr>
        <w:t>permettrait l</w:t>
      </w:r>
      <w:r w:rsidR="0070367A">
        <w:rPr>
          <w:lang w:val="fr-CH"/>
        </w:rPr>
        <w:t>’</w:t>
      </w:r>
      <w:r w:rsidR="00FD1408" w:rsidRPr="00C3136F">
        <w:rPr>
          <w:lang w:val="fr-CH"/>
        </w:rPr>
        <w:t xml:space="preserve">accès </w:t>
      </w:r>
      <w:r w:rsidR="00C3136F" w:rsidRPr="00C3136F">
        <w:rPr>
          <w:lang w:val="fr-CH"/>
        </w:rPr>
        <w:t>des</w:t>
      </w:r>
      <w:r w:rsidR="00FD1408" w:rsidRPr="00C3136F">
        <w:rPr>
          <w:lang w:val="fr-CH"/>
        </w:rPr>
        <w:t xml:space="preserve"> utilisateurs accrédités.</w:t>
      </w:r>
    </w:p>
    <w:p w14:paraId="60F10502" w14:textId="1BABB5B0" w:rsidR="001A0344" w:rsidRDefault="00FD1408" w:rsidP="00141F34">
      <w:pPr>
        <w:pStyle w:val="ONUME"/>
        <w:numPr>
          <w:ilvl w:val="0"/>
          <w:numId w:val="11"/>
        </w:numPr>
        <w:ind w:left="567"/>
        <w:rPr>
          <w:lang w:val="fr-CH"/>
        </w:rPr>
      </w:pPr>
      <w:bookmarkStart w:id="7" w:name="_Ref72517495"/>
      <w:r w:rsidRPr="00656349">
        <w:rPr>
          <w:lang w:val="fr-CH"/>
        </w:rPr>
        <w:t xml:space="preserve">Ce </w:t>
      </w:r>
      <w:r w:rsidR="00C3136F" w:rsidRPr="00656349">
        <w:rPr>
          <w:lang w:val="fr-CH"/>
        </w:rPr>
        <w:t xml:space="preserve">registre </w:t>
      </w:r>
      <w:r w:rsidRPr="00656349">
        <w:rPr>
          <w:lang w:val="fr-CH"/>
        </w:rPr>
        <w:t>pourrait également gérer la traduction des ressources sélectionnées afin d</w:t>
      </w:r>
      <w:r w:rsidR="0070367A">
        <w:rPr>
          <w:lang w:val="fr-CH"/>
        </w:rPr>
        <w:t>’</w:t>
      </w:r>
      <w:r w:rsidRPr="00656349">
        <w:rPr>
          <w:lang w:val="fr-CH"/>
        </w:rPr>
        <w:t>en faciliter l</w:t>
      </w:r>
      <w:r w:rsidR="0070367A">
        <w:rPr>
          <w:lang w:val="fr-CH"/>
        </w:rPr>
        <w:t>’</w:t>
      </w:r>
      <w:r w:rsidRPr="00656349">
        <w:rPr>
          <w:lang w:val="fr-CH"/>
        </w:rPr>
        <w:t>accès et l</w:t>
      </w:r>
      <w:r w:rsidR="0070367A">
        <w:rPr>
          <w:lang w:val="fr-CH"/>
        </w:rPr>
        <w:t>’</w:t>
      </w:r>
      <w:r w:rsidRPr="00656349">
        <w:rPr>
          <w:lang w:val="fr-CH"/>
        </w:rPr>
        <w:t>utilisati</w:t>
      </w:r>
      <w:r w:rsidR="001D0F84" w:rsidRPr="00656349">
        <w:rPr>
          <w:lang w:val="fr-CH"/>
        </w:rPr>
        <w:t>on</w:t>
      </w:r>
      <w:r w:rsidR="001D0F84">
        <w:rPr>
          <w:lang w:val="fr-CH"/>
        </w:rPr>
        <w:t xml:space="preserve">.  </w:t>
      </w:r>
      <w:r w:rsidR="001D0F84" w:rsidRPr="00656349">
        <w:rPr>
          <w:lang w:val="fr-CH"/>
        </w:rPr>
        <w:t>Ce</w:t>
      </w:r>
      <w:r w:rsidR="005A3EE4" w:rsidRPr="00656349">
        <w:rPr>
          <w:lang w:val="fr-CH"/>
        </w:rPr>
        <w:t xml:space="preserve">la garantirait une disponibilité permanente de ces ressources, ce qui est essentiel </w:t>
      </w:r>
      <w:r w:rsidR="00C3136F" w:rsidRPr="00656349">
        <w:rPr>
          <w:lang w:val="fr-CH"/>
        </w:rPr>
        <w:t>à</w:t>
      </w:r>
      <w:r w:rsidR="005A3EE4" w:rsidRPr="00656349">
        <w:rPr>
          <w:lang w:val="fr-CH"/>
        </w:rPr>
        <w:t xml:space="preserve"> une utilisation systé</w:t>
      </w:r>
      <w:r w:rsidR="00656349">
        <w:rPr>
          <w:lang w:val="fr-CH"/>
        </w:rPr>
        <w:t>matique des ressources extern</w:t>
      </w:r>
      <w:r w:rsidR="001D0F84">
        <w:rPr>
          <w:lang w:val="fr-CH"/>
        </w:rPr>
        <w:t xml:space="preserve">es.  </w:t>
      </w:r>
      <w:r w:rsidR="001D0F84" w:rsidRPr="00656349">
        <w:rPr>
          <w:lang w:val="fr-CH"/>
        </w:rPr>
        <w:t>Af</w:t>
      </w:r>
      <w:r w:rsidR="005A3EE4" w:rsidRPr="00656349">
        <w:rPr>
          <w:lang w:val="fr-CH"/>
        </w:rPr>
        <w:t>in d</w:t>
      </w:r>
      <w:r w:rsidR="0070367A">
        <w:rPr>
          <w:lang w:val="fr-CH"/>
        </w:rPr>
        <w:t>’</w:t>
      </w:r>
      <w:r w:rsidR="005A3EE4" w:rsidRPr="00656349">
        <w:rPr>
          <w:lang w:val="fr-CH"/>
        </w:rPr>
        <w:t>atténuer les problèmes de vitesse et de fiabilité des connexions Internet, certaines ressources pourraient être téléchargeables et intégrées dans des systèmes locaux de gestion de la formati</w:t>
      </w:r>
      <w:bookmarkEnd w:id="7"/>
      <w:r w:rsidR="001D0F84" w:rsidRPr="00656349">
        <w:rPr>
          <w:lang w:val="fr-CH"/>
        </w:rPr>
        <w:t>on</w:t>
      </w:r>
      <w:r w:rsidR="001D0F84">
        <w:rPr>
          <w:lang w:val="fr-CH"/>
        </w:rPr>
        <w:t xml:space="preserve">.  </w:t>
      </w:r>
      <w:r w:rsidR="001D0F84" w:rsidRPr="00656349">
        <w:rPr>
          <w:lang w:val="fr-CH"/>
        </w:rPr>
        <w:t>Gl</w:t>
      </w:r>
      <w:r w:rsidR="005A3EE4" w:rsidRPr="00656349">
        <w:rPr>
          <w:lang w:val="fr-CH"/>
        </w:rPr>
        <w:t>obalement, un tel référentiel serait certainement bénéfique pour promouvoir l</w:t>
      </w:r>
      <w:r w:rsidR="0070367A">
        <w:rPr>
          <w:lang w:val="fr-CH"/>
        </w:rPr>
        <w:t>’</w:t>
      </w:r>
      <w:r w:rsidR="005A3EE4" w:rsidRPr="00656349">
        <w:rPr>
          <w:lang w:val="fr-CH"/>
        </w:rPr>
        <w:t>utilisation de l</w:t>
      </w:r>
      <w:r w:rsidR="0070367A">
        <w:rPr>
          <w:lang w:val="fr-CH"/>
        </w:rPr>
        <w:t>’</w:t>
      </w:r>
      <w:r w:rsidR="005A3EE4" w:rsidRPr="00656349">
        <w:rPr>
          <w:lang w:val="fr-CH"/>
        </w:rPr>
        <w:t>apprentissage en ligne auprès des offices qui n</w:t>
      </w:r>
      <w:r w:rsidR="0070367A">
        <w:rPr>
          <w:lang w:val="fr-CH"/>
        </w:rPr>
        <w:t>’</w:t>
      </w:r>
      <w:r w:rsidR="005A3EE4" w:rsidRPr="00656349">
        <w:rPr>
          <w:lang w:val="fr-CH"/>
        </w:rPr>
        <w:t>ont pas encore envisagé ce mode d</w:t>
      </w:r>
      <w:r w:rsidR="0070367A">
        <w:rPr>
          <w:lang w:val="fr-CH"/>
        </w:rPr>
        <w:t>’</w:t>
      </w:r>
      <w:r w:rsidR="005A3EE4" w:rsidRPr="00656349">
        <w:rPr>
          <w:lang w:val="fr-CH"/>
        </w:rPr>
        <w:t>apprentissage.</w:t>
      </w:r>
      <w:r w:rsidR="00656349" w:rsidRPr="00656349">
        <w:rPr>
          <w:lang w:val="fr-CH"/>
        </w:rPr>
        <w:t>”</w:t>
      </w:r>
    </w:p>
    <w:p w14:paraId="2FC835D1" w14:textId="49E8772B" w:rsidR="001A0344" w:rsidRDefault="00141F34" w:rsidP="001D0F84">
      <w:pPr>
        <w:pStyle w:val="ONUMFS"/>
        <w:rPr>
          <w:lang w:val="fr-CH"/>
        </w:rPr>
      </w:pPr>
      <w:r w:rsidRPr="00141F34">
        <w:rPr>
          <w:lang w:val="fr-CH"/>
        </w:rPr>
        <w:t>À sa quatorz</w:t>
      </w:r>
      <w:r w:rsidR="0070367A">
        <w:rPr>
          <w:lang w:val="fr-CH"/>
        </w:rPr>
        <w:t>ième session</w:t>
      </w:r>
      <w:r w:rsidRPr="00141F34">
        <w:rPr>
          <w:lang w:val="fr-CH"/>
        </w:rPr>
        <w:t>, le groupe de travail a approuvé cette proposition et a invité le Bureau international à élaborer des propositions en vue de la création d</w:t>
      </w:r>
      <w:r w:rsidR="0070367A">
        <w:rPr>
          <w:lang w:val="fr-CH"/>
        </w:rPr>
        <w:t>’</w:t>
      </w:r>
      <w:r w:rsidRPr="00141F34">
        <w:rPr>
          <w:lang w:val="fr-CH"/>
        </w:rPr>
        <w:t>un registre indépendant des ressources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 (voir le paragraphe</w:t>
      </w:r>
      <w:r w:rsidR="00200FEB">
        <w:rPr>
          <w:lang w:val="fr-CH"/>
        </w:rPr>
        <w:t> </w:t>
      </w:r>
      <w:r w:rsidRPr="00141F34">
        <w:rPr>
          <w:lang w:val="fr-CH"/>
        </w:rPr>
        <w:t xml:space="preserve">194 du rapport de la session, document </w:t>
      </w:r>
      <w:hyperlink r:id="rId10" w:history="1">
        <w:r w:rsidRPr="00141F34">
          <w:rPr>
            <w:rStyle w:val="Hyperlink"/>
            <w:lang w:val="fr-CH"/>
          </w:rPr>
          <w:t>PCT/WG/14/19</w:t>
        </w:r>
      </w:hyperlink>
      <w:r w:rsidRPr="00141F34">
        <w:rPr>
          <w:color w:val="808080"/>
          <w:lang w:val="fr-CH"/>
        </w:rPr>
        <w:t>).</w:t>
      </w:r>
    </w:p>
    <w:p w14:paraId="66075717" w14:textId="56DD1554" w:rsidR="001A0344" w:rsidRDefault="00141F34" w:rsidP="00141F34">
      <w:pPr>
        <w:pStyle w:val="Heading1"/>
        <w:rPr>
          <w:lang w:val="fr-CH"/>
        </w:rPr>
      </w:pPr>
      <w:r w:rsidRPr="00141F34">
        <w:rPr>
          <w:lang w:val="fr-CH"/>
        </w:rPr>
        <w:t>C</w:t>
      </w:r>
      <w:r w:rsidR="001D0F84">
        <w:rPr>
          <w:lang w:val="fr-CH"/>
        </w:rPr>
        <w:t>ompilation existante des ressources d’apprentissage en ligne</w:t>
      </w:r>
    </w:p>
    <w:p w14:paraId="4E00BB69" w14:textId="0860CC55" w:rsidR="001A0344" w:rsidRDefault="00141F34" w:rsidP="001D0F84">
      <w:pPr>
        <w:pStyle w:val="ONUMFS"/>
        <w:rPr>
          <w:lang w:val="fr-CH"/>
        </w:rPr>
      </w:pPr>
      <w:r w:rsidRPr="00141F34">
        <w:rPr>
          <w:lang w:val="fr-CH"/>
        </w:rPr>
        <w:t>À la dix</w:t>
      </w:r>
      <w:r w:rsidR="0070367A">
        <w:rPr>
          <w:lang w:val="fr-CH"/>
        </w:rPr>
        <w:t>ième session</w:t>
      </w:r>
      <w:r w:rsidRPr="00141F34">
        <w:rPr>
          <w:lang w:val="fr-CH"/>
        </w:rPr>
        <w:t xml:space="preserve"> du groupe de travail, le Bureau international avait déjà présenté une compilation des ressources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 pour les examinateurs de brevets sur le fond, qui est mise à jour au moins deux</w:t>
      </w:r>
      <w:r w:rsidR="00437FAF">
        <w:rPr>
          <w:lang w:val="fr-CH"/>
        </w:rPr>
        <w:t> </w:t>
      </w:r>
      <w:r w:rsidRPr="00141F34">
        <w:rPr>
          <w:lang w:val="fr-CH"/>
        </w:rPr>
        <w:t>fois par an (pour la dernière mise à jour, voir le document PCT/WG/15/REFERENCE/E</w:t>
      </w:r>
      <w:r w:rsidR="003A7A06">
        <w:rPr>
          <w:lang w:val="fr-CH"/>
        </w:rPr>
        <w:noBreakHyphen/>
      </w:r>
      <w:r w:rsidRPr="00141F34">
        <w:rPr>
          <w:lang w:val="fr-CH"/>
        </w:rPr>
        <w:t>LEARNING).  Cette compilation prend actuellement la forme d</w:t>
      </w:r>
      <w:r w:rsidR="0070367A">
        <w:rPr>
          <w:lang w:val="fr-CH"/>
        </w:rPr>
        <w:t>’</w:t>
      </w:r>
      <w:r w:rsidRPr="00141F34">
        <w:rPr>
          <w:lang w:val="fr-CH"/>
        </w:rPr>
        <w:t>un tableau Excel structuré de manière thématique, comprenant des liens vers les ressources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ligne, et propose une liste séparée des prestataires offrant un accès à plusieurs de ces ressources.</w:t>
      </w:r>
    </w:p>
    <w:p w14:paraId="3F3B7F76" w14:textId="6AFA2423" w:rsidR="002276BB" w:rsidRDefault="00660161" w:rsidP="001D0F84">
      <w:pPr>
        <w:pStyle w:val="ONUMFS"/>
        <w:rPr>
          <w:lang w:val="fr-CH"/>
        </w:rPr>
      </w:pPr>
      <w:r w:rsidRPr="00141F34">
        <w:rPr>
          <w:lang w:val="fr-CH"/>
        </w:rPr>
        <w:t>Les commentaires sur cette compilation des ressources d</w:t>
      </w:r>
      <w:r w:rsidR="0070367A">
        <w:rPr>
          <w:lang w:val="fr-CH"/>
        </w:rPr>
        <w:t>’</w:t>
      </w:r>
      <w:r w:rsidRPr="00141F34">
        <w:rPr>
          <w:lang w:val="fr-CH"/>
        </w:rPr>
        <w:t>apprentissage en ligne</w:t>
      </w:r>
      <w:r w:rsidR="00141F34">
        <w:rPr>
          <w:lang w:val="fr-CH"/>
        </w:rPr>
        <w:t>, reçus à l</w:t>
      </w:r>
      <w:r w:rsidR="0070367A">
        <w:rPr>
          <w:lang w:val="fr-CH"/>
        </w:rPr>
        <w:t>’</w:t>
      </w:r>
      <w:r w:rsidR="00141F34">
        <w:rPr>
          <w:lang w:val="fr-CH"/>
        </w:rPr>
        <w:t>occasion des enquêtes menées,</w:t>
      </w:r>
      <w:r w:rsidRPr="00141F34">
        <w:rPr>
          <w:lang w:val="fr-CH"/>
        </w:rPr>
        <w:t xml:space="preserve"> indiquent que cet</w:t>
      </w:r>
      <w:r w:rsidR="00C3136F" w:rsidRPr="00141F34">
        <w:rPr>
          <w:lang w:val="fr-CH"/>
        </w:rPr>
        <w:t>t</w:t>
      </w:r>
      <w:r w:rsidRPr="00141F34">
        <w:rPr>
          <w:lang w:val="fr-CH"/>
        </w:rPr>
        <w:t>e compilation est très appréciée, exhaustiv</w:t>
      </w:r>
      <w:r w:rsidR="00C3136F" w:rsidRPr="00141F34">
        <w:rPr>
          <w:lang w:val="fr-CH"/>
        </w:rPr>
        <w:t>e</w:t>
      </w:r>
      <w:r w:rsidRPr="00141F34">
        <w:rPr>
          <w:lang w:val="fr-CH"/>
        </w:rPr>
        <w:t xml:space="preserve"> et </w:t>
      </w:r>
      <w:r w:rsidR="00C3136F" w:rsidRPr="00141F34">
        <w:rPr>
          <w:lang w:val="fr-CH"/>
        </w:rPr>
        <w:t>uti</w:t>
      </w:r>
      <w:r w:rsidR="001D0F84" w:rsidRPr="00141F34">
        <w:rPr>
          <w:lang w:val="fr-CH"/>
        </w:rPr>
        <w:t>le</w:t>
      </w:r>
      <w:r w:rsidR="001D0F84">
        <w:rPr>
          <w:lang w:val="fr-CH"/>
        </w:rPr>
        <w:t xml:space="preserve">.  </w:t>
      </w:r>
      <w:r w:rsidR="001D0F84" w:rsidRPr="00141F34">
        <w:rPr>
          <w:lang w:val="fr-CH"/>
        </w:rPr>
        <w:t>Ce</w:t>
      </w:r>
      <w:r w:rsidRPr="00141F34">
        <w:rPr>
          <w:lang w:val="fr-CH"/>
        </w:rPr>
        <w:t>rtains commentaires font référence aux projections à long terme concernant cette compilation et soulignent l</w:t>
      </w:r>
      <w:r w:rsidR="0070367A">
        <w:rPr>
          <w:lang w:val="fr-CH"/>
        </w:rPr>
        <w:t>’</w:t>
      </w:r>
      <w:r w:rsidRPr="00141F34">
        <w:rPr>
          <w:lang w:val="fr-CH"/>
        </w:rPr>
        <w:t>importance de la maintenir et de la mettre à jour régulièreme</w:t>
      </w:r>
      <w:r w:rsidR="00531693" w:rsidRPr="00141F34">
        <w:rPr>
          <w:lang w:val="fr-CH"/>
        </w:rPr>
        <w:t>nt.</w:t>
      </w:r>
    </w:p>
    <w:p w14:paraId="38DC38B6" w14:textId="0E63D5ED" w:rsidR="001A0344" w:rsidRDefault="00141F34" w:rsidP="001D0F84">
      <w:pPr>
        <w:pStyle w:val="ONUMFS"/>
        <w:rPr>
          <w:lang w:val="fr-CH"/>
        </w:rPr>
      </w:pPr>
      <w:r w:rsidRPr="007E1CB8">
        <w:rPr>
          <w:lang w:val="fr-CH"/>
        </w:rPr>
        <w:t>Le Bureau international est résolu à poursuivre la mise à jour régulière de cette compilation, ce qui inclut non seulement la mise à jour des liens brisés</w:t>
      </w:r>
      <w:r w:rsidR="007E1CB8" w:rsidRPr="007E1CB8">
        <w:rPr>
          <w:lang w:val="fr-CH"/>
        </w:rPr>
        <w:t>,</w:t>
      </w:r>
      <w:r w:rsidRPr="007E1CB8">
        <w:rPr>
          <w:lang w:val="fr-CH"/>
        </w:rPr>
        <w:t xml:space="preserve"> mais aussi la recherche et l</w:t>
      </w:r>
      <w:r w:rsidR="0070367A">
        <w:rPr>
          <w:lang w:val="fr-CH"/>
        </w:rPr>
        <w:t>’</w:t>
      </w:r>
      <w:r w:rsidRPr="007E1CB8">
        <w:rPr>
          <w:lang w:val="fr-CH"/>
        </w:rPr>
        <w:t>ajout de ressources d</w:t>
      </w:r>
      <w:r w:rsidR="0070367A">
        <w:rPr>
          <w:lang w:val="fr-CH"/>
        </w:rPr>
        <w:t>’</w:t>
      </w:r>
      <w:r w:rsidRPr="007E1CB8">
        <w:rPr>
          <w:lang w:val="fr-CH"/>
        </w:rPr>
        <w:t>apprentissage en ligne pas encore incluses dans la compilati</w:t>
      </w:r>
      <w:r w:rsidR="001D0F84" w:rsidRPr="007E1CB8">
        <w:rPr>
          <w:lang w:val="fr-CH"/>
        </w:rPr>
        <w:t>on</w:t>
      </w:r>
      <w:r w:rsidR="001D0F84">
        <w:rPr>
          <w:lang w:val="fr-CH"/>
        </w:rPr>
        <w:t xml:space="preserve">.  </w:t>
      </w:r>
      <w:r w:rsidR="001D0F84" w:rsidRPr="007E1CB8">
        <w:rPr>
          <w:lang w:val="fr-CH"/>
        </w:rPr>
        <w:t>Af</w:t>
      </w:r>
      <w:r w:rsidR="007E1CB8" w:rsidRPr="007E1CB8">
        <w:rPr>
          <w:lang w:val="fr-CH"/>
        </w:rPr>
        <w:t>in de faciliter cette tâche, les offices seront invités à signaler au Bureau international toute ressource qu</w:t>
      </w:r>
      <w:r w:rsidR="0070367A">
        <w:rPr>
          <w:lang w:val="fr-CH"/>
        </w:rPr>
        <w:t>’</w:t>
      </w:r>
      <w:r w:rsidR="007E1CB8" w:rsidRPr="007E1CB8">
        <w:rPr>
          <w:lang w:val="fr-CH"/>
        </w:rPr>
        <w:t>ils auraient nouvellement mise au point ou trouvée dans le cadre de leurs travaux de recherche ou d</w:t>
      </w:r>
      <w:r w:rsidR="0070367A">
        <w:rPr>
          <w:lang w:val="fr-CH"/>
        </w:rPr>
        <w:t>’</w:t>
      </w:r>
      <w:r w:rsidR="007E1CB8" w:rsidRPr="007E1CB8">
        <w:rPr>
          <w:lang w:val="fr-CH"/>
        </w:rPr>
        <w:t>exploration.</w:t>
      </w:r>
    </w:p>
    <w:p w14:paraId="6C3D8A9A" w14:textId="5B532579" w:rsidR="001A0344" w:rsidRDefault="007E1CB8" w:rsidP="001D0F84">
      <w:pPr>
        <w:pStyle w:val="ONUMFS"/>
        <w:rPr>
          <w:lang w:val="fr-CH"/>
        </w:rPr>
      </w:pPr>
      <w:r w:rsidRPr="007E1CB8">
        <w:rPr>
          <w:lang w:val="fr-CH"/>
        </w:rPr>
        <w:lastRenderedPageBreak/>
        <w:t>La majorité des ressources incluses dans la compilation prévoient un accès en ligne entièrement gratuit, nécessitant parfois un enregistrement préalab</w:t>
      </w:r>
      <w:r w:rsidR="001D0F84" w:rsidRPr="007E1CB8">
        <w:rPr>
          <w:lang w:val="fr-CH"/>
        </w:rPr>
        <w:t>le</w:t>
      </w:r>
      <w:r w:rsidR="001D0F84">
        <w:rPr>
          <w:lang w:val="fr-CH"/>
        </w:rPr>
        <w:t xml:space="preserve">.  </w:t>
      </w:r>
      <w:r w:rsidR="001D0F84" w:rsidRPr="007E1CB8">
        <w:rPr>
          <w:lang w:val="fr-CH"/>
        </w:rPr>
        <w:t>Po</w:t>
      </w:r>
      <w:r w:rsidRPr="007E1CB8">
        <w:rPr>
          <w:lang w:val="fr-CH"/>
        </w:rPr>
        <w:t>ur certaines, cependant, l</w:t>
      </w:r>
      <w:r w:rsidR="0070367A">
        <w:rPr>
          <w:lang w:val="fr-CH"/>
        </w:rPr>
        <w:t>’</w:t>
      </w:r>
      <w:r w:rsidRPr="007E1CB8">
        <w:rPr>
          <w:lang w:val="fr-CH"/>
        </w:rPr>
        <w:t>accès est contrôlé, c</w:t>
      </w:r>
      <w:r w:rsidR="0070367A">
        <w:rPr>
          <w:lang w:val="fr-CH"/>
        </w:rPr>
        <w:t>’</w:t>
      </w:r>
      <w:r w:rsidRPr="007E1CB8">
        <w:rPr>
          <w:lang w:val="fr-CH"/>
        </w:rPr>
        <w:t>est</w:t>
      </w:r>
      <w:r w:rsidR="003A7A06">
        <w:rPr>
          <w:lang w:val="fr-CH"/>
        </w:rPr>
        <w:noBreakHyphen/>
      </w:r>
      <w:r w:rsidRPr="007E1CB8">
        <w:rPr>
          <w:lang w:val="fr-CH"/>
        </w:rPr>
        <w:t>à</w:t>
      </w:r>
      <w:r w:rsidR="003A7A06">
        <w:rPr>
          <w:lang w:val="fr-CH"/>
        </w:rPr>
        <w:noBreakHyphen/>
      </w:r>
      <w:r w:rsidRPr="007E1CB8">
        <w:rPr>
          <w:lang w:val="fr-CH"/>
        </w:rPr>
        <w:t>dire qu</w:t>
      </w:r>
      <w:r w:rsidR="0070367A">
        <w:rPr>
          <w:lang w:val="fr-CH"/>
        </w:rPr>
        <w:t>’</w:t>
      </w:r>
      <w:r w:rsidRPr="007E1CB8">
        <w:rPr>
          <w:lang w:val="fr-CH"/>
        </w:rPr>
        <w:t>il nécessite le paiement d</w:t>
      </w:r>
      <w:r w:rsidR="0070367A">
        <w:rPr>
          <w:lang w:val="fr-CH"/>
        </w:rPr>
        <w:t>’</w:t>
      </w:r>
      <w:r w:rsidRPr="007E1CB8">
        <w:rPr>
          <w:lang w:val="fr-CH"/>
        </w:rPr>
        <w:t>une taxe ou d</w:t>
      </w:r>
      <w:r w:rsidR="0070367A">
        <w:rPr>
          <w:lang w:val="fr-CH"/>
        </w:rPr>
        <w:t>’</w:t>
      </w:r>
      <w:r w:rsidRPr="007E1CB8">
        <w:rPr>
          <w:lang w:val="fr-CH"/>
        </w:rPr>
        <w:t>un droit d</w:t>
      </w:r>
      <w:r w:rsidR="0070367A">
        <w:rPr>
          <w:lang w:val="fr-CH"/>
        </w:rPr>
        <w:t>’</w:t>
      </w:r>
      <w:r w:rsidRPr="007E1CB8">
        <w:rPr>
          <w:lang w:val="fr-CH"/>
        </w:rPr>
        <w:t>admission en raison d</w:t>
      </w:r>
      <w:r w:rsidR="0070367A">
        <w:rPr>
          <w:lang w:val="fr-CH"/>
        </w:rPr>
        <w:t>’</w:t>
      </w:r>
      <w:r w:rsidRPr="007E1CB8">
        <w:rPr>
          <w:lang w:val="fr-CH"/>
        </w:rPr>
        <w:t>accords bilatéraux entre les offic</w:t>
      </w:r>
      <w:r w:rsidR="001D0F84" w:rsidRPr="007E1CB8">
        <w:rPr>
          <w:lang w:val="fr-CH"/>
        </w:rPr>
        <w:t>es</w:t>
      </w:r>
      <w:r w:rsidR="001D0F84">
        <w:rPr>
          <w:lang w:val="fr-CH"/>
        </w:rPr>
        <w:t xml:space="preserve">.  </w:t>
      </w:r>
      <w:r w:rsidR="001D0F84" w:rsidRPr="007E1CB8">
        <w:rPr>
          <w:lang w:val="fr-CH"/>
        </w:rPr>
        <w:t>Le</w:t>
      </w:r>
      <w:r w:rsidRPr="007E1CB8">
        <w:rPr>
          <w:lang w:val="fr-CH"/>
        </w:rPr>
        <w:t>s conditions d</w:t>
      </w:r>
      <w:r w:rsidR="0070367A">
        <w:rPr>
          <w:lang w:val="fr-CH"/>
        </w:rPr>
        <w:t>’</w:t>
      </w:r>
      <w:r w:rsidRPr="007E1CB8">
        <w:rPr>
          <w:lang w:val="fr-CH"/>
        </w:rPr>
        <w:t>accès sont incluses dans la colonne F du table</w:t>
      </w:r>
      <w:r w:rsidR="001D0F84" w:rsidRPr="007E1CB8">
        <w:rPr>
          <w:lang w:val="fr-CH"/>
        </w:rPr>
        <w:t>au</w:t>
      </w:r>
      <w:r w:rsidR="001D0F84">
        <w:rPr>
          <w:lang w:val="fr-CH"/>
        </w:rPr>
        <w:t xml:space="preserve">.  </w:t>
      </w:r>
      <w:r w:rsidR="001D0F84" w:rsidRPr="007E1CB8">
        <w:rPr>
          <w:lang w:val="fr-CH"/>
        </w:rPr>
        <w:t>Le</w:t>
      </w:r>
      <w:r w:rsidRPr="007E1CB8">
        <w:rPr>
          <w:lang w:val="fr-CH"/>
        </w:rPr>
        <w:t>s ressources librement accessibles sont surlignées en ve</w:t>
      </w:r>
      <w:r w:rsidR="001D0F84" w:rsidRPr="007E1CB8">
        <w:rPr>
          <w:lang w:val="fr-CH"/>
        </w:rPr>
        <w:t>rt</w:t>
      </w:r>
      <w:r w:rsidR="001D0F84">
        <w:rPr>
          <w:lang w:val="fr-CH"/>
        </w:rPr>
        <w:t xml:space="preserve">.  </w:t>
      </w:r>
      <w:r w:rsidR="001D0F84" w:rsidRPr="007E1CB8">
        <w:rPr>
          <w:lang w:val="fr-CH"/>
        </w:rPr>
        <w:t>Ce</w:t>
      </w:r>
      <w:r w:rsidRPr="007E1CB8">
        <w:rPr>
          <w:lang w:val="fr-CH"/>
        </w:rPr>
        <w:t>lles qui ne sont accessibles qu</w:t>
      </w:r>
      <w:r w:rsidR="0070367A">
        <w:rPr>
          <w:lang w:val="fr-CH"/>
        </w:rPr>
        <w:t>’</w:t>
      </w:r>
      <w:r w:rsidRPr="007E1CB8">
        <w:rPr>
          <w:lang w:val="fr-CH"/>
        </w:rPr>
        <w:t>aux utilisateurs accrédités sont surlignées en rouge.</w:t>
      </w:r>
    </w:p>
    <w:p w14:paraId="2F768E4D" w14:textId="2DE55044" w:rsidR="001A0344" w:rsidRDefault="007E1CB8" w:rsidP="007E1CB8">
      <w:pPr>
        <w:pStyle w:val="Heading1"/>
        <w:rPr>
          <w:lang w:val="fr-CH"/>
        </w:rPr>
      </w:pPr>
      <w:r w:rsidRPr="007E1CB8">
        <w:rPr>
          <w:lang w:val="fr-CH"/>
        </w:rPr>
        <w:t>C</w:t>
      </w:r>
      <w:r w:rsidR="001D0F84">
        <w:rPr>
          <w:lang w:val="fr-CH"/>
        </w:rPr>
        <w:t>onversion de la compilation existante en une plateforme d’apprentissage en ligne fondée sur le Web</w:t>
      </w:r>
    </w:p>
    <w:p w14:paraId="4AD6FE13" w14:textId="565978F4" w:rsidR="001A0344" w:rsidRDefault="006B1014" w:rsidP="001D0F84">
      <w:pPr>
        <w:pStyle w:val="ONUMFS"/>
        <w:rPr>
          <w:lang w:val="fr-CH"/>
        </w:rPr>
      </w:pPr>
      <w:r w:rsidRPr="004500FF">
        <w:rPr>
          <w:lang w:val="fr-CH"/>
        </w:rPr>
        <w:t xml:space="preserve">Plutôt que de maintenir la compilation dans son format actuel, </w:t>
      </w:r>
      <w:r w:rsidR="0070367A">
        <w:rPr>
          <w:lang w:val="fr-CH"/>
        </w:rPr>
        <w:t>à savoir</w:t>
      </w:r>
      <w:r w:rsidRPr="004500FF">
        <w:rPr>
          <w:lang w:val="fr-CH"/>
        </w:rPr>
        <w:t xml:space="preserve"> un tableau Excel, on peut envisager de l</w:t>
      </w:r>
      <w:r w:rsidR="004500FF" w:rsidRPr="004500FF">
        <w:rPr>
          <w:lang w:val="fr-CH"/>
        </w:rPr>
        <w:t>a</w:t>
      </w:r>
      <w:r w:rsidRPr="004500FF">
        <w:rPr>
          <w:lang w:val="fr-CH"/>
        </w:rPr>
        <w:t xml:space="preserve"> convertir en une plateforme </w:t>
      </w:r>
      <w:r w:rsidR="004500FF" w:rsidRPr="004500FF">
        <w:rPr>
          <w:lang w:val="fr-CH"/>
        </w:rPr>
        <w:t xml:space="preserve">fondée sur le </w:t>
      </w:r>
      <w:r w:rsidRPr="004500FF">
        <w:rPr>
          <w:lang w:val="fr-CH"/>
        </w:rPr>
        <w:t>W</w:t>
      </w:r>
      <w:r w:rsidR="001D0F84" w:rsidRPr="004500FF">
        <w:rPr>
          <w:lang w:val="fr-CH"/>
        </w:rPr>
        <w:t>eb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Le</w:t>
      </w:r>
      <w:r w:rsidRPr="004500FF">
        <w:rPr>
          <w:lang w:val="fr-CH"/>
        </w:rPr>
        <w:t xml:space="preserve"> plus simple pourrait être une </w:t>
      </w:r>
      <w:r w:rsidR="002276BB" w:rsidRPr="004500FF">
        <w:rPr>
          <w:lang w:val="fr-CH"/>
        </w:rPr>
        <w:t>page</w:t>
      </w:r>
      <w:r w:rsidR="002276BB">
        <w:rPr>
          <w:lang w:val="fr-CH"/>
        </w:rPr>
        <w:t> </w:t>
      </w:r>
      <w:r w:rsidR="002276BB" w:rsidRPr="004500FF">
        <w:rPr>
          <w:lang w:val="fr-CH"/>
        </w:rPr>
        <w:t>W</w:t>
      </w:r>
      <w:r w:rsidRPr="004500FF">
        <w:rPr>
          <w:lang w:val="fr-CH"/>
        </w:rPr>
        <w:t>eb présentant la liste actuelle, classée par thème, des ressources d</w:t>
      </w:r>
      <w:r w:rsidR="0070367A">
        <w:rPr>
          <w:lang w:val="fr-CH"/>
        </w:rPr>
        <w:t>’</w:t>
      </w:r>
      <w:r w:rsidRPr="004500FF">
        <w:rPr>
          <w:lang w:val="fr-CH"/>
        </w:rPr>
        <w:t xml:space="preserve">apprentissage en ligne, </w:t>
      </w:r>
      <w:r w:rsidR="004500FF" w:rsidRPr="004500FF">
        <w:rPr>
          <w:lang w:val="fr-CH"/>
        </w:rPr>
        <w:t>comprenant</w:t>
      </w:r>
      <w:r w:rsidRPr="004500FF">
        <w:rPr>
          <w:lang w:val="fr-CH"/>
        </w:rPr>
        <w:t xml:space="preserve"> les liens correspondan</w:t>
      </w:r>
      <w:r w:rsidR="001D0F84" w:rsidRPr="004500FF">
        <w:rPr>
          <w:lang w:val="fr-CH"/>
        </w:rPr>
        <w:t>ts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Ce</w:t>
      </w:r>
      <w:r w:rsidRPr="004500FF">
        <w:rPr>
          <w:lang w:val="fr-CH"/>
        </w:rPr>
        <w:t xml:space="preserve">tte page pourrait également inclure des possibilités de téléchargement, </w:t>
      </w:r>
      <w:r w:rsidR="004500FF" w:rsidRPr="004500FF">
        <w:rPr>
          <w:lang w:val="fr-CH"/>
        </w:rPr>
        <w:t>de sorte que</w:t>
      </w:r>
      <w:r w:rsidRPr="004500FF">
        <w:rPr>
          <w:lang w:val="fr-CH"/>
        </w:rPr>
        <w:t xml:space="preserve"> les offices souhaitant partager des ressources à intégrer dans les systèmes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locaux d</w:t>
      </w:r>
      <w:r w:rsidR="0070367A">
        <w:rPr>
          <w:lang w:val="fr-CH"/>
        </w:rPr>
        <w:t>’</w:t>
      </w:r>
      <w:r w:rsidRPr="004500FF">
        <w:rPr>
          <w:lang w:val="fr-CH"/>
        </w:rPr>
        <w:t xml:space="preserve">autres offices pourraient mettre ces ressources à disposition </w:t>
      </w:r>
      <w:r w:rsidR="004500FF" w:rsidRPr="004500FF">
        <w:rPr>
          <w:lang w:val="fr-CH"/>
        </w:rPr>
        <w:t>en vue de leur téléchargement</w:t>
      </w:r>
      <w:r w:rsidRPr="004500FF">
        <w:rPr>
          <w:lang w:val="fr-CH"/>
        </w:rPr>
        <w:t>.</w:t>
      </w:r>
    </w:p>
    <w:p w14:paraId="44F247CC" w14:textId="79D99069" w:rsidR="001A0344" w:rsidRDefault="00780D42" w:rsidP="001D0F84">
      <w:pPr>
        <w:pStyle w:val="ONUMFS"/>
        <w:rPr>
          <w:lang w:val="fr-CH"/>
        </w:rPr>
      </w:pPr>
      <w:r w:rsidRPr="004500FF">
        <w:rPr>
          <w:lang w:val="fr-CH"/>
        </w:rPr>
        <w:t>Une manière plus élaborée de fonctionner pourrait consister à utiliser un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</w:t>
      </w:r>
      <w:r w:rsidR="001D0F84" w:rsidRPr="004500FF">
        <w:rPr>
          <w:lang w:val="fr-CH"/>
        </w:rPr>
        <w:t>ge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L</w:t>
      </w:r>
      <w:r w:rsidR="001D0F84">
        <w:rPr>
          <w:lang w:val="fr-CH"/>
        </w:rPr>
        <w:t>’</w:t>
      </w:r>
      <w:r w:rsidR="001D0F84" w:rsidRPr="004500FF">
        <w:rPr>
          <w:lang w:val="fr-CH"/>
        </w:rPr>
        <w:t>u</w:t>
      </w:r>
      <w:r w:rsidRPr="004500FF">
        <w:rPr>
          <w:lang w:val="fr-CH"/>
        </w:rPr>
        <w:t>tilité des systèmes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 xml:space="preserve">apprentissage pour la gestion de la formation des examinateurs a déjà été </w:t>
      </w:r>
      <w:r w:rsidR="004500FF" w:rsidRPr="004500FF">
        <w:rPr>
          <w:lang w:val="fr-CH"/>
        </w:rPr>
        <w:t>examinée</w:t>
      </w:r>
      <w:r w:rsidRPr="004500FF">
        <w:rPr>
          <w:lang w:val="fr-CH"/>
        </w:rPr>
        <w:t xml:space="preserve"> lors des discussions du groupe de travail sur une proposition visant à améliorer la coordination de la formation des examinateurs de brevets (voir le document </w:t>
      </w:r>
      <w:hyperlink r:id="rId11" w:history="1">
        <w:r w:rsidRPr="00780D42">
          <w:rPr>
            <w:rStyle w:val="Hyperlink"/>
            <w:lang w:val="fr-CH"/>
          </w:rPr>
          <w:t>PCT/WG/10/9</w:t>
        </w:r>
      </w:hyperlink>
      <w:r w:rsidRPr="004500FF">
        <w:rPr>
          <w:lang w:val="fr-CH"/>
        </w:rPr>
        <w:t>).</w:t>
      </w:r>
      <w:r w:rsidR="00141F34" w:rsidRPr="004500FF">
        <w:rPr>
          <w:lang w:val="fr-CH"/>
        </w:rPr>
        <w:t xml:space="preserve">  </w:t>
      </w:r>
      <w:r w:rsidRPr="004500FF">
        <w:rPr>
          <w:lang w:val="fr-CH"/>
        </w:rPr>
        <w:t>Le Bureau international a examiné la mise au point et l</w:t>
      </w:r>
      <w:r w:rsidR="0070367A">
        <w:rPr>
          <w:lang w:val="fr-CH"/>
        </w:rPr>
        <w:t>’</w:t>
      </w:r>
      <w:r w:rsidRPr="004500FF">
        <w:rPr>
          <w:lang w:val="fr-CH"/>
        </w:rPr>
        <w:t>utilité de ces systèmes à travers la plateforme Moodle accessible librement, et a régulièrement rendu compte de l</w:t>
      </w:r>
      <w:r w:rsidR="0070367A">
        <w:rPr>
          <w:lang w:val="fr-CH"/>
        </w:rPr>
        <w:t>’</w:t>
      </w:r>
      <w:r w:rsidRPr="004500FF">
        <w:rPr>
          <w:lang w:val="fr-CH"/>
        </w:rPr>
        <w:t>avancement des travaux à chaque session du groupe de travail (pour le dernier rapport, voir le document</w:t>
      </w:r>
      <w:r w:rsidRPr="00780D42">
        <w:rPr>
          <w:color w:val="808080"/>
          <w:lang w:val="fr-CH"/>
        </w:rPr>
        <w:t xml:space="preserve"> </w:t>
      </w:r>
      <w:hyperlink r:id="rId12" w:history="1">
        <w:r w:rsidRPr="00780D42">
          <w:rPr>
            <w:rStyle w:val="Hyperlink"/>
            <w:lang w:val="fr-CH"/>
          </w:rPr>
          <w:t>PCT/WG/14/13</w:t>
        </w:r>
      </w:hyperlink>
      <w:r w:rsidRPr="004500FF">
        <w:rPr>
          <w:lang w:val="fr-CH"/>
        </w:rPr>
        <w:t>, et l</w:t>
      </w:r>
      <w:r w:rsidR="0070367A">
        <w:rPr>
          <w:lang w:val="fr-CH"/>
        </w:rPr>
        <w:t>’</w:t>
      </w:r>
      <w:hyperlink r:id="rId13" w:history="1">
        <w:r w:rsidRPr="00780D42">
          <w:rPr>
            <w:rStyle w:val="Hyperlink"/>
            <w:lang w:val="fr-CH"/>
          </w:rPr>
          <w:t>événement correspondant</w:t>
        </w:r>
      </w:hyperlink>
      <w:r w:rsidRPr="004500FF">
        <w:rPr>
          <w:lang w:val="fr-CH"/>
        </w:rPr>
        <w:t>).</w:t>
      </w:r>
    </w:p>
    <w:p w14:paraId="6372B17C" w14:textId="078E4630" w:rsidR="001A0344" w:rsidRDefault="00780D42" w:rsidP="001D0F84">
      <w:pPr>
        <w:pStyle w:val="ONUMFS"/>
        <w:rPr>
          <w:lang w:val="fr-CH"/>
        </w:rPr>
      </w:pPr>
      <w:r w:rsidRPr="004500FF">
        <w:rPr>
          <w:lang w:val="fr-CH"/>
        </w:rPr>
        <w:t>L</w:t>
      </w:r>
      <w:r w:rsidR="0070367A">
        <w:rPr>
          <w:lang w:val="fr-CH"/>
        </w:rPr>
        <w:t>’</w:t>
      </w:r>
      <w:r w:rsidRPr="004500FF">
        <w:rPr>
          <w:lang w:val="fr-CH"/>
        </w:rPr>
        <w:t>utilisation d</w:t>
      </w:r>
      <w:r w:rsidR="0070367A">
        <w:rPr>
          <w:lang w:val="fr-CH"/>
        </w:rPr>
        <w:t>’</w:t>
      </w:r>
      <w:r w:rsidRPr="004500FF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pour accéder à des ressources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externes, c</w:t>
      </w:r>
      <w:r w:rsidR="0070367A">
        <w:rPr>
          <w:lang w:val="fr-CH"/>
        </w:rPr>
        <w:t>’</w:t>
      </w:r>
      <w:r w:rsidRPr="004500FF">
        <w:rPr>
          <w:lang w:val="fr-CH"/>
        </w:rPr>
        <w:t>est</w:t>
      </w:r>
      <w:r w:rsidR="003A7A06">
        <w:rPr>
          <w:lang w:val="fr-CH"/>
        </w:rPr>
        <w:noBreakHyphen/>
      </w:r>
      <w:r w:rsidRPr="004500FF">
        <w:rPr>
          <w:lang w:val="fr-CH"/>
        </w:rPr>
        <w:t>à</w:t>
      </w:r>
      <w:r w:rsidR="003A7A06">
        <w:rPr>
          <w:lang w:val="fr-CH"/>
        </w:rPr>
        <w:noBreakHyphen/>
      </w:r>
      <w:r w:rsidRPr="004500FF">
        <w:rPr>
          <w:lang w:val="fr-CH"/>
        </w:rPr>
        <w:t>dire mises au point par d</w:t>
      </w:r>
      <w:r w:rsidR="0070367A">
        <w:rPr>
          <w:lang w:val="fr-CH"/>
        </w:rPr>
        <w:t>’</w:t>
      </w:r>
      <w:r w:rsidRPr="004500FF">
        <w:rPr>
          <w:lang w:val="fr-CH"/>
        </w:rPr>
        <w:t>autres institutions que l</w:t>
      </w:r>
      <w:r w:rsidR="0070367A">
        <w:rPr>
          <w:lang w:val="fr-CH"/>
        </w:rPr>
        <w:t>’</w:t>
      </w:r>
      <w:r w:rsidRPr="004500FF">
        <w:rPr>
          <w:lang w:val="fr-CH"/>
        </w:rPr>
        <w:t>office qui l</w:t>
      </w:r>
      <w:r w:rsidR="0070367A">
        <w:rPr>
          <w:lang w:val="fr-CH"/>
        </w:rPr>
        <w:t>’</w:t>
      </w:r>
      <w:r w:rsidRPr="004500FF">
        <w:rPr>
          <w:lang w:val="fr-CH"/>
        </w:rPr>
        <w:t>utilise pour la formation des examinateurs, est décrite dans un court passage, accessible à l</w:t>
      </w:r>
      <w:r w:rsidR="0070367A">
        <w:rPr>
          <w:lang w:val="fr-CH"/>
        </w:rPr>
        <w:t>’</w:t>
      </w:r>
      <w:r w:rsidRPr="004500FF">
        <w:rPr>
          <w:lang w:val="fr-CH"/>
        </w:rPr>
        <w:t>adresse</w:t>
      </w:r>
      <w:r w:rsidR="00200FEB">
        <w:rPr>
          <w:lang w:val="fr-CH"/>
        </w:rPr>
        <w:t> </w:t>
      </w:r>
      <w:hyperlink r:id="rId14" w:history="1">
        <w:r w:rsidRPr="00780D42">
          <w:rPr>
            <w:rStyle w:val="Hyperlink"/>
            <w:lang w:val="fr-CH"/>
          </w:rPr>
          <w:t xml:space="preserve">https://icblm.moodlecloud.com/course/view.php?id=24 </w:t>
        </w:r>
      </w:hyperlink>
      <w:r w:rsidRPr="004500FF">
        <w:rPr>
          <w:lang w:val="fr-CH"/>
        </w:rPr>
        <w:t xml:space="preserve">(cliquer sur </w:t>
      </w:r>
      <w:r w:rsidR="00200FEB">
        <w:rPr>
          <w:lang w:val="fr-CH"/>
        </w:rPr>
        <w:t>“</w:t>
      </w:r>
      <w:proofErr w:type="spellStart"/>
      <w:r w:rsidRPr="004500FF">
        <w:rPr>
          <w:lang w:val="fr-CH"/>
        </w:rPr>
        <w:t>guest</w:t>
      </w:r>
      <w:proofErr w:type="spellEnd"/>
      <w:r w:rsidRPr="004500FF">
        <w:rPr>
          <w:lang w:val="fr-CH"/>
        </w:rPr>
        <w:t xml:space="preserve"> </w:t>
      </w:r>
      <w:proofErr w:type="spellStart"/>
      <w:r w:rsidRPr="004500FF">
        <w:rPr>
          <w:lang w:val="fr-CH"/>
        </w:rPr>
        <w:t>access</w:t>
      </w:r>
      <w:proofErr w:type="spellEnd"/>
      <w:r w:rsidR="00200FEB">
        <w:rPr>
          <w:lang w:val="fr-CH"/>
        </w:rPr>
        <w:t>”</w:t>
      </w:r>
      <w:r w:rsidRPr="004500FF">
        <w:rPr>
          <w:lang w:val="fr-CH"/>
        </w:rPr>
        <w:t>)</w:t>
      </w:r>
      <w:r w:rsidR="004500FF">
        <w:rPr>
          <w:lang w:val="fr-CH"/>
        </w:rPr>
        <w:t>,</w:t>
      </w:r>
      <w:r w:rsidRPr="004500FF">
        <w:rPr>
          <w:lang w:val="fr-CH"/>
        </w:rPr>
        <w:t xml:space="preserve"> et </w:t>
      </w:r>
      <w:r w:rsidR="004500FF" w:rsidRPr="004500FF">
        <w:rPr>
          <w:lang w:val="fr-CH"/>
        </w:rPr>
        <w:t>repose sur l</w:t>
      </w:r>
      <w:r w:rsidR="0070367A">
        <w:rPr>
          <w:lang w:val="fr-CH"/>
        </w:rPr>
        <w:t>’</w:t>
      </w:r>
      <w:r w:rsidRPr="004500FF">
        <w:rPr>
          <w:lang w:val="fr-CH"/>
        </w:rPr>
        <w:t>utilisa</w:t>
      </w:r>
      <w:r w:rsidR="004500FF" w:rsidRPr="004500FF">
        <w:rPr>
          <w:lang w:val="fr-CH"/>
        </w:rPr>
        <w:t>tion du</w:t>
      </w:r>
      <w:r w:rsidRPr="004500FF">
        <w:rPr>
          <w:lang w:val="fr-CH"/>
        </w:rPr>
        <w:t xml:space="preserve"> site du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cré</w:t>
      </w:r>
      <w:r w:rsidR="004500FF" w:rsidRPr="004500FF">
        <w:rPr>
          <w:lang w:val="fr-CH"/>
        </w:rPr>
        <w:t>é</w:t>
      </w:r>
      <w:r w:rsidRPr="004500FF">
        <w:rPr>
          <w:lang w:val="fr-CH"/>
        </w:rPr>
        <w:t xml:space="preserve"> par le Bureau international.</w:t>
      </w:r>
    </w:p>
    <w:p w14:paraId="73C12171" w14:textId="5DEE85F2" w:rsidR="001A0344" w:rsidRDefault="00780D42" w:rsidP="001D0F84">
      <w:pPr>
        <w:pStyle w:val="ONUMFS"/>
        <w:rPr>
          <w:lang w:val="fr-CH"/>
        </w:rPr>
      </w:pPr>
      <w:r w:rsidRPr="004500FF">
        <w:rPr>
          <w:lang w:val="fr-CH"/>
        </w:rPr>
        <w:t>Comme nous l</w:t>
      </w:r>
      <w:r w:rsidR="0070367A">
        <w:rPr>
          <w:lang w:val="fr-CH"/>
        </w:rPr>
        <w:t>’</w:t>
      </w:r>
      <w:r w:rsidRPr="004500FF">
        <w:rPr>
          <w:lang w:val="fr-CH"/>
        </w:rPr>
        <w:t>avons décrit, les avantages de l</w:t>
      </w:r>
      <w:r w:rsidR="0070367A">
        <w:rPr>
          <w:lang w:val="fr-CH"/>
        </w:rPr>
        <w:t>’</w:t>
      </w:r>
      <w:r w:rsidRPr="004500FF">
        <w:rPr>
          <w:lang w:val="fr-CH"/>
        </w:rPr>
        <w:t>utilisation d</w:t>
      </w:r>
      <w:r w:rsidR="0070367A">
        <w:rPr>
          <w:lang w:val="fr-CH"/>
        </w:rPr>
        <w:t>’</w:t>
      </w:r>
      <w:r w:rsidRPr="004500FF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pour gérer l</w:t>
      </w:r>
      <w:r w:rsidR="0070367A">
        <w:rPr>
          <w:lang w:val="fr-CH"/>
        </w:rPr>
        <w:t>’</w:t>
      </w:r>
      <w:r w:rsidRPr="004500FF">
        <w:rPr>
          <w:lang w:val="fr-CH"/>
        </w:rPr>
        <w:t>accès aux ressources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en ligne sont notamment les suivants</w:t>
      </w:r>
      <w:r w:rsidR="0070367A">
        <w:rPr>
          <w:lang w:val="fr-CH"/>
        </w:rPr>
        <w:t> :</w:t>
      </w:r>
    </w:p>
    <w:p w14:paraId="79A4B712" w14:textId="25F107DD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proofErr w:type="gramStart"/>
      <w:r w:rsidRPr="004500FF">
        <w:rPr>
          <w:lang w:val="fr-CH"/>
        </w:rPr>
        <w:t>f</w:t>
      </w:r>
      <w:r w:rsidR="00780D42" w:rsidRPr="004500FF">
        <w:rPr>
          <w:lang w:val="fr-CH"/>
        </w:rPr>
        <w:t>ournir</w:t>
      </w:r>
      <w:proofErr w:type="gramEnd"/>
      <w:r w:rsidR="00780D42" w:rsidRPr="004500FF">
        <w:rPr>
          <w:lang w:val="fr-CH"/>
        </w:rPr>
        <w:t xml:space="preserve"> l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accès à des ressources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apprentissage en ligne mises au point par une variété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auteurs et dan</w:t>
      </w:r>
      <w:r w:rsidRPr="004500FF">
        <w:rPr>
          <w:lang w:val="fr-CH"/>
        </w:rPr>
        <w:t xml:space="preserve">s une variété de formats; </w:t>
      </w:r>
      <w:r w:rsidR="00437FAF">
        <w:rPr>
          <w:lang w:val="fr-CH"/>
        </w:rPr>
        <w:t xml:space="preserve"> </w:t>
      </w:r>
      <w:r w:rsidRPr="004500FF">
        <w:rPr>
          <w:lang w:val="fr-CH"/>
        </w:rPr>
        <w:t>soit</w:t>
      </w:r>
      <w:r w:rsidR="0070367A">
        <w:rPr>
          <w:lang w:val="fr-CH"/>
        </w:rPr>
        <w:t> :</w:t>
      </w:r>
    </w:p>
    <w:p w14:paraId="67B82639" w14:textId="5A24DCB6" w:rsidR="001A0344" w:rsidRDefault="004500FF" w:rsidP="001D0F84">
      <w:pPr>
        <w:pStyle w:val="ONUME"/>
        <w:numPr>
          <w:ilvl w:val="2"/>
          <w:numId w:val="11"/>
        </w:numPr>
        <w:rPr>
          <w:lang w:val="fr-CH"/>
        </w:rPr>
      </w:pPr>
      <w:r w:rsidRPr="004500FF">
        <w:rPr>
          <w:lang w:val="fr-CH"/>
        </w:rPr>
        <w:t xml:space="preserve">en </w:t>
      </w:r>
      <w:r w:rsidR="00780D42" w:rsidRPr="004500FF">
        <w:rPr>
          <w:lang w:val="fr-CH"/>
        </w:rPr>
        <w:t>créant des liens vers des contenus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apprentissage en ligne hébergés sur le Web par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autres institutions, qui sont externes au système de gestion de l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 xml:space="preserve">apprentissage; </w:t>
      </w:r>
      <w:r w:rsidR="00437FAF">
        <w:rPr>
          <w:lang w:val="fr-CH"/>
        </w:rPr>
        <w:t xml:space="preserve"> </w:t>
      </w:r>
      <w:r w:rsidR="00780D42" w:rsidRPr="004500FF">
        <w:rPr>
          <w:lang w:val="fr-CH"/>
        </w:rPr>
        <w:t>ou</w:t>
      </w:r>
    </w:p>
    <w:p w14:paraId="603CEA2C" w14:textId="5CDB2139" w:rsidR="001A0344" w:rsidRDefault="00780D42" w:rsidP="001D0F84">
      <w:pPr>
        <w:pStyle w:val="ONUME"/>
        <w:numPr>
          <w:ilvl w:val="2"/>
          <w:numId w:val="11"/>
        </w:numPr>
        <w:rPr>
          <w:lang w:val="fr-CH"/>
        </w:rPr>
      </w:pPr>
      <w:r w:rsidRPr="004500FF">
        <w:rPr>
          <w:lang w:val="fr-CH"/>
        </w:rPr>
        <w:t>en intégrant dans le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des contenus ou des modules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en ligne établis par d</w:t>
      </w:r>
      <w:r w:rsidR="0070367A">
        <w:rPr>
          <w:lang w:val="fr-CH"/>
        </w:rPr>
        <w:t>’</w:t>
      </w:r>
      <w:r w:rsidRPr="004500FF">
        <w:rPr>
          <w:lang w:val="fr-CH"/>
        </w:rPr>
        <w:t>autres institutions souhaitant partager leurs contenus ou leurs modules avec un plus large public;</w:t>
      </w:r>
    </w:p>
    <w:p w14:paraId="736A0DE1" w14:textId="415850DA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t>c</w:t>
      </w:r>
      <w:r w:rsidR="00780D42" w:rsidRPr="004500FF">
        <w:rPr>
          <w:lang w:val="fr-CH"/>
        </w:rPr>
        <w:t>ontrôler l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accès aux ressources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apprentissage en ligne destinées à n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 xml:space="preserve">être consultées que par des utilisateurs accrédités; </w:t>
      </w:r>
      <w:r w:rsidR="00437FAF">
        <w:rPr>
          <w:lang w:val="fr-CH"/>
        </w:rPr>
        <w:t xml:space="preserve"> </w:t>
      </w:r>
      <w:r w:rsidR="00780D42" w:rsidRPr="004500FF">
        <w:rPr>
          <w:lang w:val="fr-CH"/>
        </w:rPr>
        <w:t xml:space="preserve">par exemple, si un </w:t>
      </w:r>
      <w:r w:rsidRPr="004500FF">
        <w:rPr>
          <w:lang w:val="fr-CH"/>
        </w:rPr>
        <w:t>office</w:t>
      </w:r>
      <w:r w:rsidR="00780D42" w:rsidRPr="004500FF">
        <w:rPr>
          <w:lang w:val="fr-CH"/>
        </w:rPr>
        <w:t>, a</w:t>
      </w:r>
      <w:r w:rsidRPr="004500FF">
        <w:rPr>
          <w:lang w:val="fr-CH"/>
        </w:rPr>
        <w:t>yant</w:t>
      </w:r>
      <w:r w:rsidR="00780D42" w:rsidRPr="004500FF">
        <w:rPr>
          <w:lang w:val="fr-CH"/>
        </w:rPr>
        <w:t xml:space="preserve"> créé un certain contenu en ligne, ne souhaite pas le partager publiquement mais seulement avec certains utilisateurs enregistrés ou le système de gestion de l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apprentissage;</w:t>
      </w:r>
    </w:p>
    <w:p w14:paraId="080835AD" w14:textId="46113B6A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t>c</w:t>
      </w:r>
      <w:r w:rsidR="00780D42" w:rsidRPr="004500FF">
        <w:rPr>
          <w:lang w:val="fr-CH"/>
        </w:rPr>
        <w:t>ontrôler l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utilisation des ressources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apprentissage en ligne intégrées et accessibles via des liens;</w:t>
      </w:r>
    </w:p>
    <w:p w14:paraId="1E260B4C" w14:textId="51A0EE20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lastRenderedPageBreak/>
        <w:t>r</w:t>
      </w:r>
      <w:r w:rsidR="00780D42" w:rsidRPr="004500FF">
        <w:rPr>
          <w:lang w:val="fr-CH"/>
        </w:rPr>
        <w:t xml:space="preserve">ecueillir les </w:t>
      </w:r>
      <w:r w:rsidRPr="004500FF">
        <w:rPr>
          <w:lang w:val="fr-CH"/>
        </w:rPr>
        <w:t>observations</w:t>
      </w:r>
      <w:r w:rsidR="00780D42" w:rsidRPr="004500FF">
        <w:rPr>
          <w:lang w:val="fr-CH"/>
        </w:rPr>
        <w:t xml:space="preserve"> des utilisateurs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>une activité d</w:t>
      </w:r>
      <w:r w:rsidR="0070367A">
        <w:rPr>
          <w:lang w:val="fr-CH"/>
        </w:rPr>
        <w:t>’</w:t>
      </w:r>
      <w:r w:rsidR="00780D42" w:rsidRPr="004500FF">
        <w:rPr>
          <w:lang w:val="fr-CH"/>
        </w:rPr>
        <w:t xml:space="preserve">apprentissage en ligne et </w:t>
      </w:r>
      <w:r w:rsidRPr="004500FF">
        <w:rPr>
          <w:lang w:val="fr-CH"/>
        </w:rPr>
        <w:t xml:space="preserve">mettre </w:t>
      </w:r>
      <w:r w:rsidR="00780D42" w:rsidRPr="004500FF">
        <w:rPr>
          <w:lang w:val="fr-CH"/>
        </w:rPr>
        <w:t>ainsi en évidence les contenus fréquemment recommandés;</w:t>
      </w:r>
    </w:p>
    <w:p w14:paraId="01A1C8D8" w14:textId="66C7655F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t>é</w:t>
      </w:r>
      <w:r w:rsidR="00ED040A" w:rsidRPr="004500FF">
        <w:rPr>
          <w:lang w:val="fr-CH"/>
        </w:rPr>
        <w:t>valuer le succès de l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des utilisateurs au moyen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évaluations établies séparément, en plus des ressources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en ligne créées par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autres institutions et ne comprenant pas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évaluation;</w:t>
      </w:r>
    </w:p>
    <w:p w14:paraId="4F7EE0B8" w14:textId="335838F7" w:rsidR="002276BB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t>s</w:t>
      </w:r>
      <w:r w:rsidR="00ED040A" w:rsidRPr="004500FF">
        <w:rPr>
          <w:lang w:val="fr-CH"/>
        </w:rPr>
        <w:t>uivre la progression de l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des participants, par exemple dans le cadre de plans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comprenant plusieurs ressources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en ligne;</w:t>
      </w:r>
      <w:r w:rsidR="00437FAF">
        <w:rPr>
          <w:lang w:val="fr-CH"/>
        </w:rPr>
        <w:t xml:space="preserve"> </w:t>
      </w:r>
      <w:r w:rsidRPr="004500FF">
        <w:rPr>
          <w:lang w:val="fr-CH"/>
        </w:rPr>
        <w:t xml:space="preserve"> </w:t>
      </w:r>
      <w:r w:rsidR="00ED040A" w:rsidRPr="004500FF">
        <w:rPr>
          <w:lang w:val="fr-CH"/>
        </w:rPr>
        <w:t>les ressources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en ligne pourraient en outre être liées à certaines compétences</w:t>
      </w:r>
      <w:r w:rsidRPr="004500FF">
        <w:rPr>
          <w:lang w:val="fr-CH"/>
        </w:rPr>
        <w:t>,</w:t>
      </w:r>
      <w:r w:rsidR="00ED040A" w:rsidRPr="004500FF">
        <w:rPr>
          <w:lang w:val="fr-CH"/>
        </w:rPr>
        <w:t xml:space="preserve"> afin de permettre l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 xml:space="preserve">utilisation de ces ressources </w:t>
      </w:r>
      <w:r w:rsidRPr="004500FF">
        <w:rPr>
          <w:lang w:val="fr-CH"/>
        </w:rPr>
        <w:t>aux fins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une gestion de l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apprentissage axée sur les compétences;</w:t>
      </w:r>
    </w:p>
    <w:p w14:paraId="22ED11D1" w14:textId="196E18F6" w:rsidR="001A0344" w:rsidRDefault="004500FF" w:rsidP="001D0F84">
      <w:pPr>
        <w:pStyle w:val="ONUME"/>
        <w:numPr>
          <w:ilvl w:val="1"/>
          <w:numId w:val="11"/>
        </w:numPr>
        <w:rPr>
          <w:lang w:val="fr-CH"/>
        </w:rPr>
      </w:pPr>
      <w:r w:rsidRPr="004500FF">
        <w:rPr>
          <w:lang w:val="fr-CH"/>
        </w:rPr>
        <w:t>c</w:t>
      </w:r>
      <w:r w:rsidR="00ED040A" w:rsidRPr="004500FF">
        <w:rPr>
          <w:lang w:val="fr-CH"/>
        </w:rPr>
        <w:t>réer des rapports d</w:t>
      </w:r>
      <w:r w:rsidR="0070367A">
        <w:rPr>
          <w:lang w:val="fr-CH"/>
        </w:rPr>
        <w:t>’</w:t>
      </w:r>
      <w:r w:rsidR="00ED040A" w:rsidRPr="004500FF">
        <w:rPr>
          <w:lang w:val="fr-CH"/>
        </w:rPr>
        <w:t>activité, entre autres, aux fins de gestion.</w:t>
      </w:r>
    </w:p>
    <w:p w14:paraId="28EB2D04" w14:textId="0219D896" w:rsidR="001A0344" w:rsidRDefault="00ED040A" w:rsidP="001D0F84">
      <w:pPr>
        <w:pStyle w:val="ONUMFS"/>
        <w:rPr>
          <w:lang w:val="fr-CH"/>
        </w:rPr>
      </w:pPr>
      <w:r w:rsidRPr="004500FF">
        <w:rPr>
          <w:lang w:val="fr-CH"/>
        </w:rPr>
        <w:t>La mise en œuvre via un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 xml:space="preserve">apprentissage assurerait donc les fonctions envisagées pour le registre </w:t>
      </w:r>
      <w:r w:rsidR="004500FF" w:rsidRPr="004500FF">
        <w:rPr>
          <w:lang w:val="fr-CH"/>
        </w:rPr>
        <w:t>telles qu</w:t>
      </w:r>
      <w:r w:rsidR="0070367A">
        <w:rPr>
          <w:lang w:val="fr-CH"/>
        </w:rPr>
        <w:t>’</w:t>
      </w:r>
      <w:r w:rsidR="004500FF" w:rsidRPr="004500FF">
        <w:rPr>
          <w:lang w:val="fr-CH"/>
        </w:rPr>
        <w:t xml:space="preserve">elles sont </w:t>
      </w:r>
      <w:r w:rsidRPr="004500FF">
        <w:rPr>
          <w:lang w:val="fr-CH"/>
        </w:rPr>
        <w:t>mentionné</w:t>
      </w:r>
      <w:r w:rsidR="004500FF" w:rsidRPr="004500FF">
        <w:rPr>
          <w:lang w:val="fr-CH"/>
        </w:rPr>
        <w:t>es</w:t>
      </w:r>
      <w:r w:rsidRPr="004500FF">
        <w:rPr>
          <w:lang w:val="fr-CH"/>
        </w:rPr>
        <w:t xml:space="preserve"> au </w:t>
      </w:r>
      <w:r w:rsidR="004500FF" w:rsidRPr="004500FF">
        <w:rPr>
          <w:lang w:val="fr-CH"/>
        </w:rPr>
        <w:t>paragraphe</w:t>
      </w:r>
      <w:r w:rsidR="00200FEB">
        <w:rPr>
          <w:lang w:val="fr-CH"/>
        </w:rPr>
        <w:t> </w:t>
      </w:r>
      <w:r w:rsidR="004500FF" w:rsidRPr="004500FF">
        <w:rPr>
          <w:lang w:val="fr-CH"/>
        </w:rPr>
        <w:t>5</w:t>
      </w:r>
      <w:r w:rsidRPr="004500FF">
        <w:rPr>
          <w:lang w:val="fr-CH"/>
        </w:rPr>
        <w:t>.</w:t>
      </w:r>
      <w:r w:rsidR="00141F34" w:rsidRPr="004500FF">
        <w:rPr>
          <w:lang w:val="fr-CH"/>
        </w:rPr>
        <w:t xml:space="preserve">  </w:t>
      </w:r>
      <w:r w:rsidRPr="004500FF">
        <w:rPr>
          <w:lang w:val="fr-CH"/>
        </w:rPr>
        <w:t>En particulier, seuls les utilisateurs accrédités auraient accès à certaines ressources</w:t>
      </w:r>
      <w:r w:rsidR="004500FF" w:rsidRPr="004500FF">
        <w:rPr>
          <w:lang w:val="fr-CH"/>
        </w:rPr>
        <w:t>,</w:t>
      </w:r>
      <w:r w:rsidRPr="004500FF">
        <w:rPr>
          <w:lang w:val="fr-CH"/>
        </w:rPr>
        <w:t xml:space="preserve"> si telle était la condition prévue par un office pour </w:t>
      </w:r>
      <w:r w:rsidR="004500FF" w:rsidRPr="004500FF">
        <w:rPr>
          <w:lang w:val="fr-CH"/>
        </w:rPr>
        <w:t>élargir l</w:t>
      </w:r>
      <w:r w:rsidR="0070367A">
        <w:rPr>
          <w:lang w:val="fr-CH"/>
        </w:rPr>
        <w:t>’</w:t>
      </w:r>
      <w:r w:rsidR="004500FF" w:rsidRPr="004500FF">
        <w:rPr>
          <w:lang w:val="fr-CH"/>
        </w:rPr>
        <w:t xml:space="preserve">accès à </w:t>
      </w:r>
      <w:r w:rsidRPr="004500FF">
        <w:rPr>
          <w:lang w:val="fr-CH"/>
        </w:rPr>
        <w:t xml:space="preserve">ses contenus, mais </w:t>
      </w:r>
      <w:r w:rsidR="004500FF" w:rsidRPr="004500FF">
        <w:rPr>
          <w:lang w:val="fr-CH"/>
        </w:rPr>
        <w:t>sans les rendre</w:t>
      </w:r>
      <w:r w:rsidRPr="004500FF">
        <w:rPr>
          <w:lang w:val="fr-CH"/>
        </w:rPr>
        <w:t xml:space="preserve"> publi</w:t>
      </w:r>
      <w:r w:rsidR="001D0F84" w:rsidRPr="004500FF">
        <w:rPr>
          <w:lang w:val="fr-CH"/>
        </w:rPr>
        <w:t>cs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Un</w:t>
      </w:r>
      <w:r w:rsidRPr="004500FF">
        <w:rPr>
          <w:lang w:val="fr-CH"/>
        </w:rPr>
        <w:t xml:space="preserve"> système de gestion de l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fonctionnant comme une plateforme d</w:t>
      </w:r>
      <w:r w:rsidR="0070367A">
        <w:rPr>
          <w:lang w:val="fr-CH"/>
        </w:rPr>
        <w:t>’</w:t>
      </w:r>
      <w:r w:rsidRPr="004500FF">
        <w:rPr>
          <w:lang w:val="fr-CH"/>
        </w:rPr>
        <w:t>accès aux ressources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en ligne pourrait être hébergé par le Bureau internation</w:t>
      </w:r>
      <w:r w:rsidR="001D0F84" w:rsidRPr="004500FF">
        <w:rPr>
          <w:lang w:val="fr-CH"/>
        </w:rPr>
        <w:t>al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Le</w:t>
      </w:r>
      <w:r w:rsidRPr="004500FF">
        <w:rPr>
          <w:lang w:val="fr-CH"/>
        </w:rPr>
        <w:t>s offices souhaitant contrôler l</w:t>
      </w:r>
      <w:r w:rsidR="0070367A">
        <w:rPr>
          <w:lang w:val="fr-CH"/>
        </w:rPr>
        <w:t>’</w:t>
      </w:r>
      <w:r w:rsidRPr="004500FF">
        <w:rPr>
          <w:lang w:val="fr-CH"/>
        </w:rPr>
        <w:t>accès à leurs ressources d</w:t>
      </w:r>
      <w:r w:rsidR="0070367A">
        <w:rPr>
          <w:lang w:val="fr-CH"/>
        </w:rPr>
        <w:t>’</w:t>
      </w:r>
      <w:r w:rsidRPr="004500FF">
        <w:rPr>
          <w:lang w:val="fr-CH"/>
        </w:rPr>
        <w:t>apprentissage en ligne pourraient se voir attribuer des droits d</w:t>
      </w:r>
      <w:r w:rsidR="0070367A">
        <w:rPr>
          <w:lang w:val="fr-CH"/>
        </w:rPr>
        <w:t>’</w:t>
      </w:r>
      <w:r w:rsidRPr="004500FF">
        <w:rPr>
          <w:lang w:val="fr-CH"/>
        </w:rPr>
        <w:t>administrateur spécia</w:t>
      </w:r>
      <w:r w:rsidR="001D0F84" w:rsidRPr="004500FF">
        <w:rPr>
          <w:lang w:val="fr-CH"/>
        </w:rPr>
        <w:t>ux</w:t>
      </w:r>
      <w:r w:rsidR="001D0F84">
        <w:rPr>
          <w:lang w:val="fr-CH"/>
        </w:rPr>
        <w:t xml:space="preserve">.  </w:t>
      </w:r>
      <w:r w:rsidR="001D0F84" w:rsidRPr="004500FF">
        <w:rPr>
          <w:lang w:val="fr-CH"/>
        </w:rPr>
        <w:t>Si</w:t>
      </w:r>
      <w:r w:rsidRPr="004500FF">
        <w:rPr>
          <w:lang w:val="fr-CH"/>
        </w:rPr>
        <w:t>non, ils pourraient déléguer cette tâche à l</w:t>
      </w:r>
      <w:r w:rsidR="0070367A">
        <w:rPr>
          <w:lang w:val="fr-CH"/>
        </w:rPr>
        <w:t>’</w:t>
      </w:r>
      <w:r w:rsidRPr="004500FF">
        <w:rPr>
          <w:lang w:val="fr-CH"/>
        </w:rPr>
        <w:t>institution hébergeant le système.</w:t>
      </w:r>
    </w:p>
    <w:p w14:paraId="3EA4D0AE" w14:textId="42B4F03E" w:rsidR="001A0344" w:rsidRDefault="00CA2FC9" w:rsidP="001D0F84">
      <w:pPr>
        <w:pStyle w:val="ONUMFS"/>
        <w:rPr>
          <w:lang w:val="fr-CH"/>
        </w:rPr>
      </w:pPr>
      <w:r w:rsidRPr="001A0344">
        <w:rPr>
          <w:lang w:val="fr-CH"/>
        </w:rPr>
        <w:t>Pour les offices souhaitant exploiter leur propre système de gestion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apprentissage, par exemple pour gérer la formation de leurs examinateurs, il serait possible de partager le contenu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en ligne ou les tableaux au moyen de la fonctionnalité habituelle d</w:t>
      </w:r>
      <w:r w:rsidR="0070367A">
        <w:rPr>
          <w:lang w:val="fr-CH"/>
        </w:rPr>
        <w:t>’</w:t>
      </w:r>
      <w:r w:rsidRPr="001A0344">
        <w:rPr>
          <w:lang w:val="fr-CH"/>
        </w:rPr>
        <w:t xml:space="preserve">exportation et de téléchargement généralement disponible </w:t>
      </w:r>
      <w:r w:rsidR="001A0344" w:rsidRPr="001A0344">
        <w:rPr>
          <w:lang w:val="fr-CH"/>
        </w:rPr>
        <w:t>dans</w:t>
      </w:r>
      <w:r w:rsidRPr="001A0344">
        <w:rPr>
          <w:lang w:val="fr-CH"/>
        </w:rPr>
        <w:t xml:space="preserve"> tout système de gestion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</w:t>
      </w:r>
      <w:r w:rsidR="001D0F84" w:rsidRPr="001A0344">
        <w:rPr>
          <w:lang w:val="fr-CH"/>
        </w:rPr>
        <w:t>ge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La</w:t>
      </w:r>
      <w:r w:rsidRPr="001A0344">
        <w:rPr>
          <w:lang w:val="fr-CH"/>
        </w:rPr>
        <w:t xml:space="preserve"> fonction de téléchargement pourrait également être intégrée dans le système de gestion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apprentissage, et l</w:t>
      </w:r>
      <w:r w:rsidR="0070367A">
        <w:rPr>
          <w:lang w:val="fr-CH"/>
        </w:rPr>
        <w:t>’</w:t>
      </w:r>
      <w:r w:rsidRPr="001A0344">
        <w:rPr>
          <w:lang w:val="fr-CH"/>
        </w:rPr>
        <w:t>accès au contenu téléchargeable pourrait être contrôlé de la même manière que l</w:t>
      </w:r>
      <w:r w:rsidR="0070367A">
        <w:rPr>
          <w:lang w:val="fr-CH"/>
        </w:rPr>
        <w:t>’</w:t>
      </w:r>
      <w:r w:rsidRPr="001A0344">
        <w:rPr>
          <w:lang w:val="fr-CH"/>
        </w:rPr>
        <w:t>accès à une activité d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en ligne.</w:t>
      </w:r>
    </w:p>
    <w:p w14:paraId="4E6355DB" w14:textId="7F8B2EFA" w:rsidR="001A0344" w:rsidRDefault="00CA2FC9" w:rsidP="001D0F84">
      <w:pPr>
        <w:pStyle w:val="ONUMFS"/>
        <w:rPr>
          <w:lang w:val="fr-CH"/>
        </w:rPr>
      </w:pPr>
      <w:r w:rsidRPr="001A0344">
        <w:rPr>
          <w:lang w:val="fr-CH"/>
        </w:rPr>
        <w:t>Le Bureau international présentera plus en détail cette proposition de mise en œuvre au moyen d</w:t>
      </w:r>
      <w:r w:rsidR="0070367A">
        <w:rPr>
          <w:lang w:val="fr-CH"/>
        </w:rPr>
        <w:t>’</w:t>
      </w:r>
      <w:r w:rsidRPr="001A0344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lors d</w:t>
      </w:r>
      <w:r w:rsidR="0070367A">
        <w:rPr>
          <w:lang w:val="fr-CH"/>
        </w:rPr>
        <w:t>’</w:t>
      </w:r>
      <w:r w:rsidRPr="001A0344">
        <w:rPr>
          <w:lang w:val="fr-CH"/>
        </w:rPr>
        <w:t>une manifestation organisée en marge de la présente session du groupe de trava</w:t>
      </w:r>
      <w:r w:rsidR="001D0F84" w:rsidRPr="001A0344">
        <w:rPr>
          <w:lang w:val="fr-CH"/>
        </w:rPr>
        <w:t>il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Lo</w:t>
      </w:r>
      <w:r w:rsidRPr="001A0344">
        <w:rPr>
          <w:lang w:val="fr-CH"/>
        </w:rPr>
        <w:t>rs de cette manifestation, l</w:t>
      </w:r>
      <w:r w:rsidR="0070367A">
        <w:rPr>
          <w:lang w:val="fr-CH"/>
        </w:rPr>
        <w:t>’</w:t>
      </w:r>
      <w:r w:rsidRPr="001A0344">
        <w:rPr>
          <w:lang w:val="fr-CH"/>
        </w:rPr>
        <w:t xml:space="preserve">Office de la propriété intellectuelle des Philippines fera état de ses progrès </w:t>
      </w:r>
      <w:r w:rsidR="001A0344" w:rsidRPr="001A0344">
        <w:rPr>
          <w:lang w:val="fr-CH"/>
        </w:rPr>
        <w:t>quant à</w:t>
      </w:r>
      <w:r w:rsidRPr="001A0344">
        <w:rPr>
          <w:lang w:val="fr-CH"/>
        </w:rPr>
        <w:t xml:space="preserve"> la mise </w:t>
      </w:r>
      <w:r w:rsidR="001A0344" w:rsidRPr="001A0344">
        <w:rPr>
          <w:lang w:val="fr-CH"/>
        </w:rPr>
        <w:t>en place</w:t>
      </w:r>
      <w:r w:rsidRPr="001A0344">
        <w:rPr>
          <w:lang w:val="fr-CH"/>
        </w:rPr>
        <w:t xml:space="preserve"> d</w:t>
      </w:r>
      <w:r w:rsidR="0070367A">
        <w:rPr>
          <w:lang w:val="fr-CH"/>
        </w:rPr>
        <w:t>’</w:t>
      </w:r>
      <w:r w:rsidRPr="001A0344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pour la gestion de ses examinateurs de brevets.</w:t>
      </w:r>
    </w:p>
    <w:p w14:paraId="1157D9C3" w14:textId="273D9170" w:rsidR="001A0344" w:rsidRDefault="00CA2FC9" w:rsidP="00CA2FC9">
      <w:pPr>
        <w:pStyle w:val="Heading1"/>
        <w:rPr>
          <w:lang w:val="fr-CH"/>
        </w:rPr>
      </w:pPr>
      <w:r w:rsidRPr="001A0344">
        <w:rPr>
          <w:lang w:val="fr-CH"/>
        </w:rPr>
        <w:t>D</w:t>
      </w:r>
      <w:r w:rsidR="001D0F84">
        <w:rPr>
          <w:lang w:val="fr-CH"/>
        </w:rPr>
        <w:t>isponibilité de l’information et des ressources</w:t>
      </w:r>
    </w:p>
    <w:p w14:paraId="121CD704" w14:textId="183D05D4" w:rsidR="001A0344" w:rsidRDefault="001A0344" w:rsidP="001D0F84">
      <w:pPr>
        <w:pStyle w:val="ONUMFS"/>
        <w:rPr>
          <w:lang w:val="fr-CH"/>
        </w:rPr>
      </w:pPr>
      <w:r w:rsidRPr="001A0344">
        <w:rPr>
          <w:lang w:val="fr-CH"/>
        </w:rPr>
        <w:t>Si</w:t>
      </w:r>
      <w:r w:rsidR="00CA2FC9" w:rsidRPr="001A0344">
        <w:rPr>
          <w:lang w:val="fr-CH"/>
        </w:rPr>
        <w:t xml:space="preserve"> la majorité des ressources d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 xml:space="preserve">apprentissage en ligne </w:t>
      </w:r>
      <w:r w:rsidRPr="001A0344">
        <w:rPr>
          <w:lang w:val="fr-CH"/>
        </w:rPr>
        <w:t>incluses dans la compilation so</w:t>
      </w:r>
      <w:r w:rsidR="00CA2FC9" w:rsidRPr="001A0344">
        <w:rPr>
          <w:lang w:val="fr-CH"/>
        </w:rPr>
        <w:t>nt librement accessibles, plusieurs ne le sont p</w:t>
      </w:r>
      <w:r w:rsidR="001D0F84" w:rsidRPr="001A0344">
        <w:rPr>
          <w:lang w:val="fr-CH"/>
        </w:rPr>
        <w:t>as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Ce</w:t>
      </w:r>
      <w:r w:rsidR="00CA2FC9" w:rsidRPr="001A0344">
        <w:rPr>
          <w:lang w:val="fr-CH"/>
        </w:rPr>
        <w:t xml:space="preserve">la </w:t>
      </w:r>
      <w:r w:rsidRPr="001A0344">
        <w:rPr>
          <w:lang w:val="fr-CH"/>
        </w:rPr>
        <w:t>s</w:t>
      </w:r>
      <w:r w:rsidR="0070367A">
        <w:rPr>
          <w:lang w:val="fr-CH"/>
        </w:rPr>
        <w:t>’</w:t>
      </w:r>
      <w:r w:rsidRPr="001A0344">
        <w:rPr>
          <w:lang w:val="fr-CH"/>
        </w:rPr>
        <w:t>explique</w:t>
      </w:r>
      <w:r w:rsidR="00CA2FC9" w:rsidRPr="001A0344">
        <w:rPr>
          <w:lang w:val="fr-CH"/>
        </w:rPr>
        <w:t xml:space="preserve"> en partie </w:t>
      </w:r>
      <w:r w:rsidRPr="001A0344">
        <w:rPr>
          <w:lang w:val="fr-CH"/>
        </w:rPr>
        <w:t>p</w:t>
      </w:r>
      <w:r w:rsidR="00CA2FC9" w:rsidRPr="001A0344">
        <w:rPr>
          <w:lang w:val="fr-CH"/>
        </w:rPr>
        <w:t>a</w:t>
      </w:r>
      <w:r w:rsidRPr="001A0344">
        <w:rPr>
          <w:lang w:val="fr-CH"/>
        </w:rPr>
        <w:t>r le</w:t>
      </w:r>
      <w:r w:rsidR="00CA2FC9" w:rsidRPr="001A0344">
        <w:rPr>
          <w:lang w:val="fr-CH"/>
        </w:rPr>
        <w:t xml:space="preserve"> fait qu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>il s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>agit d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>activités d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 xml:space="preserve">apprentissage en ligne </w:t>
      </w:r>
      <w:r w:rsidRPr="001A0344">
        <w:rPr>
          <w:lang w:val="fr-CH"/>
        </w:rPr>
        <w:t>n</w:t>
      </w:r>
      <w:r w:rsidR="0070367A">
        <w:rPr>
          <w:lang w:val="fr-CH"/>
        </w:rPr>
        <w:t>’</w:t>
      </w:r>
      <w:r w:rsidRPr="001A0344">
        <w:rPr>
          <w:lang w:val="fr-CH"/>
        </w:rPr>
        <w:t>autorisant</w:t>
      </w:r>
      <w:r w:rsidR="00CA2FC9" w:rsidRPr="001A0344">
        <w:rPr>
          <w:lang w:val="fr-CH"/>
        </w:rPr>
        <w:t xml:space="preserve"> qu</w:t>
      </w:r>
      <w:r w:rsidR="0070367A">
        <w:rPr>
          <w:lang w:val="fr-CH"/>
        </w:rPr>
        <w:t>’</w:t>
      </w:r>
      <w:r w:rsidR="00CA2FC9" w:rsidRPr="001A0344">
        <w:rPr>
          <w:lang w:val="fr-CH"/>
        </w:rPr>
        <w:t>un nombre limité de participan</w:t>
      </w:r>
      <w:r w:rsidR="001D0F84" w:rsidRPr="001A0344">
        <w:rPr>
          <w:lang w:val="fr-CH"/>
        </w:rPr>
        <w:t>ts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Né</w:t>
      </w:r>
      <w:r w:rsidRPr="001A0344">
        <w:rPr>
          <w:lang w:val="fr-CH"/>
        </w:rPr>
        <w:t>anmoins, même ces activités, ou des parties de celles</w:t>
      </w:r>
      <w:r w:rsidR="003A7A06">
        <w:rPr>
          <w:lang w:val="fr-CH"/>
        </w:rPr>
        <w:noBreakHyphen/>
      </w:r>
      <w:r w:rsidRPr="001A0344">
        <w:rPr>
          <w:lang w:val="fr-CH"/>
        </w:rPr>
        <w:t>ci, peuvent être enregistrées, et pourraient être utiles à d</w:t>
      </w:r>
      <w:r w:rsidR="0070367A">
        <w:rPr>
          <w:lang w:val="fr-CH"/>
        </w:rPr>
        <w:t>’</w:t>
      </w:r>
      <w:r w:rsidRPr="001A0344">
        <w:rPr>
          <w:lang w:val="fr-CH"/>
        </w:rPr>
        <w:t>autres examinateurs souhaitant les consulter ultérieureme</w:t>
      </w:r>
      <w:r w:rsidR="001D0F84" w:rsidRPr="001A0344">
        <w:rPr>
          <w:lang w:val="fr-CH"/>
        </w:rPr>
        <w:t>nt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Pa</w:t>
      </w:r>
      <w:r w:rsidRPr="001A0344">
        <w:rPr>
          <w:lang w:val="fr-CH"/>
        </w:rPr>
        <w:t>r exemple, toutes les ressources d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en ligne surlignées en rouge dans la compilation (voir le paragraphe</w:t>
      </w:r>
      <w:r w:rsidR="00200FEB">
        <w:rPr>
          <w:lang w:val="fr-CH"/>
        </w:rPr>
        <w:t> </w:t>
      </w:r>
      <w:r w:rsidRPr="001A0344">
        <w:rPr>
          <w:lang w:val="fr-CH"/>
        </w:rPr>
        <w:t>10) sont certainement intéressantes pour d</w:t>
      </w:r>
      <w:r w:rsidR="0070367A">
        <w:rPr>
          <w:lang w:val="fr-CH"/>
        </w:rPr>
        <w:t>’</w:t>
      </w:r>
      <w:r w:rsidRPr="001A0344">
        <w:rPr>
          <w:lang w:val="fr-CH"/>
        </w:rPr>
        <w:t>autres examinateurs, quel que soit l</w:t>
      </w:r>
      <w:r w:rsidR="0070367A">
        <w:rPr>
          <w:lang w:val="fr-CH"/>
        </w:rPr>
        <w:t>’</w:t>
      </w:r>
      <w:r w:rsidRPr="001A0344">
        <w:rPr>
          <w:lang w:val="fr-CH"/>
        </w:rPr>
        <w:t>office dont ils relèvent.</w:t>
      </w:r>
    </w:p>
    <w:p w14:paraId="5514627A" w14:textId="7D76832F" w:rsidR="001A0344" w:rsidRDefault="001A0344" w:rsidP="001D0F84">
      <w:pPr>
        <w:pStyle w:val="ONUMFS"/>
        <w:rPr>
          <w:lang w:val="fr-CH"/>
        </w:rPr>
      </w:pPr>
      <w:r w:rsidRPr="001A0344">
        <w:rPr>
          <w:lang w:val="fr-CH"/>
        </w:rPr>
        <w:t>L</w:t>
      </w:r>
      <w:r w:rsidR="0070367A">
        <w:rPr>
          <w:lang w:val="fr-CH"/>
        </w:rPr>
        <w:t>’</w:t>
      </w:r>
      <w:r w:rsidRPr="001A0344">
        <w:rPr>
          <w:lang w:val="fr-CH"/>
        </w:rPr>
        <w:t>utilité de la plateforme d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en ligne dépendra fortement de la quantité et de la qualité des ressources d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accessibl</w:t>
      </w:r>
      <w:r w:rsidR="001D0F84" w:rsidRPr="001A0344">
        <w:rPr>
          <w:lang w:val="fr-CH"/>
        </w:rPr>
        <w:t>es</w:t>
      </w:r>
      <w:r w:rsidR="001D0F84">
        <w:rPr>
          <w:lang w:val="fr-CH"/>
        </w:rPr>
        <w:t xml:space="preserve">.  </w:t>
      </w:r>
      <w:r w:rsidR="001D0F84" w:rsidRPr="001A0344">
        <w:rPr>
          <w:lang w:val="fr-CH"/>
        </w:rPr>
        <w:t>Le</w:t>
      </w:r>
      <w:r w:rsidRPr="001A0344">
        <w:rPr>
          <w:lang w:val="fr-CH"/>
        </w:rPr>
        <w:t xml:space="preserve"> groupe de travail pourrait donc envisager d</w:t>
      </w:r>
      <w:r w:rsidR="0070367A">
        <w:rPr>
          <w:lang w:val="fr-CH"/>
        </w:rPr>
        <w:t>’</w:t>
      </w:r>
      <w:r w:rsidRPr="001A0344">
        <w:rPr>
          <w:lang w:val="fr-CH"/>
        </w:rPr>
        <w:t>inviter les offices qui organisent fréquemment des formations virtuelles ou à distance au profit de leurs propres examinateurs, ou des examinateurs d</w:t>
      </w:r>
      <w:r w:rsidR="0070367A">
        <w:rPr>
          <w:lang w:val="fr-CH"/>
        </w:rPr>
        <w:t>’</w:t>
      </w:r>
      <w:r w:rsidRPr="001A0344">
        <w:rPr>
          <w:lang w:val="fr-CH"/>
        </w:rPr>
        <w:t>autres offices, à enregistrer systématiquement ces activités de formation et à les mettre à la disposition des examinateurs d</w:t>
      </w:r>
      <w:r w:rsidR="0070367A">
        <w:rPr>
          <w:lang w:val="fr-CH"/>
        </w:rPr>
        <w:t>’</w:t>
      </w:r>
      <w:r w:rsidRPr="001A0344">
        <w:rPr>
          <w:lang w:val="fr-CH"/>
        </w:rPr>
        <w:t xml:space="preserve">autres offices, accompagnées des supports de formation correspondants, soit </w:t>
      </w:r>
      <w:r w:rsidRPr="001A0344">
        <w:rPr>
          <w:lang w:val="fr-CH"/>
        </w:rPr>
        <w:lastRenderedPageBreak/>
        <w:t>au moyen de la plateforme proposée, soit au moyen de leurs propres plateformes d</w:t>
      </w:r>
      <w:r w:rsidR="0070367A">
        <w:rPr>
          <w:lang w:val="fr-CH"/>
        </w:rPr>
        <w:t>’</w:t>
      </w:r>
      <w:r w:rsidRPr="001A0344">
        <w:rPr>
          <w:lang w:val="fr-CH"/>
        </w:rPr>
        <w:t>apprentissage en ligne.</w:t>
      </w:r>
    </w:p>
    <w:p w14:paraId="0C813A4B" w14:textId="2717E69F" w:rsidR="001A0344" w:rsidRDefault="001A0344" w:rsidP="001A0344">
      <w:pPr>
        <w:pStyle w:val="Heading1"/>
        <w:rPr>
          <w:lang w:val="fr-CH"/>
        </w:rPr>
      </w:pPr>
      <w:r w:rsidRPr="001A0344">
        <w:rPr>
          <w:lang w:val="fr-CH"/>
        </w:rPr>
        <w:t>O</w:t>
      </w:r>
      <w:r w:rsidR="001D0F84">
        <w:rPr>
          <w:lang w:val="fr-CH"/>
        </w:rPr>
        <w:t>ptions relatives à la mise en œuvre</w:t>
      </w:r>
    </w:p>
    <w:p w14:paraId="54D760D4" w14:textId="34FDD455" w:rsidR="001A0344" w:rsidRPr="00200FEB" w:rsidRDefault="00200FEB" w:rsidP="001D0F84">
      <w:pPr>
        <w:pStyle w:val="ONUMFS"/>
        <w:rPr>
          <w:lang w:val="fr-CH"/>
        </w:rPr>
      </w:pPr>
      <w:r w:rsidRPr="00200FEB">
        <w:rPr>
          <w:lang w:val="fr-CH"/>
        </w:rPr>
        <w:t>Si l</w:t>
      </w:r>
      <w:r w:rsidR="0070367A">
        <w:rPr>
          <w:lang w:val="fr-CH"/>
        </w:rPr>
        <w:t>’</w:t>
      </w:r>
      <w:r w:rsidRPr="00200FEB">
        <w:rPr>
          <w:lang w:val="fr-CH"/>
        </w:rPr>
        <w:t>utilité d</w:t>
      </w:r>
      <w:r w:rsidR="0070367A">
        <w:rPr>
          <w:lang w:val="fr-CH"/>
        </w:rPr>
        <w:t>’</w:t>
      </w:r>
      <w:r w:rsidRPr="00200FEB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apprentissage a été examinée par le Bureau international au moyen d</w:t>
      </w:r>
      <w:r w:rsidR="0070367A">
        <w:rPr>
          <w:lang w:val="fr-CH"/>
        </w:rPr>
        <w:t>’</w:t>
      </w:r>
      <w:r w:rsidRPr="00200FEB">
        <w:rPr>
          <w:lang w:val="fr-CH"/>
        </w:rPr>
        <w:t>un système de gestion de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apprentissage reposant sur le logiciel Moodle en accès libre, de nombreux autres systèmes de gestion de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apprentissage, reposant sur d</w:t>
      </w:r>
      <w:r w:rsidR="0070367A">
        <w:rPr>
          <w:lang w:val="fr-CH"/>
        </w:rPr>
        <w:t>’</w:t>
      </w:r>
      <w:r w:rsidRPr="00200FEB">
        <w:rPr>
          <w:lang w:val="fr-CH"/>
        </w:rPr>
        <w:t>autres logiciels, pourraient être utilisés puisque ces systèmes ont généralement des fonctionnalités similaires pour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apprentissage en lig</w:t>
      </w:r>
      <w:r w:rsidR="001D0F84" w:rsidRPr="00200FEB">
        <w:rPr>
          <w:lang w:val="fr-CH"/>
        </w:rPr>
        <w:t>ne</w:t>
      </w:r>
      <w:r w:rsidR="001D0F84">
        <w:rPr>
          <w:lang w:val="fr-CH"/>
        </w:rPr>
        <w:t xml:space="preserve">.  </w:t>
      </w:r>
      <w:r w:rsidR="001D0F84" w:rsidRPr="00200FEB">
        <w:rPr>
          <w:lang w:val="fr-CH"/>
        </w:rPr>
        <w:t>Le</w:t>
      </w:r>
      <w:r w:rsidRPr="00200FEB">
        <w:rPr>
          <w:lang w:val="fr-CH"/>
        </w:rPr>
        <w:t xml:space="preserve"> choix de la plateforme, comme pour tout service du Bureau international, sera en partie déterminé par le coût et les caractéristiques, mais aussi par la nécessité d</w:t>
      </w:r>
      <w:r w:rsidR="0070367A">
        <w:rPr>
          <w:lang w:val="fr-CH"/>
        </w:rPr>
        <w:t>’</w:t>
      </w:r>
      <w:r w:rsidRPr="00200FEB">
        <w:rPr>
          <w:lang w:val="fr-CH"/>
        </w:rPr>
        <w:t>une bonne compatibilité avec les services connexes mis en œuvre par les offices nationaux.</w:t>
      </w:r>
    </w:p>
    <w:p w14:paraId="57B1F629" w14:textId="4A44EED9" w:rsidR="001A0344" w:rsidRPr="00200FEB" w:rsidRDefault="00200FEB" w:rsidP="001D0F84">
      <w:pPr>
        <w:pStyle w:val="ONUMFS"/>
        <w:rPr>
          <w:lang w:val="fr-CH"/>
        </w:rPr>
      </w:pPr>
      <w:r w:rsidRPr="00200FEB">
        <w:rPr>
          <w:lang w:val="fr-CH"/>
        </w:rPr>
        <w:t>Compte tenu des observations reçues durant la présente session et la manifestation y associée, le Bureau international propose de mettre au point un système de gestion de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apprentissage pilote reposant sur Moodle, qui sera administré par le Bureau international avec les conseils et l</w:t>
      </w:r>
      <w:r w:rsidR="0070367A">
        <w:rPr>
          <w:lang w:val="fr-CH"/>
        </w:rPr>
        <w:t>’</w:t>
      </w:r>
      <w:r w:rsidRPr="00200FEB">
        <w:rPr>
          <w:lang w:val="fr-CH"/>
        </w:rPr>
        <w:t>aide des offices nationaux intéress</w:t>
      </w:r>
      <w:r w:rsidR="001D0F84" w:rsidRPr="00200FEB">
        <w:rPr>
          <w:lang w:val="fr-CH"/>
        </w:rPr>
        <w:t>és</w:t>
      </w:r>
      <w:r w:rsidR="001D0F84">
        <w:rPr>
          <w:lang w:val="fr-CH"/>
        </w:rPr>
        <w:t xml:space="preserve">.  </w:t>
      </w:r>
      <w:r w:rsidR="001D0F84" w:rsidRPr="00200FEB">
        <w:rPr>
          <w:lang w:val="fr-CH"/>
        </w:rPr>
        <w:t>Ai</w:t>
      </w:r>
      <w:r w:rsidRPr="00200FEB">
        <w:rPr>
          <w:lang w:val="fr-CH"/>
        </w:rPr>
        <w:t>nsi qu</w:t>
      </w:r>
      <w:r w:rsidR="0070367A">
        <w:rPr>
          <w:lang w:val="fr-CH"/>
        </w:rPr>
        <w:t>’</w:t>
      </w:r>
      <w:r w:rsidRPr="00200FEB">
        <w:rPr>
          <w:lang w:val="fr-CH"/>
        </w:rPr>
        <w:t>il est indiqué au paragraphe</w:t>
      </w:r>
      <w:r>
        <w:rPr>
          <w:lang w:val="fr-CH"/>
        </w:rPr>
        <w:t> </w:t>
      </w:r>
      <w:r w:rsidRPr="00200FEB">
        <w:rPr>
          <w:lang w:val="fr-CH"/>
        </w:rPr>
        <w:t>15, certains offices pourraient avoir des droits d</w:t>
      </w:r>
      <w:r w:rsidR="0070367A">
        <w:rPr>
          <w:lang w:val="fr-CH"/>
        </w:rPr>
        <w:t>’</w:t>
      </w:r>
      <w:r w:rsidRPr="00200FEB">
        <w:rPr>
          <w:lang w:val="fr-CH"/>
        </w:rPr>
        <w:t>administrateur sur des parties du système de gestion de l</w:t>
      </w:r>
      <w:r w:rsidR="0070367A">
        <w:rPr>
          <w:lang w:val="fr-CH"/>
        </w:rPr>
        <w:t>’</w:t>
      </w:r>
      <w:r w:rsidRPr="00200FEB">
        <w:rPr>
          <w:lang w:val="fr-CH"/>
        </w:rPr>
        <w:t>apprentissa</w:t>
      </w:r>
      <w:r w:rsidR="001D0F84" w:rsidRPr="00200FEB">
        <w:rPr>
          <w:lang w:val="fr-CH"/>
        </w:rPr>
        <w:t>ge</w:t>
      </w:r>
      <w:r w:rsidR="001D0F84">
        <w:rPr>
          <w:lang w:val="fr-CH"/>
        </w:rPr>
        <w:t xml:space="preserve">.  </w:t>
      </w:r>
      <w:r w:rsidR="001D0F84" w:rsidRPr="00200FEB">
        <w:rPr>
          <w:lang w:val="fr-CH"/>
        </w:rPr>
        <w:t>Ce</w:t>
      </w:r>
      <w:r w:rsidRPr="00200FEB">
        <w:rPr>
          <w:lang w:val="fr-CH"/>
        </w:rPr>
        <w:t>tte approche permettrait une évaluation plus efficace des opportunités, des avantages et des coûts, avec la possibilité d</w:t>
      </w:r>
      <w:r w:rsidR="0070367A">
        <w:rPr>
          <w:lang w:val="fr-CH"/>
        </w:rPr>
        <w:t>’</w:t>
      </w:r>
      <w:r w:rsidRPr="00200FEB">
        <w:rPr>
          <w:lang w:val="fr-CH"/>
        </w:rPr>
        <w:t>arrêter ou d</w:t>
      </w:r>
      <w:r w:rsidR="0070367A">
        <w:rPr>
          <w:lang w:val="fr-CH"/>
        </w:rPr>
        <w:t>’</w:t>
      </w:r>
      <w:r w:rsidRPr="00200FEB">
        <w:rPr>
          <w:lang w:val="fr-CH"/>
        </w:rPr>
        <w:t>adopter une approche différente selon les échecs et les réussites rencontr</w:t>
      </w:r>
      <w:r w:rsidR="001D0F84" w:rsidRPr="00200FEB">
        <w:rPr>
          <w:lang w:val="fr-CH"/>
        </w:rPr>
        <w:t>és</w:t>
      </w:r>
      <w:r w:rsidR="001D0F84" w:rsidRPr="001D0F84">
        <w:t xml:space="preserve">.  </w:t>
      </w:r>
      <w:r w:rsidR="001D0F84" w:rsidRPr="001D0F84">
        <w:rPr>
          <w:lang w:val="fr-FR"/>
        </w:rPr>
        <w:t>En</w:t>
      </w:r>
      <w:r w:rsidRPr="001D0F84">
        <w:rPr>
          <w:lang w:val="fr-FR"/>
        </w:rPr>
        <w:t xml:space="preserve"> cas de succès, elle permettrait également aux offices d</w:t>
      </w:r>
      <w:r w:rsidR="0070367A" w:rsidRPr="001D0F84">
        <w:rPr>
          <w:lang w:val="fr-FR"/>
        </w:rPr>
        <w:t>’</w:t>
      </w:r>
      <w:r w:rsidRPr="001D0F84">
        <w:rPr>
          <w:lang w:val="fr-FR"/>
        </w:rPr>
        <w:t>accéder rapidement à des informations actualisées</w:t>
      </w:r>
      <w:r w:rsidRPr="001D0F84">
        <w:rPr>
          <w:color w:val="808080"/>
          <w:lang w:val="fr-FR"/>
        </w:rPr>
        <w:t>.</w:t>
      </w:r>
    </w:p>
    <w:p w14:paraId="31DE8497" w14:textId="656624C9" w:rsidR="002276BB" w:rsidRPr="001D0F84" w:rsidRDefault="007E1CB8" w:rsidP="001D0F84">
      <w:pPr>
        <w:pStyle w:val="ONUMFS"/>
        <w:ind w:left="5533"/>
        <w:rPr>
          <w:i/>
          <w:lang w:val="fr-CH"/>
        </w:rPr>
      </w:pPr>
      <w:r w:rsidRPr="001D0F84">
        <w:rPr>
          <w:i/>
          <w:lang w:val="fr-CH"/>
        </w:rPr>
        <w:t>Le groupe de travail est invité à formuler des observations sur la proposition de création d</w:t>
      </w:r>
      <w:r w:rsidR="0070367A" w:rsidRPr="001D0F84">
        <w:rPr>
          <w:i/>
          <w:lang w:val="fr-CH"/>
        </w:rPr>
        <w:t>’</w:t>
      </w:r>
      <w:r w:rsidRPr="001D0F84">
        <w:rPr>
          <w:i/>
          <w:lang w:val="fr-CH"/>
        </w:rPr>
        <w:t>un registre indépendant de ressources d</w:t>
      </w:r>
      <w:r w:rsidR="0070367A" w:rsidRPr="001D0F84">
        <w:rPr>
          <w:i/>
          <w:lang w:val="fr-CH"/>
        </w:rPr>
        <w:t>’</w:t>
      </w:r>
      <w:r w:rsidRPr="001D0F84">
        <w:rPr>
          <w:i/>
          <w:lang w:val="fr-CH"/>
        </w:rPr>
        <w:t>apprentissage en ligne, présentée aux paragraphes</w:t>
      </w:r>
      <w:r w:rsidR="00200FEB" w:rsidRPr="001D0F84">
        <w:rPr>
          <w:i/>
          <w:lang w:val="fr-CH"/>
        </w:rPr>
        <w:t> </w:t>
      </w:r>
      <w:r w:rsidRPr="001D0F84">
        <w:rPr>
          <w:i/>
          <w:lang w:val="fr-CH"/>
        </w:rPr>
        <w:t>20 et 21 ci</w:t>
      </w:r>
      <w:r w:rsidR="003A7A06">
        <w:rPr>
          <w:i/>
          <w:lang w:val="fr-CH"/>
        </w:rPr>
        <w:noBreakHyphen/>
      </w:r>
      <w:r w:rsidRPr="001D0F84">
        <w:rPr>
          <w:i/>
          <w:lang w:val="fr-CH"/>
        </w:rPr>
        <w:t>dessus.</w:t>
      </w:r>
    </w:p>
    <w:p w14:paraId="78374C55" w14:textId="77777777" w:rsidR="001A0344" w:rsidRDefault="00660161" w:rsidP="001D0F84">
      <w:pPr>
        <w:pStyle w:val="Endofdocument-Annex"/>
        <w:spacing w:before="720"/>
      </w:pPr>
      <w:r w:rsidRPr="00C3136F">
        <w:t>[Fin du document]</w:t>
      </w:r>
    </w:p>
    <w:sectPr w:rsidR="001A0344" w:rsidSect="001D0F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A45A" w14:textId="77777777" w:rsidR="00BD1745" w:rsidRDefault="00BD1745">
      <w:r>
        <w:separator/>
      </w:r>
    </w:p>
  </w:endnote>
  <w:endnote w:type="continuationSeparator" w:id="0">
    <w:p w14:paraId="78DB3B32" w14:textId="77777777" w:rsidR="00BD1745" w:rsidRDefault="00BD1745" w:rsidP="003B38C1">
      <w:r>
        <w:separator/>
      </w:r>
    </w:p>
    <w:p w14:paraId="0D7AEB59" w14:textId="77777777" w:rsidR="00BD1745" w:rsidRPr="003B38C1" w:rsidRDefault="00BD17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C26A1" w14:textId="77777777" w:rsidR="00BD1745" w:rsidRPr="003B38C1" w:rsidRDefault="00BD17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1542" w14:textId="77777777" w:rsidR="0070367A" w:rsidRDefault="00703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884B" w14:textId="77777777" w:rsidR="001C136D" w:rsidRDefault="001C1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9F79A" w14:textId="77777777" w:rsidR="0070367A" w:rsidRDefault="00703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2F0D" w14:textId="77777777" w:rsidR="00BD1745" w:rsidRDefault="00BD1745">
      <w:r>
        <w:separator/>
      </w:r>
    </w:p>
  </w:footnote>
  <w:footnote w:type="continuationSeparator" w:id="0">
    <w:p w14:paraId="5E436616" w14:textId="77777777" w:rsidR="00BD1745" w:rsidRDefault="00BD1745" w:rsidP="008B60B2">
      <w:r>
        <w:separator/>
      </w:r>
    </w:p>
    <w:p w14:paraId="5AB03D1F" w14:textId="77777777" w:rsidR="00BD1745" w:rsidRPr="00ED77FB" w:rsidRDefault="00BD17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77CA8E" w14:textId="77777777" w:rsidR="00BD1745" w:rsidRPr="00ED77FB" w:rsidRDefault="00BD17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E8B6" w14:textId="77777777" w:rsidR="001951BD" w:rsidRPr="00B25737" w:rsidRDefault="001951BD" w:rsidP="001951BD">
    <w:pPr>
      <w:jc w:val="right"/>
      <w:rPr>
        <w:caps/>
      </w:rPr>
    </w:pPr>
    <w:r>
      <w:rPr>
        <w:caps/>
      </w:rPr>
      <w:t>PCT/WG/14/15</w:t>
    </w:r>
  </w:p>
  <w:p w14:paraId="02066197" w14:textId="68CF4346" w:rsidR="001951BD" w:rsidRDefault="001951BD" w:rsidP="001951B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0F84">
      <w:rPr>
        <w:noProof/>
      </w:rPr>
      <w:t>4</w:t>
    </w:r>
    <w:r>
      <w:fldChar w:fldCharType="end"/>
    </w:r>
  </w:p>
  <w:p w14:paraId="49DA9EAB" w14:textId="77777777" w:rsidR="001951BD" w:rsidRDefault="001951BD" w:rsidP="001951BD">
    <w:pPr>
      <w:jc w:val="right"/>
    </w:pPr>
  </w:p>
  <w:p w14:paraId="6305E488" w14:textId="77777777" w:rsidR="001951BD" w:rsidRDefault="001951BD" w:rsidP="001951B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BF11" w14:textId="75593B06" w:rsidR="00D07C78" w:rsidRPr="00B25737" w:rsidRDefault="001D0F84" w:rsidP="00477D6B">
    <w:pPr>
      <w:jc w:val="right"/>
      <w:rPr>
        <w:caps/>
      </w:rPr>
    </w:pPr>
    <w:bookmarkStart w:id="8" w:name="Code2"/>
    <w:r>
      <w:rPr>
        <w:caps/>
      </w:rPr>
      <w:t>PCT/WG/15</w:t>
    </w:r>
    <w:r w:rsidR="00B93EE0">
      <w:rPr>
        <w:caps/>
      </w:rPr>
      <w:t>/</w:t>
    </w:r>
    <w:r>
      <w:rPr>
        <w:caps/>
      </w:rPr>
      <w:t>4</w:t>
    </w:r>
  </w:p>
  <w:bookmarkEnd w:id="8"/>
  <w:p w14:paraId="6EDCA473" w14:textId="52F651EC" w:rsidR="00D07C78" w:rsidRDefault="00D07C78" w:rsidP="001D0F84">
    <w:pPr>
      <w:spacing w:after="480"/>
      <w:jc w:val="right"/>
    </w:pPr>
    <w:proofErr w:type="gramStart"/>
    <w:r>
      <w:t>page</w:t>
    </w:r>
    <w:proofErr w:type="gramEnd"/>
    <w:r w:rsidR="0066016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A0C6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0D7A" w14:textId="77777777" w:rsidR="0070367A" w:rsidRDefault="00703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C6C521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2C36EB"/>
    <w:multiLevelType w:val="multilevel"/>
    <w:tmpl w:val="00204A4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10E6E"/>
    <w:multiLevelType w:val="hybridMultilevel"/>
    <w:tmpl w:val="952E7DBC"/>
    <w:lvl w:ilvl="0" w:tplc="C63EB100">
      <w:start w:val="1"/>
      <w:numFmt w:val="lowerRoman"/>
      <w:lvlText w:val="%1)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8" w15:restartNumberingAfterBreak="0">
    <w:nsid w:val="75FA3F76"/>
    <w:multiLevelType w:val="hybridMultilevel"/>
    <w:tmpl w:val="90E8AB46"/>
    <w:lvl w:ilvl="0" w:tplc="C63EB100">
      <w:start w:val="1"/>
      <w:numFmt w:val="lowerRoman"/>
      <w:lvlText w:val="%1)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C63EB100">
      <w:start w:val="1"/>
      <w:numFmt w:val="lowerRoman"/>
      <w:lvlText w:val="%3)"/>
      <w:lvlJc w:val="left"/>
      <w:pPr>
        <w:ind w:left="6134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"/>
    <w:lvlOverride w:ilvl="0">
      <w:startOverride w:val="31"/>
    </w:lvlOverride>
  </w:num>
  <w:num w:numId="11">
    <w:abstractNumId w:val="1"/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8"/>
    </w:lvlOverride>
  </w:num>
  <w:num w:numId="14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B93EE0"/>
    <w:rsid w:val="00043CAA"/>
    <w:rsid w:val="00056816"/>
    <w:rsid w:val="00075432"/>
    <w:rsid w:val="0008136D"/>
    <w:rsid w:val="00081800"/>
    <w:rsid w:val="000968ED"/>
    <w:rsid w:val="000A3D97"/>
    <w:rsid w:val="000E4A22"/>
    <w:rsid w:val="000F5D9F"/>
    <w:rsid w:val="000F5E56"/>
    <w:rsid w:val="001362EE"/>
    <w:rsid w:val="00141F34"/>
    <w:rsid w:val="00145F46"/>
    <w:rsid w:val="001647D5"/>
    <w:rsid w:val="00172E2E"/>
    <w:rsid w:val="001832A6"/>
    <w:rsid w:val="001951BD"/>
    <w:rsid w:val="001A0344"/>
    <w:rsid w:val="001C136D"/>
    <w:rsid w:val="001D0F84"/>
    <w:rsid w:val="001D4107"/>
    <w:rsid w:val="00200FEB"/>
    <w:rsid w:val="00203D24"/>
    <w:rsid w:val="0021217E"/>
    <w:rsid w:val="002276BB"/>
    <w:rsid w:val="00243430"/>
    <w:rsid w:val="002634C4"/>
    <w:rsid w:val="00266E90"/>
    <w:rsid w:val="002846EC"/>
    <w:rsid w:val="002928D3"/>
    <w:rsid w:val="002F0016"/>
    <w:rsid w:val="002F0508"/>
    <w:rsid w:val="002F1FE6"/>
    <w:rsid w:val="002F4E68"/>
    <w:rsid w:val="00312F7F"/>
    <w:rsid w:val="00361450"/>
    <w:rsid w:val="003673CF"/>
    <w:rsid w:val="003845C1"/>
    <w:rsid w:val="003A6F89"/>
    <w:rsid w:val="003A7A06"/>
    <w:rsid w:val="003B38C1"/>
    <w:rsid w:val="003C34E9"/>
    <w:rsid w:val="00423E3E"/>
    <w:rsid w:val="00424D32"/>
    <w:rsid w:val="00427AF4"/>
    <w:rsid w:val="00437FAF"/>
    <w:rsid w:val="004500FF"/>
    <w:rsid w:val="004647DA"/>
    <w:rsid w:val="00474062"/>
    <w:rsid w:val="00477D6B"/>
    <w:rsid w:val="005019FF"/>
    <w:rsid w:val="0053057A"/>
    <w:rsid w:val="00531693"/>
    <w:rsid w:val="00556076"/>
    <w:rsid w:val="00556656"/>
    <w:rsid w:val="00560A29"/>
    <w:rsid w:val="0057600B"/>
    <w:rsid w:val="00592CF7"/>
    <w:rsid w:val="005948CE"/>
    <w:rsid w:val="005A3EE4"/>
    <w:rsid w:val="005A7B9B"/>
    <w:rsid w:val="005C160C"/>
    <w:rsid w:val="005C6649"/>
    <w:rsid w:val="00605827"/>
    <w:rsid w:val="00646050"/>
    <w:rsid w:val="00656349"/>
    <w:rsid w:val="00660161"/>
    <w:rsid w:val="006713CA"/>
    <w:rsid w:val="00676C5C"/>
    <w:rsid w:val="006A075D"/>
    <w:rsid w:val="006B1014"/>
    <w:rsid w:val="006D7ABE"/>
    <w:rsid w:val="0070367A"/>
    <w:rsid w:val="00720EFD"/>
    <w:rsid w:val="00780D42"/>
    <w:rsid w:val="00793A7C"/>
    <w:rsid w:val="007A398A"/>
    <w:rsid w:val="007D1613"/>
    <w:rsid w:val="007E1CB8"/>
    <w:rsid w:val="007E4C0E"/>
    <w:rsid w:val="008203EB"/>
    <w:rsid w:val="00855D34"/>
    <w:rsid w:val="00886030"/>
    <w:rsid w:val="008A134B"/>
    <w:rsid w:val="008A3298"/>
    <w:rsid w:val="008A75FD"/>
    <w:rsid w:val="008B1D8F"/>
    <w:rsid w:val="008B2CC1"/>
    <w:rsid w:val="008B60B2"/>
    <w:rsid w:val="008C180E"/>
    <w:rsid w:val="008D0E8D"/>
    <w:rsid w:val="0090731E"/>
    <w:rsid w:val="00916EE2"/>
    <w:rsid w:val="00932EE2"/>
    <w:rsid w:val="009621EF"/>
    <w:rsid w:val="00966A22"/>
    <w:rsid w:val="0096722F"/>
    <w:rsid w:val="00980843"/>
    <w:rsid w:val="009E2791"/>
    <w:rsid w:val="009E3F6F"/>
    <w:rsid w:val="009E6AA5"/>
    <w:rsid w:val="009F499F"/>
    <w:rsid w:val="00A07556"/>
    <w:rsid w:val="00A10B94"/>
    <w:rsid w:val="00A131D2"/>
    <w:rsid w:val="00A37342"/>
    <w:rsid w:val="00A42DAF"/>
    <w:rsid w:val="00A45BD8"/>
    <w:rsid w:val="00A72F36"/>
    <w:rsid w:val="00A77FE7"/>
    <w:rsid w:val="00A869B7"/>
    <w:rsid w:val="00AC205C"/>
    <w:rsid w:val="00AF0A6B"/>
    <w:rsid w:val="00B05A69"/>
    <w:rsid w:val="00B1424B"/>
    <w:rsid w:val="00B25737"/>
    <w:rsid w:val="00B75281"/>
    <w:rsid w:val="00B77EB5"/>
    <w:rsid w:val="00B92F1F"/>
    <w:rsid w:val="00B93EE0"/>
    <w:rsid w:val="00B9734B"/>
    <w:rsid w:val="00BA0C6A"/>
    <w:rsid w:val="00BA30E2"/>
    <w:rsid w:val="00BD1745"/>
    <w:rsid w:val="00BD6FD0"/>
    <w:rsid w:val="00C11BFE"/>
    <w:rsid w:val="00C3136F"/>
    <w:rsid w:val="00C5068F"/>
    <w:rsid w:val="00C86D74"/>
    <w:rsid w:val="00CA2B25"/>
    <w:rsid w:val="00CA2FC9"/>
    <w:rsid w:val="00CC6440"/>
    <w:rsid w:val="00CD04F1"/>
    <w:rsid w:val="00CF681A"/>
    <w:rsid w:val="00D07C78"/>
    <w:rsid w:val="00D11261"/>
    <w:rsid w:val="00D40840"/>
    <w:rsid w:val="00D45252"/>
    <w:rsid w:val="00D71B4D"/>
    <w:rsid w:val="00D93D55"/>
    <w:rsid w:val="00DD7B7F"/>
    <w:rsid w:val="00DF30F9"/>
    <w:rsid w:val="00E068D6"/>
    <w:rsid w:val="00E15015"/>
    <w:rsid w:val="00E23647"/>
    <w:rsid w:val="00E335FE"/>
    <w:rsid w:val="00E66B37"/>
    <w:rsid w:val="00EA7D6E"/>
    <w:rsid w:val="00EB00F4"/>
    <w:rsid w:val="00EB2F76"/>
    <w:rsid w:val="00EC4E49"/>
    <w:rsid w:val="00ED040A"/>
    <w:rsid w:val="00ED77FB"/>
    <w:rsid w:val="00EE0CBF"/>
    <w:rsid w:val="00EE45FA"/>
    <w:rsid w:val="00F043DE"/>
    <w:rsid w:val="00F1085F"/>
    <w:rsid w:val="00F66152"/>
    <w:rsid w:val="00F874D6"/>
    <w:rsid w:val="00F9165B"/>
    <w:rsid w:val="00F96831"/>
    <w:rsid w:val="00F96888"/>
    <w:rsid w:val="00FD1408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5A6C9B0"/>
  <w15:docId w15:val="{3AA6AEBD-E718-4154-8F2B-B58D318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0F5D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5D9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5D9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F5D9F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0F5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5D9F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0F5D9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24D32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customStyle="1" w:styleId="Default">
    <w:name w:val="Default"/>
    <w:rsid w:val="00424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45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meetings/en/details.jsp?meeting_id=6458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fr/doc_details.jsp?doc_id=53951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doc_details.jsp?doc_id=3694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meetings/fr/doc_details.jsp?doc_id=56959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540711" TargetMode="External"/><Relationship Id="rId14" Type="http://schemas.openxmlformats.org/officeDocument/2006/relationships/hyperlink" Target="https://icblm.moodlecloud.com/course/view.php?id=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CF23-9692-4D19-8812-008DAA5A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2158</Words>
  <Characters>12884</Characters>
  <Application>Microsoft Office Word</Application>
  <DocSecurity>0</DocSecurity>
  <Lines>196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PCT/WG/14/15</vt:lpstr>
    </vt:vector>
  </TitlesOfParts>
  <Company>WIPO</Company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PCT/WG/14/15</dc:title>
  <dc:subject>Survey on the Use of e-Learning Resources for the Training of Substantive Patent Examiners</dc:subject>
  <dc:creator>MARLOW Thomas</dc:creator>
  <cp:keywords>PUBLIC</cp:keywords>
  <cp:lastModifiedBy>SHOUSHA Sally</cp:lastModifiedBy>
  <cp:revision>2</cp:revision>
  <cp:lastPrinted>2011-02-15T11:56:00Z</cp:lastPrinted>
  <dcterms:created xsi:type="dcterms:W3CDTF">2022-09-02T08:43:00Z</dcterms:created>
  <dcterms:modified xsi:type="dcterms:W3CDTF">2022-09-02T08:43:00Z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eb8e991e-73af-46d6-b405-3c40dd0d978e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