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47249C" w14:textId="77777777" w:rsidR="006322CC" w:rsidRPr="00855861" w:rsidRDefault="002E6EBE" w:rsidP="00FD2CCA">
      <w:pPr>
        <w:pBdr>
          <w:bottom w:val="single" w:sz="4" w:space="11" w:color="auto"/>
        </w:pBdr>
        <w:spacing w:after="120"/>
        <w:jc w:val="right"/>
        <w:rPr>
          <w:b/>
          <w:sz w:val="32"/>
          <w:szCs w:val="40"/>
          <w:lang w:val="fr-FR"/>
        </w:rPr>
      </w:pPr>
      <w:r w:rsidRPr="00855861">
        <w:rPr>
          <w:noProof/>
          <w:lang w:val="en-GB" w:eastAsia="en-GB"/>
        </w:rPr>
        <w:drawing>
          <wp:inline distT="0" distB="0" distL="0" distR="0" wp14:anchorId="71B47671" wp14:editId="3330BCFF">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14:paraId="6D0E3878" w14:textId="77777777" w:rsidR="00CD0864" w:rsidRPr="00855861" w:rsidRDefault="00E85906" w:rsidP="00E85906">
      <w:pPr>
        <w:jc w:val="right"/>
        <w:rPr>
          <w:rFonts w:ascii="Arial Black" w:hAnsi="Arial Black"/>
          <w:caps/>
          <w:sz w:val="15"/>
          <w:lang w:val="fr-FR"/>
        </w:rPr>
      </w:pPr>
      <w:r w:rsidRPr="00855861">
        <w:rPr>
          <w:rFonts w:ascii="Arial Black" w:hAnsi="Arial Black"/>
          <w:caps/>
          <w:sz w:val="15"/>
          <w:lang w:val="fr-FR"/>
        </w:rPr>
        <w:t>PCT/WG/15/</w:t>
      </w:r>
      <w:bookmarkStart w:id="0" w:name="Code"/>
      <w:bookmarkEnd w:id="0"/>
      <w:r w:rsidRPr="00855861">
        <w:rPr>
          <w:rFonts w:ascii="Arial Black" w:hAnsi="Arial Black"/>
          <w:caps/>
          <w:sz w:val="15"/>
          <w:lang w:val="fr-FR"/>
        </w:rPr>
        <w:t>5</w:t>
      </w:r>
    </w:p>
    <w:p w14:paraId="7CD682E0" w14:textId="28229C71" w:rsidR="006322CC" w:rsidRPr="00855861" w:rsidRDefault="00E85906" w:rsidP="00E85906">
      <w:pPr>
        <w:jc w:val="right"/>
        <w:rPr>
          <w:lang w:val="fr-FR"/>
        </w:rPr>
      </w:pPr>
      <w:r w:rsidRPr="00855861">
        <w:rPr>
          <w:rFonts w:ascii="Arial Black" w:hAnsi="Arial Black"/>
          <w:caps/>
          <w:sz w:val="15"/>
          <w:lang w:val="fr-FR"/>
        </w:rPr>
        <w:t>ORIGINAL</w:t>
      </w:r>
      <w:r w:rsidR="00537437" w:rsidRPr="00855861">
        <w:rPr>
          <w:rFonts w:ascii="Arial Black" w:hAnsi="Arial Black"/>
          <w:caps/>
          <w:sz w:val="15"/>
          <w:lang w:val="fr-FR"/>
        </w:rPr>
        <w:t> :</w:t>
      </w:r>
      <w:r w:rsidRPr="00855861">
        <w:rPr>
          <w:rFonts w:ascii="Arial Black" w:hAnsi="Arial Black"/>
          <w:caps/>
          <w:sz w:val="15"/>
          <w:lang w:val="fr-FR"/>
        </w:rPr>
        <w:t xml:space="preserve"> </w:t>
      </w:r>
      <w:bookmarkStart w:id="1" w:name="Original"/>
      <w:r w:rsidRPr="00855861">
        <w:rPr>
          <w:rFonts w:ascii="Arial Black" w:hAnsi="Arial Black"/>
          <w:caps/>
          <w:sz w:val="15"/>
          <w:lang w:val="fr-FR"/>
        </w:rPr>
        <w:t>anglais</w:t>
      </w:r>
    </w:p>
    <w:bookmarkEnd w:id="1"/>
    <w:p w14:paraId="45921795" w14:textId="50D330FF" w:rsidR="006322CC" w:rsidRPr="00855861" w:rsidRDefault="00E85906" w:rsidP="00E85906">
      <w:pPr>
        <w:spacing w:after="1200"/>
        <w:jc w:val="right"/>
        <w:rPr>
          <w:lang w:val="fr-FR"/>
        </w:rPr>
      </w:pPr>
      <w:r w:rsidRPr="00855861">
        <w:rPr>
          <w:rFonts w:ascii="Arial Black" w:hAnsi="Arial Black"/>
          <w:caps/>
          <w:sz w:val="15"/>
          <w:lang w:val="fr-FR"/>
        </w:rPr>
        <w:t>DATE</w:t>
      </w:r>
      <w:r w:rsidR="00537437" w:rsidRPr="00855861">
        <w:rPr>
          <w:rFonts w:ascii="Arial Black" w:hAnsi="Arial Black"/>
          <w:caps/>
          <w:sz w:val="15"/>
          <w:lang w:val="fr-FR"/>
        </w:rPr>
        <w:t> :</w:t>
      </w:r>
      <w:r w:rsidRPr="00855861">
        <w:rPr>
          <w:rFonts w:ascii="Arial Black" w:hAnsi="Arial Black"/>
          <w:caps/>
          <w:sz w:val="15"/>
          <w:lang w:val="fr-FR"/>
        </w:rPr>
        <w:t xml:space="preserve"> </w:t>
      </w:r>
      <w:bookmarkStart w:id="2" w:name="Date"/>
      <w:r w:rsidRPr="00855861">
        <w:rPr>
          <w:rFonts w:ascii="Arial Black" w:hAnsi="Arial Black"/>
          <w:caps/>
          <w:sz w:val="15"/>
          <w:lang w:val="fr-FR"/>
        </w:rPr>
        <w:t>1</w:t>
      </w:r>
      <w:r w:rsidR="00CD0864" w:rsidRPr="00855861">
        <w:rPr>
          <w:rFonts w:ascii="Arial Black" w:hAnsi="Arial Black"/>
          <w:caps/>
          <w:sz w:val="15"/>
          <w:lang w:val="fr-FR"/>
        </w:rPr>
        <w:t>2 août 20</w:t>
      </w:r>
      <w:r w:rsidRPr="00855861">
        <w:rPr>
          <w:rFonts w:ascii="Arial Black" w:hAnsi="Arial Black"/>
          <w:caps/>
          <w:sz w:val="15"/>
          <w:lang w:val="fr-FR"/>
        </w:rPr>
        <w:t>22</w:t>
      </w:r>
    </w:p>
    <w:bookmarkEnd w:id="2"/>
    <w:p w14:paraId="5508703D" w14:textId="77777777" w:rsidR="006322CC" w:rsidRPr="00855861" w:rsidRDefault="00E85906" w:rsidP="00E85906">
      <w:pPr>
        <w:pStyle w:val="Heading1"/>
        <w:spacing w:before="0" w:after="480"/>
        <w:rPr>
          <w:lang w:val="fr-FR"/>
        </w:rPr>
      </w:pPr>
      <w:r w:rsidRPr="00855861">
        <w:rPr>
          <w:caps w:val="0"/>
          <w:sz w:val="28"/>
          <w:szCs w:val="28"/>
          <w:lang w:val="fr-FR"/>
        </w:rPr>
        <w:t>Groupe de travail du Traité de coopération en matière de brevets (PCT)</w:t>
      </w:r>
    </w:p>
    <w:p w14:paraId="42B7F710" w14:textId="4EC39A2B" w:rsidR="006322CC" w:rsidRPr="00855861" w:rsidRDefault="00E85906" w:rsidP="00E85906">
      <w:pPr>
        <w:outlineLvl w:val="1"/>
        <w:rPr>
          <w:b/>
          <w:sz w:val="24"/>
          <w:szCs w:val="24"/>
          <w:lang w:val="fr-FR"/>
        </w:rPr>
      </w:pPr>
      <w:r w:rsidRPr="00855861">
        <w:rPr>
          <w:b/>
          <w:sz w:val="24"/>
          <w:szCs w:val="24"/>
          <w:lang w:val="fr-FR"/>
        </w:rPr>
        <w:t>Quinz</w:t>
      </w:r>
      <w:r w:rsidR="00537437" w:rsidRPr="00855861">
        <w:rPr>
          <w:b/>
          <w:sz w:val="24"/>
          <w:szCs w:val="24"/>
          <w:lang w:val="fr-FR"/>
        </w:rPr>
        <w:t>ième session</w:t>
      </w:r>
    </w:p>
    <w:p w14:paraId="2E855979" w14:textId="384627D0" w:rsidR="006322CC" w:rsidRPr="00855861" w:rsidRDefault="00E85906" w:rsidP="00E85906">
      <w:pPr>
        <w:spacing w:after="720"/>
        <w:outlineLvl w:val="1"/>
        <w:rPr>
          <w:b/>
          <w:sz w:val="24"/>
          <w:szCs w:val="24"/>
          <w:lang w:val="fr-FR"/>
        </w:rPr>
      </w:pPr>
      <w:r w:rsidRPr="00855861">
        <w:rPr>
          <w:b/>
          <w:sz w:val="24"/>
          <w:szCs w:val="24"/>
          <w:lang w:val="fr-FR"/>
        </w:rPr>
        <w:t>Genève, 3 – 7 octobre 202</w:t>
      </w:r>
      <w:r w:rsidR="003E25F7">
        <w:rPr>
          <w:b/>
          <w:sz w:val="24"/>
          <w:szCs w:val="24"/>
          <w:lang w:val="fr-FR"/>
        </w:rPr>
        <w:t>2</w:t>
      </w:r>
    </w:p>
    <w:p w14:paraId="6C89F123" w14:textId="77777777" w:rsidR="006322CC" w:rsidRPr="00855861" w:rsidRDefault="001D1437" w:rsidP="001D1437">
      <w:pPr>
        <w:spacing w:after="360"/>
        <w:outlineLvl w:val="0"/>
        <w:rPr>
          <w:caps/>
          <w:sz w:val="24"/>
          <w:lang w:val="fr-FR"/>
        </w:rPr>
      </w:pPr>
      <w:bookmarkStart w:id="3" w:name="Prepared"/>
      <w:bookmarkEnd w:id="3"/>
      <w:r w:rsidRPr="00855861">
        <w:rPr>
          <w:caps/>
          <w:sz w:val="24"/>
          <w:lang w:val="fr-FR"/>
        </w:rPr>
        <w:t>Citation de divulgations non écrites</w:t>
      </w:r>
    </w:p>
    <w:p w14:paraId="00A511B6" w14:textId="77777777" w:rsidR="006322CC" w:rsidRPr="00855861" w:rsidRDefault="001D1437" w:rsidP="001D1437">
      <w:pPr>
        <w:spacing w:after="1040"/>
        <w:rPr>
          <w:i/>
          <w:lang w:val="fr-FR"/>
        </w:rPr>
      </w:pPr>
      <w:r w:rsidRPr="00855861">
        <w:rPr>
          <w:i/>
          <w:lang w:val="fr-FR"/>
        </w:rPr>
        <w:t>Document établi par le Bureau international</w:t>
      </w:r>
    </w:p>
    <w:p w14:paraId="74D228E1" w14:textId="77777777" w:rsidR="006322CC" w:rsidRPr="00855861" w:rsidRDefault="001D1437" w:rsidP="00616788">
      <w:pPr>
        <w:pStyle w:val="Heading1"/>
        <w:rPr>
          <w:lang w:val="fr-FR"/>
        </w:rPr>
      </w:pPr>
      <w:r w:rsidRPr="00855861">
        <w:rPr>
          <w:lang w:val="fr-FR"/>
        </w:rPr>
        <w:t>Résumé</w:t>
      </w:r>
    </w:p>
    <w:p w14:paraId="73B8274E" w14:textId="4286E91B" w:rsidR="00CD0864" w:rsidRPr="00855861" w:rsidRDefault="00684C3B" w:rsidP="00616788">
      <w:pPr>
        <w:pStyle w:val="ONUMFS"/>
        <w:rPr>
          <w:lang w:val="fr-FR"/>
        </w:rPr>
      </w:pPr>
      <w:r w:rsidRPr="00855861">
        <w:rPr>
          <w:lang w:val="fr-FR"/>
        </w:rPr>
        <w:t xml:space="preserve">Le groupe de travail est invité à approuver le principe de </w:t>
      </w:r>
      <w:r w:rsidR="00933532" w:rsidRPr="00855861">
        <w:rPr>
          <w:lang w:val="fr-FR"/>
        </w:rPr>
        <w:t>l</w:t>
      </w:r>
      <w:r w:rsidR="00537437" w:rsidRPr="00855861">
        <w:rPr>
          <w:lang w:val="fr-FR"/>
        </w:rPr>
        <w:t>’</w:t>
      </w:r>
      <w:r w:rsidR="00933532" w:rsidRPr="00855861">
        <w:rPr>
          <w:lang w:val="fr-FR"/>
        </w:rPr>
        <w:t>élargissement</w:t>
      </w:r>
      <w:r w:rsidRPr="00855861">
        <w:rPr>
          <w:lang w:val="fr-FR"/>
        </w:rPr>
        <w:t xml:space="preserve"> de la définition de l</w:t>
      </w:r>
      <w:r w:rsidR="00537437" w:rsidRPr="00855861">
        <w:rPr>
          <w:lang w:val="fr-FR"/>
        </w:rPr>
        <w:t>’</w:t>
      </w:r>
      <w:r w:rsidRPr="00855861">
        <w:rPr>
          <w:lang w:val="fr-FR"/>
        </w:rPr>
        <w:t>état de la technique selon</w:t>
      </w:r>
      <w:r w:rsidR="00CD0864" w:rsidRPr="00855861">
        <w:rPr>
          <w:lang w:val="fr-FR"/>
        </w:rPr>
        <w:t xml:space="preserve"> le PCT</w:t>
      </w:r>
      <w:r w:rsidRPr="00855861">
        <w:rPr>
          <w:lang w:val="fr-FR"/>
        </w:rPr>
        <w:t xml:space="preserve"> aux divulgations non écrites et à inviter les administrations internationales à étudier les </w:t>
      </w:r>
      <w:r w:rsidR="00933532" w:rsidRPr="00855861">
        <w:rPr>
          <w:lang w:val="fr-FR"/>
        </w:rPr>
        <w:t>modalités de</w:t>
      </w:r>
      <w:r w:rsidRPr="00855861">
        <w:rPr>
          <w:lang w:val="fr-FR"/>
        </w:rPr>
        <w:t xml:space="preserve"> leur mise en </w:t>
      </w:r>
      <w:r w:rsidR="00CD0864" w:rsidRPr="00855861">
        <w:rPr>
          <w:lang w:val="fr-FR"/>
        </w:rPr>
        <w:t>œuvre</w:t>
      </w:r>
      <w:r w:rsidRPr="00855861">
        <w:rPr>
          <w:lang w:val="fr-FR"/>
        </w:rPr>
        <w:t xml:space="preserve"> et à faire des propositions aux futures sessions du groupe de travail et de tout autre organe concerné.</w:t>
      </w:r>
    </w:p>
    <w:p w14:paraId="24321370" w14:textId="55994350" w:rsidR="006322CC" w:rsidRPr="00855861" w:rsidRDefault="00684C3B" w:rsidP="00616788">
      <w:pPr>
        <w:pStyle w:val="Heading1"/>
        <w:rPr>
          <w:lang w:val="fr-FR"/>
        </w:rPr>
      </w:pPr>
      <w:r w:rsidRPr="00855861">
        <w:rPr>
          <w:lang w:val="fr-FR"/>
        </w:rPr>
        <w:t>Informations générales</w:t>
      </w:r>
    </w:p>
    <w:p w14:paraId="68B0CF96" w14:textId="4D26C007" w:rsidR="006322CC" w:rsidRPr="00855861" w:rsidRDefault="00684C3B" w:rsidP="00616788">
      <w:pPr>
        <w:pStyle w:val="ONUMFS"/>
        <w:rPr>
          <w:lang w:val="fr-FR"/>
        </w:rPr>
      </w:pPr>
      <w:r w:rsidRPr="00855861">
        <w:rPr>
          <w:lang w:val="fr-FR"/>
        </w:rPr>
        <w:t>Dans le document PCT/MIA/29/2, le Bureau international a invité les administrations internationales à formuler des observations sur le fait d</w:t>
      </w:r>
      <w:r w:rsidR="00537437" w:rsidRPr="00855861">
        <w:rPr>
          <w:lang w:val="fr-FR"/>
        </w:rPr>
        <w:t>’</w:t>
      </w:r>
      <w:r w:rsidRPr="00855861">
        <w:rPr>
          <w:lang w:val="fr-FR"/>
        </w:rPr>
        <w:t>élargir la définition de l</w:t>
      </w:r>
      <w:r w:rsidR="00537437" w:rsidRPr="00855861">
        <w:rPr>
          <w:lang w:val="fr-FR"/>
        </w:rPr>
        <w:t>’</w:t>
      </w:r>
      <w:r w:rsidRPr="00855861">
        <w:rPr>
          <w:lang w:val="fr-FR"/>
        </w:rPr>
        <w:t>état de la technique aux fins de la recherche internationale et de l</w:t>
      </w:r>
      <w:r w:rsidR="00537437" w:rsidRPr="00855861">
        <w:rPr>
          <w:lang w:val="fr-FR"/>
        </w:rPr>
        <w:t>’</w:t>
      </w:r>
      <w:r w:rsidRPr="00855861">
        <w:rPr>
          <w:lang w:val="fr-FR"/>
        </w:rPr>
        <w:t>examen préliminaire international selon</w:t>
      </w:r>
      <w:r w:rsidR="00CD0864" w:rsidRPr="00855861">
        <w:rPr>
          <w:lang w:val="fr-FR"/>
        </w:rPr>
        <w:t xml:space="preserve"> le PCT</w:t>
      </w:r>
      <w:r w:rsidRPr="00855861">
        <w:rPr>
          <w:lang w:val="fr-FR"/>
        </w:rPr>
        <w:t xml:space="preserve"> afin d</w:t>
      </w:r>
      <w:r w:rsidR="00537437" w:rsidRPr="00855861">
        <w:rPr>
          <w:lang w:val="fr-FR"/>
        </w:rPr>
        <w:t>’</w:t>
      </w:r>
      <w:r w:rsidRPr="00855861">
        <w:rPr>
          <w:lang w:val="fr-FR"/>
        </w:rPr>
        <w:t>inclure des divulgations non écrit</w:t>
      </w:r>
      <w:r w:rsidR="00855861" w:rsidRPr="00855861">
        <w:rPr>
          <w:lang w:val="fr-FR"/>
        </w:rPr>
        <w:t>es.  Ce</w:t>
      </w:r>
      <w:r w:rsidRPr="00855861">
        <w:rPr>
          <w:lang w:val="fr-FR"/>
        </w:rPr>
        <w:t xml:space="preserve">la permettrait de mieux aligner la définition sur </w:t>
      </w:r>
      <w:r w:rsidR="002571C4" w:rsidRPr="00855861">
        <w:rPr>
          <w:lang w:val="fr-FR"/>
        </w:rPr>
        <w:t>celles</w:t>
      </w:r>
      <w:r w:rsidRPr="00855861">
        <w:rPr>
          <w:lang w:val="fr-FR"/>
        </w:rPr>
        <w:t xml:space="preserve"> utilisées par de nombreux États contractan</w:t>
      </w:r>
      <w:r w:rsidR="00855861" w:rsidRPr="00855861">
        <w:rPr>
          <w:lang w:val="fr-FR"/>
        </w:rPr>
        <w:t>ts.  La</w:t>
      </w:r>
      <w:r w:rsidRPr="00855861">
        <w:rPr>
          <w:lang w:val="fr-FR"/>
        </w:rPr>
        <w:t xml:space="preserve"> proposition a reçu un large soutien de la part des administrations, et il a été observé qu</w:t>
      </w:r>
      <w:r w:rsidR="00537437" w:rsidRPr="00855861">
        <w:rPr>
          <w:lang w:val="fr-FR"/>
        </w:rPr>
        <w:t>’</w:t>
      </w:r>
      <w:r w:rsidRPr="00855861">
        <w:rPr>
          <w:lang w:val="fr-FR"/>
        </w:rPr>
        <w:t>elle</w:t>
      </w:r>
      <w:r w:rsidR="009D375B" w:rsidRPr="00855861">
        <w:rPr>
          <w:lang w:val="fr-FR"/>
        </w:rPr>
        <w:t xml:space="preserve"> </w:t>
      </w:r>
      <w:r w:rsidRPr="00855861">
        <w:rPr>
          <w:lang w:val="fr-FR"/>
        </w:rPr>
        <w:t>améliorerait la qualité des produits des travaux internationaux en permettant aux examinateurs de prendre en considération les divulgations non écrites lors de l</w:t>
      </w:r>
      <w:r w:rsidR="00537437" w:rsidRPr="00855861">
        <w:rPr>
          <w:lang w:val="fr-FR"/>
        </w:rPr>
        <w:t>’</w:t>
      </w:r>
      <w:r w:rsidRPr="00855861">
        <w:rPr>
          <w:lang w:val="fr-FR"/>
        </w:rPr>
        <w:t>établissement de déclarations motivées sur la nouveauté et l</w:t>
      </w:r>
      <w:r w:rsidR="00537437" w:rsidRPr="00855861">
        <w:rPr>
          <w:lang w:val="fr-FR"/>
        </w:rPr>
        <w:t>’</w:t>
      </w:r>
      <w:r w:rsidRPr="00855861">
        <w:rPr>
          <w:lang w:val="fr-FR"/>
        </w:rPr>
        <w:t>activité inventi</w:t>
      </w:r>
      <w:r w:rsidR="00855861" w:rsidRPr="00855861">
        <w:rPr>
          <w:lang w:val="fr-FR"/>
        </w:rPr>
        <w:t>ve.  Pa</w:t>
      </w:r>
      <w:r w:rsidRPr="00855861">
        <w:rPr>
          <w:lang w:val="fr-FR"/>
        </w:rPr>
        <w:t>r ailleurs, les administrations ont soulevé un certain nombre de questions précis</w:t>
      </w:r>
      <w:r w:rsidR="00855861" w:rsidRPr="00855861">
        <w:rPr>
          <w:lang w:val="fr-FR"/>
        </w:rPr>
        <w:t>es.  Il</w:t>
      </w:r>
      <w:r w:rsidRPr="00855861">
        <w:rPr>
          <w:lang w:val="fr-FR"/>
        </w:rPr>
        <w:t xml:space="preserve"> s</w:t>
      </w:r>
      <w:r w:rsidR="00537437" w:rsidRPr="00855861">
        <w:rPr>
          <w:lang w:val="fr-FR"/>
        </w:rPr>
        <w:t>’</w:t>
      </w:r>
      <w:r w:rsidRPr="00855861">
        <w:rPr>
          <w:lang w:val="fr-FR"/>
        </w:rPr>
        <w:t>agissait notamment des modifications à apporter aux systèmes informatiques et des conseils supplémentaires à fournir aux examinateurs et aux offices de brevets concernant la citation des divulgations non écrites et le stockage des divulgations sur des supports non traditionnels tels que les divulgations vidéo et aud</w:t>
      </w:r>
      <w:r w:rsidR="00855861" w:rsidRPr="00855861">
        <w:rPr>
          <w:lang w:val="fr-FR"/>
        </w:rPr>
        <w:t>io.  Ce</w:t>
      </w:r>
      <w:r w:rsidR="00D34245" w:rsidRPr="00855861">
        <w:rPr>
          <w:lang w:val="fr-FR"/>
        </w:rPr>
        <w:t xml:space="preserve"> point serait particulièrement important si une divulgation antérieure venait à ne plus être disponible sur Internet lors de l</w:t>
      </w:r>
      <w:r w:rsidR="00537437" w:rsidRPr="00855861">
        <w:rPr>
          <w:lang w:val="fr-FR"/>
        </w:rPr>
        <w:t>’</w:t>
      </w:r>
      <w:r w:rsidR="00D34245" w:rsidRPr="00855861">
        <w:rPr>
          <w:lang w:val="fr-FR"/>
        </w:rPr>
        <w:t>examen dans la phase nationale.</w:t>
      </w:r>
    </w:p>
    <w:p w14:paraId="66AA0465" w14:textId="791EC0FE" w:rsidR="006322CC" w:rsidRPr="00855861" w:rsidRDefault="00CB6ED2" w:rsidP="00616788">
      <w:pPr>
        <w:pStyle w:val="ONUMFS"/>
        <w:rPr>
          <w:lang w:val="fr-FR"/>
        </w:rPr>
      </w:pPr>
      <w:r w:rsidRPr="00855861">
        <w:rPr>
          <w:lang w:val="fr-FR"/>
        </w:rPr>
        <w:lastRenderedPageBreak/>
        <w:t xml:space="preserve">À la suite de la Réunion des administrations internationales, le Bureau </w:t>
      </w:r>
      <w:r w:rsidR="00A83CF4" w:rsidRPr="00855861">
        <w:rPr>
          <w:lang w:val="fr-FR"/>
        </w:rPr>
        <w:t>i</w:t>
      </w:r>
      <w:r w:rsidRPr="00855861">
        <w:rPr>
          <w:lang w:val="fr-FR"/>
        </w:rPr>
        <w:t>nternational a entrepris des consultations informelles au moyen du wiki du Sous</w:t>
      </w:r>
      <w:r w:rsidR="00537437" w:rsidRPr="00855861">
        <w:rPr>
          <w:lang w:val="fr-FR"/>
        </w:rPr>
        <w:t>-</w:t>
      </w:r>
      <w:r w:rsidRPr="00855861">
        <w:rPr>
          <w:lang w:val="fr-FR"/>
        </w:rPr>
        <w:t>groupe chargé de la qualité sur un certain nombre de questions soulevées au cours de la réunion.</w:t>
      </w:r>
    </w:p>
    <w:p w14:paraId="3CF60B99" w14:textId="6BF15DCC" w:rsidR="006322CC" w:rsidRPr="00855861" w:rsidRDefault="00CB6ED2" w:rsidP="00616788">
      <w:pPr>
        <w:pStyle w:val="ONUMFS"/>
        <w:rPr>
          <w:lang w:val="fr-FR"/>
        </w:rPr>
      </w:pPr>
      <w:r w:rsidRPr="00855861">
        <w:rPr>
          <w:lang w:val="fr-FR"/>
        </w:rPr>
        <w:t>S</w:t>
      </w:r>
      <w:r w:rsidR="00537437" w:rsidRPr="00855861">
        <w:rPr>
          <w:lang w:val="fr-FR"/>
        </w:rPr>
        <w:t>’</w:t>
      </w:r>
      <w:r w:rsidRPr="00855861">
        <w:rPr>
          <w:lang w:val="fr-FR"/>
        </w:rPr>
        <w:t>agissant de la rédaction des modifications du règlement d</w:t>
      </w:r>
      <w:r w:rsidR="00537437" w:rsidRPr="00855861">
        <w:rPr>
          <w:lang w:val="fr-FR"/>
        </w:rPr>
        <w:t>’</w:t>
      </w:r>
      <w:r w:rsidRPr="00855861">
        <w:rPr>
          <w:lang w:val="fr-FR"/>
        </w:rPr>
        <w:t>exécution</w:t>
      </w:r>
      <w:r w:rsidR="00CD0864" w:rsidRPr="00855861">
        <w:rPr>
          <w:lang w:val="fr-FR"/>
        </w:rPr>
        <w:t xml:space="preserve"> du PCT</w:t>
      </w:r>
      <w:r w:rsidRPr="00855861">
        <w:rPr>
          <w:lang w:val="fr-FR"/>
        </w:rPr>
        <w:t>, il convenait de déterminer s</w:t>
      </w:r>
      <w:r w:rsidR="00537437" w:rsidRPr="00855861">
        <w:rPr>
          <w:lang w:val="fr-FR"/>
        </w:rPr>
        <w:t>’</w:t>
      </w:r>
      <w:r w:rsidRPr="00855861">
        <w:rPr>
          <w:lang w:val="fr-FR"/>
        </w:rPr>
        <w:t xml:space="preserve">il y avait lieu de conserver les </w:t>
      </w:r>
      <w:r w:rsidR="00CD0864" w:rsidRPr="00855861">
        <w:rPr>
          <w:lang w:val="fr-FR"/>
        </w:rPr>
        <w:t>règles 3</w:t>
      </w:r>
      <w:r w:rsidRPr="00855861">
        <w:rPr>
          <w:lang w:val="fr-FR"/>
        </w:rPr>
        <w:t xml:space="preserve">3.1.b) et 64.2 (et par conséquent la </w:t>
      </w:r>
      <w:r w:rsidR="00CD0864" w:rsidRPr="00855861">
        <w:rPr>
          <w:lang w:val="fr-FR"/>
        </w:rPr>
        <w:t>règle 7</w:t>
      </w:r>
      <w:r w:rsidRPr="00855861">
        <w:rPr>
          <w:lang w:val="fr-FR"/>
        </w:rPr>
        <w:t>0.9), qui apparaissaient comme supprimées dans la proposition initiale du Bureau internation</w:t>
      </w:r>
      <w:r w:rsidR="00855861" w:rsidRPr="00855861">
        <w:rPr>
          <w:lang w:val="fr-FR"/>
        </w:rPr>
        <w:t>al.  En</w:t>
      </w:r>
      <w:r w:rsidR="00E33527" w:rsidRPr="00855861">
        <w:rPr>
          <w:lang w:val="fr-FR"/>
        </w:rPr>
        <w:t xml:space="preserve"> vertu de ces dispositions, le rapport de recherche internationale doit énumérer les divulgations écrites qui ont eu lieu à la date du dépôt international (pour la recherche internationale) ou à la date pertinente (pour l</w:t>
      </w:r>
      <w:r w:rsidR="00537437" w:rsidRPr="00855861">
        <w:rPr>
          <w:lang w:val="fr-FR"/>
        </w:rPr>
        <w:t>’</w:t>
      </w:r>
      <w:r w:rsidR="00E33527" w:rsidRPr="00855861">
        <w:rPr>
          <w:lang w:val="fr-FR"/>
        </w:rPr>
        <w:t>examen préliminaire international), ou à une date postérieure, si elles se réfèrent à une divulgation non écrite antérieure à cette date.</w:t>
      </w:r>
    </w:p>
    <w:p w14:paraId="7E67153D" w14:textId="0ABC4533" w:rsidR="006322CC" w:rsidRPr="00855861" w:rsidRDefault="00F03B2D" w:rsidP="00616788">
      <w:pPr>
        <w:pStyle w:val="ONUMFS"/>
        <w:rPr>
          <w:lang w:val="fr-FR"/>
        </w:rPr>
      </w:pPr>
      <w:r w:rsidRPr="00855861">
        <w:rPr>
          <w:lang w:val="fr-FR"/>
        </w:rPr>
        <w:t>Il ressort des résultats provisoires de cette consultation que ces règles demeurent util</w:t>
      </w:r>
      <w:r w:rsidR="00855861" w:rsidRPr="00855861">
        <w:rPr>
          <w:lang w:val="fr-FR"/>
        </w:rPr>
        <w:t>es.  Il</w:t>
      </w:r>
      <w:r w:rsidR="008462DC" w:rsidRPr="00855861">
        <w:rPr>
          <w:lang w:val="fr-FR"/>
        </w:rPr>
        <w:t xml:space="preserve"> peut être souhaitable de modifier légèrement </w:t>
      </w:r>
      <w:r w:rsidR="00A83CF4" w:rsidRPr="00855861">
        <w:rPr>
          <w:lang w:val="fr-FR"/>
        </w:rPr>
        <w:t>le libellé de</w:t>
      </w:r>
      <w:r w:rsidR="008462DC" w:rsidRPr="00855861">
        <w:rPr>
          <w:lang w:val="fr-FR"/>
        </w:rPr>
        <w:t xml:space="preserve"> ces dispositions pour tenir compte du fait qu</w:t>
      </w:r>
      <w:r w:rsidR="00537437" w:rsidRPr="00855861">
        <w:rPr>
          <w:lang w:val="fr-FR"/>
        </w:rPr>
        <w:t>’</w:t>
      </w:r>
      <w:r w:rsidR="008462DC" w:rsidRPr="00855861">
        <w:rPr>
          <w:lang w:val="fr-FR"/>
        </w:rPr>
        <w:t>elles fournissent des éléments de preuve à l</w:t>
      </w:r>
      <w:r w:rsidR="00537437" w:rsidRPr="00855861">
        <w:rPr>
          <w:lang w:val="fr-FR"/>
        </w:rPr>
        <w:t>’</w:t>
      </w:r>
      <w:r w:rsidR="008462DC" w:rsidRPr="00855861">
        <w:rPr>
          <w:lang w:val="fr-FR"/>
        </w:rPr>
        <w:t>appui de la divulgation non écrite qui est l</w:t>
      </w:r>
      <w:r w:rsidR="00537437" w:rsidRPr="00855861">
        <w:rPr>
          <w:lang w:val="fr-FR"/>
        </w:rPr>
        <w:t>’</w:t>
      </w:r>
      <w:r w:rsidR="008462DC" w:rsidRPr="00855861">
        <w:rPr>
          <w:lang w:val="fr-FR"/>
        </w:rPr>
        <w:t>état de la technique ré</w:t>
      </w:r>
      <w:r w:rsidR="00855861" w:rsidRPr="00855861">
        <w:rPr>
          <w:lang w:val="fr-FR"/>
        </w:rPr>
        <w:t>el.  To</w:t>
      </w:r>
      <w:r w:rsidR="008F5870" w:rsidRPr="00855861">
        <w:rPr>
          <w:lang w:val="fr-FR"/>
        </w:rPr>
        <w:t>utefois, aux fins des discussions dans le cadre de la réunion, elles sont restées inchangées.</w:t>
      </w:r>
    </w:p>
    <w:p w14:paraId="008A277E" w14:textId="42DC2804" w:rsidR="00CD0864" w:rsidRPr="00855861" w:rsidRDefault="004E1419" w:rsidP="00616788">
      <w:pPr>
        <w:pStyle w:val="ONUMFS"/>
        <w:rPr>
          <w:lang w:val="fr-FR"/>
        </w:rPr>
      </w:pPr>
      <w:r w:rsidRPr="00855861">
        <w:rPr>
          <w:lang w:val="fr-FR"/>
        </w:rPr>
        <w:t>Une deuxième catégorie de consultations portait sur les questions plus pratiques concernant la citation des divulgations non écrites, notamment</w:t>
      </w:r>
      <w:r w:rsidR="00537437" w:rsidRPr="00855861">
        <w:rPr>
          <w:lang w:val="fr-FR"/>
        </w:rPr>
        <w:t> :</w:t>
      </w:r>
    </w:p>
    <w:p w14:paraId="2A8C61F1" w14:textId="498C6ABD" w:rsidR="00CD0864" w:rsidRPr="00855861" w:rsidRDefault="004E1419" w:rsidP="00616788">
      <w:pPr>
        <w:pStyle w:val="ONUMFS"/>
        <w:numPr>
          <w:ilvl w:val="0"/>
          <w:numId w:val="9"/>
        </w:numPr>
        <w:tabs>
          <w:tab w:val="clear" w:pos="567"/>
          <w:tab w:val="num" w:pos="1134"/>
        </w:tabs>
        <w:ind w:left="1134" w:hanging="567"/>
        <w:rPr>
          <w:lang w:val="fr-FR"/>
        </w:rPr>
      </w:pPr>
      <w:r w:rsidRPr="00855861">
        <w:rPr>
          <w:lang w:val="fr-FR"/>
        </w:rPr>
        <w:t>la citation des divulgations vidéo et audio et leur stockage, les moyens de fournir des preuves de ces divulgations non écrites</w:t>
      </w:r>
      <w:r w:rsidR="00582607" w:rsidRPr="00855861">
        <w:rPr>
          <w:lang w:val="fr-FR"/>
        </w:rPr>
        <w:t>,</w:t>
      </w:r>
      <w:r w:rsidRPr="00855861">
        <w:rPr>
          <w:lang w:val="fr-FR"/>
        </w:rPr>
        <w:t xml:space="preserve"> en particulier si une divulgation antérieure n</w:t>
      </w:r>
      <w:r w:rsidR="00537437" w:rsidRPr="00855861">
        <w:rPr>
          <w:lang w:val="fr-FR"/>
        </w:rPr>
        <w:t>’</w:t>
      </w:r>
      <w:r w:rsidRPr="00855861">
        <w:rPr>
          <w:lang w:val="fr-FR"/>
        </w:rPr>
        <w:t xml:space="preserve">était plus disponible </w:t>
      </w:r>
      <w:r w:rsidR="00582607" w:rsidRPr="00855861">
        <w:rPr>
          <w:lang w:val="fr-FR"/>
        </w:rPr>
        <w:t>en ligne</w:t>
      </w:r>
      <w:r w:rsidRPr="00855861">
        <w:rPr>
          <w:lang w:val="fr-FR"/>
        </w:rPr>
        <w:t>;</w:t>
      </w:r>
    </w:p>
    <w:p w14:paraId="2870B404" w14:textId="2AE7ADD4" w:rsidR="00CD0864" w:rsidRPr="00855861" w:rsidRDefault="004E1419" w:rsidP="00616788">
      <w:pPr>
        <w:pStyle w:val="ONUMFS"/>
        <w:numPr>
          <w:ilvl w:val="0"/>
          <w:numId w:val="9"/>
        </w:numPr>
        <w:tabs>
          <w:tab w:val="clear" w:pos="567"/>
          <w:tab w:val="num" w:pos="1134"/>
        </w:tabs>
        <w:ind w:left="1134" w:hanging="567"/>
        <w:rPr>
          <w:lang w:val="fr-FR"/>
        </w:rPr>
      </w:pPr>
      <w:r w:rsidRPr="00855861">
        <w:rPr>
          <w:lang w:val="fr-FR"/>
        </w:rPr>
        <w:t xml:space="preserve">la documentation des vidéos sous forme écrite, </w:t>
      </w:r>
      <w:r w:rsidR="00537437" w:rsidRPr="00855861">
        <w:rPr>
          <w:lang w:val="fr-FR"/>
        </w:rPr>
        <w:t>y compris</w:t>
      </w:r>
      <w:r w:rsidRPr="00855861">
        <w:rPr>
          <w:lang w:val="fr-FR"/>
        </w:rPr>
        <w:t xml:space="preserve"> la manière de représenter les divulgations non audibles dans des vidéos dans une transcription;</w:t>
      </w:r>
    </w:p>
    <w:p w14:paraId="2B0FFC3A" w14:textId="15045757" w:rsidR="00CD0864" w:rsidRPr="00855861" w:rsidRDefault="004E1419" w:rsidP="00616788">
      <w:pPr>
        <w:pStyle w:val="ONUMFS"/>
        <w:numPr>
          <w:ilvl w:val="0"/>
          <w:numId w:val="9"/>
        </w:numPr>
        <w:tabs>
          <w:tab w:val="clear" w:pos="567"/>
          <w:tab w:val="num" w:pos="1134"/>
        </w:tabs>
        <w:ind w:left="1134" w:hanging="567"/>
        <w:rPr>
          <w:lang w:val="fr-FR"/>
        </w:rPr>
      </w:pPr>
      <w:r w:rsidRPr="00855861">
        <w:rPr>
          <w:lang w:val="fr-FR"/>
        </w:rPr>
        <w:t>des questions relatives au droit d</w:t>
      </w:r>
      <w:r w:rsidR="00537437" w:rsidRPr="00855861">
        <w:rPr>
          <w:lang w:val="fr-FR"/>
        </w:rPr>
        <w:t>’</w:t>
      </w:r>
      <w:r w:rsidRPr="00855861">
        <w:rPr>
          <w:lang w:val="fr-FR"/>
        </w:rPr>
        <w:t>auteur et à la taille des fichiers lors de la sauvegarde et de la distribution des enregistrements audio et vidéo;</w:t>
      </w:r>
    </w:p>
    <w:p w14:paraId="56895B9E" w14:textId="5FBE085B" w:rsidR="006322CC" w:rsidRPr="00855861" w:rsidRDefault="004E1419" w:rsidP="00616788">
      <w:pPr>
        <w:pStyle w:val="ONUMFS"/>
        <w:numPr>
          <w:ilvl w:val="0"/>
          <w:numId w:val="9"/>
        </w:numPr>
        <w:tabs>
          <w:tab w:val="clear" w:pos="567"/>
          <w:tab w:val="num" w:pos="1134"/>
        </w:tabs>
        <w:ind w:left="1134" w:hanging="567"/>
        <w:rPr>
          <w:lang w:val="fr-FR"/>
        </w:rPr>
      </w:pPr>
      <w:r w:rsidRPr="00855861">
        <w:rPr>
          <w:lang w:val="fr-FR"/>
        </w:rPr>
        <w:t>l</w:t>
      </w:r>
      <w:r w:rsidR="00537437" w:rsidRPr="00855861">
        <w:rPr>
          <w:lang w:val="fr-FR"/>
        </w:rPr>
        <w:t>’</w:t>
      </w:r>
      <w:r w:rsidRPr="00855861">
        <w:rPr>
          <w:lang w:val="fr-FR"/>
        </w:rPr>
        <w:t>identification fiable des dates de divulgation, ainsi que la distinction entre la date d</w:t>
      </w:r>
      <w:r w:rsidR="00537437" w:rsidRPr="00855861">
        <w:rPr>
          <w:lang w:val="fr-FR"/>
        </w:rPr>
        <w:t>’</w:t>
      </w:r>
      <w:r w:rsidRPr="00855861">
        <w:rPr>
          <w:lang w:val="fr-FR"/>
        </w:rPr>
        <w:t xml:space="preserve">une divulgation originale et la date à laquelle un enregistrement particulier de cette divulgation avait été mis à disposition sur un système en ligne; </w:t>
      </w:r>
      <w:r w:rsidR="00642C96" w:rsidRPr="00855861">
        <w:rPr>
          <w:lang w:val="fr-FR"/>
        </w:rPr>
        <w:t xml:space="preserve"> </w:t>
      </w:r>
      <w:r w:rsidRPr="00855861">
        <w:rPr>
          <w:lang w:val="fr-FR"/>
        </w:rPr>
        <w:t>et</w:t>
      </w:r>
    </w:p>
    <w:p w14:paraId="260CEA10" w14:textId="6300E96D" w:rsidR="006322CC" w:rsidRPr="00855861" w:rsidRDefault="004E1419" w:rsidP="00616788">
      <w:pPr>
        <w:pStyle w:val="ONUMFS"/>
        <w:numPr>
          <w:ilvl w:val="0"/>
          <w:numId w:val="9"/>
        </w:numPr>
        <w:tabs>
          <w:tab w:val="clear" w:pos="567"/>
          <w:tab w:val="num" w:pos="1134"/>
        </w:tabs>
        <w:ind w:left="1134" w:hanging="567"/>
        <w:rPr>
          <w:lang w:val="fr-FR"/>
        </w:rPr>
      </w:pPr>
      <w:r w:rsidRPr="00855861">
        <w:rPr>
          <w:lang w:val="fr-FR"/>
        </w:rPr>
        <w:t>la manière dont les divulgations par Internet sont effectuées</w:t>
      </w:r>
      <w:r w:rsidR="00CD0864" w:rsidRPr="00855861">
        <w:rPr>
          <w:lang w:val="fr-FR"/>
        </w:rPr>
        <w:t xml:space="preserve"> – </w:t>
      </w:r>
      <w:r w:rsidRPr="00855861">
        <w:rPr>
          <w:lang w:val="fr-FR"/>
        </w:rPr>
        <w:t>par exemple, une administration chargée de la recherche internationale imprime la capture d</w:t>
      </w:r>
      <w:r w:rsidR="00537437" w:rsidRPr="00855861">
        <w:rPr>
          <w:lang w:val="fr-FR"/>
        </w:rPr>
        <w:t>’</w:t>
      </w:r>
      <w:r w:rsidRPr="00855861">
        <w:rPr>
          <w:lang w:val="fr-FR"/>
        </w:rPr>
        <w:t>écran de l</w:t>
      </w:r>
      <w:r w:rsidR="00537437" w:rsidRPr="00855861">
        <w:rPr>
          <w:lang w:val="fr-FR"/>
        </w:rPr>
        <w:t>’</w:t>
      </w:r>
      <w:r w:rsidRPr="00855861">
        <w:rPr>
          <w:lang w:val="fr-FR"/>
        </w:rPr>
        <w:t xml:space="preserve">URL et la traite comme une divulgation écrite plutôt que de la citer en lui attribuant la catégorie </w:t>
      </w:r>
      <w:r w:rsidR="00CD0864" w:rsidRPr="00855861">
        <w:rPr>
          <w:lang w:val="fr-FR"/>
        </w:rPr>
        <w:t>“O”</w:t>
      </w:r>
      <w:r w:rsidRPr="00855861">
        <w:rPr>
          <w:lang w:val="fr-FR"/>
        </w:rPr>
        <w:t>.</w:t>
      </w:r>
    </w:p>
    <w:p w14:paraId="2DDEE428" w14:textId="6297565B" w:rsidR="006322CC" w:rsidRPr="00855861" w:rsidRDefault="00592AC0" w:rsidP="00616788">
      <w:pPr>
        <w:pStyle w:val="ONUMFS"/>
        <w:rPr>
          <w:lang w:val="fr-FR"/>
        </w:rPr>
      </w:pPr>
      <w:r w:rsidRPr="00855861">
        <w:rPr>
          <w:lang w:val="fr-FR"/>
        </w:rPr>
        <w:t>Les administrations ont été invitées à formuler des observations et à partager leurs pratiques sur ces questions ainsi que sur tout autre point susceptible de présenter un intérêt quant à la manière dont toute modification du règlement d</w:t>
      </w:r>
      <w:r w:rsidR="00537437" w:rsidRPr="00855861">
        <w:rPr>
          <w:lang w:val="fr-FR"/>
        </w:rPr>
        <w:t>’</w:t>
      </w:r>
      <w:r w:rsidRPr="00855861">
        <w:rPr>
          <w:lang w:val="fr-FR"/>
        </w:rPr>
        <w:t>exécution</w:t>
      </w:r>
      <w:r w:rsidR="00CD0864" w:rsidRPr="00855861">
        <w:rPr>
          <w:lang w:val="fr-FR"/>
        </w:rPr>
        <w:t xml:space="preserve"> du PCT</w:t>
      </w:r>
      <w:r w:rsidRPr="00855861">
        <w:rPr>
          <w:lang w:val="fr-FR"/>
        </w:rPr>
        <w:t xml:space="preserve"> pourrait être mise en </w:t>
      </w:r>
      <w:r w:rsidR="00CD0864" w:rsidRPr="00855861">
        <w:rPr>
          <w:lang w:val="fr-FR"/>
        </w:rPr>
        <w:t>œuvre</w:t>
      </w:r>
      <w:r w:rsidRPr="00855861">
        <w:rPr>
          <w:lang w:val="fr-FR"/>
        </w:rPr>
        <w:t xml:space="preserve"> dans les modifications </w:t>
      </w:r>
      <w:r w:rsidR="0097019D" w:rsidRPr="00855861">
        <w:rPr>
          <w:lang w:val="fr-FR"/>
        </w:rPr>
        <w:t>des</w:t>
      </w:r>
      <w:r w:rsidRPr="00855861">
        <w:rPr>
          <w:lang w:val="fr-FR"/>
        </w:rPr>
        <w:t xml:space="preserve"> Instructions administratives</w:t>
      </w:r>
      <w:r w:rsidR="00CD0864" w:rsidRPr="00855861">
        <w:rPr>
          <w:lang w:val="fr-FR"/>
        </w:rPr>
        <w:t xml:space="preserve"> du PCT</w:t>
      </w:r>
      <w:r w:rsidRPr="00855861">
        <w:rPr>
          <w:lang w:val="fr-FR"/>
        </w:rPr>
        <w:t xml:space="preserve"> et </w:t>
      </w:r>
      <w:r w:rsidR="0097019D" w:rsidRPr="00855861">
        <w:rPr>
          <w:lang w:val="fr-FR"/>
        </w:rPr>
        <w:t>des</w:t>
      </w:r>
      <w:r w:rsidRPr="00855861">
        <w:rPr>
          <w:lang w:val="fr-FR"/>
        </w:rPr>
        <w:t xml:space="preserve"> Directives concernant la recherche internationale et l</w:t>
      </w:r>
      <w:r w:rsidR="00537437" w:rsidRPr="00855861">
        <w:rPr>
          <w:lang w:val="fr-FR"/>
        </w:rPr>
        <w:t>’</w:t>
      </w:r>
      <w:r w:rsidRPr="00855861">
        <w:rPr>
          <w:lang w:val="fr-FR"/>
        </w:rPr>
        <w:t>examen préliminaire international selon</w:t>
      </w:r>
      <w:r w:rsidR="00CD0864" w:rsidRPr="00855861">
        <w:rPr>
          <w:lang w:val="fr-FR"/>
        </w:rPr>
        <w:t xml:space="preserve"> le PCT</w:t>
      </w:r>
      <w:r w:rsidRPr="00855861">
        <w:rPr>
          <w:lang w:val="fr-FR"/>
        </w:rPr>
        <w:t xml:space="preserve">, ou </w:t>
      </w:r>
      <w:r w:rsidR="002B4914" w:rsidRPr="00855861">
        <w:rPr>
          <w:lang w:val="fr-FR"/>
        </w:rPr>
        <w:t>quant à</w:t>
      </w:r>
      <w:r w:rsidRPr="00855861">
        <w:rPr>
          <w:lang w:val="fr-FR"/>
        </w:rPr>
        <w:t xml:space="preserve"> l</w:t>
      </w:r>
      <w:r w:rsidR="00537437" w:rsidRPr="00855861">
        <w:rPr>
          <w:lang w:val="fr-FR"/>
        </w:rPr>
        <w:t>’</w:t>
      </w:r>
      <w:r w:rsidRPr="00855861">
        <w:rPr>
          <w:lang w:val="fr-FR"/>
        </w:rPr>
        <w:t>élaboration de la norme</w:t>
      </w:r>
      <w:r w:rsidR="00642C96" w:rsidRPr="00855861">
        <w:rPr>
          <w:lang w:val="fr-FR"/>
        </w:rPr>
        <w:t> </w:t>
      </w:r>
      <w:r w:rsidRPr="00855861">
        <w:rPr>
          <w:lang w:val="fr-FR"/>
        </w:rPr>
        <w:t>ST.14 de l</w:t>
      </w:r>
      <w:r w:rsidR="00537437" w:rsidRPr="00855861">
        <w:rPr>
          <w:lang w:val="fr-FR"/>
        </w:rPr>
        <w:t>’</w:t>
      </w:r>
      <w:r w:rsidRPr="00855861">
        <w:rPr>
          <w:lang w:val="fr-FR"/>
        </w:rPr>
        <w:t>O</w:t>
      </w:r>
      <w:r w:rsidR="00855861" w:rsidRPr="00855861">
        <w:rPr>
          <w:lang w:val="fr-FR"/>
        </w:rPr>
        <w:t>MPI.  Ce</w:t>
      </w:r>
      <w:r w:rsidRPr="00855861">
        <w:rPr>
          <w:lang w:val="fr-FR"/>
        </w:rPr>
        <w:t>s consultations sont en cours.</w:t>
      </w:r>
    </w:p>
    <w:p w14:paraId="6AA09275" w14:textId="705CBD3C" w:rsidR="006322CC" w:rsidRPr="00855861" w:rsidRDefault="00616788" w:rsidP="00616788">
      <w:pPr>
        <w:pStyle w:val="Heading1"/>
        <w:rPr>
          <w:lang w:val="fr-FR"/>
        </w:rPr>
      </w:pPr>
      <w:r w:rsidRPr="00855861">
        <w:rPr>
          <w:lang w:val="fr-FR"/>
        </w:rPr>
        <w:t>Propositions de modifications concernant la citation de documents non écrits</w:t>
      </w:r>
    </w:p>
    <w:p w14:paraId="0578BC05" w14:textId="2C0D17AD" w:rsidR="00CD0864" w:rsidRPr="00855861" w:rsidRDefault="00616788" w:rsidP="00616788">
      <w:pPr>
        <w:pStyle w:val="Heading2"/>
        <w:rPr>
          <w:lang w:val="fr-FR"/>
        </w:rPr>
      </w:pPr>
      <w:r w:rsidRPr="00855861">
        <w:rPr>
          <w:lang w:val="fr-FR"/>
        </w:rPr>
        <w:t>Définition de l</w:t>
      </w:r>
      <w:r w:rsidR="00537437" w:rsidRPr="00855861">
        <w:rPr>
          <w:lang w:val="fr-FR"/>
        </w:rPr>
        <w:t>’</w:t>
      </w:r>
      <w:r w:rsidRPr="00855861">
        <w:rPr>
          <w:lang w:val="fr-FR"/>
        </w:rPr>
        <w:t>état de la technique</w:t>
      </w:r>
    </w:p>
    <w:p w14:paraId="62B992F1" w14:textId="6BEF82E4" w:rsidR="006322CC" w:rsidRPr="00855861" w:rsidRDefault="00592AC0" w:rsidP="00616788">
      <w:pPr>
        <w:pStyle w:val="ONUMFS"/>
        <w:rPr>
          <w:lang w:val="fr-FR"/>
        </w:rPr>
      </w:pPr>
      <w:r w:rsidRPr="00855861">
        <w:rPr>
          <w:lang w:val="fr-FR"/>
        </w:rPr>
        <w:t>L</w:t>
      </w:r>
      <w:r w:rsidR="00537437" w:rsidRPr="00855861">
        <w:rPr>
          <w:lang w:val="fr-FR"/>
        </w:rPr>
        <w:t>’</w:t>
      </w:r>
      <w:r w:rsidRPr="00855861">
        <w:rPr>
          <w:lang w:val="fr-FR"/>
        </w:rPr>
        <w:t>annexe du présent document contient des projets de modification du règlement d</w:t>
      </w:r>
      <w:r w:rsidR="00537437" w:rsidRPr="00855861">
        <w:rPr>
          <w:lang w:val="fr-FR"/>
        </w:rPr>
        <w:t>’</w:t>
      </w:r>
      <w:r w:rsidRPr="00855861">
        <w:rPr>
          <w:lang w:val="fr-FR"/>
        </w:rPr>
        <w:t>exécution</w:t>
      </w:r>
      <w:r w:rsidR="00CD0864" w:rsidRPr="00855861">
        <w:rPr>
          <w:lang w:val="fr-FR"/>
        </w:rPr>
        <w:t xml:space="preserve"> du PCT</w:t>
      </w:r>
      <w:r w:rsidRPr="00855861">
        <w:rPr>
          <w:lang w:val="fr-FR"/>
        </w:rPr>
        <w:t xml:space="preserve"> qui élargiraient la définition de l</w:t>
      </w:r>
      <w:r w:rsidR="00537437" w:rsidRPr="00855861">
        <w:rPr>
          <w:lang w:val="fr-FR"/>
        </w:rPr>
        <w:t>’</w:t>
      </w:r>
      <w:r w:rsidRPr="00855861">
        <w:rPr>
          <w:lang w:val="fr-FR"/>
        </w:rPr>
        <w:t>état de la technique pertinent pour couvrir tous les types de divulgations, qu</w:t>
      </w:r>
      <w:r w:rsidR="00537437" w:rsidRPr="00855861">
        <w:rPr>
          <w:lang w:val="fr-FR"/>
        </w:rPr>
        <w:t>’</w:t>
      </w:r>
      <w:r w:rsidRPr="00855861">
        <w:rPr>
          <w:lang w:val="fr-FR"/>
        </w:rPr>
        <w:t>elles soient écrites ou n</w:t>
      </w:r>
      <w:r w:rsidR="00855861" w:rsidRPr="00855861">
        <w:rPr>
          <w:lang w:val="fr-FR"/>
        </w:rPr>
        <w:t>on.  La</w:t>
      </w:r>
      <w:r w:rsidRPr="00855861">
        <w:rPr>
          <w:lang w:val="fr-FR"/>
        </w:rPr>
        <w:t xml:space="preserve"> définition de l</w:t>
      </w:r>
      <w:r w:rsidR="00537437" w:rsidRPr="00855861">
        <w:rPr>
          <w:lang w:val="fr-FR"/>
        </w:rPr>
        <w:t>’</w:t>
      </w:r>
      <w:r w:rsidRPr="00855861">
        <w:rPr>
          <w:lang w:val="fr-FR"/>
        </w:rPr>
        <w:t xml:space="preserve">état de la technique figurant dans ces modifications est censée être conforme </w:t>
      </w:r>
      <w:r w:rsidR="0097019D" w:rsidRPr="00855861">
        <w:rPr>
          <w:lang w:val="fr-FR"/>
        </w:rPr>
        <w:t xml:space="preserve">à celle énoncée dans la </w:t>
      </w:r>
      <w:r w:rsidRPr="00855861">
        <w:rPr>
          <w:lang w:val="fr-FR"/>
        </w:rPr>
        <w:lastRenderedPageBreak/>
        <w:t>législation nationale et régionale en matière de breve</w:t>
      </w:r>
      <w:r w:rsidR="00855861" w:rsidRPr="00855861">
        <w:rPr>
          <w:lang w:val="fr-FR"/>
        </w:rPr>
        <w:t>ts.  Ai</w:t>
      </w:r>
      <w:r w:rsidRPr="00855861">
        <w:rPr>
          <w:lang w:val="fr-FR"/>
        </w:rPr>
        <w:t>nsi qu</w:t>
      </w:r>
      <w:r w:rsidR="00537437" w:rsidRPr="00855861">
        <w:rPr>
          <w:lang w:val="fr-FR"/>
        </w:rPr>
        <w:t>’</w:t>
      </w:r>
      <w:r w:rsidRPr="00855861">
        <w:rPr>
          <w:lang w:val="fr-FR"/>
        </w:rPr>
        <w:t xml:space="preserve">il est indiqué au </w:t>
      </w:r>
      <w:r w:rsidR="00CD0864" w:rsidRPr="00855861">
        <w:rPr>
          <w:lang w:val="fr-FR"/>
        </w:rPr>
        <w:t>paragraphe 4</w:t>
      </w:r>
      <w:r w:rsidRPr="00855861">
        <w:rPr>
          <w:lang w:val="fr-FR"/>
        </w:rPr>
        <w:t xml:space="preserve"> ci</w:t>
      </w:r>
      <w:r w:rsidR="00537437" w:rsidRPr="00855861">
        <w:rPr>
          <w:lang w:val="fr-FR"/>
        </w:rPr>
        <w:t>-</w:t>
      </w:r>
      <w:r w:rsidRPr="00855861">
        <w:rPr>
          <w:lang w:val="fr-FR"/>
        </w:rPr>
        <w:t xml:space="preserve">dessus, les projets de modification proposés diffèrent des modifications exposées dans le document PCT/MIA/29/2 en ce que les </w:t>
      </w:r>
      <w:r w:rsidR="00CD0864" w:rsidRPr="00855861">
        <w:rPr>
          <w:lang w:val="fr-FR"/>
        </w:rPr>
        <w:t>règles 3</w:t>
      </w:r>
      <w:r w:rsidRPr="00855861">
        <w:rPr>
          <w:lang w:val="fr-FR"/>
        </w:rPr>
        <w:t>3.1.b) et 64.2 du règlement d</w:t>
      </w:r>
      <w:r w:rsidR="00537437" w:rsidRPr="00855861">
        <w:rPr>
          <w:lang w:val="fr-FR"/>
        </w:rPr>
        <w:t>’</w:t>
      </w:r>
      <w:r w:rsidRPr="00855861">
        <w:rPr>
          <w:lang w:val="fr-FR"/>
        </w:rPr>
        <w:t>exécution</w:t>
      </w:r>
      <w:r w:rsidR="00CD0864" w:rsidRPr="00855861">
        <w:rPr>
          <w:lang w:val="fr-FR"/>
        </w:rPr>
        <w:t xml:space="preserve"> du PCT</w:t>
      </w:r>
      <w:r w:rsidRPr="00855861">
        <w:rPr>
          <w:lang w:val="fr-FR"/>
        </w:rPr>
        <w:t xml:space="preserve"> sont conservées.</w:t>
      </w:r>
    </w:p>
    <w:p w14:paraId="21CF6478" w14:textId="0889C433" w:rsidR="00CD0864" w:rsidRPr="00855861" w:rsidRDefault="00616788" w:rsidP="00616788">
      <w:pPr>
        <w:pStyle w:val="Heading2"/>
        <w:rPr>
          <w:lang w:val="fr-FR"/>
        </w:rPr>
      </w:pPr>
      <w:r w:rsidRPr="00855861">
        <w:rPr>
          <w:lang w:val="fr-FR"/>
        </w:rPr>
        <w:t>Pratiques en matière de citation de divulgations non écrites</w:t>
      </w:r>
    </w:p>
    <w:p w14:paraId="1D03C8A4" w14:textId="34892863" w:rsidR="006322CC" w:rsidRPr="00855861" w:rsidRDefault="00A34EA8" w:rsidP="00616788">
      <w:pPr>
        <w:pStyle w:val="ONUMFS"/>
        <w:rPr>
          <w:lang w:val="fr-FR"/>
        </w:rPr>
      </w:pPr>
      <w:r w:rsidRPr="00855861">
        <w:rPr>
          <w:lang w:val="fr-FR"/>
        </w:rPr>
        <w:t>Compte tenu des modifications qu</w:t>
      </w:r>
      <w:r w:rsidR="00537437" w:rsidRPr="00855861">
        <w:rPr>
          <w:lang w:val="fr-FR"/>
        </w:rPr>
        <w:t>’</w:t>
      </w:r>
      <w:r w:rsidRPr="00855861">
        <w:rPr>
          <w:lang w:val="fr-FR"/>
        </w:rPr>
        <w:t>il est proposé d</w:t>
      </w:r>
      <w:r w:rsidR="00537437" w:rsidRPr="00855861">
        <w:rPr>
          <w:lang w:val="fr-FR"/>
        </w:rPr>
        <w:t>’</w:t>
      </w:r>
      <w:r w:rsidRPr="00855861">
        <w:rPr>
          <w:lang w:val="fr-FR"/>
        </w:rPr>
        <w:t>apporter au règlement d</w:t>
      </w:r>
      <w:r w:rsidR="00537437" w:rsidRPr="00855861">
        <w:rPr>
          <w:lang w:val="fr-FR"/>
        </w:rPr>
        <w:t>’</w:t>
      </w:r>
      <w:r w:rsidRPr="00855861">
        <w:rPr>
          <w:lang w:val="fr-FR"/>
        </w:rPr>
        <w:t>exécution</w:t>
      </w:r>
      <w:r w:rsidR="00CD0864" w:rsidRPr="00855861">
        <w:rPr>
          <w:lang w:val="fr-FR"/>
        </w:rPr>
        <w:t xml:space="preserve"> du PCT</w:t>
      </w:r>
      <w:r w:rsidRPr="00855861">
        <w:rPr>
          <w:lang w:val="fr-FR"/>
        </w:rPr>
        <w:t xml:space="preserve">, il serait mis fin au traitement spécifique des divulgations non écrites et différents formulaires des </w:t>
      </w:r>
      <w:r w:rsidR="00CD0864" w:rsidRPr="00855861">
        <w:rPr>
          <w:lang w:val="fr-FR"/>
        </w:rPr>
        <w:t>chapitres I</w:t>
      </w:r>
      <w:r w:rsidRPr="00855861">
        <w:rPr>
          <w:lang w:val="fr-FR"/>
        </w:rPr>
        <w:t xml:space="preserve"> et II</w:t>
      </w:r>
      <w:r w:rsidR="00CD0864" w:rsidRPr="00855861">
        <w:rPr>
          <w:lang w:val="fr-FR"/>
        </w:rPr>
        <w:t xml:space="preserve"> du PCT</w:t>
      </w:r>
      <w:r w:rsidRPr="00855861">
        <w:rPr>
          <w:lang w:val="fr-FR"/>
        </w:rPr>
        <w:t xml:space="preserve"> devraient être considérablement simplifi</w:t>
      </w:r>
      <w:r w:rsidR="00855861" w:rsidRPr="00855861">
        <w:rPr>
          <w:lang w:val="fr-FR"/>
        </w:rPr>
        <w:t>és.  Le</w:t>
      </w:r>
      <w:r w:rsidRPr="00855861">
        <w:rPr>
          <w:lang w:val="fr-FR"/>
        </w:rPr>
        <w:t xml:space="preserve">s principaux changements auraient une incidence sur les formulaires ISA/237 et IPEA/408 ou 409, </w:t>
      </w:r>
      <w:r w:rsidR="00537437" w:rsidRPr="00855861">
        <w:rPr>
          <w:lang w:val="fr-FR"/>
        </w:rPr>
        <w:t>y compris</w:t>
      </w:r>
      <w:r w:rsidRPr="00855861">
        <w:rPr>
          <w:lang w:val="fr-FR"/>
        </w:rPr>
        <w:t xml:space="preserve"> les encadrés n</w:t>
      </w:r>
      <w:r w:rsidR="00855861" w:rsidRPr="00855861">
        <w:rPr>
          <w:vertAlign w:val="superscript"/>
          <w:lang w:val="fr-FR"/>
        </w:rPr>
        <w:t>os</w:t>
      </w:r>
      <w:r w:rsidR="00855861" w:rsidRPr="00855861">
        <w:rPr>
          <w:lang w:val="fr-FR"/>
        </w:rPr>
        <w:t> </w:t>
      </w:r>
      <w:r w:rsidRPr="00855861">
        <w:rPr>
          <w:lang w:val="fr-FR"/>
        </w:rPr>
        <w:t>V et VI qui ont été principalement conçus pour permettre des citations de documents écri</w:t>
      </w:r>
      <w:r w:rsidR="00855861" w:rsidRPr="00855861">
        <w:rPr>
          <w:lang w:val="fr-FR"/>
        </w:rPr>
        <w:t>ts.  Si</w:t>
      </w:r>
      <w:r w:rsidRPr="00855861">
        <w:rPr>
          <w:lang w:val="fr-FR"/>
        </w:rPr>
        <w:t xml:space="preserve"> les simplifications sont bonnes en soi, un travail considérable serait encore nécessaire pour adapter les Instructions administratives</w:t>
      </w:r>
      <w:r w:rsidR="00CD0864" w:rsidRPr="00855861">
        <w:rPr>
          <w:lang w:val="fr-FR"/>
        </w:rPr>
        <w:t xml:space="preserve"> du PCT</w:t>
      </w:r>
      <w:r w:rsidRPr="00855861">
        <w:rPr>
          <w:lang w:val="fr-FR"/>
        </w:rPr>
        <w:t xml:space="preserve"> et les Directives concernant la recherche internationale et l</w:t>
      </w:r>
      <w:r w:rsidR="00537437" w:rsidRPr="00855861">
        <w:rPr>
          <w:lang w:val="fr-FR"/>
        </w:rPr>
        <w:t>’</w:t>
      </w:r>
      <w:r w:rsidRPr="00855861">
        <w:rPr>
          <w:lang w:val="fr-FR"/>
        </w:rPr>
        <w:t>examen préliminaire international selon</w:t>
      </w:r>
      <w:r w:rsidR="00CD0864" w:rsidRPr="00855861">
        <w:rPr>
          <w:lang w:val="fr-FR"/>
        </w:rPr>
        <w:t xml:space="preserve"> le PCT</w:t>
      </w:r>
      <w:r w:rsidRPr="00855861">
        <w:rPr>
          <w:lang w:val="fr-FR"/>
        </w:rPr>
        <w:t>, et pour revoir le contenu de la norme</w:t>
      </w:r>
      <w:r w:rsidR="00642C96" w:rsidRPr="00855861">
        <w:rPr>
          <w:lang w:val="fr-FR"/>
        </w:rPr>
        <w:t> </w:t>
      </w:r>
      <w:r w:rsidRPr="00855861">
        <w:rPr>
          <w:lang w:val="fr-FR"/>
        </w:rPr>
        <w:t>ST.14 de l</w:t>
      </w:r>
      <w:r w:rsidR="00537437" w:rsidRPr="00855861">
        <w:rPr>
          <w:lang w:val="fr-FR"/>
        </w:rPr>
        <w:t>’</w:t>
      </w:r>
      <w:r w:rsidRPr="00855861">
        <w:rPr>
          <w:lang w:val="fr-FR"/>
        </w:rPr>
        <w:t>O</w:t>
      </w:r>
      <w:r w:rsidR="00855861" w:rsidRPr="00855861">
        <w:rPr>
          <w:lang w:val="fr-FR"/>
        </w:rPr>
        <w:t>MPI.  Ce</w:t>
      </w:r>
      <w:r w:rsidRPr="00855861">
        <w:rPr>
          <w:lang w:val="fr-FR"/>
        </w:rPr>
        <w:t xml:space="preserve">rtaines des questions concrètes à traiter ont été énumérées au </w:t>
      </w:r>
      <w:r w:rsidR="00CD0864" w:rsidRPr="00855861">
        <w:rPr>
          <w:lang w:val="fr-FR"/>
        </w:rPr>
        <w:t>paragraphe 6</w:t>
      </w:r>
      <w:r w:rsidRPr="00855861">
        <w:rPr>
          <w:lang w:val="fr-FR"/>
        </w:rPr>
        <w:t xml:space="preserve"> du présent docume</w:t>
      </w:r>
      <w:r w:rsidR="00855861" w:rsidRPr="00855861">
        <w:rPr>
          <w:lang w:val="fr-FR"/>
        </w:rPr>
        <w:t>nt.  La</w:t>
      </w:r>
      <w:r w:rsidR="007A0B97" w:rsidRPr="00855861">
        <w:rPr>
          <w:lang w:val="fr-FR"/>
        </w:rPr>
        <w:t xml:space="preserve"> difficulté de ce travail tient en partie à la diversité des formats utilisés pour les citations se rapportant à des documents non écri</w:t>
      </w:r>
      <w:r w:rsidR="00855861" w:rsidRPr="00855861">
        <w:rPr>
          <w:lang w:val="fr-FR"/>
        </w:rPr>
        <w:t>ts.  Pl</w:t>
      </w:r>
      <w:r w:rsidR="009C7749" w:rsidRPr="00855861">
        <w:rPr>
          <w:lang w:val="fr-FR"/>
        </w:rPr>
        <w:t>usieurs types de documents non écrits, tels que des vidéos, des enregistrements audio ou des fichiers multimédia</w:t>
      </w:r>
      <w:r w:rsidR="00E41A02">
        <w:rPr>
          <w:lang w:val="fr-FR"/>
        </w:rPr>
        <w:t>s</w:t>
      </w:r>
      <w:r w:rsidR="009C7749" w:rsidRPr="00855861">
        <w:rPr>
          <w:lang w:val="fr-FR"/>
        </w:rPr>
        <w:t>, présentent des caractéristiques qui ne sont pas partagées avec les citations de documents écrits habituell</w:t>
      </w:r>
      <w:r w:rsidR="00855861" w:rsidRPr="00855861">
        <w:rPr>
          <w:lang w:val="fr-FR"/>
        </w:rPr>
        <w:t>es.  En</w:t>
      </w:r>
      <w:r w:rsidR="009C7749" w:rsidRPr="00855861">
        <w:rPr>
          <w:lang w:val="fr-FR"/>
        </w:rPr>
        <w:t xml:space="preserve"> outre, des ajustements des systèmes informatiques utilisés par les administrations pour publier les formulaires PCT seront nécessaires après une décision sur les modalités de mise en </w:t>
      </w:r>
      <w:r w:rsidR="00CD0864" w:rsidRPr="00855861">
        <w:rPr>
          <w:lang w:val="fr-FR"/>
        </w:rPr>
        <w:t>œuvre</w:t>
      </w:r>
      <w:r w:rsidR="009C7749" w:rsidRPr="00855861">
        <w:rPr>
          <w:lang w:val="fr-FR"/>
        </w:rPr>
        <w:t xml:space="preserve"> et les nouvelles pratiques liées au changeme</w:t>
      </w:r>
      <w:r w:rsidR="00855861" w:rsidRPr="00855861">
        <w:rPr>
          <w:lang w:val="fr-FR"/>
        </w:rPr>
        <w:t>nt.  En</w:t>
      </w:r>
      <w:r w:rsidR="009C7749" w:rsidRPr="00855861">
        <w:rPr>
          <w:lang w:val="fr-FR"/>
        </w:rPr>
        <w:t xml:space="preserve"> particulier, un travail de développement important sur l</w:t>
      </w:r>
      <w:r w:rsidR="00537437" w:rsidRPr="00855861">
        <w:rPr>
          <w:lang w:val="fr-FR"/>
        </w:rPr>
        <w:t>’</w:t>
      </w:r>
      <w:r w:rsidR="009C7749" w:rsidRPr="00855861">
        <w:rPr>
          <w:lang w:val="fr-FR"/>
        </w:rPr>
        <w:t>environnement logiciel utilisé par les examinateurs de brevets pour saisir les données de citation serait nécessaire et aurait une forte incidence sur le calendrier de mise en œuv</w:t>
      </w:r>
      <w:r w:rsidR="00855861" w:rsidRPr="00855861">
        <w:rPr>
          <w:lang w:val="fr-FR"/>
        </w:rPr>
        <w:t>re.  Un</w:t>
      </w:r>
      <w:r w:rsidR="009C7749" w:rsidRPr="00855861">
        <w:rPr>
          <w:lang w:val="fr-FR"/>
        </w:rPr>
        <w:t xml:space="preserve"> plan minutieux d</w:t>
      </w:r>
      <w:r w:rsidR="00537437" w:rsidRPr="00855861">
        <w:rPr>
          <w:lang w:val="fr-FR"/>
        </w:rPr>
        <w:t>’</w:t>
      </w:r>
      <w:r w:rsidR="009C7749" w:rsidRPr="00855861">
        <w:rPr>
          <w:lang w:val="fr-FR"/>
        </w:rPr>
        <w:t>allocation de ressources pour la modernisation des systèmes informatiques devrait être élaboré en conséquen</w:t>
      </w:r>
      <w:r w:rsidR="00855861" w:rsidRPr="00855861">
        <w:rPr>
          <w:lang w:val="fr-FR"/>
        </w:rPr>
        <w:t>ce.  Le</w:t>
      </w:r>
      <w:r w:rsidR="009C7749" w:rsidRPr="00855861">
        <w:rPr>
          <w:lang w:val="fr-FR"/>
        </w:rPr>
        <w:t xml:space="preserve"> Bureau </w:t>
      </w:r>
      <w:r w:rsidR="00A83CF4" w:rsidRPr="00855861">
        <w:rPr>
          <w:lang w:val="fr-FR"/>
        </w:rPr>
        <w:t>i</w:t>
      </w:r>
      <w:r w:rsidR="009C7749" w:rsidRPr="00855861">
        <w:rPr>
          <w:lang w:val="fr-FR"/>
        </w:rPr>
        <w:t>nternational actualiserait ses services ePCT pour que les administrations internationales tiennent compte des modifications.</w:t>
      </w:r>
    </w:p>
    <w:p w14:paraId="4A1185C7" w14:textId="0CB5E11B" w:rsidR="006322CC" w:rsidRPr="00855861" w:rsidRDefault="00616788" w:rsidP="00616788">
      <w:pPr>
        <w:pStyle w:val="Heading1"/>
        <w:rPr>
          <w:lang w:val="fr-FR"/>
        </w:rPr>
      </w:pPr>
      <w:r w:rsidRPr="00855861">
        <w:rPr>
          <w:lang w:val="fr-FR"/>
        </w:rPr>
        <w:t>Stockage des documents non écrits</w:t>
      </w:r>
    </w:p>
    <w:p w14:paraId="4C8A2527" w14:textId="54B7C991" w:rsidR="00CD0864" w:rsidRPr="00855861" w:rsidRDefault="009C7749" w:rsidP="00616788">
      <w:pPr>
        <w:pStyle w:val="ONUMFS"/>
        <w:rPr>
          <w:lang w:val="fr-FR"/>
        </w:rPr>
      </w:pPr>
      <w:r w:rsidRPr="00855861">
        <w:rPr>
          <w:lang w:val="fr-FR"/>
        </w:rPr>
        <w:t>Le degré de certitude de la date de publication d</w:t>
      </w:r>
      <w:r w:rsidR="00537437" w:rsidRPr="00855861">
        <w:rPr>
          <w:lang w:val="fr-FR"/>
        </w:rPr>
        <w:t>’</w:t>
      </w:r>
      <w:r w:rsidRPr="00855861">
        <w:rPr>
          <w:lang w:val="fr-FR"/>
        </w:rPr>
        <w:t>un élément particulier relatif à l</w:t>
      </w:r>
      <w:r w:rsidR="00537437" w:rsidRPr="00855861">
        <w:rPr>
          <w:lang w:val="fr-FR"/>
        </w:rPr>
        <w:t>’</w:t>
      </w:r>
      <w:r w:rsidRPr="00855861">
        <w:rPr>
          <w:lang w:val="fr-FR"/>
        </w:rPr>
        <w:t>état de la technique dépend en grande partie du niveau de confiance associé à la source de l</w:t>
      </w:r>
      <w:r w:rsidR="00537437" w:rsidRPr="00855861">
        <w:rPr>
          <w:lang w:val="fr-FR"/>
        </w:rPr>
        <w:t>’</w:t>
      </w:r>
      <w:r w:rsidRPr="00855861">
        <w:rPr>
          <w:lang w:val="fr-FR"/>
        </w:rPr>
        <w:t>état de la techniq</w:t>
      </w:r>
      <w:r w:rsidR="00855861" w:rsidRPr="00855861">
        <w:rPr>
          <w:lang w:val="fr-FR"/>
        </w:rPr>
        <w:t>ue.  Un</w:t>
      </w:r>
      <w:r w:rsidRPr="00855861">
        <w:rPr>
          <w:lang w:val="fr-FR"/>
        </w:rPr>
        <w:t>e source en ligne non fiable peut au mieux fournir une date de publication purement indicative, qui devra être confirmée par d</w:t>
      </w:r>
      <w:r w:rsidR="00537437" w:rsidRPr="00855861">
        <w:rPr>
          <w:lang w:val="fr-FR"/>
        </w:rPr>
        <w:t>’</w:t>
      </w:r>
      <w:r w:rsidRPr="00855861">
        <w:rPr>
          <w:lang w:val="fr-FR"/>
        </w:rPr>
        <w:t>autres moyens, par exemple, l</w:t>
      </w:r>
      <w:r w:rsidR="00537437" w:rsidRPr="00855861">
        <w:rPr>
          <w:lang w:val="fr-FR"/>
        </w:rPr>
        <w:t>’</w:t>
      </w:r>
      <w:r w:rsidRPr="00855861">
        <w:rPr>
          <w:lang w:val="fr-FR"/>
        </w:rPr>
        <w:t>Internet Archive Wayback Machine ou d</w:t>
      </w:r>
      <w:r w:rsidR="00537437" w:rsidRPr="00855861">
        <w:rPr>
          <w:lang w:val="fr-FR"/>
        </w:rPr>
        <w:t>’</w:t>
      </w:r>
      <w:r w:rsidRPr="00855861">
        <w:rPr>
          <w:lang w:val="fr-FR"/>
        </w:rPr>
        <w:t>autres archives numériques fiables analogues disponibles sur Internet.</w:t>
      </w:r>
    </w:p>
    <w:p w14:paraId="7FAB58C3" w14:textId="3307B2E1" w:rsidR="006322CC" w:rsidRPr="00855861" w:rsidRDefault="009C7749" w:rsidP="00616788">
      <w:pPr>
        <w:pStyle w:val="ONUMFS"/>
        <w:rPr>
          <w:lang w:val="fr-FR"/>
        </w:rPr>
      </w:pPr>
      <w:r w:rsidRPr="00855861">
        <w:rPr>
          <w:lang w:val="fr-FR"/>
        </w:rPr>
        <w:t>Le stockage de copies de l</w:t>
      </w:r>
      <w:r w:rsidR="00537437" w:rsidRPr="00855861">
        <w:rPr>
          <w:lang w:val="fr-FR"/>
        </w:rPr>
        <w:t>’</w:t>
      </w:r>
      <w:r w:rsidRPr="00855861">
        <w:rPr>
          <w:lang w:val="fr-FR"/>
        </w:rPr>
        <w:t xml:space="preserve">état de la technique cité trouvé dans les recherches est un service fourni par certains offices pour atténuer le problème des citations qui sont modifiées ou </w:t>
      </w:r>
      <w:r w:rsidR="00632741" w:rsidRPr="00855861">
        <w:rPr>
          <w:lang w:val="fr-FR"/>
        </w:rPr>
        <w:t>rendues inaccessibles</w:t>
      </w:r>
      <w:r w:rsidRPr="00855861">
        <w:rPr>
          <w:lang w:val="fr-FR"/>
        </w:rPr>
        <w:t xml:space="preserve"> après leur </w:t>
      </w:r>
      <w:r w:rsidR="002B4914" w:rsidRPr="00855861">
        <w:rPr>
          <w:lang w:val="fr-FR"/>
        </w:rPr>
        <w:t>consultation</w:t>
      </w:r>
      <w:r w:rsidRPr="00855861">
        <w:rPr>
          <w:lang w:val="fr-FR"/>
        </w:rPr>
        <w:t xml:space="preserve"> initiale sur l</w:t>
      </w:r>
      <w:r w:rsidR="00537437" w:rsidRPr="00855861">
        <w:rPr>
          <w:lang w:val="fr-FR"/>
        </w:rPr>
        <w:t>’</w:t>
      </w:r>
      <w:r w:rsidRPr="00855861">
        <w:rPr>
          <w:lang w:val="fr-FR"/>
        </w:rPr>
        <w:t>Internet, notamment si les sources ne garantissent pas la disponibilité de versions non modifiées de l</w:t>
      </w:r>
      <w:r w:rsidR="00537437" w:rsidRPr="00855861">
        <w:rPr>
          <w:lang w:val="fr-FR"/>
        </w:rPr>
        <w:t>’</w:t>
      </w:r>
      <w:r w:rsidRPr="00855861">
        <w:rPr>
          <w:lang w:val="fr-FR"/>
        </w:rPr>
        <w:t>état de la technique cité au fil du tem</w:t>
      </w:r>
      <w:r w:rsidR="00855861" w:rsidRPr="00855861">
        <w:rPr>
          <w:lang w:val="fr-FR"/>
        </w:rPr>
        <w:t>ps.  La</w:t>
      </w:r>
      <w:r w:rsidR="0086645D" w:rsidRPr="00855861">
        <w:rPr>
          <w:lang w:val="fr-FR"/>
        </w:rPr>
        <w:t xml:space="preserve"> norme</w:t>
      </w:r>
      <w:r w:rsidR="00642C96" w:rsidRPr="00855861">
        <w:rPr>
          <w:lang w:val="fr-FR"/>
        </w:rPr>
        <w:t> </w:t>
      </w:r>
      <w:r w:rsidR="0086645D" w:rsidRPr="00855861">
        <w:rPr>
          <w:lang w:val="fr-FR"/>
        </w:rPr>
        <w:t>ST.14 de l</w:t>
      </w:r>
      <w:r w:rsidR="00537437" w:rsidRPr="00855861">
        <w:rPr>
          <w:lang w:val="fr-FR"/>
        </w:rPr>
        <w:t>’</w:t>
      </w:r>
      <w:r w:rsidR="0086645D" w:rsidRPr="00855861">
        <w:rPr>
          <w:lang w:val="fr-FR"/>
        </w:rPr>
        <w:t>OMPI recommande également de conserver des copies d</w:t>
      </w:r>
      <w:r w:rsidR="00537437" w:rsidRPr="00855861">
        <w:rPr>
          <w:lang w:val="fr-FR"/>
        </w:rPr>
        <w:t>’</w:t>
      </w:r>
      <w:r w:rsidR="0086645D" w:rsidRPr="00855861">
        <w:rPr>
          <w:lang w:val="fr-FR"/>
        </w:rPr>
        <w:t>un document électronique si ce même document risque de ne plus pouvoir être consulté à l</w:t>
      </w:r>
      <w:r w:rsidR="00537437" w:rsidRPr="00855861">
        <w:rPr>
          <w:lang w:val="fr-FR"/>
        </w:rPr>
        <w:t>’</w:t>
      </w:r>
      <w:r w:rsidR="0086645D" w:rsidRPr="00855861">
        <w:rPr>
          <w:lang w:val="fr-FR"/>
        </w:rPr>
        <w:t xml:space="preserve">avenir, par exemple lorsque la source </w:t>
      </w:r>
      <w:r w:rsidR="00DD386F" w:rsidRPr="00855861">
        <w:rPr>
          <w:lang w:val="fr-FR"/>
        </w:rPr>
        <w:t>est</w:t>
      </w:r>
      <w:r w:rsidR="0086645D" w:rsidRPr="00855861">
        <w:rPr>
          <w:lang w:val="fr-FR"/>
        </w:rPr>
        <w:t xml:space="preserve"> Internet </w:t>
      </w:r>
      <w:r w:rsidR="00DD386F" w:rsidRPr="00855861">
        <w:rPr>
          <w:lang w:val="fr-FR"/>
        </w:rPr>
        <w:t>ou</w:t>
      </w:r>
      <w:r w:rsidR="0086645D" w:rsidRPr="00855861">
        <w:rPr>
          <w:lang w:val="fr-FR"/>
        </w:rPr>
        <w:t xml:space="preserve"> </w:t>
      </w:r>
      <w:r w:rsidR="00DD386F" w:rsidRPr="00855861">
        <w:rPr>
          <w:lang w:val="fr-FR"/>
        </w:rPr>
        <w:t>une</w:t>
      </w:r>
      <w:r w:rsidR="0086645D" w:rsidRPr="00855861">
        <w:rPr>
          <w:lang w:val="fr-FR"/>
        </w:rPr>
        <w:t xml:space="preserve"> base de données en lig</w:t>
      </w:r>
      <w:r w:rsidR="00855861" w:rsidRPr="00855861">
        <w:rPr>
          <w:lang w:val="fr-FR"/>
        </w:rPr>
        <w:t>ne.  Le</w:t>
      </w:r>
      <w:r w:rsidR="0086645D" w:rsidRPr="00855861">
        <w:rPr>
          <w:lang w:val="fr-FR"/>
        </w:rPr>
        <w:t>s administrations chargées de la recherche internationale qui proposent de stocker des copies de l</w:t>
      </w:r>
      <w:r w:rsidR="00537437" w:rsidRPr="00855861">
        <w:rPr>
          <w:lang w:val="fr-FR"/>
        </w:rPr>
        <w:t>’</w:t>
      </w:r>
      <w:r w:rsidR="0086645D" w:rsidRPr="00855861">
        <w:rPr>
          <w:lang w:val="fr-FR"/>
        </w:rPr>
        <w:t>état de la technique cité offrent un service précieux également aux offices désignés et élus, car l</w:t>
      </w:r>
      <w:r w:rsidR="00537437" w:rsidRPr="00855861">
        <w:rPr>
          <w:lang w:val="fr-FR"/>
        </w:rPr>
        <w:t>’</w:t>
      </w:r>
      <w:r w:rsidR="0086645D" w:rsidRPr="00855861">
        <w:rPr>
          <w:lang w:val="fr-FR"/>
        </w:rPr>
        <w:t>accès à la version correcte de l</w:t>
      </w:r>
      <w:r w:rsidR="00537437" w:rsidRPr="00855861">
        <w:rPr>
          <w:lang w:val="fr-FR"/>
        </w:rPr>
        <w:t>’</w:t>
      </w:r>
      <w:r w:rsidR="0086645D" w:rsidRPr="00855861">
        <w:rPr>
          <w:lang w:val="fr-FR"/>
        </w:rPr>
        <w:t>état de la technique cité serait garanti après l</w:t>
      </w:r>
      <w:r w:rsidR="00537437" w:rsidRPr="00855861">
        <w:rPr>
          <w:lang w:val="fr-FR"/>
        </w:rPr>
        <w:t>’</w:t>
      </w:r>
      <w:r w:rsidR="0086645D" w:rsidRPr="00855861">
        <w:rPr>
          <w:lang w:val="fr-FR"/>
        </w:rPr>
        <w:t>entrée dans la phase nationale ou régionale, bien que, comme pour les autres types d</w:t>
      </w:r>
      <w:r w:rsidR="00537437" w:rsidRPr="00855861">
        <w:rPr>
          <w:lang w:val="fr-FR"/>
        </w:rPr>
        <w:t>’</w:t>
      </w:r>
      <w:r w:rsidR="0086645D" w:rsidRPr="00855861">
        <w:rPr>
          <w:lang w:val="fr-FR"/>
        </w:rPr>
        <w:t>état de la technique, des questions de droit d</w:t>
      </w:r>
      <w:r w:rsidR="00537437" w:rsidRPr="00855861">
        <w:rPr>
          <w:lang w:val="fr-FR"/>
        </w:rPr>
        <w:t>’</w:t>
      </w:r>
      <w:r w:rsidR="0086645D" w:rsidRPr="00855861">
        <w:rPr>
          <w:lang w:val="fr-FR"/>
        </w:rPr>
        <w:t>auteur doivent être prises en considération.</w:t>
      </w:r>
    </w:p>
    <w:p w14:paraId="24413A66" w14:textId="55ABF583" w:rsidR="006322CC" w:rsidRPr="00855861" w:rsidRDefault="0086645D" w:rsidP="00616788">
      <w:pPr>
        <w:pStyle w:val="ONUMFS"/>
        <w:rPr>
          <w:lang w:val="fr-FR"/>
        </w:rPr>
      </w:pPr>
      <w:r w:rsidRPr="00855861">
        <w:rPr>
          <w:lang w:val="fr-FR"/>
        </w:rPr>
        <w:t xml:space="preserve">Il </w:t>
      </w:r>
      <w:r w:rsidR="009943D9" w:rsidRPr="00855861">
        <w:rPr>
          <w:lang w:val="fr-FR"/>
        </w:rPr>
        <w:t>conviendrait d</w:t>
      </w:r>
      <w:r w:rsidR="00537437" w:rsidRPr="00855861">
        <w:rPr>
          <w:lang w:val="fr-FR"/>
        </w:rPr>
        <w:t>’</w:t>
      </w:r>
      <w:r w:rsidRPr="00855861">
        <w:rPr>
          <w:lang w:val="fr-FR"/>
        </w:rPr>
        <w:t>envisager de recommander aux administrations chargées de la recherche internationale de stocker systématiquement l</w:t>
      </w:r>
      <w:r w:rsidR="00537437" w:rsidRPr="00855861">
        <w:rPr>
          <w:lang w:val="fr-FR"/>
        </w:rPr>
        <w:t>’</w:t>
      </w:r>
      <w:r w:rsidRPr="00855861">
        <w:rPr>
          <w:lang w:val="fr-FR"/>
        </w:rPr>
        <w:t xml:space="preserve">état de la technique cité dans une base de données </w:t>
      </w:r>
      <w:r w:rsidR="00CD0864" w:rsidRPr="00855861">
        <w:rPr>
          <w:lang w:val="fr-FR"/>
        </w:rPr>
        <w:t>créée à cet eff</w:t>
      </w:r>
      <w:r w:rsidR="00855861" w:rsidRPr="00855861">
        <w:rPr>
          <w:lang w:val="fr-FR"/>
        </w:rPr>
        <w:t>et.  Il</w:t>
      </w:r>
      <w:r w:rsidRPr="00855861">
        <w:rPr>
          <w:lang w:val="fr-FR"/>
        </w:rPr>
        <w:t xml:space="preserve"> est à noter que l</w:t>
      </w:r>
      <w:r w:rsidR="00537437" w:rsidRPr="00855861">
        <w:rPr>
          <w:lang w:val="fr-FR"/>
        </w:rPr>
        <w:t>’</w:t>
      </w:r>
      <w:r w:rsidRPr="00855861">
        <w:rPr>
          <w:lang w:val="fr-FR"/>
        </w:rPr>
        <w:t xml:space="preserve">Office européen des brevets envoie déjà des copies des documents cités au système ePCT </w:t>
      </w:r>
      <w:r w:rsidR="00757CDB" w:rsidRPr="00855861">
        <w:rPr>
          <w:lang w:val="fr-FR"/>
        </w:rPr>
        <w:t>dans l</w:t>
      </w:r>
      <w:r w:rsidR="00537437" w:rsidRPr="00855861">
        <w:rPr>
          <w:lang w:val="fr-FR"/>
        </w:rPr>
        <w:t>’</w:t>
      </w:r>
      <w:r w:rsidR="00757CDB" w:rsidRPr="00855861">
        <w:rPr>
          <w:lang w:val="fr-FR"/>
        </w:rPr>
        <w:t>intérêt</w:t>
      </w:r>
      <w:r w:rsidRPr="00855861">
        <w:rPr>
          <w:lang w:val="fr-FR"/>
        </w:rPr>
        <w:t xml:space="preserve"> du déposant (mais qui ne sont pas </w:t>
      </w:r>
      <w:r w:rsidRPr="00855861">
        <w:rPr>
          <w:lang w:val="fr-FR"/>
        </w:rPr>
        <w:lastRenderedPageBreak/>
        <w:t>disponibles sur PATENTSCOPE pour des raisons de droit d</w:t>
      </w:r>
      <w:r w:rsidR="00537437" w:rsidRPr="00855861">
        <w:rPr>
          <w:lang w:val="fr-FR"/>
        </w:rPr>
        <w:t>’</w:t>
      </w:r>
      <w:r w:rsidRPr="00855861">
        <w:rPr>
          <w:lang w:val="fr-FR"/>
        </w:rPr>
        <w:t>auteur), à l</w:t>
      </w:r>
      <w:r w:rsidR="00537437" w:rsidRPr="00855861">
        <w:rPr>
          <w:lang w:val="fr-FR"/>
        </w:rPr>
        <w:t>’</w:t>
      </w:r>
      <w:r w:rsidRPr="00855861">
        <w:rPr>
          <w:lang w:val="fr-FR"/>
        </w:rPr>
        <w:t>exception d</w:t>
      </w:r>
      <w:r w:rsidR="00537437" w:rsidRPr="00855861">
        <w:rPr>
          <w:lang w:val="fr-FR"/>
        </w:rPr>
        <w:t>’</w:t>
      </w:r>
      <w:r w:rsidRPr="00855861">
        <w:rPr>
          <w:lang w:val="fr-FR"/>
        </w:rPr>
        <w:t>un petit nombre pour lequel il ne dispose pas des droits appropri</w:t>
      </w:r>
      <w:r w:rsidR="00855861" w:rsidRPr="00855861">
        <w:rPr>
          <w:lang w:val="fr-FR"/>
        </w:rPr>
        <w:t>és.  Un</w:t>
      </w:r>
      <w:r w:rsidRPr="00855861">
        <w:rPr>
          <w:lang w:val="fr-FR"/>
        </w:rPr>
        <w:t xml:space="preserve"> répertoire central accessible par les offices désignés ou élus renforcerait la sécurité juridique des documents non écrits cités par diverses administrations international</w:t>
      </w:r>
      <w:r w:rsidR="00855861" w:rsidRPr="00855861">
        <w:rPr>
          <w:lang w:val="fr-FR"/>
        </w:rPr>
        <w:t>es.  Le</w:t>
      </w:r>
      <w:r w:rsidRPr="00855861">
        <w:rPr>
          <w:lang w:val="fr-FR"/>
        </w:rPr>
        <w:t>s documents non écrits cités par une administration donnée dans un rapport de recherche internationale seraient alors facilement accessibles aux autres administrations</w:t>
      </w:r>
      <w:r w:rsidR="00DD06B2" w:rsidRPr="00855861">
        <w:rPr>
          <w:lang w:val="fr-FR"/>
        </w:rPr>
        <w:t xml:space="preserve"> dans le cadre de</w:t>
      </w:r>
      <w:r w:rsidRPr="00855861">
        <w:rPr>
          <w:lang w:val="fr-FR"/>
        </w:rPr>
        <w:t xml:space="preserve"> </w:t>
      </w:r>
      <w:r w:rsidR="00DD06B2" w:rsidRPr="00855861">
        <w:rPr>
          <w:lang w:val="fr-FR"/>
        </w:rPr>
        <w:t xml:space="preserve">la procédure prévue au </w:t>
      </w:r>
      <w:r w:rsidR="00CD0864" w:rsidRPr="00855861">
        <w:rPr>
          <w:lang w:val="fr-FR"/>
        </w:rPr>
        <w:t>chapitre I</w:t>
      </w:r>
      <w:r w:rsidR="00DD06B2" w:rsidRPr="00855861">
        <w:rPr>
          <w:lang w:val="fr-FR"/>
        </w:rPr>
        <w:t>I</w:t>
      </w:r>
      <w:r w:rsidR="00CD0864" w:rsidRPr="00855861">
        <w:rPr>
          <w:lang w:val="fr-FR"/>
        </w:rPr>
        <w:t xml:space="preserve"> du PCT</w:t>
      </w:r>
      <w:r w:rsidRPr="00855861">
        <w:rPr>
          <w:lang w:val="fr-FR"/>
        </w:rPr>
        <w:t xml:space="preserve"> et aux offices désignés ou élus après l</w:t>
      </w:r>
      <w:r w:rsidR="00537437" w:rsidRPr="00855861">
        <w:rPr>
          <w:lang w:val="fr-FR"/>
        </w:rPr>
        <w:t>’</w:t>
      </w:r>
      <w:r w:rsidRPr="00855861">
        <w:rPr>
          <w:lang w:val="fr-FR"/>
        </w:rPr>
        <w:t>ouverture de la phase nationale ou régionale.</w:t>
      </w:r>
    </w:p>
    <w:p w14:paraId="040F22CD" w14:textId="77777777" w:rsidR="006322CC" w:rsidRPr="00855861" w:rsidRDefault="0086645D" w:rsidP="00616788">
      <w:pPr>
        <w:pStyle w:val="Heading1"/>
        <w:rPr>
          <w:lang w:val="fr-FR"/>
        </w:rPr>
      </w:pPr>
      <w:r w:rsidRPr="00855861">
        <w:rPr>
          <w:lang w:val="fr-FR"/>
        </w:rPr>
        <w:t>Prochaines étapes</w:t>
      </w:r>
    </w:p>
    <w:p w14:paraId="26F44005" w14:textId="1AAB6DBD" w:rsidR="006322CC" w:rsidRPr="00855861" w:rsidRDefault="005765AE" w:rsidP="00616788">
      <w:pPr>
        <w:pStyle w:val="ONUMFS"/>
        <w:rPr>
          <w:lang w:val="fr-FR"/>
        </w:rPr>
      </w:pPr>
      <w:r w:rsidRPr="00855861">
        <w:rPr>
          <w:lang w:val="fr-FR"/>
        </w:rPr>
        <w:t>Il est proposé que les administrations internationales continuent d</w:t>
      </w:r>
      <w:r w:rsidR="00537437" w:rsidRPr="00855861">
        <w:rPr>
          <w:lang w:val="fr-FR"/>
        </w:rPr>
        <w:t>’</w:t>
      </w:r>
      <w:r w:rsidRPr="00855861">
        <w:rPr>
          <w:lang w:val="fr-FR"/>
        </w:rPr>
        <w:t>étudier les questions liées à la citation des divulgations non écrites en tant qu</w:t>
      </w:r>
      <w:r w:rsidR="00537437" w:rsidRPr="00855861">
        <w:rPr>
          <w:lang w:val="fr-FR"/>
        </w:rPr>
        <w:t>’</w:t>
      </w:r>
      <w:r w:rsidRPr="00855861">
        <w:rPr>
          <w:lang w:val="fr-FR"/>
        </w:rPr>
        <w:t>état de la technique selon</w:t>
      </w:r>
      <w:r w:rsidR="00CD0864" w:rsidRPr="00855861">
        <w:rPr>
          <w:lang w:val="fr-FR"/>
        </w:rPr>
        <w:t xml:space="preserve"> le PCT</w:t>
      </w:r>
      <w:r w:rsidRPr="00855861">
        <w:rPr>
          <w:lang w:val="fr-FR"/>
        </w:rPr>
        <w:t xml:space="preserve"> et </w:t>
      </w:r>
      <w:r w:rsidR="00757CDB" w:rsidRPr="00855861">
        <w:rPr>
          <w:lang w:val="fr-FR"/>
        </w:rPr>
        <w:t>présentent</w:t>
      </w:r>
      <w:r w:rsidRPr="00855861">
        <w:rPr>
          <w:lang w:val="fr-FR"/>
        </w:rPr>
        <w:t xml:space="preserve"> des recommandations au groupe de travail et à tout autre organe concerné pour les étapes ultérieures dans le cadre</w:t>
      </w:r>
      <w:r w:rsidR="00CD0864" w:rsidRPr="00855861">
        <w:rPr>
          <w:lang w:val="fr-FR"/>
        </w:rPr>
        <w:t xml:space="preserve"> du PCT</w:t>
      </w:r>
      <w:r w:rsidRPr="00855861">
        <w:rPr>
          <w:lang w:val="fr-FR"/>
        </w:rPr>
        <w:t xml:space="preserve"> et de toute question conn</w:t>
      </w:r>
      <w:r w:rsidR="00757CDB" w:rsidRPr="00855861">
        <w:rPr>
          <w:lang w:val="fr-FR"/>
        </w:rPr>
        <w:t>exe, comme les normes de l</w:t>
      </w:r>
      <w:r w:rsidR="00537437" w:rsidRPr="00855861">
        <w:rPr>
          <w:lang w:val="fr-FR"/>
        </w:rPr>
        <w:t>’</w:t>
      </w:r>
      <w:r w:rsidR="00757CDB" w:rsidRPr="00855861">
        <w:rPr>
          <w:lang w:val="fr-FR"/>
        </w:rPr>
        <w:t>OMPI</w:t>
      </w:r>
      <w:r w:rsidRPr="00855861">
        <w:rPr>
          <w:lang w:val="fr-FR"/>
        </w:rPr>
        <w:t>.</w:t>
      </w:r>
    </w:p>
    <w:p w14:paraId="187D45A0" w14:textId="41850AE1" w:rsidR="006322CC" w:rsidRPr="00855861" w:rsidRDefault="00921DF4" w:rsidP="00616788">
      <w:pPr>
        <w:pStyle w:val="ONUMFS"/>
        <w:ind w:left="5533"/>
        <w:rPr>
          <w:i/>
          <w:lang w:val="fr-FR"/>
        </w:rPr>
      </w:pPr>
      <w:r w:rsidRPr="00855861">
        <w:rPr>
          <w:i/>
          <w:lang w:val="fr-FR"/>
        </w:rPr>
        <w:t>Le groupe de travail est invité à approuver le principe consistant à inclure des divulgations non écrites dans la définition de l</w:t>
      </w:r>
      <w:r w:rsidR="00537437" w:rsidRPr="00855861">
        <w:rPr>
          <w:i/>
          <w:lang w:val="fr-FR"/>
        </w:rPr>
        <w:t>’</w:t>
      </w:r>
      <w:r w:rsidRPr="00855861">
        <w:rPr>
          <w:i/>
          <w:lang w:val="fr-FR"/>
        </w:rPr>
        <w:t>état de la technique selon</w:t>
      </w:r>
      <w:r w:rsidR="00CD0864" w:rsidRPr="00855861">
        <w:rPr>
          <w:i/>
          <w:lang w:val="fr-FR"/>
        </w:rPr>
        <w:t xml:space="preserve"> le PCT</w:t>
      </w:r>
      <w:r w:rsidRPr="00855861">
        <w:rPr>
          <w:i/>
          <w:lang w:val="fr-FR"/>
        </w:rPr>
        <w:t xml:space="preserve"> et à inviter les administrations internationales à étudier les conditions d</w:t>
      </w:r>
      <w:r w:rsidR="00537437" w:rsidRPr="00855861">
        <w:rPr>
          <w:i/>
          <w:lang w:val="fr-FR"/>
        </w:rPr>
        <w:t>’</w:t>
      </w:r>
      <w:r w:rsidRPr="00855861">
        <w:rPr>
          <w:i/>
          <w:lang w:val="fr-FR"/>
        </w:rPr>
        <w:t xml:space="preserve">une mise en œuvre efficace de </w:t>
      </w:r>
      <w:r w:rsidR="00757CDB" w:rsidRPr="00855861">
        <w:rPr>
          <w:i/>
          <w:lang w:val="fr-FR"/>
        </w:rPr>
        <w:t>toute</w:t>
      </w:r>
      <w:r w:rsidRPr="00855861">
        <w:rPr>
          <w:i/>
          <w:lang w:val="fr-FR"/>
        </w:rPr>
        <w:t xml:space="preserve"> modification et à formuler des recommandations sur les travaux futurs.</w:t>
      </w:r>
    </w:p>
    <w:p w14:paraId="1D0BE49E" w14:textId="03D22D4C" w:rsidR="006322CC" w:rsidRPr="00855861" w:rsidRDefault="00921DF4" w:rsidP="00616788">
      <w:pPr>
        <w:pStyle w:val="Endofdocument-Annex"/>
        <w:rPr>
          <w:lang w:val="fr-FR"/>
        </w:rPr>
      </w:pPr>
      <w:r w:rsidRPr="00855861">
        <w:rPr>
          <w:lang w:val="fr-FR"/>
        </w:rPr>
        <w:t>[L</w:t>
      </w:r>
      <w:r w:rsidR="00537437" w:rsidRPr="00855861">
        <w:rPr>
          <w:lang w:val="fr-FR"/>
        </w:rPr>
        <w:t>’</w:t>
      </w:r>
      <w:r w:rsidRPr="00855861">
        <w:rPr>
          <w:lang w:val="fr-FR"/>
        </w:rPr>
        <w:t>annexe suit]</w:t>
      </w:r>
    </w:p>
    <w:p w14:paraId="6C4E54B7" w14:textId="77777777" w:rsidR="006322CC" w:rsidRPr="00855861" w:rsidRDefault="006322CC" w:rsidP="00495115">
      <w:pPr>
        <w:pStyle w:val="ONUME"/>
        <w:numPr>
          <w:ilvl w:val="0"/>
          <w:numId w:val="0"/>
        </w:numPr>
        <w:rPr>
          <w:lang w:val="fr-FR"/>
        </w:rPr>
      </w:pPr>
    </w:p>
    <w:p w14:paraId="345C1365" w14:textId="77777777" w:rsidR="0080675B" w:rsidRPr="00855861" w:rsidRDefault="0080675B" w:rsidP="00495115">
      <w:pPr>
        <w:pStyle w:val="ONUME"/>
        <w:numPr>
          <w:ilvl w:val="0"/>
          <w:numId w:val="0"/>
        </w:numPr>
        <w:rPr>
          <w:lang w:val="fr-FR"/>
        </w:rPr>
        <w:sectPr w:rsidR="0080675B" w:rsidRPr="00855861" w:rsidSect="00B1491C">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pPr>
    </w:p>
    <w:p w14:paraId="0AA4872C" w14:textId="23A7D355" w:rsidR="006322CC" w:rsidRPr="00855861" w:rsidRDefault="006322CC" w:rsidP="00BB16DB">
      <w:pPr>
        <w:spacing w:before="480" w:after="480"/>
        <w:contextualSpacing/>
        <w:jc w:val="center"/>
        <w:rPr>
          <w:lang w:val="fr-FR"/>
        </w:rPr>
      </w:pPr>
      <w:r w:rsidRPr="00855861">
        <w:rPr>
          <w:lang w:val="fr-FR"/>
        </w:rPr>
        <w:lastRenderedPageBreak/>
        <w:t>PROJET DE MODIFICATION PROVISOIRE</w:t>
      </w:r>
    </w:p>
    <w:p w14:paraId="5A91993C" w14:textId="42A442BF" w:rsidR="006322CC" w:rsidRPr="00855861" w:rsidRDefault="00C519F1" w:rsidP="00BB16DB">
      <w:pPr>
        <w:spacing w:before="480" w:after="480"/>
        <w:jc w:val="center"/>
        <w:rPr>
          <w:lang w:val="fr-FR"/>
        </w:rPr>
      </w:pPr>
      <w:r w:rsidRPr="00855861">
        <w:rPr>
          <w:lang w:val="fr-FR"/>
        </w:rPr>
        <w:t>DU RÈGLEMENT D</w:t>
      </w:r>
      <w:r w:rsidR="00537437" w:rsidRPr="00855861">
        <w:rPr>
          <w:lang w:val="fr-FR"/>
        </w:rPr>
        <w:t>’</w:t>
      </w:r>
      <w:r w:rsidRPr="00855861">
        <w:rPr>
          <w:lang w:val="fr-FR"/>
        </w:rPr>
        <w:t>EXÉCUTION DU PCT</w:t>
      </w:r>
      <w:r w:rsidR="006322CC" w:rsidRPr="00855861">
        <w:rPr>
          <w:rStyle w:val="FootnoteReference"/>
          <w:lang w:val="fr-FR"/>
        </w:rPr>
        <w:footnoteReference w:id="2"/>
      </w:r>
    </w:p>
    <w:p w14:paraId="4CF95F69" w14:textId="250377DE" w:rsidR="006322CC" w:rsidRPr="00855861" w:rsidRDefault="006322CC" w:rsidP="00BB16DB">
      <w:pPr>
        <w:spacing w:before="480" w:after="480"/>
        <w:jc w:val="center"/>
        <w:rPr>
          <w:lang w:val="fr-FR"/>
        </w:rPr>
      </w:pPr>
      <w:r w:rsidRPr="00855861">
        <w:rPr>
          <w:lang w:val="fr-FR"/>
        </w:rPr>
        <w:t>TABLE DES MATIÈRES</w:t>
      </w:r>
    </w:p>
    <w:p w14:paraId="67BE5BC8" w14:textId="315E0E30" w:rsidR="006322CC" w:rsidRPr="00855861" w:rsidRDefault="0080675B">
      <w:pPr>
        <w:pStyle w:val="TOC1"/>
        <w:tabs>
          <w:tab w:val="right" w:leader="dot" w:pos="9345"/>
        </w:tabs>
        <w:rPr>
          <w:rFonts w:asciiTheme="minorHAnsi" w:eastAsiaTheme="minorEastAsia" w:hAnsiTheme="minorHAnsi" w:cstheme="minorBidi"/>
          <w:szCs w:val="22"/>
          <w:lang w:val="fr-FR" w:eastAsia="en-GB"/>
        </w:rPr>
      </w:pPr>
      <w:r w:rsidRPr="00855861">
        <w:rPr>
          <w:lang w:val="fr-FR"/>
        </w:rPr>
        <w:fldChar w:fldCharType="begin"/>
      </w:r>
      <w:r w:rsidRPr="00855861">
        <w:rPr>
          <w:lang w:val="fr-FR"/>
        </w:rPr>
        <w:instrText xml:space="preserve"> TOC \h \z \t "Leg # Title,1,Leg SubRule #,2" </w:instrText>
      </w:r>
      <w:r w:rsidRPr="00855861">
        <w:rPr>
          <w:lang w:val="fr-FR"/>
        </w:rPr>
        <w:fldChar w:fldCharType="separate"/>
      </w:r>
      <w:hyperlink w:anchor="_Toc110263845" w:history="1">
        <w:r w:rsidR="00CD0864" w:rsidRPr="00855861">
          <w:rPr>
            <w:rStyle w:val="Hyperlink"/>
            <w:lang w:val="fr-FR"/>
          </w:rPr>
          <w:t>Règle 3</w:t>
        </w:r>
        <w:r w:rsidR="004D3320" w:rsidRPr="00855861">
          <w:rPr>
            <w:rStyle w:val="Hyperlink"/>
            <w:lang w:val="fr-FR"/>
          </w:rPr>
          <w:t>3</w:t>
        </w:r>
        <w:r w:rsidR="00CD0864" w:rsidRPr="00855861">
          <w:rPr>
            <w:rStyle w:val="Hyperlink"/>
            <w:lang w:val="fr-FR"/>
          </w:rPr>
          <w:t xml:space="preserve"> – </w:t>
        </w:r>
        <w:r w:rsidR="004D3320" w:rsidRPr="00855861">
          <w:rPr>
            <w:rStyle w:val="Hyperlink"/>
            <w:lang w:val="fr-FR"/>
          </w:rPr>
          <w:t>État de la technique pertinent aux fins de la recherche internationale</w:t>
        </w:r>
        <w:r w:rsidR="0071592A" w:rsidRPr="00855861">
          <w:rPr>
            <w:rStyle w:val="Hyperlink"/>
            <w:webHidden/>
            <w:lang w:val="fr-FR"/>
          </w:rPr>
          <w:tab/>
        </w:r>
        <w:r w:rsidR="0071592A" w:rsidRPr="00855861">
          <w:rPr>
            <w:rStyle w:val="Hyperlink"/>
            <w:webHidden/>
            <w:lang w:val="fr-FR"/>
          </w:rPr>
          <w:fldChar w:fldCharType="begin"/>
        </w:r>
        <w:r w:rsidR="0071592A" w:rsidRPr="00855861">
          <w:rPr>
            <w:rStyle w:val="Hyperlink"/>
            <w:webHidden/>
            <w:lang w:val="fr-FR"/>
          </w:rPr>
          <w:instrText xml:space="preserve"> PAGEREF _Toc110263845 \h </w:instrText>
        </w:r>
        <w:r w:rsidR="0071592A" w:rsidRPr="00855861">
          <w:rPr>
            <w:rStyle w:val="Hyperlink"/>
            <w:webHidden/>
            <w:lang w:val="fr-FR"/>
          </w:rPr>
        </w:r>
        <w:r w:rsidR="0071592A" w:rsidRPr="00855861">
          <w:rPr>
            <w:rStyle w:val="Hyperlink"/>
            <w:webHidden/>
            <w:lang w:val="fr-FR"/>
          </w:rPr>
          <w:fldChar w:fldCharType="separate"/>
        </w:r>
        <w:r w:rsidR="003D3010" w:rsidRPr="00855861">
          <w:rPr>
            <w:rStyle w:val="Hyperlink"/>
            <w:webHidden/>
            <w:lang w:val="fr-FR"/>
          </w:rPr>
          <w:t>2</w:t>
        </w:r>
        <w:r w:rsidR="0071592A" w:rsidRPr="00855861">
          <w:rPr>
            <w:rStyle w:val="Hyperlink"/>
            <w:webHidden/>
            <w:lang w:val="fr-FR"/>
          </w:rPr>
          <w:fldChar w:fldCharType="end"/>
        </w:r>
      </w:hyperlink>
    </w:p>
    <w:p w14:paraId="3CBCFA6A" w14:textId="61AE95A6" w:rsidR="006322CC" w:rsidRPr="00855861" w:rsidRDefault="000462DE">
      <w:pPr>
        <w:pStyle w:val="TOC2"/>
        <w:tabs>
          <w:tab w:val="right" w:leader="dot" w:pos="9345"/>
        </w:tabs>
        <w:rPr>
          <w:rFonts w:asciiTheme="minorHAnsi" w:eastAsiaTheme="minorEastAsia" w:hAnsiTheme="minorHAnsi" w:cstheme="minorBidi"/>
          <w:szCs w:val="22"/>
          <w:lang w:val="fr-FR" w:eastAsia="en-GB"/>
        </w:rPr>
      </w:pPr>
      <w:hyperlink w:anchor="_Toc110263846" w:history="1">
        <w:r w:rsidR="0071592A" w:rsidRPr="00855861">
          <w:rPr>
            <w:rStyle w:val="Hyperlink"/>
            <w:color w:val="auto"/>
            <w:lang w:val="fr-FR"/>
          </w:rPr>
          <w:t>33.1   </w:t>
        </w:r>
        <w:r w:rsidR="004D3320" w:rsidRPr="00855861">
          <w:rPr>
            <w:i/>
            <w:lang w:val="fr-FR"/>
          </w:rPr>
          <w:t>État de la technique pertinent aux fins de la recherche internationale</w:t>
        </w:r>
        <w:r w:rsidR="0071592A" w:rsidRPr="00855861">
          <w:rPr>
            <w:webHidden/>
            <w:lang w:val="fr-FR"/>
          </w:rPr>
          <w:tab/>
        </w:r>
        <w:r w:rsidR="0071592A" w:rsidRPr="00855861">
          <w:rPr>
            <w:webHidden/>
            <w:lang w:val="fr-FR"/>
          </w:rPr>
          <w:fldChar w:fldCharType="begin"/>
        </w:r>
        <w:r w:rsidR="0071592A" w:rsidRPr="00855861">
          <w:rPr>
            <w:webHidden/>
            <w:lang w:val="fr-FR"/>
          </w:rPr>
          <w:instrText xml:space="preserve"> PAGEREF _Toc110263846 \h </w:instrText>
        </w:r>
        <w:r w:rsidR="0071592A" w:rsidRPr="00855861">
          <w:rPr>
            <w:webHidden/>
            <w:lang w:val="fr-FR"/>
          </w:rPr>
        </w:r>
        <w:r w:rsidR="0071592A" w:rsidRPr="00855861">
          <w:rPr>
            <w:webHidden/>
            <w:lang w:val="fr-FR"/>
          </w:rPr>
          <w:fldChar w:fldCharType="separate"/>
        </w:r>
        <w:r w:rsidR="003D3010" w:rsidRPr="00855861">
          <w:rPr>
            <w:webHidden/>
            <w:lang w:val="fr-FR"/>
          </w:rPr>
          <w:t>2</w:t>
        </w:r>
        <w:r w:rsidR="0071592A" w:rsidRPr="00855861">
          <w:rPr>
            <w:webHidden/>
            <w:lang w:val="fr-FR"/>
          </w:rPr>
          <w:fldChar w:fldCharType="end"/>
        </w:r>
      </w:hyperlink>
    </w:p>
    <w:p w14:paraId="725F29C5" w14:textId="43F51234" w:rsidR="006322CC" w:rsidRPr="00855861" w:rsidRDefault="000462DE">
      <w:pPr>
        <w:pStyle w:val="TOC2"/>
        <w:tabs>
          <w:tab w:val="right" w:leader="dot" w:pos="9345"/>
        </w:tabs>
        <w:rPr>
          <w:rFonts w:asciiTheme="minorHAnsi" w:eastAsiaTheme="minorEastAsia" w:hAnsiTheme="minorHAnsi" w:cstheme="minorBidi"/>
          <w:szCs w:val="22"/>
          <w:lang w:val="fr-FR" w:eastAsia="en-GB"/>
        </w:rPr>
      </w:pPr>
      <w:hyperlink w:anchor="_Toc110263847" w:history="1">
        <w:r w:rsidR="0071592A" w:rsidRPr="00855861">
          <w:rPr>
            <w:rStyle w:val="Hyperlink"/>
            <w:color w:val="auto"/>
            <w:lang w:val="fr-FR"/>
          </w:rPr>
          <w:t xml:space="preserve">33.2 </w:t>
        </w:r>
        <w:r w:rsidR="004D3320" w:rsidRPr="00855861">
          <w:rPr>
            <w:rStyle w:val="Hyperlink"/>
            <w:color w:val="auto"/>
            <w:lang w:val="fr-FR"/>
          </w:rPr>
          <w:t>et</w:t>
        </w:r>
        <w:r w:rsidR="0071592A" w:rsidRPr="00855861">
          <w:rPr>
            <w:rStyle w:val="Hyperlink"/>
            <w:color w:val="auto"/>
            <w:lang w:val="fr-FR"/>
          </w:rPr>
          <w:t xml:space="preserve"> 33.3   [</w:t>
        </w:r>
        <w:r w:rsidR="004D3320" w:rsidRPr="00855861">
          <w:rPr>
            <w:lang w:val="fr-FR"/>
          </w:rPr>
          <w:t>Sans changement</w:t>
        </w:r>
        <w:r w:rsidR="0071592A" w:rsidRPr="00855861">
          <w:rPr>
            <w:rStyle w:val="Hyperlink"/>
            <w:color w:val="auto"/>
            <w:lang w:val="fr-FR"/>
          </w:rPr>
          <w:t>]</w:t>
        </w:r>
        <w:r w:rsidR="0071592A" w:rsidRPr="00855861">
          <w:rPr>
            <w:webHidden/>
            <w:lang w:val="fr-FR"/>
          </w:rPr>
          <w:tab/>
        </w:r>
        <w:r w:rsidR="0071592A" w:rsidRPr="00855861">
          <w:rPr>
            <w:webHidden/>
            <w:lang w:val="fr-FR"/>
          </w:rPr>
          <w:fldChar w:fldCharType="begin"/>
        </w:r>
        <w:r w:rsidR="0071592A" w:rsidRPr="00855861">
          <w:rPr>
            <w:webHidden/>
            <w:lang w:val="fr-FR"/>
          </w:rPr>
          <w:instrText xml:space="preserve"> PAGEREF _Toc110263847 \h </w:instrText>
        </w:r>
        <w:r w:rsidR="0071592A" w:rsidRPr="00855861">
          <w:rPr>
            <w:webHidden/>
            <w:lang w:val="fr-FR"/>
          </w:rPr>
        </w:r>
        <w:r w:rsidR="0071592A" w:rsidRPr="00855861">
          <w:rPr>
            <w:webHidden/>
            <w:lang w:val="fr-FR"/>
          </w:rPr>
          <w:fldChar w:fldCharType="separate"/>
        </w:r>
        <w:r w:rsidR="003D3010" w:rsidRPr="00855861">
          <w:rPr>
            <w:webHidden/>
            <w:lang w:val="fr-FR"/>
          </w:rPr>
          <w:t>2</w:t>
        </w:r>
        <w:r w:rsidR="0071592A" w:rsidRPr="00855861">
          <w:rPr>
            <w:webHidden/>
            <w:lang w:val="fr-FR"/>
          </w:rPr>
          <w:fldChar w:fldCharType="end"/>
        </w:r>
      </w:hyperlink>
    </w:p>
    <w:p w14:paraId="6CFB0909" w14:textId="73EB8AFA" w:rsidR="006322CC" w:rsidRPr="00855861" w:rsidRDefault="000462DE">
      <w:pPr>
        <w:pStyle w:val="TOC1"/>
        <w:tabs>
          <w:tab w:val="right" w:leader="dot" w:pos="9345"/>
        </w:tabs>
        <w:rPr>
          <w:rFonts w:asciiTheme="minorHAnsi" w:eastAsiaTheme="minorEastAsia" w:hAnsiTheme="minorHAnsi" w:cstheme="minorBidi"/>
          <w:szCs w:val="22"/>
          <w:lang w:val="fr-FR" w:eastAsia="en-GB"/>
        </w:rPr>
      </w:pPr>
      <w:hyperlink w:anchor="_Toc110263848" w:history="1">
        <w:r w:rsidR="00CD0864" w:rsidRPr="00855861">
          <w:rPr>
            <w:lang w:val="fr-FR"/>
          </w:rPr>
          <w:t>Règle 6</w:t>
        </w:r>
        <w:r w:rsidR="004D3320" w:rsidRPr="00855861">
          <w:rPr>
            <w:lang w:val="fr-FR"/>
          </w:rPr>
          <w:t>4</w:t>
        </w:r>
        <w:r w:rsidR="00CD0864" w:rsidRPr="00855861">
          <w:rPr>
            <w:lang w:val="fr-FR"/>
          </w:rPr>
          <w:t xml:space="preserve"> – </w:t>
        </w:r>
        <w:r w:rsidR="004D3320" w:rsidRPr="00855861">
          <w:rPr>
            <w:lang w:val="fr-FR"/>
          </w:rPr>
          <w:t>État de la technique pertinent aux fins de l</w:t>
        </w:r>
        <w:r w:rsidR="00537437" w:rsidRPr="00855861">
          <w:rPr>
            <w:lang w:val="fr-FR"/>
          </w:rPr>
          <w:t>’</w:t>
        </w:r>
        <w:r w:rsidR="004D3320" w:rsidRPr="00855861">
          <w:rPr>
            <w:lang w:val="fr-FR"/>
          </w:rPr>
          <w:t>examen préliminaire international</w:t>
        </w:r>
        <w:r w:rsidR="0071592A" w:rsidRPr="00855861">
          <w:rPr>
            <w:webHidden/>
            <w:lang w:val="fr-FR"/>
          </w:rPr>
          <w:tab/>
        </w:r>
        <w:r w:rsidR="0071592A" w:rsidRPr="00855861">
          <w:rPr>
            <w:webHidden/>
            <w:lang w:val="fr-FR"/>
          </w:rPr>
          <w:fldChar w:fldCharType="begin"/>
        </w:r>
        <w:r w:rsidR="0071592A" w:rsidRPr="00855861">
          <w:rPr>
            <w:webHidden/>
            <w:lang w:val="fr-FR"/>
          </w:rPr>
          <w:instrText xml:space="preserve"> PAGEREF _Toc110263848 \h </w:instrText>
        </w:r>
        <w:r w:rsidR="0071592A" w:rsidRPr="00855861">
          <w:rPr>
            <w:webHidden/>
            <w:lang w:val="fr-FR"/>
          </w:rPr>
        </w:r>
        <w:r w:rsidR="0071592A" w:rsidRPr="00855861">
          <w:rPr>
            <w:webHidden/>
            <w:lang w:val="fr-FR"/>
          </w:rPr>
          <w:fldChar w:fldCharType="separate"/>
        </w:r>
        <w:r w:rsidR="003D3010" w:rsidRPr="00855861">
          <w:rPr>
            <w:webHidden/>
            <w:lang w:val="fr-FR"/>
          </w:rPr>
          <w:t>3</w:t>
        </w:r>
        <w:r w:rsidR="0071592A" w:rsidRPr="00855861">
          <w:rPr>
            <w:webHidden/>
            <w:lang w:val="fr-FR"/>
          </w:rPr>
          <w:fldChar w:fldCharType="end"/>
        </w:r>
      </w:hyperlink>
    </w:p>
    <w:p w14:paraId="2A8D24D9" w14:textId="072D502F" w:rsidR="006322CC" w:rsidRPr="00855861" w:rsidRDefault="000462DE">
      <w:pPr>
        <w:pStyle w:val="TOC2"/>
        <w:tabs>
          <w:tab w:val="right" w:leader="dot" w:pos="9345"/>
        </w:tabs>
        <w:rPr>
          <w:rFonts w:asciiTheme="minorHAnsi" w:eastAsiaTheme="minorEastAsia" w:hAnsiTheme="minorHAnsi" w:cstheme="minorBidi"/>
          <w:szCs w:val="22"/>
          <w:lang w:val="fr-FR" w:eastAsia="en-GB"/>
        </w:rPr>
      </w:pPr>
      <w:hyperlink w:anchor="_Toc110263849" w:history="1">
        <w:r w:rsidR="0071592A" w:rsidRPr="00855861">
          <w:rPr>
            <w:rStyle w:val="Hyperlink"/>
            <w:color w:val="auto"/>
            <w:lang w:val="fr-FR"/>
          </w:rPr>
          <w:t>64.1   </w:t>
        </w:r>
        <w:r w:rsidR="004D3320" w:rsidRPr="00855861">
          <w:rPr>
            <w:rStyle w:val="Hyperlink"/>
            <w:i/>
            <w:color w:val="auto"/>
            <w:lang w:val="fr-FR"/>
          </w:rPr>
          <w:t>État de la technique</w:t>
        </w:r>
        <w:r w:rsidR="0071592A" w:rsidRPr="00855861">
          <w:rPr>
            <w:webHidden/>
            <w:lang w:val="fr-FR"/>
          </w:rPr>
          <w:tab/>
        </w:r>
        <w:r w:rsidR="0071592A" w:rsidRPr="00855861">
          <w:rPr>
            <w:webHidden/>
            <w:lang w:val="fr-FR"/>
          </w:rPr>
          <w:fldChar w:fldCharType="begin"/>
        </w:r>
        <w:r w:rsidR="0071592A" w:rsidRPr="00855861">
          <w:rPr>
            <w:webHidden/>
            <w:lang w:val="fr-FR"/>
          </w:rPr>
          <w:instrText xml:space="preserve"> PAGEREF _Toc110263849 \h </w:instrText>
        </w:r>
        <w:r w:rsidR="0071592A" w:rsidRPr="00855861">
          <w:rPr>
            <w:webHidden/>
            <w:lang w:val="fr-FR"/>
          </w:rPr>
        </w:r>
        <w:r w:rsidR="0071592A" w:rsidRPr="00855861">
          <w:rPr>
            <w:webHidden/>
            <w:lang w:val="fr-FR"/>
          </w:rPr>
          <w:fldChar w:fldCharType="separate"/>
        </w:r>
        <w:r w:rsidR="003D3010" w:rsidRPr="00855861">
          <w:rPr>
            <w:webHidden/>
            <w:lang w:val="fr-FR"/>
          </w:rPr>
          <w:t>3</w:t>
        </w:r>
        <w:r w:rsidR="0071592A" w:rsidRPr="00855861">
          <w:rPr>
            <w:webHidden/>
            <w:lang w:val="fr-FR"/>
          </w:rPr>
          <w:fldChar w:fldCharType="end"/>
        </w:r>
      </w:hyperlink>
    </w:p>
    <w:p w14:paraId="29F33C19" w14:textId="73560C27" w:rsidR="006322CC" w:rsidRPr="00855861" w:rsidRDefault="000462DE">
      <w:pPr>
        <w:pStyle w:val="TOC2"/>
        <w:tabs>
          <w:tab w:val="right" w:leader="dot" w:pos="9345"/>
        </w:tabs>
        <w:rPr>
          <w:rFonts w:asciiTheme="minorHAnsi" w:eastAsiaTheme="minorEastAsia" w:hAnsiTheme="minorHAnsi" w:cstheme="minorBidi"/>
          <w:szCs w:val="22"/>
          <w:lang w:val="fr-FR" w:eastAsia="en-GB"/>
        </w:rPr>
      </w:pPr>
      <w:hyperlink w:anchor="_Toc110263850" w:history="1">
        <w:r w:rsidR="0071592A" w:rsidRPr="00855861">
          <w:rPr>
            <w:rStyle w:val="Hyperlink"/>
            <w:lang w:val="fr-FR"/>
          </w:rPr>
          <w:t xml:space="preserve">64.2 </w:t>
        </w:r>
        <w:r w:rsidR="004D3320" w:rsidRPr="00855861">
          <w:rPr>
            <w:rStyle w:val="Hyperlink"/>
            <w:lang w:val="fr-FR"/>
          </w:rPr>
          <w:t>et</w:t>
        </w:r>
        <w:r w:rsidR="0071592A" w:rsidRPr="00855861">
          <w:rPr>
            <w:rStyle w:val="Hyperlink"/>
            <w:lang w:val="fr-FR"/>
          </w:rPr>
          <w:t xml:space="preserve"> 64.3   [</w:t>
        </w:r>
        <w:r w:rsidR="004D3320" w:rsidRPr="00855861">
          <w:rPr>
            <w:rStyle w:val="Hyperlink"/>
            <w:lang w:val="fr-FR"/>
          </w:rPr>
          <w:t>Sans changement</w:t>
        </w:r>
        <w:r w:rsidR="0071592A" w:rsidRPr="00855861">
          <w:rPr>
            <w:rStyle w:val="Hyperlink"/>
            <w:lang w:val="fr-FR"/>
          </w:rPr>
          <w:t>]</w:t>
        </w:r>
        <w:r w:rsidR="0071592A" w:rsidRPr="00855861">
          <w:rPr>
            <w:rStyle w:val="Hyperlink"/>
            <w:webHidden/>
            <w:lang w:val="fr-FR"/>
          </w:rPr>
          <w:tab/>
        </w:r>
        <w:r w:rsidR="0071592A" w:rsidRPr="00855861">
          <w:rPr>
            <w:rStyle w:val="Hyperlink"/>
            <w:webHidden/>
            <w:lang w:val="fr-FR"/>
          </w:rPr>
          <w:fldChar w:fldCharType="begin"/>
        </w:r>
        <w:r w:rsidR="0071592A" w:rsidRPr="00855861">
          <w:rPr>
            <w:rStyle w:val="Hyperlink"/>
            <w:webHidden/>
            <w:lang w:val="fr-FR"/>
          </w:rPr>
          <w:instrText xml:space="preserve"> PAGEREF _Toc110263850 \h </w:instrText>
        </w:r>
        <w:r w:rsidR="0071592A" w:rsidRPr="00855861">
          <w:rPr>
            <w:rStyle w:val="Hyperlink"/>
            <w:webHidden/>
            <w:lang w:val="fr-FR"/>
          </w:rPr>
        </w:r>
        <w:r w:rsidR="0071592A" w:rsidRPr="00855861">
          <w:rPr>
            <w:rStyle w:val="Hyperlink"/>
            <w:webHidden/>
            <w:lang w:val="fr-FR"/>
          </w:rPr>
          <w:fldChar w:fldCharType="separate"/>
        </w:r>
        <w:r w:rsidR="003D3010" w:rsidRPr="00855861">
          <w:rPr>
            <w:rStyle w:val="Hyperlink"/>
            <w:webHidden/>
            <w:lang w:val="fr-FR"/>
          </w:rPr>
          <w:t>3</w:t>
        </w:r>
        <w:r w:rsidR="0071592A" w:rsidRPr="00855861">
          <w:rPr>
            <w:rStyle w:val="Hyperlink"/>
            <w:webHidden/>
            <w:lang w:val="fr-FR"/>
          </w:rPr>
          <w:fldChar w:fldCharType="end"/>
        </w:r>
      </w:hyperlink>
    </w:p>
    <w:p w14:paraId="28F47E1F" w14:textId="77777777" w:rsidR="006322CC" w:rsidRPr="00855861" w:rsidRDefault="0080675B" w:rsidP="00616788">
      <w:pPr>
        <w:pStyle w:val="Endofdocument-Annex"/>
        <w:rPr>
          <w:lang w:val="fr-FR"/>
        </w:rPr>
      </w:pPr>
      <w:r w:rsidRPr="00855861">
        <w:rPr>
          <w:lang w:val="fr-FR"/>
        </w:rPr>
        <w:fldChar w:fldCharType="end"/>
      </w:r>
      <w:bookmarkStart w:id="5" w:name="_Toc50028896"/>
      <w:bookmarkStart w:id="6" w:name="_Toc71915892"/>
      <w:bookmarkStart w:id="7" w:name="_Toc97741903"/>
      <w:bookmarkStart w:id="8" w:name="_Toc110263845"/>
    </w:p>
    <w:p w14:paraId="32DE5828" w14:textId="0757FCDB" w:rsidR="006322CC" w:rsidRPr="00855861" w:rsidRDefault="00CD0864" w:rsidP="006322CC">
      <w:pPr>
        <w:pStyle w:val="LegTitle"/>
        <w:rPr>
          <w:noProof w:val="0"/>
          <w:lang w:val="fr-FR"/>
        </w:rPr>
      </w:pPr>
      <w:bookmarkStart w:id="9" w:name="_Toc50028897"/>
      <w:bookmarkStart w:id="10" w:name="_Toc71915893"/>
      <w:bookmarkStart w:id="11" w:name="_Toc97741904"/>
      <w:bookmarkStart w:id="12" w:name="_Toc110263846"/>
      <w:bookmarkEnd w:id="5"/>
      <w:bookmarkEnd w:id="6"/>
      <w:bookmarkEnd w:id="7"/>
      <w:bookmarkEnd w:id="8"/>
      <w:r w:rsidRPr="00855861">
        <w:rPr>
          <w:noProof w:val="0"/>
          <w:lang w:val="fr-FR"/>
        </w:rPr>
        <w:lastRenderedPageBreak/>
        <w:t>Règle 3</w:t>
      </w:r>
      <w:r w:rsidR="006322CC" w:rsidRPr="00855861">
        <w:rPr>
          <w:noProof w:val="0"/>
          <w:lang w:val="fr-FR"/>
        </w:rPr>
        <w:t>3</w:t>
      </w:r>
      <w:r w:rsidR="00BB16DB">
        <w:rPr>
          <w:noProof w:val="0"/>
          <w:lang w:val="fr-FR"/>
        </w:rPr>
        <w:br/>
      </w:r>
      <w:r w:rsidR="006322CC" w:rsidRPr="00855861">
        <w:rPr>
          <w:noProof w:val="0"/>
          <w:lang w:val="fr-FR"/>
        </w:rPr>
        <w:t>État de la technique pertinent aux fins de la recherche internationale</w:t>
      </w:r>
    </w:p>
    <w:bookmarkEnd w:id="9"/>
    <w:bookmarkEnd w:id="10"/>
    <w:bookmarkEnd w:id="11"/>
    <w:bookmarkEnd w:id="12"/>
    <w:p w14:paraId="227AC6E8" w14:textId="624C7DF7" w:rsidR="006322CC" w:rsidRPr="00855861" w:rsidRDefault="00E41A02" w:rsidP="00BB16DB">
      <w:pPr>
        <w:pStyle w:val="LegSubRule"/>
        <w:keepLines w:val="0"/>
        <w:tabs>
          <w:tab w:val="clear" w:pos="510"/>
          <w:tab w:val="left" w:pos="567"/>
        </w:tabs>
        <w:ind w:left="567" w:hanging="567"/>
        <w:outlineLvl w:val="0"/>
        <w:rPr>
          <w:noProof w:val="0"/>
          <w:lang w:val="fr-FR"/>
        </w:rPr>
      </w:pPr>
      <w:r>
        <w:rPr>
          <w:noProof w:val="0"/>
          <w:lang w:val="fr-FR"/>
        </w:rPr>
        <w:t>33.1   </w:t>
      </w:r>
      <w:r w:rsidR="006322CC" w:rsidRPr="00855861">
        <w:rPr>
          <w:i/>
          <w:noProof w:val="0"/>
          <w:lang w:val="fr-FR"/>
        </w:rPr>
        <w:t>État de la technique pertinent aux fins de la recherche internationale</w:t>
      </w:r>
    </w:p>
    <w:p w14:paraId="43CD2930" w14:textId="36211749" w:rsidR="00CD0864" w:rsidRPr="00855861" w:rsidRDefault="0080675B" w:rsidP="00BB16DB">
      <w:pPr>
        <w:pStyle w:val="Lega"/>
        <w:tabs>
          <w:tab w:val="clear" w:pos="454"/>
          <w:tab w:val="left" w:pos="567"/>
        </w:tabs>
        <w:rPr>
          <w:noProof w:val="0"/>
          <w:lang w:val="fr-FR"/>
        </w:rPr>
      </w:pPr>
      <w:r w:rsidRPr="00855861">
        <w:rPr>
          <w:noProof w:val="0"/>
          <w:lang w:val="fr-FR"/>
        </w:rPr>
        <w:tab/>
      </w:r>
      <w:r w:rsidR="00E41A02">
        <w:rPr>
          <w:noProof w:val="0"/>
          <w:lang w:val="fr-FR"/>
        </w:rPr>
        <w:t>a)  </w:t>
      </w:r>
      <w:r w:rsidR="006322CC" w:rsidRPr="00855861">
        <w:rPr>
          <w:noProof w:val="0"/>
          <w:lang w:val="fr-FR"/>
        </w:rPr>
        <w:t>Aux fins de l</w:t>
      </w:r>
      <w:r w:rsidR="00537437" w:rsidRPr="00855861">
        <w:rPr>
          <w:noProof w:val="0"/>
          <w:lang w:val="fr-FR"/>
        </w:rPr>
        <w:t>’</w:t>
      </w:r>
      <w:r w:rsidR="00CD0864" w:rsidRPr="00855861">
        <w:rPr>
          <w:noProof w:val="0"/>
          <w:lang w:val="fr-FR"/>
        </w:rPr>
        <w:t>article 1</w:t>
      </w:r>
      <w:r w:rsidR="006322CC" w:rsidRPr="00855861">
        <w:rPr>
          <w:noProof w:val="0"/>
          <w:lang w:val="fr-FR"/>
        </w:rPr>
        <w:t>5.2), l</w:t>
      </w:r>
      <w:r w:rsidR="00537437" w:rsidRPr="00855861">
        <w:rPr>
          <w:noProof w:val="0"/>
          <w:lang w:val="fr-FR"/>
        </w:rPr>
        <w:t>’</w:t>
      </w:r>
      <w:r w:rsidR="006322CC" w:rsidRPr="00855861">
        <w:rPr>
          <w:noProof w:val="0"/>
          <w:lang w:val="fr-FR"/>
        </w:rPr>
        <w:t>état de la technique pertinent comprend tout ce qui a été rendu accessible au public en tous lieux du monde par une divulgation écrite (</w:t>
      </w:r>
      <w:r w:rsidR="00537437" w:rsidRPr="00855861">
        <w:rPr>
          <w:noProof w:val="0"/>
          <w:lang w:val="fr-FR"/>
        </w:rPr>
        <w:t>y compris</w:t>
      </w:r>
      <w:r w:rsidR="006322CC" w:rsidRPr="00855861">
        <w:rPr>
          <w:noProof w:val="0"/>
          <w:lang w:val="fr-FR"/>
        </w:rPr>
        <w:t xml:space="preserve"> des dessins et autres illustrations) </w:t>
      </w:r>
      <w:r w:rsidR="00C12B94" w:rsidRPr="00855861">
        <w:rPr>
          <w:noProof w:val="0"/>
          <w:color w:val="0070C0"/>
          <w:u w:val="single"/>
          <w:lang w:val="fr-FR"/>
        </w:rPr>
        <w:t xml:space="preserve">ou orale, un usage, une exposition, ou tous autres moyens </w:t>
      </w:r>
      <w:r w:rsidR="006322CC" w:rsidRPr="00855861">
        <w:rPr>
          <w:noProof w:val="0"/>
          <w:lang w:val="fr-FR"/>
        </w:rPr>
        <w:t>et qui est susceptible d</w:t>
      </w:r>
      <w:r w:rsidR="00537437" w:rsidRPr="00855861">
        <w:rPr>
          <w:noProof w:val="0"/>
          <w:lang w:val="fr-FR"/>
        </w:rPr>
        <w:t>’</w:t>
      </w:r>
      <w:r w:rsidR="006322CC" w:rsidRPr="00855861">
        <w:rPr>
          <w:noProof w:val="0"/>
          <w:lang w:val="fr-FR"/>
        </w:rPr>
        <w:t>aider à déterminer si l</w:t>
      </w:r>
      <w:r w:rsidR="00537437" w:rsidRPr="00855861">
        <w:rPr>
          <w:noProof w:val="0"/>
          <w:lang w:val="fr-FR"/>
        </w:rPr>
        <w:t>’</w:t>
      </w:r>
      <w:r w:rsidR="006322CC" w:rsidRPr="00855861">
        <w:rPr>
          <w:noProof w:val="0"/>
          <w:lang w:val="fr-FR"/>
        </w:rPr>
        <w:t>invention dont la protection est demandée est nouvelle ou non et si elle implique ou non une activité inventive (c</w:t>
      </w:r>
      <w:r w:rsidR="00537437" w:rsidRPr="00855861">
        <w:rPr>
          <w:noProof w:val="0"/>
          <w:lang w:val="fr-FR"/>
        </w:rPr>
        <w:t>’</w:t>
      </w:r>
      <w:r w:rsidR="006322CC" w:rsidRPr="00855861">
        <w:rPr>
          <w:noProof w:val="0"/>
          <w:lang w:val="fr-FR"/>
        </w:rPr>
        <w:t>est</w:t>
      </w:r>
      <w:r w:rsidR="00537437" w:rsidRPr="00855861">
        <w:rPr>
          <w:noProof w:val="0"/>
          <w:lang w:val="fr-FR"/>
        </w:rPr>
        <w:t>-</w:t>
      </w:r>
      <w:r w:rsidR="006322CC" w:rsidRPr="00855861">
        <w:rPr>
          <w:noProof w:val="0"/>
          <w:lang w:val="fr-FR"/>
        </w:rPr>
        <w:t>à</w:t>
      </w:r>
      <w:r w:rsidR="00537437" w:rsidRPr="00855861">
        <w:rPr>
          <w:noProof w:val="0"/>
          <w:lang w:val="fr-FR"/>
        </w:rPr>
        <w:t>-</w:t>
      </w:r>
      <w:r w:rsidR="006322CC" w:rsidRPr="00855861">
        <w:rPr>
          <w:noProof w:val="0"/>
          <w:lang w:val="fr-FR"/>
        </w:rPr>
        <w:t>dire si elle est évidente ou non), à condition que la mise à la disposition du public ait eu lieu avant la date du dépôt international.</w:t>
      </w:r>
    </w:p>
    <w:p w14:paraId="71BCD583" w14:textId="349B91D8" w:rsidR="006322CC" w:rsidRPr="00855861" w:rsidRDefault="0080675B" w:rsidP="00BB16DB">
      <w:pPr>
        <w:pStyle w:val="Lega"/>
        <w:tabs>
          <w:tab w:val="clear" w:pos="454"/>
          <w:tab w:val="left" w:pos="567"/>
        </w:tabs>
        <w:rPr>
          <w:strike/>
          <w:noProof w:val="0"/>
          <w:lang w:val="fr-FR"/>
        </w:rPr>
      </w:pPr>
      <w:r w:rsidRPr="00855861">
        <w:rPr>
          <w:noProof w:val="0"/>
          <w:lang w:val="fr-FR"/>
        </w:rPr>
        <w:tab/>
      </w:r>
      <w:r w:rsidR="006322CC" w:rsidRPr="00855861">
        <w:rPr>
          <w:noProof w:val="0"/>
          <w:lang w:val="fr-FR"/>
        </w:rPr>
        <w:t>b</w:t>
      </w:r>
      <w:r w:rsidR="006322CC" w:rsidRPr="00E41A02">
        <w:rPr>
          <w:noProof w:val="0"/>
          <w:lang w:val="fr-FR"/>
        </w:rPr>
        <w:t>)</w:t>
      </w:r>
      <w:r w:rsidR="00BB16DB">
        <w:rPr>
          <w:noProof w:val="0"/>
          <w:lang w:val="fr-FR"/>
        </w:rPr>
        <w:t>  </w:t>
      </w:r>
      <w:r w:rsidR="006322CC" w:rsidRPr="00855861">
        <w:rPr>
          <w:i/>
          <w:noProof w:val="0"/>
          <w:lang w:val="fr-FR"/>
        </w:rPr>
        <w:t xml:space="preserve">[Sans changement] </w:t>
      </w:r>
      <w:r w:rsidR="006322CC" w:rsidRPr="00855861">
        <w:rPr>
          <w:noProof w:val="0"/>
          <w:lang w:val="fr-FR"/>
        </w:rPr>
        <w:t>Lorsqu</w:t>
      </w:r>
      <w:r w:rsidR="00537437" w:rsidRPr="00855861">
        <w:rPr>
          <w:noProof w:val="0"/>
          <w:lang w:val="fr-FR"/>
        </w:rPr>
        <w:t>’</w:t>
      </w:r>
      <w:r w:rsidR="006322CC" w:rsidRPr="00855861">
        <w:rPr>
          <w:noProof w:val="0"/>
          <w:lang w:val="fr-FR"/>
        </w:rPr>
        <w:t>une divulgation écrite se réfère à une divulgation orale, à un usage, à une exposition, ou à tous autres moyens par lesquels le contenu de la divulgation écrite a été rendu accessible au public, et lorsque cette mise à la disposition du public a eu lieu à une date antérieure à celle du dépôt international, le rapport de recherche internationale mentionne séparément ce fait et la date à laquelle il a eu lieu, si la date à laquelle la mise à la disposition du public de la divulgation écrite a eu lieu est identique ou postérieure à celle du dépôt international.</w:t>
      </w:r>
      <w:bookmarkStart w:id="13" w:name="_GoBack"/>
      <w:bookmarkEnd w:id="13"/>
    </w:p>
    <w:p w14:paraId="6F0B5BF1" w14:textId="067CA078" w:rsidR="006322CC" w:rsidRPr="00855861" w:rsidRDefault="0080675B" w:rsidP="00BB16DB">
      <w:pPr>
        <w:pStyle w:val="Lega"/>
        <w:tabs>
          <w:tab w:val="clear" w:pos="454"/>
          <w:tab w:val="left" w:pos="567"/>
        </w:tabs>
        <w:rPr>
          <w:noProof w:val="0"/>
          <w:lang w:val="fr-FR"/>
        </w:rPr>
      </w:pPr>
      <w:r w:rsidRPr="00855861">
        <w:rPr>
          <w:noProof w:val="0"/>
          <w:lang w:val="fr-FR"/>
        </w:rPr>
        <w:tab/>
      </w:r>
      <w:bookmarkStart w:id="14" w:name="_Toc97741905"/>
      <w:bookmarkStart w:id="15" w:name="_Toc110263847"/>
      <w:r w:rsidR="006322CC" w:rsidRPr="00855861">
        <w:rPr>
          <w:noProof w:val="0"/>
          <w:lang w:val="fr-FR"/>
        </w:rPr>
        <w:t>c)</w:t>
      </w:r>
      <w:r w:rsidR="00BB16DB">
        <w:rPr>
          <w:noProof w:val="0"/>
          <w:lang w:val="fr-FR"/>
        </w:rPr>
        <w:t>  </w:t>
      </w:r>
      <w:r w:rsidR="006322CC" w:rsidRPr="00855861">
        <w:rPr>
          <w:i/>
          <w:noProof w:val="0"/>
          <w:lang w:val="fr-FR"/>
        </w:rPr>
        <w:t xml:space="preserve">[Sans changement] </w:t>
      </w:r>
      <w:r w:rsidR="006322CC" w:rsidRPr="00855861">
        <w:rPr>
          <w:noProof w:val="0"/>
          <w:lang w:val="fr-FR"/>
        </w:rPr>
        <w:t>Toute demande publiée et tout brevet dont la date de publication est identique ou postérieure, mais dont la date de dépôt – ou, le cas échéant, la date de priorité revendiquée – est antérieure, à la date du dépôt international de la demande internationale faisant l</w:t>
      </w:r>
      <w:r w:rsidR="00537437" w:rsidRPr="00855861">
        <w:rPr>
          <w:noProof w:val="0"/>
          <w:lang w:val="fr-FR"/>
        </w:rPr>
        <w:t>’</w:t>
      </w:r>
      <w:r w:rsidR="006322CC" w:rsidRPr="00855861">
        <w:rPr>
          <w:noProof w:val="0"/>
          <w:lang w:val="fr-FR"/>
        </w:rPr>
        <w:t>objet de la recherche, et qui feraient partie de l</w:t>
      </w:r>
      <w:r w:rsidR="00537437" w:rsidRPr="00855861">
        <w:rPr>
          <w:noProof w:val="0"/>
          <w:lang w:val="fr-FR"/>
        </w:rPr>
        <w:t>’</w:t>
      </w:r>
      <w:r w:rsidR="006322CC" w:rsidRPr="00855861">
        <w:rPr>
          <w:noProof w:val="0"/>
          <w:lang w:val="fr-FR"/>
        </w:rPr>
        <w:t>état de la technique pertinent aux fins de l</w:t>
      </w:r>
      <w:r w:rsidR="00537437" w:rsidRPr="00855861">
        <w:rPr>
          <w:noProof w:val="0"/>
          <w:lang w:val="fr-FR"/>
        </w:rPr>
        <w:t>’</w:t>
      </w:r>
      <w:r w:rsidR="00CD0864" w:rsidRPr="00855861">
        <w:rPr>
          <w:noProof w:val="0"/>
          <w:lang w:val="fr-FR"/>
        </w:rPr>
        <w:t>article 1</w:t>
      </w:r>
      <w:r w:rsidR="006322CC" w:rsidRPr="00855861">
        <w:rPr>
          <w:noProof w:val="0"/>
          <w:lang w:val="fr-FR"/>
        </w:rPr>
        <w:t>5.2) s</w:t>
      </w:r>
      <w:r w:rsidR="00537437" w:rsidRPr="00855861">
        <w:rPr>
          <w:noProof w:val="0"/>
          <w:lang w:val="fr-FR"/>
        </w:rPr>
        <w:t>’</w:t>
      </w:r>
      <w:r w:rsidR="006322CC" w:rsidRPr="00855861">
        <w:rPr>
          <w:noProof w:val="0"/>
          <w:lang w:val="fr-FR"/>
        </w:rPr>
        <w:t>ils avaient été publiés avant la date du dépôt international, sont spécialement mentionnés dans le rapport de recherche internationale.</w:t>
      </w:r>
    </w:p>
    <w:p w14:paraId="3BF8CA6A" w14:textId="3E47D358" w:rsidR="006322CC" w:rsidRPr="00855861" w:rsidRDefault="00C519F1" w:rsidP="00C519F1">
      <w:pPr>
        <w:pStyle w:val="LegSubRule"/>
        <w:keepLines w:val="0"/>
        <w:outlineLvl w:val="0"/>
        <w:rPr>
          <w:noProof w:val="0"/>
          <w:lang w:val="fr-FR"/>
        </w:rPr>
      </w:pPr>
      <w:bookmarkStart w:id="16" w:name="_Toc97741910"/>
      <w:bookmarkStart w:id="17" w:name="_Toc110263848"/>
      <w:bookmarkEnd w:id="14"/>
      <w:bookmarkEnd w:id="15"/>
      <w:r w:rsidRPr="00855861">
        <w:rPr>
          <w:noProof w:val="0"/>
          <w:lang w:val="fr-FR"/>
        </w:rPr>
        <w:t>33.2 et 33.3</w:t>
      </w:r>
      <w:r w:rsidR="00BB16DB">
        <w:rPr>
          <w:noProof w:val="0"/>
          <w:lang w:val="fr-FR"/>
        </w:rPr>
        <w:t>   </w:t>
      </w:r>
      <w:r w:rsidRPr="00855861">
        <w:rPr>
          <w:noProof w:val="0"/>
          <w:lang w:val="fr-FR"/>
        </w:rPr>
        <w:t>[Sans changement]</w:t>
      </w:r>
    </w:p>
    <w:p w14:paraId="3175334F" w14:textId="2ABC8400" w:rsidR="006322CC" w:rsidRPr="00855861" w:rsidRDefault="00CD0864" w:rsidP="00C519F1">
      <w:pPr>
        <w:pStyle w:val="LegTitle"/>
        <w:rPr>
          <w:noProof w:val="0"/>
          <w:lang w:val="fr-FR"/>
        </w:rPr>
      </w:pPr>
      <w:bookmarkStart w:id="18" w:name="_Toc97741911"/>
      <w:bookmarkStart w:id="19" w:name="_Toc110263849"/>
      <w:bookmarkEnd w:id="16"/>
      <w:bookmarkEnd w:id="17"/>
      <w:r w:rsidRPr="00855861">
        <w:rPr>
          <w:noProof w:val="0"/>
          <w:lang w:val="fr-FR"/>
        </w:rPr>
        <w:lastRenderedPageBreak/>
        <w:t>Règle 6</w:t>
      </w:r>
      <w:r w:rsidR="00C519F1" w:rsidRPr="00855861">
        <w:rPr>
          <w:noProof w:val="0"/>
          <w:lang w:val="fr-FR"/>
        </w:rPr>
        <w:t>4</w:t>
      </w:r>
      <w:r w:rsidR="00BB16DB">
        <w:rPr>
          <w:noProof w:val="0"/>
          <w:lang w:val="fr-FR"/>
        </w:rPr>
        <w:br/>
      </w:r>
      <w:r w:rsidR="00C519F1" w:rsidRPr="00855861">
        <w:rPr>
          <w:noProof w:val="0"/>
          <w:lang w:val="fr-FR"/>
        </w:rPr>
        <w:t>État de la technique pertinent aux fins de l</w:t>
      </w:r>
      <w:r w:rsidR="00537437" w:rsidRPr="00855861">
        <w:rPr>
          <w:noProof w:val="0"/>
          <w:lang w:val="fr-FR"/>
        </w:rPr>
        <w:t>’</w:t>
      </w:r>
      <w:r w:rsidR="00C519F1" w:rsidRPr="00855861">
        <w:rPr>
          <w:noProof w:val="0"/>
          <w:lang w:val="fr-FR"/>
        </w:rPr>
        <w:t>examen préliminaire international</w:t>
      </w:r>
    </w:p>
    <w:bookmarkEnd w:id="18"/>
    <w:bookmarkEnd w:id="19"/>
    <w:p w14:paraId="7FC11247" w14:textId="2A739A82" w:rsidR="006322CC" w:rsidRPr="00855861" w:rsidRDefault="00BB16DB" w:rsidP="00BB16DB">
      <w:pPr>
        <w:pStyle w:val="LegSubRule"/>
        <w:keepLines w:val="0"/>
        <w:tabs>
          <w:tab w:val="clear" w:pos="510"/>
          <w:tab w:val="left" w:pos="567"/>
        </w:tabs>
        <w:ind w:left="567" w:hanging="567"/>
        <w:outlineLvl w:val="0"/>
        <w:rPr>
          <w:noProof w:val="0"/>
          <w:lang w:val="fr-FR"/>
        </w:rPr>
      </w:pPr>
      <w:r>
        <w:rPr>
          <w:noProof w:val="0"/>
          <w:lang w:val="fr-FR"/>
        </w:rPr>
        <w:t>64.1)   </w:t>
      </w:r>
      <w:r w:rsidR="00C519F1" w:rsidRPr="00855861">
        <w:rPr>
          <w:i/>
          <w:noProof w:val="0"/>
          <w:lang w:val="fr-FR"/>
        </w:rPr>
        <w:t>État de la technique</w:t>
      </w:r>
    </w:p>
    <w:p w14:paraId="3752AED5" w14:textId="23D723B1" w:rsidR="00CD0864" w:rsidRPr="00855861" w:rsidRDefault="0080675B" w:rsidP="00BB16DB">
      <w:pPr>
        <w:pStyle w:val="Lega"/>
        <w:tabs>
          <w:tab w:val="clear" w:pos="454"/>
          <w:tab w:val="left" w:pos="567"/>
        </w:tabs>
        <w:rPr>
          <w:noProof w:val="0"/>
          <w:lang w:val="fr-FR"/>
        </w:rPr>
      </w:pPr>
      <w:r w:rsidRPr="00855861">
        <w:rPr>
          <w:noProof w:val="0"/>
          <w:lang w:val="fr-FR"/>
        </w:rPr>
        <w:tab/>
      </w:r>
      <w:r w:rsidR="00C519F1" w:rsidRPr="00855861">
        <w:rPr>
          <w:noProof w:val="0"/>
          <w:lang w:val="fr-FR"/>
        </w:rPr>
        <w:t>a)</w:t>
      </w:r>
      <w:r w:rsidR="00BB16DB">
        <w:rPr>
          <w:noProof w:val="0"/>
          <w:lang w:val="fr-FR"/>
        </w:rPr>
        <w:t>  </w:t>
      </w:r>
      <w:r w:rsidR="00C519F1" w:rsidRPr="00855861">
        <w:rPr>
          <w:noProof w:val="0"/>
          <w:lang w:val="fr-FR"/>
        </w:rPr>
        <w:t>Aux fins de l</w:t>
      </w:r>
      <w:r w:rsidR="00537437" w:rsidRPr="00855861">
        <w:rPr>
          <w:noProof w:val="0"/>
          <w:lang w:val="fr-FR"/>
        </w:rPr>
        <w:t>’</w:t>
      </w:r>
      <w:r w:rsidR="00CD0864" w:rsidRPr="00855861">
        <w:rPr>
          <w:noProof w:val="0"/>
          <w:lang w:val="fr-FR"/>
        </w:rPr>
        <w:t>article 3</w:t>
      </w:r>
      <w:r w:rsidR="00C519F1" w:rsidRPr="00855861">
        <w:rPr>
          <w:noProof w:val="0"/>
          <w:lang w:val="fr-FR"/>
        </w:rPr>
        <w:t>3</w:t>
      </w:r>
      <w:r w:rsidR="004D3320" w:rsidRPr="00855861">
        <w:rPr>
          <w:noProof w:val="0"/>
          <w:lang w:val="fr-FR"/>
        </w:rPr>
        <w:t>.</w:t>
      </w:r>
      <w:r w:rsidR="00BB16DB">
        <w:rPr>
          <w:noProof w:val="0"/>
          <w:lang w:val="fr-FR"/>
        </w:rPr>
        <w:t>2) et </w:t>
      </w:r>
      <w:r w:rsidR="00C519F1" w:rsidRPr="00855861">
        <w:rPr>
          <w:noProof w:val="0"/>
          <w:lang w:val="fr-FR"/>
        </w:rPr>
        <w:t>3), est considéré comme faisant partie de l</w:t>
      </w:r>
      <w:r w:rsidR="00537437" w:rsidRPr="00855861">
        <w:rPr>
          <w:noProof w:val="0"/>
          <w:lang w:val="fr-FR"/>
        </w:rPr>
        <w:t>’</w:t>
      </w:r>
      <w:r w:rsidR="00C519F1" w:rsidRPr="00855861">
        <w:rPr>
          <w:noProof w:val="0"/>
          <w:lang w:val="fr-FR"/>
        </w:rPr>
        <w:t>état de la technique tout ce qui a été rendu accessible au public en tous lieux du monde par une divulgation écrite (</w:t>
      </w:r>
      <w:r w:rsidR="00537437" w:rsidRPr="00855861">
        <w:rPr>
          <w:noProof w:val="0"/>
          <w:lang w:val="fr-FR"/>
        </w:rPr>
        <w:t>y compris</w:t>
      </w:r>
      <w:r w:rsidR="00C519F1" w:rsidRPr="00855861">
        <w:rPr>
          <w:noProof w:val="0"/>
          <w:lang w:val="fr-FR"/>
        </w:rPr>
        <w:t xml:space="preserve"> des dessins et autres illustrations) </w:t>
      </w:r>
      <w:r w:rsidR="004D3320" w:rsidRPr="00855861">
        <w:rPr>
          <w:noProof w:val="0"/>
          <w:color w:val="0070C0"/>
          <w:u w:val="single"/>
          <w:lang w:val="fr-FR"/>
        </w:rPr>
        <w:t>ou orale, un usage, une exposition, ou tous autres moyens</w:t>
      </w:r>
      <w:r w:rsidR="00C519F1" w:rsidRPr="00855861">
        <w:rPr>
          <w:noProof w:val="0"/>
          <w:lang w:val="fr-FR"/>
        </w:rPr>
        <w:t>, pour autant que cette mise à la disposition du public ait eu lieu avant la date pertinente.</w:t>
      </w:r>
    </w:p>
    <w:p w14:paraId="688A4FB5" w14:textId="3CD7FE54" w:rsidR="00CD0864" w:rsidRPr="00855861" w:rsidRDefault="0080675B" w:rsidP="00BB16DB">
      <w:pPr>
        <w:pStyle w:val="Lega"/>
        <w:tabs>
          <w:tab w:val="clear" w:pos="454"/>
          <w:tab w:val="left" w:pos="567"/>
        </w:tabs>
        <w:rPr>
          <w:noProof w:val="0"/>
          <w:lang w:val="fr-FR"/>
        </w:rPr>
      </w:pPr>
      <w:r w:rsidRPr="00855861">
        <w:rPr>
          <w:noProof w:val="0"/>
          <w:lang w:val="fr-FR"/>
        </w:rPr>
        <w:tab/>
      </w:r>
      <w:r w:rsidR="00C519F1" w:rsidRPr="00855861">
        <w:rPr>
          <w:noProof w:val="0"/>
          <w:lang w:val="fr-FR"/>
        </w:rPr>
        <w:t>b)</w:t>
      </w:r>
      <w:r w:rsidR="00BB16DB">
        <w:rPr>
          <w:noProof w:val="0"/>
          <w:lang w:val="fr-FR"/>
        </w:rPr>
        <w:t>  </w:t>
      </w:r>
      <w:r w:rsidR="00C519F1" w:rsidRPr="00855861">
        <w:rPr>
          <w:noProof w:val="0"/>
          <w:lang w:val="fr-FR"/>
        </w:rPr>
        <w:t>[Sans changement]</w:t>
      </w:r>
    </w:p>
    <w:p w14:paraId="70D14E59" w14:textId="597C3184" w:rsidR="006322CC" w:rsidRPr="00855861" w:rsidRDefault="00C519F1" w:rsidP="00BB16DB">
      <w:pPr>
        <w:pStyle w:val="LegSubRule"/>
        <w:keepLines w:val="0"/>
        <w:spacing w:after="1680"/>
        <w:outlineLvl w:val="0"/>
        <w:rPr>
          <w:noProof w:val="0"/>
          <w:lang w:val="fr-FR"/>
        </w:rPr>
      </w:pPr>
      <w:r w:rsidRPr="00855861">
        <w:rPr>
          <w:noProof w:val="0"/>
          <w:lang w:val="fr-FR"/>
        </w:rPr>
        <w:t>64.2 et 64.3</w:t>
      </w:r>
      <w:r w:rsidR="00BB16DB">
        <w:rPr>
          <w:noProof w:val="0"/>
          <w:lang w:val="fr-FR"/>
        </w:rPr>
        <w:t>   </w:t>
      </w:r>
      <w:r w:rsidRPr="00855861">
        <w:rPr>
          <w:noProof w:val="0"/>
          <w:lang w:val="fr-FR"/>
        </w:rPr>
        <w:t>[Sans changement]</w:t>
      </w:r>
    </w:p>
    <w:p w14:paraId="14A04B41" w14:textId="2B13E5E7" w:rsidR="00033956" w:rsidRPr="00855861" w:rsidRDefault="00C519F1" w:rsidP="00616788">
      <w:pPr>
        <w:pStyle w:val="Endofdocument-Annex"/>
        <w:rPr>
          <w:lang w:val="fr-FR"/>
        </w:rPr>
      </w:pPr>
      <w:r w:rsidRPr="00855861">
        <w:rPr>
          <w:lang w:val="fr-FR"/>
        </w:rPr>
        <w:t>[Fin de l</w:t>
      </w:r>
      <w:r w:rsidR="00537437" w:rsidRPr="00855861">
        <w:rPr>
          <w:lang w:val="fr-FR"/>
        </w:rPr>
        <w:t>’</w:t>
      </w:r>
      <w:r w:rsidRPr="00855861">
        <w:rPr>
          <w:lang w:val="fr-FR"/>
        </w:rPr>
        <w:t>annexe et du document]</w:t>
      </w:r>
    </w:p>
    <w:sectPr w:rsidR="00033956" w:rsidRPr="00855861" w:rsidSect="00CA50E1">
      <w:headerReference w:type="even" r:id="rId15"/>
      <w:headerReference w:type="default" r:id="rId16"/>
      <w:footerReference w:type="even" r:id="rId17"/>
      <w:footerReference w:type="default" r:id="rId18"/>
      <w:headerReference w:type="first" r:id="rId19"/>
      <w:footerReference w:type="first" r:id="rId20"/>
      <w:endnotePr>
        <w:numFmt w:val="decimal"/>
      </w:endnotePr>
      <w:pgSz w:w="11907" w:h="16840" w:code="9"/>
      <w:pgMar w:top="567" w:right="1134" w:bottom="1418" w:left="1418" w:header="510" w:footer="1021" w:gutter="0"/>
      <w:pgNumType w:start="1"/>
      <w:cols w:space="720"/>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9FAC9D" w16cex:dateUtc="2022-08-11T14: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962669B" w16cid:durableId="269FAC9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960576" w14:textId="77777777" w:rsidR="00CE45AA" w:rsidRDefault="00CE45AA">
      <w:r>
        <w:separator/>
      </w:r>
    </w:p>
  </w:endnote>
  <w:endnote w:type="continuationSeparator" w:id="0">
    <w:p w14:paraId="73D62754" w14:textId="77777777" w:rsidR="00CE45AA" w:rsidRDefault="00CE45AA" w:rsidP="003B38C1">
      <w:r>
        <w:separator/>
      </w:r>
    </w:p>
    <w:p w14:paraId="79AFB7C0" w14:textId="77777777" w:rsidR="00CE45AA" w:rsidRPr="003B38C1" w:rsidRDefault="00CE45AA" w:rsidP="003B38C1">
      <w:pPr>
        <w:spacing w:after="60"/>
        <w:rPr>
          <w:sz w:val="17"/>
        </w:rPr>
      </w:pPr>
      <w:r>
        <w:rPr>
          <w:sz w:val="17"/>
        </w:rPr>
        <w:t>[Endnote continued from previous page]</w:t>
      </w:r>
    </w:p>
  </w:endnote>
  <w:endnote w:type="continuationNotice" w:id="1">
    <w:p w14:paraId="78913AB3" w14:textId="77777777" w:rsidR="00CE45AA" w:rsidRPr="003B38C1" w:rsidRDefault="00CE45A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2B4FA6" w14:textId="77777777" w:rsidR="00E41A02" w:rsidRDefault="00E41A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BF24EA" w14:textId="77777777" w:rsidR="00855861" w:rsidRDefault="008558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9AE26A" w14:textId="77777777" w:rsidR="00E41A02" w:rsidRDefault="00E41A0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C7DB63" w14:textId="77777777" w:rsidR="008A4B97" w:rsidRDefault="000462DE" w:rsidP="008A4B9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110192" w14:textId="77777777" w:rsidR="008A4B97" w:rsidRDefault="000462D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D74730" w14:textId="77777777" w:rsidR="008A4B97" w:rsidRDefault="000462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3EC60F" w14:textId="77777777" w:rsidR="00CE45AA" w:rsidRDefault="00CE45AA">
      <w:r>
        <w:separator/>
      </w:r>
    </w:p>
  </w:footnote>
  <w:footnote w:type="continuationSeparator" w:id="0">
    <w:p w14:paraId="327FD90F" w14:textId="77777777" w:rsidR="00CE45AA" w:rsidRDefault="00CE45AA" w:rsidP="008B60B2">
      <w:r>
        <w:separator/>
      </w:r>
    </w:p>
    <w:p w14:paraId="6DB6F3AE" w14:textId="77777777" w:rsidR="00CE45AA" w:rsidRPr="00ED77FB" w:rsidRDefault="00CE45AA" w:rsidP="008B60B2">
      <w:pPr>
        <w:spacing w:after="60"/>
        <w:rPr>
          <w:sz w:val="17"/>
          <w:szCs w:val="17"/>
        </w:rPr>
      </w:pPr>
      <w:r w:rsidRPr="00ED77FB">
        <w:rPr>
          <w:sz w:val="17"/>
          <w:szCs w:val="17"/>
        </w:rPr>
        <w:t>[Footnote continued from previous page]</w:t>
      </w:r>
    </w:p>
  </w:footnote>
  <w:footnote w:type="continuationNotice" w:id="1">
    <w:p w14:paraId="47660F41" w14:textId="77777777" w:rsidR="00CE45AA" w:rsidRPr="00ED77FB" w:rsidRDefault="00CE45AA" w:rsidP="008B60B2">
      <w:pPr>
        <w:spacing w:before="60"/>
        <w:jc w:val="right"/>
        <w:rPr>
          <w:sz w:val="17"/>
          <w:szCs w:val="17"/>
        </w:rPr>
      </w:pPr>
      <w:r w:rsidRPr="00ED77FB">
        <w:rPr>
          <w:sz w:val="17"/>
          <w:szCs w:val="17"/>
        </w:rPr>
        <w:t>[Footnote continued on next page]</w:t>
      </w:r>
    </w:p>
  </w:footnote>
  <w:footnote w:id="2">
    <w:p w14:paraId="2C2B8B40" w14:textId="2AF8C043" w:rsidR="006322CC" w:rsidRPr="008216B6" w:rsidRDefault="006322CC" w:rsidP="006322CC">
      <w:pPr>
        <w:pStyle w:val="FootnoteText"/>
        <w:rPr>
          <w:lang w:val="fr-CH"/>
        </w:rPr>
      </w:pPr>
      <w:r w:rsidRPr="008216B6">
        <w:rPr>
          <w:rStyle w:val="FootnoteReference"/>
        </w:rPr>
        <w:footnoteRef/>
      </w:r>
      <w:r w:rsidRPr="002E5F66">
        <w:rPr>
          <w:lang w:val="fr-CH"/>
        </w:rPr>
        <w:t xml:space="preserve"> </w:t>
      </w:r>
      <w:r w:rsidRPr="008216B6">
        <w:rPr>
          <w:lang w:val="fr-CH"/>
        </w:rPr>
        <w:tab/>
        <w:t>Le texte qu</w:t>
      </w:r>
      <w:r w:rsidR="005564B4">
        <w:rPr>
          <w:lang w:val="fr-CH"/>
        </w:rPr>
        <w:t>’</w:t>
      </w:r>
      <w:r w:rsidRPr="008216B6">
        <w:rPr>
          <w:lang w:val="fr-CH"/>
        </w:rPr>
        <w:t>il est proposé d</w:t>
      </w:r>
      <w:r w:rsidR="005564B4">
        <w:rPr>
          <w:lang w:val="fr-CH"/>
        </w:rPr>
        <w:t>’</w:t>
      </w:r>
      <w:r w:rsidRPr="008216B6">
        <w:rPr>
          <w:lang w:val="fr-CH"/>
        </w:rPr>
        <w:t>ajouter est souligné et celui qu</w:t>
      </w:r>
      <w:r w:rsidR="005564B4">
        <w:rPr>
          <w:lang w:val="fr-CH"/>
        </w:rPr>
        <w:t>’</w:t>
      </w:r>
      <w:r w:rsidRPr="008216B6">
        <w:rPr>
          <w:lang w:val="fr-CH"/>
        </w:rPr>
        <w:t>il est proposé de supprimer est biffé.</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B564C" w14:textId="77777777" w:rsidR="00E41A02" w:rsidRDefault="00E41A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2FAF82" w14:textId="11DBC8C4" w:rsidR="00D07C78" w:rsidRPr="002326AB" w:rsidRDefault="00B1491C" w:rsidP="00477D6B">
    <w:pPr>
      <w:jc w:val="right"/>
      <w:rPr>
        <w:caps/>
      </w:rPr>
    </w:pPr>
    <w:bookmarkStart w:id="4" w:name="Code2"/>
    <w:bookmarkEnd w:id="4"/>
    <w:r>
      <w:rPr>
        <w:caps/>
      </w:rPr>
      <w:t>PCT/WG/15/</w:t>
    </w:r>
    <w:r w:rsidR="002F737E">
      <w:rPr>
        <w:caps/>
      </w:rPr>
      <w:t>5</w:t>
    </w:r>
  </w:p>
  <w:p w14:paraId="576F99C5" w14:textId="287583E3" w:rsidR="00D07C78" w:rsidRDefault="00616788" w:rsidP="00616788">
    <w:pPr>
      <w:spacing w:after="480"/>
      <w:jc w:val="right"/>
    </w:pPr>
    <w:r>
      <w:t>page </w:t>
    </w:r>
    <w:r w:rsidR="00D07C78">
      <w:fldChar w:fldCharType="begin"/>
    </w:r>
    <w:r w:rsidR="00D07C78">
      <w:instrText xml:space="preserve"> PAGE  \* MERGEFORMAT </w:instrText>
    </w:r>
    <w:r w:rsidR="00D07C78">
      <w:fldChar w:fldCharType="separate"/>
    </w:r>
    <w:r w:rsidR="000462DE">
      <w:rPr>
        <w:noProof/>
      </w:rPr>
      <w:t>4</w:t>
    </w:r>
    <w:r w:rsidR="00D07C78">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0260CA" w14:textId="77777777" w:rsidR="00E41A02" w:rsidRDefault="00E41A0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D5F39C" w14:textId="77777777" w:rsidR="008A4B97" w:rsidRPr="002326AB" w:rsidRDefault="009208E5" w:rsidP="008A4B97">
    <w:pPr>
      <w:jc w:val="right"/>
      <w:rPr>
        <w:caps/>
      </w:rPr>
    </w:pPr>
    <w:r>
      <w:rPr>
        <w:caps/>
      </w:rPr>
      <w:t>PCT/MIA/29/2</w:t>
    </w:r>
  </w:p>
  <w:p w14:paraId="1FEFAA33" w14:textId="1FB643DD" w:rsidR="008A4B97" w:rsidRDefault="009208E5" w:rsidP="008A4B97">
    <w:pPr>
      <w:jc w:val="right"/>
    </w:pPr>
    <w:r>
      <w:t xml:space="preserve">Annex, page </w:t>
    </w:r>
    <w:r>
      <w:fldChar w:fldCharType="begin"/>
    </w:r>
    <w:r>
      <w:instrText xml:space="preserve"> PAGE  \* MERGEFORMAT </w:instrText>
    </w:r>
    <w:r>
      <w:fldChar w:fldCharType="separate"/>
    </w:r>
    <w:r w:rsidR="003D3010">
      <w:rPr>
        <w:noProof/>
      </w:rPr>
      <w:t>3</w:t>
    </w:r>
    <w:r>
      <w:fldChar w:fldCharType="end"/>
    </w:r>
  </w:p>
  <w:p w14:paraId="48612A30" w14:textId="77777777" w:rsidR="008A4B97" w:rsidRDefault="000462DE" w:rsidP="008A4B97">
    <w:pPr>
      <w:jc w:val="right"/>
    </w:pPr>
  </w:p>
  <w:p w14:paraId="529C4E1A" w14:textId="77777777" w:rsidR="008A4B97" w:rsidRDefault="000462DE" w:rsidP="008A4B97">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9A316A" w14:textId="37B1CA91" w:rsidR="00CA50E1" w:rsidRPr="008216B6" w:rsidRDefault="0080675B" w:rsidP="00477D6B">
    <w:pPr>
      <w:jc w:val="right"/>
      <w:rPr>
        <w:caps/>
        <w:lang w:val="fr-FR"/>
      </w:rPr>
    </w:pPr>
    <w:r w:rsidRPr="008216B6">
      <w:rPr>
        <w:caps/>
        <w:lang w:val="fr-FR"/>
      </w:rPr>
      <w:t>PCT/WG/15/</w:t>
    </w:r>
    <w:r w:rsidR="002F737E" w:rsidRPr="008216B6">
      <w:rPr>
        <w:caps/>
        <w:lang w:val="fr-FR"/>
      </w:rPr>
      <w:t>5</w:t>
    </w:r>
  </w:p>
  <w:p w14:paraId="3966A838" w14:textId="4E694A5D" w:rsidR="00CA50E1" w:rsidRPr="008216B6" w:rsidRDefault="00C519F1" w:rsidP="00BB16DB">
    <w:pPr>
      <w:spacing w:after="480"/>
      <w:jc w:val="right"/>
      <w:rPr>
        <w:lang w:val="fr-FR"/>
      </w:rPr>
    </w:pPr>
    <w:r w:rsidRPr="008216B6">
      <w:rPr>
        <w:lang w:val="fr-FR"/>
      </w:rPr>
      <w:t>Annexe, page</w:t>
    </w:r>
    <w:r w:rsidR="00BB16DB">
      <w:rPr>
        <w:lang w:val="fr-FR"/>
      </w:rPr>
      <w:t> </w:t>
    </w:r>
    <w:r w:rsidR="009208E5" w:rsidRPr="008216B6">
      <w:fldChar w:fldCharType="begin"/>
    </w:r>
    <w:r w:rsidR="009208E5" w:rsidRPr="008216B6">
      <w:rPr>
        <w:lang w:val="fr-FR"/>
      </w:rPr>
      <w:instrText xml:space="preserve"> PAGE  \* MERGEFORMAT </w:instrText>
    </w:r>
    <w:r w:rsidR="009208E5" w:rsidRPr="008216B6">
      <w:fldChar w:fldCharType="separate"/>
    </w:r>
    <w:r w:rsidR="000462DE">
      <w:rPr>
        <w:noProof/>
        <w:lang w:val="fr-FR"/>
      </w:rPr>
      <w:t>3</w:t>
    </w:r>
    <w:r w:rsidR="009208E5" w:rsidRPr="008216B6">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1BA8B3" w14:textId="77777777" w:rsidR="00BB16DB" w:rsidRDefault="0080675B" w:rsidP="00CA50E1">
    <w:pPr>
      <w:pStyle w:val="Header"/>
      <w:jc w:val="right"/>
      <w:rPr>
        <w:lang w:val="fr-CH"/>
      </w:rPr>
    </w:pPr>
    <w:r>
      <w:rPr>
        <w:lang w:val="fr-CH"/>
      </w:rPr>
      <w:t>PCT/WG/15/</w:t>
    </w:r>
    <w:r w:rsidR="002F737E">
      <w:rPr>
        <w:lang w:val="fr-CH"/>
      </w:rPr>
      <w:t>5</w:t>
    </w:r>
  </w:p>
  <w:p w14:paraId="47DD121A" w14:textId="00BFB8A8" w:rsidR="00CA50E1" w:rsidRDefault="009208E5" w:rsidP="00BB16DB">
    <w:pPr>
      <w:pStyle w:val="Header"/>
      <w:spacing w:after="480"/>
      <w:jc w:val="right"/>
      <w:rPr>
        <w:lang w:val="fr-CH"/>
      </w:rPr>
    </w:pPr>
    <w:r>
      <w:rPr>
        <w:lang w:val="fr-CH"/>
      </w:rPr>
      <w:t>ANNEX</w:t>
    </w:r>
    <w:r w:rsidR="00C519F1">
      <w:rPr>
        <w:lang w:val="fr-CH"/>
      </w:rPr>
      <w:t>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7A67032"/>
    <w:multiLevelType w:val="hybridMultilevel"/>
    <w:tmpl w:val="A4364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8B55500"/>
    <w:multiLevelType w:val="multilevel"/>
    <w:tmpl w:val="3C980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40121CA"/>
    <w:multiLevelType w:val="multilevel"/>
    <w:tmpl w:val="F030E87E"/>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num w:numId="1">
    <w:abstractNumId w:val="2"/>
  </w:num>
  <w:num w:numId="2">
    <w:abstractNumId w:val="6"/>
  </w:num>
  <w:num w:numId="3">
    <w:abstractNumId w:val="0"/>
  </w:num>
  <w:num w:numId="4">
    <w:abstractNumId w:val="7"/>
  </w:num>
  <w:num w:numId="5">
    <w:abstractNumId w:val="1"/>
  </w:num>
  <w:num w:numId="6">
    <w:abstractNumId w:val="4"/>
  </w:num>
  <w:num w:numId="7">
    <w:abstractNumId w:val="5"/>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WIPOLDTERM|xUPOV LDTERM"/>
    <w:docVar w:name="TermBaseURL" w:val="empty"/>
    <w:docVar w:name="TextBases" w:val="Team Server TMs\French|TextBase TMs\WorkspaceFTS\Ad-hoc\Assemblies|TextBase TMs\WorkspaceFTS\Ad-hoc\Glossaires|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UPOV\TGs|TextBase TMs\WorkspaceFTS\UPOV\UPOV|TextBase TMs\WorkspaceFTS\xLegacy\UPOV"/>
    <w:docVar w:name="TextBaseURL" w:val="empty"/>
    <w:docVar w:name="UILng" w:val="en"/>
  </w:docVars>
  <w:rsids>
    <w:rsidRoot w:val="00B1491C"/>
    <w:rsid w:val="000232B1"/>
    <w:rsid w:val="00033956"/>
    <w:rsid w:val="00040C5E"/>
    <w:rsid w:val="00043CAA"/>
    <w:rsid w:val="000462DE"/>
    <w:rsid w:val="00056816"/>
    <w:rsid w:val="00075432"/>
    <w:rsid w:val="000968ED"/>
    <w:rsid w:val="000A3D97"/>
    <w:rsid w:val="000F5E56"/>
    <w:rsid w:val="00104ACC"/>
    <w:rsid w:val="00136210"/>
    <w:rsid w:val="001362EE"/>
    <w:rsid w:val="00141791"/>
    <w:rsid w:val="00161B1E"/>
    <w:rsid w:val="001647D5"/>
    <w:rsid w:val="001832A6"/>
    <w:rsid w:val="001A1E38"/>
    <w:rsid w:val="001D100A"/>
    <w:rsid w:val="001D1437"/>
    <w:rsid w:val="001D4107"/>
    <w:rsid w:val="00203D24"/>
    <w:rsid w:val="0021217E"/>
    <w:rsid w:val="00212AE7"/>
    <w:rsid w:val="002326AB"/>
    <w:rsid w:val="00243430"/>
    <w:rsid w:val="002475C5"/>
    <w:rsid w:val="002571C4"/>
    <w:rsid w:val="002634C4"/>
    <w:rsid w:val="00263693"/>
    <w:rsid w:val="00281BFB"/>
    <w:rsid w:val="002928D3"/>
    <w:rsid w:val="002A6C31"/>
    <w:rsid w:val="002A717A"/>
    <w:rsid w:val="002B4914"/>
    <w:rsid w:val="002C0BB9"/>
    <w:rsid w:val="002E5F66"/>
    <w:rsid w:val="002E6EBE"/>
    <w:rsid w:val="002F1FE6"/>
    <w:rsid w:val="002F4E68"/>
    <w:rsid w:val="002F737E"/>
    <w:rsid w:val="00312F7F"/>
    <w:rsid w:val="00361450"/>
    <w:rsid w:val="003673CF"/>
    <w:rsid w:val="00376A78"/>
    <w:rsid w:val="003845C1"/>
    <w:rsid w:val="003A6F89"/>
    <w:rsid w:val="003B38C1"/>
    <w:rsid w:val="003C34E9"/>
    <w:rsid w:val="003D3010"/>
    <w:rsid w:val="003E25F7"/>
    <w:rsid w:val="00406DA6"/>
    <w:rsid w:val="00423E3E"/>
    <w:rsid w:val="00427AF4"/>
    <w:rsid w:val="00441BD4"/>
    <w:rsid w:val="004647DA"/>
    <w:rsid w:val="0047001F"/>
    <w:rsid w:val="00474062"/>
    <w:rsid w:val="00477D6B"/>
    <w:rsid w:val="00495115"/>
    <w:rsid w:val="004D3320"/>
    <w:rsid w:val="004D413B"/>
    <w:rsid w:val="004E1419"/>
    <w:rsid w:val="004F6642"/>
    <w:rsid w:val="004F756E"/>
    <w:rsid w:val="005019FF"/>
    <w:rsid w:val="0053057A"/>
    <w:rsid w:val="00537437"/>
    <w:rsid w:val="00551651"/>
    <w:rsid w:val="00556076"/>
    <w:rsid w:val="005564B4"/>
    <w:rsid w:val="00560A29"/>
    <w:rsid w:val="00567B84"/>
    <w:rsid w:val="005765AE"/>
    <w:rsid w:val="00582607"/>
    <w:rsid w:val="00592AC0"/>
    <w:rsid w:val="005A1C3D"/>
    <w:rsid w:val="005C6649"/>
    <w:rsid w:val="00605827"/>
    <w:rsid w:val="00616788"/>
    <w:rsid w:val="006322CC"/>
    <w:rsid w:val="00632741"/>
    <w:rsid w:val="00642C96"/>
    <w:rsid w:val="00646050"/>
    <w:rsid w:val="006713CA"/>
    <w:rsid w:val="00676C5C"/>
    <w:rsid w:val="00683F0C"/>
    <w:rsid w:val="00684C3B"/>
    <w:rsid w:val="0071592A"/>
    <w:rsid w:val="00720EFD"/>
    <w:rsid w:val="00757CDB"/>
    <w:rsid w:val="007854AF"/>
    <w:rsid w:val="00793A7C"/>
    <w:rsid w:val="007A0B97"/>
    <w:rsid w:val="007A398A"/>
    <w:rsid w:val="007A574B"/>
    <w:rsid w:val="007B11CC"/>
    <w:rsid w:val="007D1613"/>
    <w:rsid w:val="007E4C0E"/>
    <w:rsid w:val="0080675B"/>
    <w:rsid w:val="008216B6"/>
    <w:rsid w:val="008400C8"/>
    <w:rsid w:val="008462DC"/>
    <w:rsid w:val="008507E8"/>
    <w:rsid w:val="00850848"/>
    <w:rsid w:val="00855861"/>
    <w:rsid w:val="0086645D"/>
    <w:rsid w:val="00885C8E"/>
    <w:rsid w:val="008978D4"/>
    <w:rsid w:val="008A134B"/>
    <w:rsid w:val="008B2CC1"/>
    <w:rsid w:val="008B60B2"/>
    <w:rsid w:val="008B60CB"/>
    <w:rsid w:val="008B6D71"/>
    <w:rsid w:val="008E1CC6"/>
    <w:rsid w:val="008F5870"/>
    <w:rsid w:val="0090731E"/>
    <w:rsid w:val="00916EE2"/>
    <w:rsid w:val="009208E5"/>
    <w:rsid w:val="00921DF4"/>
    <w:rsid w:val="00926BB4"/>
    <w:rsid w:val="00930949"/>
    <w:rsid w:val="00933532"/>
    <w:rsid w:val="00936E6C"/>
    <w:rsid w:val="00946790"/>
    <w:rsid w:val="00966A22"/>
    <w:rsid w:val="0096722F"/>
    <w:rsid w:val="0097019D"/>
    <w:rsid w:val="009733BC"/>
    <w:rsid w:val="00980843"/>
    <w:rsid w:val="009943D9"/>
    <w:rsid w:val="009A527D"/>
    <w:rsid w:val="009C5374"/>
    <w:rsid w:val="009C7749"/>
    <w:rsid w:val="009D375B"/>
    <w:rsid w:val="009D5DCF"/>
    <w:rsid w:val="009E2791"/>
    <w:rsid w:val="009E3F6F"/>
    <w:rsid w:val="009F499F"/>
    <w:rsid w:val="00A020A2"/>
    <w:rsid w:val="00A275AF"/>
    <w:rsid w:val="00A34EA8"/>
    <w:rsid w:val="00A37342"/>
    <w:rsid w:val="00A42DAF"/>
    <w:rsid w:val="00A45BD8"/>
    <w:rsid w:val="00A46B0D"/>
    <w:rsid w:val="00A47583"/>
    <w:rsid w:val="00A64345"/>
    <w:rsid w:val="00A83CF4"/>
    <w:rsid w:val="00A869B7"/>
    <w:rsid w:val="00A90F0A"/>
    <w:rsid w:val="00AA2D1F"/>
    <w:rsid w:val="00AA4EB5"/>
    <w:rsid w:val="00AC205C"/>
    <w:rsid w:val="00AE4FD7"/>
    <w:rsid w:val="00AF0A6B"/>
    <w:rsid w:val="00AF6495"/>
    <w:rsid w:val="00AF7DFE"/>
    <w:rsid w:val="00B05A69"/>
    <w:rsid w:val="00B1322F"/>
    <w:rsid w:val="00B1491C"/>
    <w:rsid w:val="00B40601"/>
    <w:rsid w:val="00B51EE7"/>
    <w:rsid w:val="00B72263"/>
    <w:rsid w:val="00B75281"/>
    <w:rsid w:val="00B920AB"/>
    <w:rsid w:val="00B92F1F"/>
    <w:rsid w:val="00B950E5"/>
    <w:rsid w:val="00B95230"/>
    <w:rsid w:val="00B9734B"/>
    <w:rsid w:val="00BA1D12"/>
    <w:rsid w:val="00BA30E2"/>
    <w:rsid w:val="00BB16DB"/>
    <w:rsid w:val="00BD115F"/>
    <w:rsid w:val="00BD32D7"/>
    <w:rsid w:val="00BF6CCB"/>
    <w:rsid w:val="00C11169"/>
    <w:rsid w:val="00C11BFE"/>
    <w:rsid w:val="00C12B94"/>
    <w:rsid w:val="00C21607"/>
    <w:rsid w:val="00C237C9"/>
    <w:rsid w:val="00C5068F"/>
    <w:rsid w:val="00C519F1"/>
    <w:rsid w:val="00C557C8"/>
    <w:rsid w:val="00C62598"/>
    <w:rsid w:val="00C634C5"/>
    <w:rsid w:val="00C71CCF"/>
    <w:rsid w:val="00C80637"/>
    <w:rsid w:val="00C82D15"/>
    <w:rsid w:val="00C86D74"/>
    <w:rsid w:val="00CA2A1F"/>
    <w:rsid w:val="00CB265E"/>
    <w:rsid w:val="00CB6ED2"/>
    <w:rsid w:val="00CC0B8F"/>
    <w:rsid w:val="00CD04F1"/>
    <w:rsid w:val="00CD0864"/>
    <w:rsid w:val="00CE45AA"/>
    <w:rsid w:val="00CE48D1"/>
    <w:rsid w:val="00CF2F34"/>
    <w:rsid w:val="00CF681A"/>
    <w:rsid w:val="00D07C78"/>
    <w:rsid w:val="00D34245"/>
    <w:rsid w:val="00D45252"/>
    <w:rsid w:val="00D71B4D"/>
    <w:rsid w:val="00D90C41"/>
    <w:rsid w:val="00D93D55"/>
    <w:rsid w:val="00DA143F"/>
    <w:rsid w:val="00DA50FF"/>
    <w:rsid w:val="00DD06B2"/>
    <w:rsid w:val="00DD386F"/>
    <w:rsid w:val="00DD7B7F"/>
    <w:rsid w:val="00DF18A6"/>
    <w:rsid w:val="00E15015"/>
    <w:rsid w:val="00E33527"/>
    <w:rsid w:val="00E335FE"/>
    <w:rsid w:val="00E41A02"/>
    <w:rsid w:val="00E549B2"/>
    <w:rsid w:val="00E611F2"/>
    <w:rsid w:val="00E85906"/>
    <w:rsid w:val="00E96BE6"/>
    <w:rsid w:val="00EA78A6"/>
    <w:rsid w:val="00EA7D6E"/>
    <w:rsid w:val="00EB2F76"/>
    <w:rsid w:val="00EC4E49"/>
    <w:rsid w:val="00ED61B4"/>
    <w:rsid w:val="00ED77FB"/>
    <w:rsid w:val="00EE4414"/>
    <w:rsid w:val="00EE45FA"/>
    <w:rsid w:val="00F032D5"/>
    <w:rsid w:val="00F03B2D"/>
    <w:rsid w:val="00F043DE"/>
    <w:rsid w:val="00F15D4F"/>
    <w:rsid w:val="00F66152"/>
    <w:rsid w:val="00F9165B"/>
    <w:rsid w:val="00F92FE4"/>
    <w:rsid w:val="00FC482F"/>
    <w:rsid w:val="00FD2CCA"/>
    <w:rsid w:val="00FF5508"/>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54E44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616788"/>
    <w:pPr>
      <w:spacing w:before="720"/>
      <w:ind w:left="5534"/>
    </w:pPr>
    <w:rPr>
      <w:lang w:val="fr-CH"/>
    </w:r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NormalWeb">
    <w:name w:val="Normal (Web)"/>
    <w:basedOn w:val="Normal"/>
    <w:semiHidden/>
    <w:unhideWhenUsed/>
    <w:rsid w:val="00141791"/>
    <w:rPr>
      <w:rFonts w:ascii="Times New Roman" w:hAnsi="Times New Roman" w:cs="Times New Roman"/>
      <w:sz w:val="24"/>
      <w:szCs w:val="24"/>
    </w:rPr>
  </w:style>
  <w:style w:type="paragraph" w:styleId="BalloonText">
    <w:name w:val="Balloon Text"/>
    <w:basedOn w:val="Normal"/>
    <w:link w:val="BalloonTextChar"/>
    <w:semiHidden/>
    <w:unhideWhenUsed/>
    <w:rsid w:val="00406DA6"/>
    <w:rPr>
      <w:rFonts w:ascii="Segoe UI" w:hAnsi="Segoe UI" w:cs="Segoe UI"/>
      <w:sz w:val="18"/>
      <w:szCs w:val="18"/>
    </w:rPr>
  </w:style>
  <w:style w:type="character" w:customStyle="1" w:styleId="BalloonTextChar">
    <w:name w:val="Balloon Text Char"/>
    <w:basedOn w:val="DefaultParagraphFont"/>
    <w:link w:val="BalloonText"/>
    <w:semiHidden/>
    <w:rsid w:val="00406DA6"/>
    <w:rPr>
      <w:rFonts w:ascii="Segoe UI" w:eastAsia="SimSun" w:hAnsi="Segoe UI" w:cs="Segoe UI"/>
      <w:sz w:val="18"/>
      <w:szCs w:val="18"/>
      <w:lang w:val="en-US" w:eastAsia="zh-CN"/>
    </w:rPr>
  </w:style>
  <w:style w:type="character" w:styleId="FootnoteReference">
    <w:name w:val="footnote reference"/>
    <w:basedOn w:val="DefaultParagraphFont"/>
    <w:semiHidden/>
    <w:unhideWhenUsed/>
    <w:rsid w:val="0080675B"/>
    <w:rPr>
      <w:vertAlign w:val="superscript"/>
    </w:rPr>
  </w:style>
  <w:style w:type="character" w:styleId="Hyperlink">
    <w:name w:val="Hyperlink"/>
    <w:basedOn w:val="DefaultParagraphFont"/>
    <w:uiPriority w:val="99"/>
    <w:unhideWhenUsed/>
    <w:rsid w:val="0080675B"/>
    <w:rPr>
      <w:color w:val="0000FF" w:themeColor="hyperlink"/>
      <w:u w:val="single"/>
    </w:rPr>
  </w:style>
  <w:style w:type="paragraph" w:customStyle="1" w:styleId="LegTitle">
    <w:name w:val="Leg # Title"/>
    <w:basedOn w:val="Normal"/>
    <w:next w:val="Normal"/>
    <w:rsid w:val="0080675B"/>
    <w:pPr>
      <w:keepNext/>
      <w:keepLines/>
      <w:pageBreakBefore/>
      <w:spacing w:before="240" w:after="240" w:line="360" w:lineRule="auto"/>
      <w:jc w:val="center"/>
    </w:pPr>
    <w:rPr>
      <w:rFonts w:eastAsia="Times New Roman" w:cs="Times New Roman"/>
      <w:b/>
      <w:noProof/>
      <w:snapToGrid w:val="0"/>
      <w:lang w:eastAsia="en-US"/>
    </w:rPr>
  </w:style>
  <w:style w:type="paragraph" w:customStyle="1" w:styleId="LegSubRule">
    <w:name w:val="Leg SubRule #"/>
    <w:basedOn w:val="Normal"/>
    <w:rsid w:val="0080675B"/>
    <w:pPr>
      <w:keepNext/>
      <w:keepLines/>
      <w:tabs>
        <w:tab w:val="left" w:pos="510"/>
      </w:tabs>
      <w:spacing w:before="119" w:after="240" w:line="360" w:lineRule="auto"/>
      <w:ind w:left="533" w:hanging="533"/>
    </w:pPr>
    <w:rPr>
      <w:rFonts w:eastAsia="Times New Roman" w:cs="Times New Roman"/>
      <w:noProof/>
      <w:snapToGrid w:val="0"/>
      <w:lang w:eastAsia="en-US"/>
    </w:rPr>
  </w:style>
  <w:style w:type="paragraph" w:customStyle="1" w:styleId="Lega">
    <w:name w:val="Leg (a)"/>
    <w:basedOn w:val="Normal"/>
    <w:rsid w:val="0080675B"/>
    <w:pPr>
      <w:tabs>
        <w:tab w:val="left" w:pos="454"/>
      </w:tabs>
      <w:spacing w:before="119" w:after="240" w:line="360" w:lineRule="auto"/>
    </w:pPr>
    <w:rPr>
      <w:rFonts w:eastAsia="Times New Roman" w:cs="Times New Roman"/>
      <w:noProof/>
      <w:snapToGrid w:val="0"/>
      <w:lang w:eastAsia="en-US"/>
    </w:rPr>
  </w:style>
  <w:style w:type="paragraph" w:styleId="TOC2">
    <w:name w:val="toc 2"/>
    <w:basedOn w:val="Normal"/>
    <w:next w:val="Normal"/>
    <w:autoRedefine/>
    <w:uiPriority w:val="39"/>
    <w:unhideWhenUsed/>
    <w:rsid w:val="0080675B"/>
    <w:pPr>
      <w:spacing w:after="100"/>
      <w:ind w:left="220"/>
    </w:pPr>
  </w:style>
  <w:style w:type="paragraph" w:styleId="TOC1">
    <w:name w:val="toc 1"/>
    <w:basedOn w:val="Normal"/>
    <w:next w:val="Normal"/>
    <w:autoRedefine/>
    <w:uiPriority w:val="39"/>
    <w:unhideWhenUsed/>
    <w:rsid w:val="0080675B"/>
    <w:pPr>
      <w:spacing w:after="100"/>
    </w:pPr>
  </w:style>
  <w:style w:type="paragraph" w:styleId="Revision">
    <w:name w:val="Revision"/>
    <w:hidden/>
    <w:uiPriority w:val="99"/>
    <w:semiHidden/>
    <w:rsid w:val="00040C5E"/>
    <w:rPr>
      <w:rFonts w:ascii="Arial" w:eastAsia="SimSun" w:hAnsi="Arial" w:cs="Arial"/>
      <w:sz w:val="22"/>
      <w:lang w:val="en-US" w:eastAsia="zh-CN"/>
    </w:rPr>
  </w:style>
  <w:style w:type="character" w:styleId="CommentReference">
    <w:name w:val="annotation reference"/>
    <w:basedOn w:val="DefaultParagraphFont"/>
    <w:semiHidden/>
    <w:unhideWhenUsed/>
    <w:rsid w:val="00BD115F"/>
    <w:rPr>
      <w:sz w:val="16"/>
      <w:szCs w:val="16"/>
    </w:rPr>
  </w:style>
  <w:style w:type="paragraph" w:styleId="CommentSubject">
    <w:name w:val="annotation subject"/>
    <w:basedOn w:val="CommentText"/>
    <w:next w:val="CommentText"/>
    <w:link w:val="CommentSubjectChar"/>
    <w:semiHidden/>
    <w:unhideWhenUsed/>
    <w:rsid w:val="00BD115F"/>
    <w:rPr>
      <w:b/>
      <w:bCs/>
      <w:sz w:val="20"/>
    </w:rPr>
  </w:style>
  <w:style w:type="character" w:customStyle="1" w:styleId="CommentTextChar">
    <w:name w:val="Comment Text Char"/>
    <w:basedOn w:val="DefaultParagraphFont"/>
    <w:link w:val="CommentText"/>
    <w:semiHidden/>
    <w:rsid w:val="00BD115F"/>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BD115F"/>
    <w:rPr>
      <w:rFonts w:ascii="Arial" w:eastAsia="SimSun" w:hAnsi="Arial" w:cs="Arial"/>
      <w:b/>
      <w:bCs/>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8310010">
      <w:bodyDiv w:val="1"/>
      <w:marLeft w:val="0"/>
      <w:marRight w:val="0"/>
      <w:marTop w:val="0"/>
      <w:marBottom w:val="0"/>
      <w:divBdr>
        <w:top w:val="none" w:sz="0" w:space="0" w:color="auto"/>
        <w:left w:val="none" w:sz="0" w:space="0" w:color="auto"/>
        <w:bottom w:val="none" w:sz="0" w:space="0" w:color="auto"/>
        <w:right w:val="none" w:sz="0" w:space="0" w:color="auto"/>
      </w:divBdr>
    </w:div>
    <w:div w:id="1660578604">
      <w:bodyDiv w:val="1"/>
      <w:marLeft w:val="0"/>
      <w:marRight w:val="0"/>
      <w:marTop w:val="0"/>
      <w:marBottom w:val="0"/>
      <w:divBdr>
        <w:top w:val="none" w:sz="0" w:space="0" w:color="auto"/>
        <w:left w:val="none" w:sz="0" w:space="0" w:color="auto"/>
        <w:bottom w:val="none" w:sz="0" w:space="0" w:color="auto"/>
        <w:right w:val="none" w:sz="0" w:space="0" w:color="auto"/>
      </w:divBdr>
    </w:div>
    <w:div w:id="1816608008">
      <w:bodyDiv w:val="1"/>
      <w:marLeft w:val="0"/>
      <w:marRight w:val="0"/>
      <w:marTop w:val="0"/>
      <w:marBottom w:val="0"/>
      <w:divBdr>
        <w:top w:val="none" w:sz="0" w:space="0" w:color="auto"/>
        <w:left w:val="none" w:sz="0" w:space="0" w:color="auto"/>
        <w:bottom w:val="none" w:sz="0" w:space="0" w:color="auto"/>
        <w:right w:val="none" w:sz="0" w:space="0" w:color="auto"/>
      </w:divBdr>
    </w:div>
    <w:div w:id="2131893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microsoft.com/office/2018/08/relationships/commentsExtensible" Target="commentsExtensible.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 Id="rId27"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FA4227-0D60-4EFD-9D78-599FCF0A8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2208</Words>
  <Characters>11985</Characters>
  <Application>Microsoft Office Word</Application>
  <DocSecurity>0</DocSecurity>
  <Lines>195</Lines>
  <Paragraphs>56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PUBLIC</cp:keywords>
  <cp:lastModifiedBy/>
  <cp:revision>1</cp:revision>
  <dcterms:created xsi:type="dcterms:W3CDTF">2022-09-02T09:25:00Z</dcterms:created>
  <dcterms:modified xsi:type="dcterms:W3CDTF">2022-09-02T09:25:00Z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aead6aed-cb65-42ec-ac4f-050b4dfbbddf</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