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33B43" w:rsidRDefault="00DB0349" w:rsidP="00DB0349">
      <w:pPr>
        <w:spacing w:after="120"/>
        <w:jc w:val="right"/>
        <w:rPr>
          <w:lang w:val="fr-FR"/>
        </w:rPr>
      </w:pPr>
      <w:bookmarkStart w:id="0" w:name="_GoBack"/>
      <w:bookmarkEnd w:id="0"/>
      <w:r w:rsidRPr="00B33B43">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33B43">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788CD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B33B43" w:rsidRDefault="00FC45E7" w:rsidP="00DB0349">
      <w:pPr>
        <w:jc w:val="right"/>
        <w:rPr>
          <w:rFonts w:ascii="Arial Black" w:hAnsi="Arial Black"/>
          <w:caps/>
          <w:sz w:val="15"/>
          <w:szCs w:val="15"/>
          <w:lang w:val="fr-FR"/>
        </w:rPr>
      </w:pPr>
      <w:r w:rsidRPr="00B33B43">
        <w:rPr>
          <w:rFonts w:ascii="Arial Black" w:hAnsi="Arial Black"/>
          <w:caps/>
          <w:sz w:val="15"/>
          <w:szCs w:val="15"/>
          <w:lang w:val="fr-FR"/>
        </w:rPr>
        <w:t>pct</w:t>
      </w:r>
      <w:r w:rsidR="00AE7C04" w:rsidRPr="00B33B43">
        <w:rPr>
          <w:rFonts w:ascii="Arial Black" w:hAnsi="Arial Black"/>
          <w:caps/>
          <w:sz w:val="15"/>
          <w:szCs w:val="15"/>
          <w:lang w:val="fr-FR"/>
        </w:rPr>
        <w:t>/</w:t>
      </w:r>
      <w:r w:rsidRPr="00B33B43">
        <w:rPr>
          <w:rFonts w:ascii="Arial Black" w:hAnsi="Arial Black"/>
          <w:caps/>
          <w:sz w:val="15"/>
          <w:szCs w:val="15"/>
          <w:lang w:val="fr-FR"/>
        </w:rPr>
        <w:t>wg</w:t>
      </w:r>
      <w:r w:rsidR="00AE7C04" w:rsidRPr="00B33B43">
        <w:rPr>
          <w:rFonts w:ascii="Arial Black" w:hAnsi="Arial Black"/>
          <w:caps/>
          <w:sz w:val="15"/>
          <w:szCs w:val="15"/>
          <w:lang w:val="fr-FR"/>
        </w:rPr>
        <w:t>/</w:t>
      </w:r>
      <w:r w:rsidRPr="00B33B43">
        <w:rPr>
          <w:rFonts w:ascii="Arial Black" w:hAnsi="Arial Black"/>
          <w:caps/>
          <w:sz w:val="15"/>
          <w:szCs w:val="15"/>
          <w:lang w:val="fr-FR"/>
        </w:rPr>
        <w:t>16</w:t>
      </w:r>
      <w:r w:rsidR="00D04414" w:rsidRPr="00B33B43">
        <w:rPr>
          <w:rFonts w:ascii="Arial Black" w:hAnsi="Arial Black"/>
          <w:caps/>
          <w:sz w:val="15"/>
          <w:szCs w:val="15"/>
          <w:lang w:val="fr-FR"/>
        </w:rPr>
        <w:t>/</w:t>
      </w:r>
      <w:bookmarkStart w:id="1" w:name="Code"/>
      <w:r w:rsidR="00CA7A8A" w:rsidRPr="00B33B43">
        <w:rPr>
          <w:rFonts w:ascii="Arial Black" w:hAnsi="Arial Black"/>
          <w:caps/>
          <w:sz w:val="15"/>
          <w:szCs w:val="15"/>
          <w:lang w:val="fr-FR"/>
        </w:rPr>
        <w:t>4</w:t>
      </w:r>
    </w:p>
    <w:bookmarkEnd w:id="1"/>
    <w:p w:rsidR="008B2CC1" w:rsidRPr="00B33B43" w:rsidRDefault="00DB0349" w:rsidP="00DB0349">
      <w:pPr>
        <w:jc w:val="right"/>
        <w:rPr>
          <w:rFonts w:ascii="Arial Black" w:hAnsi="Arial Black"/>
          <w:caps/>
          <w:sz w:val="15"/>
          <w:szCs w:val="15"/>
          <w:lang w:val="fr-FR"/>
        </w:rPr>
      </w:pPr>
      <w:r w:rsidRPr="00B33B43">
        <w:rPr>
          <w:rFonts w:ascii="Arial Black" w:hAnsi="Arial Black"/>
          <w:caps/>
          <w:sz w:val="15"/>
          <w:szCs w:val="15"/>
          <w:lang w:val="fr-FR"/>
        </w:rPr>
        <w:t>Original</w:t>
      </w:r>
      <w:r w:rsidR="00D0243F" w:rsidRPr="00B33B43">
        <w:rPr>
          <w:rFonts w:ascii="Arial Black" w:hAnsi="Arial Black"/>
          <w:caps/>
          <w:sz w:val="15"/>
          <w:szCs w:val="15"/>
          <w:lang w:val="fr-FR"/>
        </w:rPr>
        <w:t> :</w:t>
      </w:r>
      <w:r w:rsidRPr="00B33B43">
        <w:rPr>
          <w:rFonts w:ascii="Arial Black" w:hAnsi="Arial Black"/>
          <w:caps/>
          <w:sz w:val="15"/>
          <w:szCs w:val="15"/>
          <w:lang w:val="fr-FR"/>
        </w:rPr>
        <w:t xml:space="preserve"> </w:t>
      </w:r>
      <w:bookmarkStart w:id="2" w:name="Original"/>
      <w:r w:rsidR="00CA7A8A" w:rsidRPr="00B33B43">
        <w:rPr>
          <w:rFonts w:ascii="Arial Black" w:hAnsi="Arial Black"/>
          <w:caps/>
          <w:sz w:val="15"/>
          <w:szCs w:val="15"/>
          <w:lang w:val="fr-FR"/>
        </w:rPr>
        <w:t>anglais</w:t>
      </w:r>
    </w:p>
    <w:bookmarkEnd w:id="2"/>
    <w:p w:rsidR="008B2CC1" w:rsidRPr="00B33B43" w:rsidRDefault="00DB0349" w:rsidP="00DB0349">
      <w:pPr>
        <w:spacing w:after="1200"/>
        <w:jc w:val="right"/>
        <w:rPr>
          <w:rFonts w:ascii="Arial Black" w:hAnsi="Arial Black"/>
          <w:caps/>
          <w:sz w:val="15"/>
          <w:szCs w:val="15"/>
          <w:lang w:val="fr-FR"/>
        </w:rPr>
      </w:pPr>
      <w:r w:rsidRPr="00B33B43">
        <w:rPr>
          <w:rFonts w:ascii="Arial Black" w:hAnsi="Arial Black"/>
          <w:caps/>
          <w:sz w:val="15"/>
          <w:szCs w:val="15"/>
          <w:lang w:val="fr-FR"/>
        </w:rPr>
        <w:t>date</w:t>
      </w:r>
      <w:r w:rsidR="00D0243F" w:rsidRPr="00B33B43">
        <w:rPr>
          <w:rFonts w:ascii="Arial Black" w:hAnsi="Arial Black"/>
          <w:caps/>
          <w:sz w:val="15"/>
          <w:szCs w:val="15"/>
          <w:lang w:val="fr-FR"/>
        </w:rPr>
        <w:t> :</w:t>
      </w:r>
      <w:r w:rsidRPr="00B33B43">
        <w:rPr>
          <w:rFonts w:ascii="Arial Black" w:hAnsi="Arial Black"/>
          <w:caps/>
          <w:sz w:val="15"/>
          <w:szCs w:val="15"/>
          <w:lang w:val="fr-FR"/>
        </w:rPr>
        <w:t xml:space="preserve"> </w:t>
      </w:r>
      <w:bookmarkStart w:id="3" w:name="Date"/>
      <w:r w:rsidR="00CA7A8A" w:rsidRPr="00B33B43">
        <w:rPr>
          <w:rFonts w:ascii="Arial Black" w:hAnsi="Arial Black"/>
          <w:caps/>
          <w:sz w:val="15"/>
          <w:szCs w:val="15"/>
          <w:lang w:val="fr-FR"/>
        </w:rPr>
        <w:t>12 janvier 2023</w:t>
      </w:r>
    </w:p>
    <w:bookmarkEnd w:id="3"/>
    <w:p w:rsidR="00C40E15" w:rsidRPr="00B33B43" w:rsidRDefault="00BB16AB" w:rsidP="00A003A7">
      <w:pPr>
        <w:spacing w:after="600"/>
        <w:rPr>
          <w:b/>
          <w:sz w:val="28"/>
          <w:szCs w:val="28"/>
          <w:lang w:val="fr-FR"/>
        </w:rPr>
      </w:pPr>
      <w:r w:rsidRPr="00B33B43">
        <w:rPr>
          <w:b/>
          <w:sz w:val="28"/>
          <w:szCs w:val="28"/>
          <w:lang w:val="fr-FR"/>
        </w:rPr>
        <w:t>Groupe de travail du Traité de coopération en matière de brevets (PCT)</w:t>
      </w:r>
    </w:p>
    <w:p w:rsidR="008B2CC1" w:rsidRPr="00B33B43" w:rsidRDefault="00BB16AB" w:rsidP="008B2CC1">
      <w:pPr>
        <w:rPr>
          <w:b/>
          <w:sz w:val="24"/>
          <w:szCs w:val="24"/>
          <w:lang w:val="fr-FR"/>
        </w:rPr>
      </w:pPr>
      <w:r w:rsidRPr="00B33B43">
        <w:rPr>
          <w:b/>
          <w:sz w:val="24"/>
          <w:szCs w:val="24"/>
          <w:lang w:val="fr-FR"/>
        </w:rPr>
        <w:t>Seiz</w:t>
      </w:r>
      <w:r w:rsidR="00D0243F" w:rsidRPr="00B33B43">
        <w:rPr>
          <w:b/>
          <w:sz w:val="24"/>
          <w:szCs w:val="24"/>
          <w:lang w:val="fr-FR"/>
        </w:rPr>
        <w:t>ième session</w:t>
      </w:r>
    </w:p>
    <w:p w:rsidR="008B2CC1" w:rsidRPr="00B33B43" w:rsidRDefault="00BB16AB" w:rsidP="00DB0349">
      <w:pPr>
        <w:spacing w:after="720"/>
        <w:rPr>
          <w:b/>
          <w:sz w:val="24"/>
          <w:szCs w:val="24"/>
          <w:lang w:val="fr-FR"/>
        </w:rPr>
      </w:pPr>
      <w:r w:rsidRPr="00B33B43">
        <w:rPr>
          <w:b/>
          <w:sz w:val="24"/>
          <w:szCs w:val="24"/>
          <w:lang w:val="fr-FR"/>
        </w:rPr>
        <w:t>Genève, 6 – 8 février 2023</w:t>
      </w:r>
    </w:p>
    <w:p w:rsidR="00AE7C04" w:rsidRPr="00B33B43" w:rsidRDefault="00CA7A8A" w:rsidP="00DB0349">
      <w:pPr>
        <w:spacing w:after="360"/>
        <w:rPr>
          <w:caps/>
          <w:sz w:val="24"/>
          <w:lang w:val="fr-FR"/>
        </w:rPr>
      </w:pPr>
      <w:bookmarkStart w:id="4" w:name="TitleOfDoc"/>
      <w:r w:rsidRPr="00B33B43">
        <w:rPr>
          <w:caps/>
          <w:sz w:val="24"/>
          <w:lang w:val="fr-FR"/>
        </w:rPr>
        <w:t>Service de transfert de taxes de l</w:t>
      </w:r>
      <w:r w:rsidR="00D0243F" w:rsidRPr="00B33B43">
        <w:rPr>
          <w:caps/>
          <w:sz w:val="24"/>
          <w:lang w:val="fr-FR"/>
        </w:rPr>
        <w:t>’</w:t>
      </w:r>
      <w:r w:rsidRPr="00B33B43">
        <w:rPr>
          <w:caps/>
          <w:sz w:val="24"/>
          <w:lang w:val="fr-FR"/>
        </w:rPr>
        <w:t>OMPI</w:t>
      </w:r>
    </w:p>
    <w:p w:rsidR="00525B63" w:rsidRPr="00B33B43" w:rsidRDefault="00CA7A8A" w:rsidP="00DB0349">
      <w:pPr>
        <w:spacing w:after="960"/>
        <w:rPr>
          <w:i/>
          <w:lang w:val="fr-FR"/>
        </w:rPr>
      </w:pPr>
      <w:bookmarkStart w:id="5" w:name="Prepared"/>
      <w:bookmarkEnd w:id="4"/>
      <w:r w:rsidRPr="00B33B43">
        <w:rPr>
          <w:i/>
          <w:lang w:val="fr-FR"/>
        </w:rPr>
        <w:t>Document établi par le Bureau international</w:t>
      </w:r>
    </w:p>
    <w:bookmarkEnd w:id="5"/>
    <w:p w:rsidR="00CA7A8A" w:rsidRPr="00B33B43" w:rsidRDefault="00CA7A8A" w:rsidP="00B8283E">
      <w:pPr>
        <w:pStyle w:val="Heading1"/>
        <w:rPr>
          <w:lang w:val="fr-FR"/>
        </w:rPr>
      </w:pPr>
      <w:r w:rsidRPr="00B33B43">
        <w:rPr>
          <w:lang w:val="fr-FR"/>
        </w:rPr>
        <w:t>Résumé</w:t>
      </w:r>
    </w:p>
    <w:p w:rsidR="00CA7A8A" w:rsidRPr="00B33B43" w:rsidRDefault="00CA7A8A" w:rsidP="00B4541C">
      <w:pPr>
        <w:pStyle w:val="ONUMFS"/>
        <w:rPr>
          <w:lang w:val="fr-FR"/>
        </w:rPr>
      </w:pPr>
      <w:r w:rsidRPr="00B33B43">
        <w:rPr>
          <w:lang w:val="fr-FR"/>
        </w:rPr>
        <w:t>Le service de transfert de taxes de l</w:t>
      </w:r>
      <w:r w:rsidR="00D0243F" w:rsidRPr="00B33B43">
        <w:rPr>
          <w:lang w:val="fr-FR"/>
        </w:rPr>
        <w:t>’</w:t>
      </w:r>
      <w:r w:rsidRPr="00B33B43">
        <w:rPr>
          <w:lang w:val="fr-FR"/>
        </w:rPr>
        <w:t>OMPI (ci</w:t>
      </w:r>
      <w:r w:rsidR="001B20C2">
        <w:rPr>
          <w:lang w:val="fr-FR"/>
        </w:rPr>
        <w:noBreakHyphen/>
      </w:r>
      <w:r w:rsidRPr="00B33B43">
        <w:rPr>
          <w:lang w:val="fr-FR"/>
        </w:rPr>
        <w:t xml:space="preserve">après dénommé </w:t>
      </w:r>
      <w:r w:rsidR="00D0243F" w:rsidRPr="00B33B43">
        <w:rPr>
          <w:lang w:val="fr-FR"/>
        </w:rPr>
        <w:t>“s</w:t>
      </w:r>
      <w:r w:rsidRPr="00B33B43">
        <w:rPr>
          <w:lang w:val="fr-FR"/>
        </w:rPr>
        <w:t>ervic</w:t>
      </w:r>
      <w:r w:rsidR="00D0243F" w:rsidRPr="00B33B43">
        <w:rPr>
          <w:lang w:val="fr-FR"/>
        </w:rPr>
        <w:t>e”</w:t>
      </w:r>
      <w:r w:rsidRPr="00B33B43">
        <w:rPr>
          <w:lang w:val="fr-FR"/>
        </w:rPr>
        <w:t>) est utilisé pour la plupart des transferts de taxes entre offices</w:t>
      </w:r>
      <w:r w:rsidRPr="00B33B43">
        <w:rPr>
          <w:rStyle w:val="FootnoteReference"/>
          <w:lang w:val="fr-FR"/>
        </w:rPr>
        <w:footnoteReference w:id="2"/>
      </w:r>
      <w:r w:rsidRPr="00B33B43">
        <w:rPr>
          <w:lang w:val="fr-FR"/>
        </w:rPr>
        <w:t xml:space="preserve"> lorsqu</w:t>
      </w:r>
      <w:r w:rsidR="00D0243F" w:rsidRPr="00B33B43">
        <w:rPr>
          <w:lang w:val="fr-FR"/>
        </w:rPr>
        <w:t>’</w:t>
      </w:r>
      <w:r w:rsidRPr="00B33B43">
        <w:rPr>
          <w:lang w:val="fr-FR"/>
        </w:rPr>
        <w:t>une taxe est perçue par un office au profit d</w:t>
      </w:r>
      <w:r w:rsidR="00D0243F" w:rsidRPr="00B33B43">
        <w:rPr>
          <w:lang w:val="fr-FR"/>
        </w:rPr>
        <w:t>’</w:t>
      </w:r>
      <w:r w:rsidRPr="00B33B43">
        <w:rPr>
          <w:lang w:val="fr-FR"/>
        </w:rPr>
        <w:t>un autre offi</w:t>
      </w:r>
      <w:r w:rsidR="00C764A0" w:rsidRPr="00B33B43">
        <w:rPr>
          <w:lang w:val="fr-FR"/>
        </w:rPr>
        <w:t>ce.  Ce</w:t>
      </w:r>
      <w:r w:rsidRPr="00B33B43">
        <w:rPr>
          <w:lang w:val="fr-FR"/>
        </w:rPr>
        <w:t xml:space="preserve"> service a apporté des avantages considérables aux offices participan</w:t>
      </w:r>
      <w:r w:rsidR="00C764A0" w:rsidRPr="00B33B43">
        <w:rPr>
          <w:lang w:val="fr-FR"/>
        </w:rPr>
        <w:t>ts.  Af</w:t>
      </w:r>
      <w:r w:rsidRPr="00B33B43">
        <w:rPr>
          <w:lang w:val="fr-FR"/>
        </w:rPr>
        <w:t>in de permettre une pleine participation, ce document présente des propositions visant à supprimer les obstacles juridiques qui entravent encore l</w:t>
      </w:r>
      <w:r w:rsidR="00D0243F" w:rsidRPr="00B33B43">
        <w:rPr>
          <w:lang w:val="fr-FR"/>
        </w:rPr>
        <w:t>’</w:t>
      </w:r>
      <w:r w:rsidRPr="00B33B43">
        <w:rPr>
          <w:lang w:val="fr-FR"/>
        </w:rPr>
        <w:t>utilisation du service.</w:t>
      </w:r>
    </w:p>
    <w:p w:rsidR="00CA7A8A" w:rsidRPr="00B33B43" w:rsidRDefault="00CA7A8A" w:rsidP="00B8283E">
      <w:pPr>
        <w:pStyle w:val="Heading1"/>
        <w:rPr>
          <w:lang w:val="fr-FR"/>
        </w:rPr>
      </w:pPr>
      <w:r w:rsidRPr="00B33B43">
        <w:rPr>
          <w:lang w:val="fr-FR"/>
        </w:rPr>
        <w:t>Rappel</w:t>
      </w:r>
    </w:p>
    <w:p w:rsidR="00CA7A8A" w:rsidRPr="00B33B43" w:rsidRDefault="00CA7A8A" w:rsidP="00B4541C">
      <w:pPr>
        <w:pStyle w:val="ONUMFS"/>
        <w:rPr>
          <w:lang w:val="fr-FR"/>
        </w:rPr>
      </w:pPr>
      <w:r w:rsidRPr="00B33B43">
        <w:rPr>
          <w:lang w:val="fr-FR"/>
        </w:rPr>
        <w:t>Le service a officiellement commencé à fonctionner pour les besoins</w:t>
      </w:r>
      <w:r w:rsidR="00D0243F" w:rsidRPr="00B33B43">
        <w:rPr>
          <w:lang w:val="fr-FR"/>
        </w:rPr>
        <w:t xml:space="preserve"> du PCT</w:t>
      </w:r>
      <w:r w:rsidRPr="00B33B43">
        <w:rPr>
          <w:lang w:val="fr-FR"/>
        </w:rPr>
        <w:t xml:space="preserve"> en </w:t>
      </w:r>
      <w:r w:rsidR="00D0243F" w:rsidRPr="00B33B43">
        <w:rPr>
          <w:lang w:val="fr-FR"/>
        </w:rPr>
        <w:t>juillet 20</w:t>
      </w:r>
      <w:r w:rsidRPr="00B33B43">
        <w:rPr>
          <w:lang w:val="fr-FR"/>
        </w:rPr>
        <w:t>20 après un essai concluant avec un certain nombre d</w:t>
      </w:r>
      <w:r w:rsidR="00D0243F" w:rsidRPr="00B33B43">
        <w:rPr>
          <w:lang w:val="fr-FR"/>
        </w:rPr>
        <w:t>’</w:t>
      </w:r>
      <w:r w:rsidRPr="00B33B43">
        <w:rPr>
          <w:lang w:val="fr-FR"/>
        </w:rPr>
        <w:t>offices nationaux et d</w:t>
      </w:r>
      <w:r w:rsidR="00D0243F" w:rsidRPr="00B33B43">
        <w:rPr>
          <w:lang w:val="fr-FR"/>
        </w:rPr>
        <w:t>’</w:t>
      </w:r>
      <w:r w:rsidRPr="00B33B43">
        <w:rPr>
          <w:lang w:val="fr-FR"/>
        </w:rPr>
        <w:t>offices régiona</w:t>
      </w:r>
      <w:r w:rsidR="00C764A0" w:rsidRPr="00B33B43">
        <w:rPr>
          <w:lang w:val="fr-FR"/>
        </w:rPr>
        <w:t>ux.  Co</w:t>
      </w:r>
      <w:r w:rsidRPr="00B33B43">
        <w:rPr>
          <w:lang w:val="fr-FR"/>
        </w:rPr>
        <w:t xml:space="preserve">nformément à la </w:t>
      </w:r>
      <w:r w:rsidR="00D0243F" w:rsidRPr="00B33B43">
        <w:rPr>
          <w:lang w:val="fr-FR"/>
        </w:rPr>
        <w:t>règle 9</w:t>
      </w:r>
      <w:r w:rsidRPr="00B33B43">
        <w:rPr>
          <w:lang w:val="fr-FR"/>
        </w:rPr>
        <w:t>6.2 et à l</w:t>
      </w:r>
      <w:r w:rsidR="00D0243F" w:rsidRPr="00B33B43">
        <w:rPr>
          <w:lang w:val="fr-FR"/>
        </w:rPr>
        <w:t>’annexe G</w:t>
      </w:r>
      <w:r w:rsidRPr="00B33B43">
        <w:rPr>
          <w:lang w:val="fr-FR"/>
        </w:rPr>
        <w:t xml:space="preserve"> des instructions administratives, il permet aux paiements effectués auprès d</w:t>
      </w:r>
      <w:r w:rsidR="00D0243F" w:rsidRPr="00B33B43">
        <w:rPr>
          <w:lang w:val="fr-FR"/>
        </w:rPr>
        <w:t>’</w:t>
      </w:r>
      <w:r w:rsidRPr="00B33B43">
        <w:rPr>
          <w:lang w:val="fr-FR"/>
        </w:rPr>
        <w:t>un office au profit d</w:t>
      </w:r>
      <w:r w:rsidR="00D0243F" w:rsidRPr="00B33B43">
        <w:rPr>
          <w:lang w:val="fr-FR"/>
        </w:rPr>
        <w:t>’</w:t>
      </w:r>
      <w:r w:rsidRPr="00B33B43">
        <w:rPr>
          <w:lang w:val="fr-FR"/>
        </w:rPr>
        <w:t>un second office d</w:t>
      </w:r>
      <w:r w:rsidR="00D0243F" w:rsidRPr="00B33B43">
        <w:rPr>
          <w:lang w:val="fr-FR"/>
        </w:rPr>
        <w:t>’</w:t>
      </w:r>
      <w:r w:rsidRPr="00B33B43">
        <w:rPr>
          <w:lang w:val="fr-FR"/>
        </w:rPr>
        <w:t>être transférés par l</w:t>
      </w:r>
      <w:r w:rsidR="00D0243F" w:rsidRPr="00B33B43">
        <w:rPr>
          <w:lang w:val="fr-FR"/>
        </w:rPr>
        <w:t>’</w:t>
      </w:r>
      <w:r w:rsidRPr="00B33B43">
        <w:rPr>
          <w:lang w:val="fr-FR"/>
        </w:rPr>
        <w:t>intermédiaire du Bureau internation</w:t>
      </w:r>
      <w:r w:rsidR="00C764A0" w:rsidRPr="00B33B43">
        <w:rPr>
          <w:lang w:val="fr-FR"/>
        </w:rPr>
        <w:t>al.  Le</w:t>
      </w:r>
      <w:r w:rsidRPr="00B33B43">
        <w:rPr>
          <w:lang w:val="fr-FR"/>
        </w:rPr>
        <w:t>s principales taxes actuellement concernées sont</w:t>
      </w:r>
      <w:r w:rsidR="00D0243F" w:rsidRPr="00B33B43">
        <w:rPr>
          <w:lang w:val="fr-FR"/>
        </w:rPr>
        <w:t> :</w:t>
      </w:r>
    </w:p>
    <w:p w:rsidR="00CA7A8A" w:rsidRPr="00B33B43" w:rsidRDefault="00CA7A8A" w:rsidP="00B8283E">
      <w:pPr>
        <w:pStyle w:val="ONUMFS"/>
        <w:numPr>
          <w:ilvl w:val="1"/>
          <w:numId w:val="6"/>
        </w:numPr>
        <w:rPr>
          <w:lang w:val="fr-FR"/>
        </w:rPr>
      </w:pPr>
      <w:proofErr w:type="gramStart"/>
      <w:r w:rsidRPr="00B33B43">
        <w:rPr>
          <w:lang w:val="fr-FR"/>
        </w:rPr>
        <w:t>les</w:t>
      </w:r>
      <w:proofErr w:type="gramEnd"/>
      <w:r w:rsidRPr="00B33B43">
        <w:rPr>
          <w:lang w:val="fr-FR"/>
        </w:rPr>
        <w:t xml:space="preserve"> taxes internationales de dépôt payées aux offices récepteurs au profit du Bureau international;</w:t>
      </w:r>
    </w:p>
    <w:p w:rsidR="00CA7A8A" w:rsidRPr="00B33B43" w:rsidRDefault="00CA7A8A" w:rsidP="00B8283E">
      <w:pPr>
        <w:pStyle w:val="ONUMFS"/>
        <w:numPr>
          <w:ilvl w:val="1"/>
          <w:numId w:val="6"/>
        </w:numPr>
        <w:rPr>
          <w:lang w:val="fr-FR"/>
        </w:rPr>
      </w:pPr>
      <w:proofErr w:type="gramStart"/>
      <w:r w:rsidRPr="00B33B43">
        <w:rPr>
          <w:lang w:val="fr-FR"/>
        </w:rPr>
        <w:lastRenderedPageBreak/>
        <w:t>les</w:t>
      </w:r>
      <w:proofErr w:type="gramEnd"/>
      <w:r w:rsidRPr="00B33B43">
        <w:rPr>
          <w:lang w:val="fr-FR"/>
        </w:rPr>
        <w:t xml:space="preserve"> taxes de recherche payées aux offices récepteurs au profit d</w:t>
      </w:r>
      <w:r w:rsidR="00D0243F" w:rsidRPr="00B33B43">
        <w:rPr>
          <w:lang w:val="fr-FR"/>
        </w:rPr>
        <w:t>’</w:t>
      </w:r>
      <w:r w:rsidRPr="00B33B43">
        <w:rPr>
          <w:lang w:val="fr-FR"/>
        </w:rPr>
        <w:t>autres offices agissant en qualité d</w:t>
      </w:r>
      <w:r w:rsidR="00D0243F" w:rsidRPr="00B33B43">
        <w:rPr>
          <w:lang w:val="fr-FR"/>
        </w:rPr>
        <w:t>’</w:t>
      </w:r>
      <w:r w:rsidRPr="00B33B43">
        <w:rPr>
          <w:lang w:val="fr-FR"/>
        </w:rPr>
        <w:t>administration chargée de la recherche internationale;  et</w:t>
      </w:r>
    </w:p>
    <w:p w:rsidR="00CA7A8A" w:rsidRPr="00B33B43" w:rsidRDefault="00CA7A8A" w:rsidP="00B8283E">
      <w:pPr>
        <w:pStyle w:val="ONUMFS"/>
        <w:numPr>
          <w:ilvl w:val="1"/>
          <w:numId w:val="6"/>
        </w:numPr>
        <w:rPr>
          <w:lang w:val="fr-FR"/>
        </w:rPr>
      </w:pPr>
      <w:proofErr w:type="gramStart"/>
      <w:r w:rsidRPr="00B33B43">
        <w:rPr>
          <w:lang w:val="fr-FR"/>
        </w:rPr>
        <w:t>les</w:t>
      </w:r>
      <w:proofErr w:type="gramEnd"/>
      <w:r w:rsidRPr="00B33B43">
        <w:rPr>
          <w:lang w:val="fr-FR"/>
        </w:rPr>
        <w:t xml:space="preserve"> taxes de traitement payées aux administrations chargées de l</w:t>
      </w:r>
      <w:r w:rsidR="00D0243F" w:rsidRPr="00B33B43">
        <w:rPr>
          <w:lang w:val="fr-FR"/>
        </w:rPr>
        <w:t>’</w:t>
      </w:r>
      <w:r w:rsidRPr="00B33B43">
        <w:rPr>
          <w:lang w:val="fr-FR"/>
        </w:rPr>
        <w:t>examen préliminaire international au profit du Bureau international.</w:t>
      </w:r>
    </w:p>
    <w:p w:rsidR="00CA7A8A" w:rsidRPr="00B33B43" w:rsidRDefault="00CA7A8A" w:rsidP="00B4541C">
      <w:pPr>
        <w:pStyle w:val="ONUMFS"/>
        <w:rPr>
          <w:lang w:val="fr-FR"/>
        </w:rPr>
      </w:pPr>
      <w:r w:rsidRPr="00B33B43">
        <w:rPr>
          <w:lang w:val="fr-FR"/>
        </w:rPr>
        <w:t>Ce service est particulièrement utile pour les offices récepteurs qui ont désigné plusieurs administrations chargées de la recherche internationale comme étant compétentes pour procéder à la recherche pour les demandes internationales déposées auprès de leur office, et pour les administrations chargées de la recherche internationale qui sont compétentes pour procéder à la recherche pour les demandes internationales déposées auprès de plusieurs offices récepteu</w:t>
      </w:r>
      <w:r w:rsidR="00C764A0" w:rsidRPr="00B33B43">
        <w:rPr>
          <w:lang w:val="fr-FR"/>
        </w:rPr>
        <w:t>rs.  En</w:t>
      </w:r>
      <w:r w:rsidRPr="00B33B43">
        <w:rPr>
          <w:lang w:val="fr-FR"/>
        </w:rPr>
        <w:t xml:space="preserve"> outre, elle simplifie les démarches de toutes les parties puisque chaque office récepteur doit effectuer des paiements auprès du Bureau international et qu</w:t>
      </w:r>
      <w:r w:rsidR="00D0243F" w:rsidRPr="00B33B43">
        <w:rPr>
          <w:lang w:val="fr-FR"/>
        </w:rPr>
        <w:t>’</w:t>
      </w:r>
      <w:r w:rsidRPr="00B33B43">
        <w:rPr>
          <w:lang w:val="fr-FR"/>
        </w:rPr>
        <w:t>une administration chargée de la recherche internationale peut recevoir des paiements d</w:t>
      </w:r>
      <w:r w:rsidR="00D0243F" w:rsidRPr="00B33B43">
        <w:rPr>
          <w:lang w:val="fr-FR"/>
        </w:rPr>
        <w:t>’</w:t>
      </w:r>
      <w:r w:rsidRPr="00B33B43">
        <w:rPr>
          <w:lang w:val="fr-FR"/>
        </w:rPr>
        <w:t>une seule source plutôt que de plusieurs offices récepteurs distinc</w:t>
      </w:r>
      <w:r w:rsidR="00C764A0" w:rsidRPr="00B33B43">
        <w:rPr>
          <w:lang w:val="fr-FR"/>
        </w:rPr>
        <w:t>ts.  Le</w:t>
      </w:r>
      <w:r w:rsidRPr="00B33B43">
        <w:rPr>
          <w:lang w:val="fr-FR"/>
        </w:rPr>
        <w:t>s offices qui utilisent ce service doivent ainsi uniquement transférer des fonds au Bureau international et les recevoir de celui</w:t>
      </w:r>
      <w:r w:rsidR="001B20C2">
        <w:rPr>
          <w:lang w:val="fr-FR"/>
        </w:rPr>
        <w:noBreakHyphen/>
      </w:r>
      <w:r w:rsidRPr="00B33B43">
        <w:rPr>
          <w:lang w:val="fr-FR"/>
        </w:rPr>
        <w:t>ci.</w:t>
      </w:r>
    </w:p>
    <w:p w:rsidR="00CA7A8A" w:rsidRPr="00B33B43" w:rsidRDefault="00CA7A8A" w:rsidP="00B4541C">
      <w:pPr>
        <w:pStyle w:val="ONUMFS"/>
        <w:rPr>
          <w:lang w:val="fr-FR"/>
        </w:rPr>
      </w:pPr>
      <w:r w:rsidRPr="00B33B43">
        <w:rPr>
          <w:lang w:val="fr-FR"/>
        </w:rPr>
        <w:t xml:space="preserve">Pour encore plus de simplicité, les paiements peuvent être consolidés et </w:t>
      </w:r>
      <w:r w:rsidR="00D0243F" w:rsidRPr="00B33B43">
        <w:rPr>
          <w:lang w:val="fr-FR"/>
        </w:rPr>
        <w:t>“c</w:t>
      </w:r>
      <w:r w:rsidRPr="00B33B43">
        <w:rPr>
          <w:lang w:val="fr-FR"/>
        </w:rPr>
        <w:t>ompensé</w:t>
      </w:r>
      <w:r w:rsidR="00D0243F" w:rsidRPr="00B33B43">
        <w:rPr>
          <w:lang w:val="fr-FR"/>
        </w:rPr>
        <w:t>s”</w:t>
      </w:r>
      <w:r w:rsidRPr="00B33B43">
        <w:rPr>
          <w:lang w:val="fr-FR"/>
        </w:rPr>
        <w:t>, ce qui permet de regrouper en une seule transaction tous les transferts de taxes requis pour un mois concernant un office don</w:t>
      </w:r>
      <w:r w:rsidR="00C764A0" w:rsidRPr="00B33B43">
        <w:rPr>
          <w:lang w:val="fr-FR"/>
        </w:rPr>
        <w:t>né.  To</w:t>
      </w:r>
      <w:r w:rsidRPr="00B33B43">
        <w:rPr>
          <w:lang w:val="fr-FR"/>
        </w:rPr>
        <w:t>utes les sommes que le Bureau international serait tenu de transférer à un office (indépendamment du nombre d</w:t>
      </w:r>
      <w:r w:rsidR="00D0243F" w:rsidRPr="00B33B43">
        <w:rPr>
          <w:lang w:val="fr-FR"/>
        </w:rPr>
        <w:t>’</w:t>
      </w:r>
      <w:r w:rsidRPr="00B33B43">
        <w:rPr>
          <w:lang w:val="fr-FR"/>
        </w:rPr>
        <w:t>autres offices ayant effectué des paiements au Bureau international au profit de cet office) seraient soustraites des sommes que l</w:t>
      </w:r>
      <w:r w:rsidR="00D0243F" w:rsidRPr="00B33B43">
        <w:rPr>
          <w:lang w:val="fr-FR"/>
        </w:rPr>
        <w:t>’</w:t>
      </w:r>
      <w:r w:rsidRPr="00B33B43">
        <w:rPr>
          <w:lang w:val="fr-FR"/>
        </w:rPr>
        <w:t>office serait tenu de transférer au Bureau international, ce qui donnerait un montant net à transférer depuis ou vers le Bureau internation</w:t>
      </w:r>
      <w:r w:rsidR="00C764A0" w:rsidRPr="00B33B43">
        <w:rPr>
          <w:lang w:val="fr-FR"/>
        </w:rPr>
        <w:t>al.  To</w:t>
      </w:r>
      <w:r w:rsidRPr="00B33B43">
        <w:rPr>
          <w:lang w:val="fr-FR"/>
        </w:rPr>
        <w:t>utefois, cela n</w:t>
      </w:r>
      <w:r w:rsidR="00D0243F" w:rsidRPr="00B33B43">
        <w:rPr>
          <w:lang w:val="fr-FR"/>
        </w:rPr>
        <w:t>’</w:t>
      </w:r>
      <w:r w:rsidRPr="00B33B43">
        <w:rPr>
          <w:lang w:val="fr-FR"/>
        </w:rPr>
        <w:t xml:space="preserve">est pas </w:t>
      </w:r>
      <w:proofErr w:type="gramStart"/>
      <w:r w:rsidRPr="00B33B43">
        <w:rPr>
          <w:lang w:val="fr-FR"/>
        </w:rPr>
        <w:t>obligatoire;</w:t>
      </w:r>
      <w:r w:rsidR="00112637" w:rsidRPr="00B33B43">
        <w:rPr>
          <w:lang w:val="fr-FR"/>
        </w:rPr>
        <w:t xml:space="preserve"> </w:t>
      </w:r>
      <w:r w:rsidRPr="00B33B43">
        <w:rPr>
          <w:lang w:val="fr-FR"/>
        </w:rPr>
        <w:t xml:space="preserve"> les</w:t>
      </w:r>
      <w:proofErr w:type="gramEnd"/>
      <w:r w:rsidRPr="00B33B43">
        <w:rPr>
          <w:lang w:val="fr-FR"/>
        </w:rPr>
        <w:t xml:space="preserve"> transferts peuvent être effectués sous forme de paiements distincts par partie (l</w:t>
      </w:r>
      <w:r w:rsidR="00D0243F" w:rsidRPr="00B33B43">
        <w:rPr>
          <w:lang w:val="fr-FR"/>
        </w:rPr>
        <w:t>’</w:t>
      </w:r>
      <w:r w:rsidRPr="00B33B43">
        <w:rPr>
          <w:lang w:val="fr-FR"/>
        </w:rPr>
        <w:t>autre office auquel ou duquel les taxes sont transférées) et par objet (séparation des taxes internationales de dépôt, des taxes de recherche et des taxes de traitement) lorsque la pratique de l</w:t>
      </w:r>
      <w:r w:rsidR="00D0243F" w:rsidRPr="00B33B43">
        <w:rPr>
          <w:lang w:val="fr-FR"/>
        </w:rPr>
        <w:t>’</w:t>
      </w:r>
      <w:r w:rsidRPr="00B33B43">
        <w:rPr>
          <w:lang w:val="fr-FR"/>
        </w:rPr>
        <w:t>office ou la réglementation financière nationale l</w:t>
      </w:r>
      <w:r w:rsidR="00D0243F" w:rsidRPr="00B33B43">
        <w:rPr>
          <w:lang w:val="fr-FR"/>
        </w:rPr>
        <w:t>’</w:t>
      </w:r>
      <w:r w:rsidRPr="00B33B43">
        <w:rPr>
          <w:lang w:val="fr-FR"/>
        </w:rPr>
        <w:t>exige.</w:t>
      </w:r>
    </w:p>
    <w:p w:rsidR="00CA7A8A" w:rsidRPr="00B33B43" w:rsidRDefault="00CA7A8A" w:rsidP="00B8283E">
      <w:pPr>
        <w:pStyle w:val="Heading1"/>
        <w:rPr>
          <w:lang w:val="fr-FR"/>
        </w:rPr>
      </w:pPr>
      <w:r w:rsidRPr="00B33B43">
        <w:rPr>
          <w:lang w:val="fr-FR"/>
        </w:rPr>
        <w:t>Utilisation obligatoire du Service de transfert de taxes de l</w:t>
      </w:r>
      <w:r w:rsidR="00D0243F" w:rsidRPr="00B33B43">
        <w:rPr>
          <w:lang w:val="fr-FR"/>
        </w:rPr>
        <w:t>’</w:t>
      </w:r>
      <w:r w:rsidRPr="00B33B43">
        <w:rPr>
          <w:lang w:val="fr-FR"/>
        </w:rPr>
        <w:t>OMPI</w:t>
      </w:r>
    </w:p>
    <w:p w:rsidR="00CA7A8A" w:rsidRPr="00B33B43" w:rsidRDefault="00CA7A8A" w:rsidP="00B4541C">
      <w:pPr>
        <w:pStyle w:val="ONUMFS"/>
        <w:rPr>
          <w:lang w:val="fr-FR"/>
        </w:rPr>
      </w:pPr>
      <w:r w:rsidRPr="00B33B43">
        <w:rPr>
          <w:lang w:val="fr-FR"/>
        </w:rPr>
        <w:t>Certains offices ne peuvent adhérer au service, car leur règlement financier interdit les paiements par un intermédiai</w:t>
      </w:r>
      <w:r w:rsidR="00C764A0" w:rsidRPr="00B33B43">
        <w:rPr>
          <w:lang w:val="fr-FR"/>
        </w:rPr>
        <w:t>re.  Il</w:t>
      </w:r>
      <w:r w:rsidRPr="00B33B43">
        <w:rPr>
          <w:lang w:val="fr-FR"/>
        </w:rPr>
        <w:t xml:space="preserve"> est entendu qu</w:t>
      </w:r>
      <w:r w:rsidR="00D0243F" w:rsidRPr="00B33B43">
        <w:rPr>
          <w:lang w:val="fr-FR"/>
        </w:rPr>
        <w:t>’</w:t>
      </w:r>
      <w:r w:rsidRPr="00B33B43">
        <w:rPr>
          <w:lang w:val="fr-FR"/>
        </w:rPr>
        <w:t>une modification du règlement d</w:t>
      </w:r>
      <w:r w:rsidR="00D0243F" w:rsidRPr="00B33B43">
        <w:rPr>
          <w:lang w:val="fr-FR"/>
        </w:rPr>
        <w:t>’</w:t>
      </w:r>
      <w:r w:rsidRPr="00B33B43">
        <w:rPr>
          <w:lang w:val="fr-FR"/>
        </w:rPr>
        <w:t>exécution</w:t>
      </w:r>
      <w:r w:rsidR="00D0243F" w:rsidRPr="00B33B43">
        <w:rPr>
          <w:lang w:val="fr-FR"/>
        </w:rPr>
        <w:t xml:space="preserve"> du PCT</w:t>
      </w:r>
      <w:r w:rsidRPr="00B33B43">
        <w:rPr>
          <w:lang w:val="fr-FR"/>
        </w:rPr>
        <w:t xml:space="preserve"> tendant à exiger le transfert des taxes au Bureau international (autres que les taxes qu</w:t>
      </w:r>
      <w:r w:rsidR="00D0243F" w:rsidRPr="00B33B43">
        <w:rPr>
          <w:lang w:val="fr-FR"/>
        </w:rPr>
        <w:t>’</w:t>
      </w:r>
      <w:r w:rsidRPr="00B33B43">
        <w:rPr>
          <w:lang w:val="fr-FR"/>
        </w:rPr>
        <w:t>un office reçoit à son propre profit) permettra à ces offices d</w:t>
      </w:r>
      <w:r w:rsidR="00D0243F" w:rsidRPr="00B33B43">
        <w:rPr>
          <w:lang w:val="fr-FR"/>
        </w:rPr>
        <w:t>’</w:t>
      </w:r>
      <w:r w:rsidRPr="00B33B43">
        <w:rPr>
          <w:lang w:val="fr-FR"/>
        </w:rPr>
        <w:t>adhérer au service.</w:t>
      </w:r>
    </w:p>
    <w:p w:rsidR="00CA7A8A" w:rsidRPr="00B33B43" w:rsidRDefault="00CA7A8A" w:rsidP="00B4541C">
      <w:pPr>
        <w:pStyle w:val="ONUMFS"/>
        <w:rPr>
          <w:lang w:val="fr-FR"/>
        </w:rPr>
      </w:pPr>
      <w:r w:rsidRPr="00B33B43">
        <w:rPr>
          <w:lang w:val="fr-FR"/>
        </w:rPr>
        <w:t xml:space="preserve">À cette fin, il est proposé de modifier la </w:t>
      </w:r>
      <w:r w:rsidR="00D0243F" w:rsidRPr="00B33B43">
        <w:rPr>
          <w:lang w:val="fr-FR"/>
        </w:rPr>
        <w:t>règle 9</w:t>
      </w:r>
      <w:r w:rsidRPr="00B33B43">
        <w:rPr>
          <w:lang w:val="fr-FR"/>
        </w:rPr>
        <w:t>6.2.c) afin de préciser que toutes les taxes perçues par un office (autre que le Bureau international) au profit d</w:t>
      </w:r>
      <w:r w:rsidR="00D0243F" w:rsidRPr="00B33B43">
        <w:rPr>
          <w:lang w:val="fr-FR"/>
        </w:rPr>
        <w:t>’</w:t>
      </w:r>
      <w:r w:rsidRPr="00B33B43">
        <w:rPr>
          <w:lang w:val="fr-FR"/>
        </w:rPr>
        <w:t>un autre office doivent être transférées au Bureau international, sauf dans les circonstances exceptionnelles décrites au paragraphe</w:t>
      </w:r>
      <w:r w:rsidR="00F44BF5">
        <w:rPr>
          <w:lang w:val="fr-FR"/>
        </w:rPr>
        <w:t> </w:t>
      </w:r>
      <w:r w:rsidRPr="00B33B43">
        <w:rPr>
          <w:lang w:val="fr-FR"/>
        </w:rPr>
        <w:fldChar w:fldCharType="begin"/>
      </w:r>
      <w:r w:rsidRPr="00B33B43">
        <w:rPr>
          <w:lang w:val="fr-FR"/>
        </w:rPr>
        <w:instrText xml:space="preserve"> REF _Ref124328011 \r \h  \* MERGEFORMAT </w:instrText>
      </w:r>
      <w:r w:rsidRPr="00B33B43">
        <w:rPr>
          <w:lang w:val="fr-FR"/>
        </w:rPr>
      </w:r>
      <w:r w:rsidRPr="00B33B43">
        <w:rPr>
          <w:lang w:val="fr-FR"/>
        </w:rPr>
        <w:fldChar w:fldCharType="separate"/>
      </w:r>
      <w:r w:rsidR="00900E72">
        <w:rPr>
          <w:lang w:val="fr-FR"/>
        </w:rPr>
        <w:t>10</w:t>
      </w:r>
      <w:r w:rsidRPr="00B33B43">
        <w:rPr>
          <w:lang w:val="fr-FR"/>
        </w:rPr>
        <w:fldChar w:fldCharType="end"/>
      </w:r>
      <w:r w:rsidRPr="00B33B43">
        <w:rPr>
          <w:lang w:val="fr-FR"/>
        </w:rPr>
        <w:t>.</w:t>
      </w:r>
    </w:p>
    <w:p w:rsidR="00CA7A8A" w:rsidRPr="00B33B43" w:rsidRDefault="00CA7A8A" w:rsidP="00B4541C">
      <w:pPr>
        <w:pStyle w:val="ONUMFS"/>
        <w:rPr>
          <w:lang w:val="fr-FR"/>
        </w:rPr>
      </w:pPr>
      <w:r w:rsidRPr="00B33B43">
        <w:rPr>
          <w:lang w:val="fr-FR"/>
        </w:rPr>
        <w:t xml:space="preserve">La </w:t>
      </w:r>
      <w:r w:rsidR="00D0243F" w:rsidRPr="00B33B43">
        <w:rPr>
          <w:lang w:val="fr-FR"/>
        </w:rPr>
        <w:t>règle 1</w:t>
      </w:r>
      <w:r w:rsidRPr="00B33B43">
        <w:rPr>
          <w:lang w:val="fr-FR"/>
        </w:rPr>
        <w:t>6.1.e) serait supprimée, car elle ne serait plus nécessaire une fois que l</w:t>
      </w:r>
      <w:r w:rsidR="00D0243F" w:rsidRPr="00B33B43">
        <w:rPr>
          <w:lang w:val="fr-FR"/>
        </w:rPr>
        <w:t>’</w:t>
      </w:r>
      <w:r w:rsidRPr="00B33B43">
        <w:rPr>
          <w:lang w:val="fr-FR"/>
        </w:rPr>
        <w:t>utilisation du service deviendrait obligatoi</w:t>
      </w:r>
      <w:r w:rsidR="00C764A0" w:rsidRPr="00B33B43">
        <w:rPr>
          <w:lang w:val="fr-FR"/>
        </w:rPr>
        <w:t>re.  Le</w:t>
      </w:r>
      <w:r w:rsidRPr="00B33B43">
        <w:rPr>
          <w:lang w:val="fr-FR"/>
        </w:rPr>
        <w:t xml:space="preserve"> Bureau international paie les taxes de recherche par l</w:t>
      </w:r>
      <w:r w:rsidR="00D0243F" w:rsidRPr="00B33B43">
        <w:rPr>
          <w:lang w:val="fr-FR"/>
        </w:rPr>
        <w:t>’</w:t>
      </w:r>
      <w:r w:rsidRPr="00B33B43">
        <w:rPr>
          <w:lang w:val="fr-FR"/>
        </w:rPr>
        <w:t>intermédiaire du service aux administrations chargées de la recherche internationale dans la monnaie fix</w:t>
      </w:r>
      <w:r w:rsidR="00C764A0" w:rsidRPr="00B33B43">
        <w:rPr>
          <w:lang w:val="fr-FR"/>
        </w:rPr>
        <w:t>ée.  Pa</w:t>
      </w:r>
      <w:r w:rsidRPr="00B33B43">
        <w:rPr>
          <w:lang w:val="fr-FR"/>
        </w:rPr>
        <w:t>r conséquent, lorsque toutes les taxes de recherche sont payées par l</w:t>
      </w:r>
      <w:r w:rsidR="00D0243F" w:rsidRPr="00B33B43">
        <w:rPr>
          <w:lang w:val="fr-FR"/>
        </w:rPr>
        <w:t>’</w:t>
      </w:r>
      <w:r w:rsidRPr="00B33B43">
        <w:rPr>
          <w:lang w:val="fr-FR"/>
        </w:rPr>
        <w:t>intermédiaire du service, il ne peut plus y avoir de variations dans les montants reçus par l</w:t>
      </w:r>
      <w:r w:rsidR="00D0243F" w:rsidRPr="00B33B43">
        <w:rPr>
          <w:lang w:val="fr-FR"/>
        </w:rPr>
        <w:t>’</w:t>
      </w:r>
      <w:r w:rsidRPr="00B33B43">
        <w:rPr>
          <w:lang w:val="fr-FR"/>
        </w:rPr>
        <w:t>administration en raison des variations des taux de change entre la monnaie prescrite et la monnaie fixée.</w:t>
      </w:r>
    </w:p>
    <w:p w:rsidR="00CA7A8A" w:rsidRPr="00B33B43" w:rsidRDefault="00CA7A8A" w:rsidP="00B4541C">
      <w:pPr>
        <w:pStyle w:val="ONUMFS"/>
        <w:rPr>
          <w:lang w:val="fr-FR"/>
        </w:rPr>
      </w:pPr>
      <w:r w:rsidRPr="00B33B43">
        <w:rPr>
          <w:lang w:val="fr-FR"/>
        </w:rPr>
        <w:t>L</w:t>
      </w:r>
      <w:r w:rsidR="00D0243F" w:rsidRPr="00B33B43">
        <w:rPr>
          <w:lang w:val="fr-FR"/>
        </w:rPr>
        <w:t>’</w:t>
      </w:r>
      <w:r w:rsidRPr="00B33B43">
        <w:rPr>
          <w:lang w:val="fr-FR"/>
        </w:rPr>
        <w:t>annexe du présent document contient les projets de modifications à apporter au règlement d</w:t>
      </w:r>
      <w:r w:rsidR="00D0243F" w:rsidRPr="00B33B43">
        <w:rPr>
          <w:lang w:val="fr-FR"/>
        </w:rPr>
        <w:t>’</w:t>
      </w:r>
      <w:r w:rsidRPr="00B33B43">
        <w:rPr>
          <w:lang w:val="fr-FR"/>
        </w:rPr>
        <w:t>exécution</w:t>
      </w:r>
      <w:r w:rsidR="00D0243F" w:rsidRPr="00B33B43">
        <w:rPr>
          <w:lang w:val="fr-FR"/>
        </w:rPr>
        <w:t xml:space="preserve"> du PCT</w:t>
      </w:r>
      <w:r w:rsidRPr="00B33B43">
        <w:rPr>
          <w:lang w:val="fr-FR"/>
        </w:rPr>
        <w:t xml:space="preserve"> pour réaliser ce changement.</w:t>
      </w:r>
    </w:p>
    <w:p w:rsidR="00CA7A8A" w:rsidRPr="00B33B43" w:rsidRDefault="00CA7A8A" w:rsidP="00B8283E">
      <w:pPr>
        <w:pStyle w:val="ONUMFS"/>
        <w:keepNext/>
        <w:rPr>
          <w:lang w:val="fr-FR"/>
        </w:rPr>
      </w:pPr>
      <w:r w:rsidRPr="00B33B43">
        <w:rPr>
          <w:lang w:val="fr-FR"/>
        </w:rPr>
        <w:t>La même proposition a été examinée par le Groupe de travail</w:t>
      </w:r>
      <w:r w:rsidR="00D0243F" w:rsidRPr="00B33B43">
        <w:rPr>
          <w:lang w:val="fr-FR"/>
        </w:rPr>
        <w:t xml:space="preserve"> du PCT</w:t>
      </w:r>
      <w:r w:rsidRPr="00B33B43">
        <w:rPr>
          <w:lang w:val="fr-FR"/>
        </w:rPr>
        <w:t xml:space="preserve"> à sa quinz</w:t>
      </w:r>
      <w:r w:rsidR="00D0243F" w:rsidRPr="00B33B43">
        <w:rPr>
          <w:lang w:val="fr-FR"/>
        </w:rPr>
        <w:t>ième session</w:t>
      </w:r>
      <w:r w:rsidRPr="00B33B43">
        <w:rPr>
          <w:lang w:val="fr-FR"/>
        </w:rPr>
        <w:t xml:space="preserve"> (voir l</w:t>
      </w:r>
      <w:r w:rsidR="00D0243F" w:rsidRPr="00B33B43">
        <w:rPr>
          <w:lang w:val="fr-FR"/>
        </w:rPr>
        <w:t>’annexe I</w:t>
      </w:r>
      <w:r w:rsidRPr="00B33B43">
        <w:rPr>
          <w:lang w:val="fr-FR"/>
        </w:rPr>
        <w:t xml:space="preserve"> du document PCT/WG/15/17).  Les délibérations relatives à </w:t>
      </w:r>
      <w:r w:rsidRPr="00B33B43">
        <w:rPr>
          <w:lang w:val="fr-FR"/>
        </w:rPr>
        <w:lastRenderedPageBreak/>
        <w:t xml:space="preserve">cette proposition sont résumées aux </w:t>
      </w:r>
      <w:r w:rsidR="00D0243F" w:rsidRPr="00B33B43">
        <w:rPr>
          <w:lang w:val="fr-FR"/>
        </w:rPr>
        <w:t>paragraphes 2</w:t>
      </w:r>
      <w:r w:rsidRPr="00B33B43">
        <w:rPr>
          <w:lang w:val="fr-FR"/>
        </w:rPr>
        <w:t>9 et 30 du document PCT/WG/15/19 comme suit</w:t>
      </w:r>
      <w:r w:rsidR="00D0243F" w:rsidRPr="00B33B43">
        <w:rPr>
          <w:lang w:val="fr-FR"/>
        </w:rPr>
        <w:t> :</w:t>
      </w:r>
    </w:p>
    <w:p w:rsidR="00CA7A8A" w:rsidRPr="00B33B43" w:rsidRDefault="00F44BF5" w:rsidP="00B8283E">
      <w:pPr>
        <w:pStyle w:val="ONUMFS"/>
        <w:numPr>
          <w:ilvl w:val="0"/>
          <w:numId w:val="0"/>
        </w:numPr>
        <w:ind w:left="567"/>
        <w:rPr>
          <w:lang w:val="fr-FR"/>
        </w:rPr>
      </w:pPr>
      <w:r>
        <w:rPr>
          <w:lang w:val="fr-FR"/>
        </w:rPr>
        <w:t>“</w:t>
      </w:r>
      <w:r w:rsidR="00CA7A8A" w:rsidRPr="00B33B43">
        <w:rPr>
          <w:lang w:val="fr-FR"/>
        </w:rPr>
        <w:t>29.</w:t>
      </w:r>
      <w:r w:rsidR="00CA7A8A" w:rsidRPr="00B33B43">
        <w:rPr>
          <w:lang w:val="fr-FR"/>
        </w:rPr>
        <w:tab/>
        <w:t xml:space="preserve">Les délégations ont exprimé leur satisfaction </w:t>
      </w:r>
      <w:r w:rsidR="00D0243F" w:rsidRPr="00B33B43">
        <w:rPr>
          <w:lang w:val="fr-FR"/>
        </w:rPr>
        <w:t>à l’égard</w:t>
      </w:r>
      <w:r w:rsidR="00CA7A8A" w:rsidRPr="00B33B43">
        <w:rPr>
          <w:lang w:val="fr-FR"/>
        </w:rPr>
        <w:t xml:space="preserve"> du service de transfert de taxes de l</w:t>
      </w:r>
      <w:r w:rsidR="00D0243F" w:rsidRPr="00B33B43">
        <w:rPr>
          <w:lang w:val="fr-FR"/>
        </w:rPr>
        <w:t>’</w:t>
      </w:r>
      <w:r w:rsidR="00CA7A8A" w:rsidRPr="00B33B43">
        <w:rPr>
          <w:lang w:val="fr-FR"/>
        </w:rPr>
        <w:t>OMPI, s</w:t>
      </w:r>
      <w:r w:rsidR="00D0243F" w:rsidRPr="00B33B43">
        <w:rPr>
          <w:lang w:val="fr-FR"/>
        </w:rPr>
        <w:t>’</w:t>
      </w:r>
      <w:r w:rsidR="00CA7A8A" w:rsidRPr="00B33B43">
        <w:rPr>
          <w:lang w:val="fr-FR"/>
        </w:rPr>
        <w:t>agissant notamment des avantages apportés par l</w:t>
      </w:r>
      <w:r w:rsidR="00D0243F" w:rsidRPr="00B33B43">
        <w:rPr>
          <w:lang w:val="fr-FR"/>
        </w:rPr>
        <w:t>’</w:t>
      </w:r>
      <w:r w:rsidR="00CA7A8A" w:rsidRPr="00B33B43">
        <w:rPr>
          <w:lang w:val="fr-FR"/>
        </w:rPr>
        <w:t>amélioration de l</w:t>
      </w:r>
      <w:r w:rsidR="00D0243F" w:rsidRPr="00B33B43">
        <w:rPr>
          <w:lang w:val="fr-FR"/>
        </w:rPr>
        <w:t>’</w:t>
      </w:r>
      <w:r w:rsidR="00CA7A8A" w:rsidRPr="00B33B43">
        <w:rPr>
          <w:lang w:val="fr-FR"/>
        </w:rPr>
        <w:t>efficacité administrati</w:t>
      </w:r>
      <w:r w:rsidR="00C764A0" w:rsidRPr="00B33B43">
        <w:rPr>
          <w:lang w:val="fr-FR"/>
        </w:rPr>
        <w:t>ve.  La</w:t>
      </w:r>
      <w:r w:rsidR="00CA7A8A" w:rsidRPr="00B33B43">
        <w:rPr>
          <w:lang w:val="fr-FR"/>
        </w:rPr>
        <w:t xml:space="preserve"> plupart des délégations ont largement appuyé la première proposition contenue dans l</w:t>
      </w:r>
      <w:r w:rsidR="00D0243F" w:rsidRPr="00B33B43">
        <w:rPr>
          <w:lang w:val="fr-FR"/>
        </w:rPr>
        <w:t>’</w:t>
      </w:r>
      <w:r w:rsidR="00CA7A8A" w:rsidRPr="00B33B43">
        <w:rPr>
          <w:lang w:val="fr-FR"/>
        </w:rPr>
        <w:t>annexe I, visant à rendre obligatoire l</w:t>
      </w:r>
      <w:r w:rsidR="00D0243F" w:rsidRPr="00B33B43">
        <w:rPr>
          <w:lang w:val="fr-FR"/>
        </w:rPr>
        <w:t>’</w:t>
      </w:r>
      <w:r w:rsidR="00CA7A8A" w:rsidRPr="00B33B43">
        <w:rPr>
          <w:lang w:val="fr-FR"/>
        </w:rPr>
        <w:t>utilisation du service pour le transfert des taxes perçues par un office au profit d</w:t>
      </w:r>
      <w:r w:rsidR="00D0243F" w:rsidRPr="00B33B43">
        <w:rPr>
          <w:lang w:val="fr-FR"/>
        </w:rPr>
        <w:t>’</w:t>
      </w:r>
      <w:r w:rsidR="00CA7A8A" w:rsidRPr="00B33B43">
        <w:rPr>
          <w:lang w:val="fr-FR"/>
        </w:rPr>
        <w:t>un autre offi</w:t>
      </w:r>
      <w:r w:rsidR="00C764A0" w:rsidRPr="00B33B43">
        <w:rPr>
          <w:lang w:val="fr-FR"/>
        </w:rPr>
        <w:t>ce.  Un</w:t>
      </w:r>
      <w:r w:rsidR="00CA7A8A" w:rsidRPr="00B33B43">
        <w:rPr>
          <w:lang w:val="fr-FR"/>
        </w:rPr>
        <w:t>e délégation a indiqué qu</w:t>
      </w:r>
      <w:r w:rsidR="00D0243F" w:rsidRPr="00B33B43">
        <w:rPr>
          <w:lang w:val="fr-FR"/>
        </w:rPr>
        <w:t>’</w:t>
      </w:r>
      <w:r w:rsidR="00CA7A8A" w:rsidRPr="00B33B43">
        <w:rPr>
          <w:lang w:val="fr-FR"/>
        </w:rPr>
        <w:t>elle souhaitait que les propositions aillent plus loin, afin de garantir que les administrations chargées de la recherche internationale puissent s</w:t>
      </w:r>
      <w:r w:rsidR="00D0243F" w:rsidRPr="00B33B43">
        <w:rPr>
          <w:lang w:val="fr-FR"/>
        </w:rPr>
        <w:t>’</w:t>
      </w:r>
      <w:r w:rsidR="00CA7A8A" w:rsidRPr="00B33B43">
        <w:rPr>
          <w:lang w:val="fr-FR"/>
        </w:rPr>
        <w:t>appuyer en toute sécurité sur les transferts effectués durant le mois suivant la transmission d</w:t>
      </w:r>
      <w:r w:rsidR="00D0243F" w:rsidRPr="00B33B43">
        <w:rPr>
          <w:lang w:val="fr-FR"/>
        </w:rPr>
        <w:t>’</w:t>
      </w:r>
      <w:r w:rsidR="00CA7A8A" w:rsidRPr="00B33B43">
        <w:rPr>
          <w:lang w:val="fr-FR"/>
        </w:rPr>
        <w:t>une copie de recherc</w:t>
      </w:r>
      <w:r w:rsidR="00C764A0" w:rsidRPr="00B33B43">
        <w:rPr>
          <w:lang w:val="fr-FR"/>
        </w:rPr>
        <w:t>he.  Né</w:t>
      </w:r>
      <w:r w:rsidR="00CA7A8A" w:rsidRPr="00B33B43">
        <w:rPr>
          <w:lang w:val="fr-FR"/>
        </w:rPr>
        <w:t>anmoins, certaines délégations n</w:t>
      </w:r>
      <w:r w:rsidR="00D0243F" w:rsidRPr="00B33B43">
        <w:rPr>
          <w:lang w:val="fr-FR"/>
        </w:rPr>
        <w:t>’</w:t>
      </w:r>
      <w:r w:rsidR="00CA7A8A" w:rsidRPr="00B33B43">
        <w:rPr>
          <w:lang w:val="fr-FR"/>
        </w:rPr>
        <w:t>avaient pas eu le temps de mener à bien les consultations et l</w:t>
      </w:r>
      <w:r w:rsidR="00D0243F" w:rsidRPr="00B33B43">
        <w:rPr>
          <w:lang w:val="fr-FR"/>
        </w:rPr>
        <w:t>’</w:t>
      </w:r>
      <w:r w:rsidR="00CA7A8A" w:rsidRPr="00B33B43">
        <w:rPr>
          <w:lang w:val="fr-FR"/>
        </w:rPr>
        <w:t>analy</w:t>
      </w:r>
      <w:r w:rsidR="00C764A0" w:rsidRPr="00B33B43">
        <w:rPr>
          <w:lang w:val="fr-FR"/>
        </w:rPr>
        <w:t>se.  En</w:t>
      </w:r>
      <w:r w:rsidR="00CA7A8A" w:rsidRPr="00B33B43">
        <w:rPr>
          <w:lang w:val="fr-FR"/>
        </w:rPr>
        <w:t xml:space="preserve"> outre, d</w:t>
      </w:r>
      <w:r w:rsidR="00D0243F" w:rsidRPr="00B33B43">
        <w:rPr>
          <w:lang w:val="fr-FR"/>
        </w:rPr>
        <w:t>’</w:t>
      </w:r>
      <w:r w:rsidR="00CA7A8A" w:rsidRPr="00B33B43">
        <w:rPr>
          <w:lang w:val="fr-FR"/>
        </w:rPr>
        <w:t>autres délégations ont estimé que le fait que les offices soient libres de choisir d</w:t>
      </w:r>
      <w:r w:rsidR="00D0243F" w:rsidRPr="00B33B43">
        <w:rPr>
          <w:lang w:val="fr-FR"/>
        </w:rPr>
        <w:t>’</w:t>
      </w:r>
      <w:r w:rsidR="00CA7A8A" w:rsidRPr="00B33B43">
        <w:rPr>
          <w:lang w:val="fr-FR"/>
        </w:rPr>
        <w:t>utiliser le service constituait une partie importante des arrangements actuels, et ont suggéré que l</w:t>
      </w:r>
      <w:r w:rsidR="00D0243F" w:rsidRPr="00B33B43">
        <w:rPr>
          <w:lang w:val="fr-FR"/>
        </w:rPr>
        <w:t>’</w:t>
      </w:r>
      <w:r w:rsidR="00CA7A8A" w:rsidRPr="00B33B43">
        <w:rPr>
          <w:lang w:val="fr-FR"/>
        </w:rPr>
        <w:t>utilisation obligatoire du service n</w:t>
      </w:r>
      <w:r w:rsidR="00D0243F" w:rsidRPr="00B33B43">
        <w:rPr>
          <w:lang w:val="fr-FR"/>
        </w:rPr>
        <w:t>’</w:t>
      </w:r>
      <w:r w:rsidR="00CA7A8A" w:rsidRPr="00B33B43">
        <w:rPr>
          <w:lang w:val="fr-FR"/>
        </w:rPr>
        <w:t xml:space="preserve">était </w:t>
      </w:r>
      <w:proofErr w:type="gramStart"/>
      <w:r w:rsidR="00CA7A8A" w:rsidRPr="00B33B43">
        <w:rPr>
          <w:lang w:val="fr-FR"/>
        </w:rPr>
        <w:t>peut</w:t>
      </w:r>
      <w:proofErr w:type="gramEnd"/>
      <w:r w:rsidR="001B20C2">
        <w:rPr>
          <w:lang w:val="fr-FR"/>
        </w:rPr>
        <w:noBreakHyphen/>
      </w:r>
      <w:r w:rsidR="00CA7A8A" w:rsidRPr="00B33B43">
        <w:rPr>
          <w:lang w:val="fr-FR"/>
        </w:rPr>
        <w:t>être pas compatible avec les législations nationales, ou qu</w:t>
      </w:r>
      <w:r w:rsidR="00D0243F" w:rsidRPr="00B33B43">
        <w:rPr>
          <w:lang w:val="fr-FR"/>
        </w:rPr>
        <w:t>’</w:t>
      </w:r>
      <w:r w:rsidR="00CA7A8A" w:rsidRPr="00B33B43">
        <w:rPr>
          <w:lang w:val="fr-FR"/>
        </w:rPr>
        <w:t>il pourrait être difficile pour les offices de modifier leurs systèmes financiers en temps utile pour répondre aux nouvelles exigences.</w:t>
      </w:r>
    </w:p>
    <w:p w:rsidR="00CA7A8A" w:rsidRPr="00B8283E" w:rsidRDefault="00F44BF5" w:rsidP="00B8283E">
      <w:pPr>
        <w:pStyle w:val="ONUMFS"/>
        <w:numPr>
          <w:ilvl w:val="0"/>
          <w:numId w:val="0"/>
        </w:numPr>
        <w:ind w:left="567"/>
        <w:rPr>
          <w:spacing w:val="-4"/>
          <w:lang w:val="fr-FR"/>
        </w:rPr>
      </w:pPr>
      <w:r w:rsidRPr="00B8283E">
        <w:rPr>
          <w:spacing w:val="-4"/>
          <w:lang w:val="fr-FR"/>
        </w:rPr>
        <w:t>“</w:t>
      </w:r>
      <w:r w:rsidR="00CA7A8A" w:rsidRPr="00B8283E">
        <w:rPr>
          <w:spacing w:val="-4"/>
          <w:lang w:val="fr-FR"/>
        </w:rPr>
        <w:t>30.</w:t>
      </w:r>
      <w:r w:rsidR="00CA7A8A" w:rsidRPr="00B8283E">
        <w:rPr>
          <w:spacing w:val="-4"/>
          <w:lang w:val="fr-FR"/>
        </w:rPr>
        <w:tab/>
        <w:t>Le Secrétariat a précisé que la proposition concernait uniquement les taxes perçues par un office au profit d</w:t>
      </w:r>
      <w:r w:rsidR="00D0243F" w:rsidRPr="00B8283E">
        <w:rPr>
          <w:spacing w:val="-4"/>
          <w:lang w:val="fr-FR"/>
        </w:rPr>
        <w:t>’</w:t>
      </w:r>
      <w:r w:rsidR="00CA7A8A" w:rsidRPr="00B8283E">
        <w:rPr>
          <w:spacing w:val="-4"/>
          <w:lang w:val="fr-FR"/>
        </w:rPr>
        <w:t>un autre office et qu</w:t>
      </w:r>
      <w:r w:rsidR="00D0243F" w:rsidRPr="00B8283E">
        <w:rPr>
          <w:spacing w:val="-4"/>
          <w:lang w:val="fr-FR"/>
        </w:rPr>
        <w:t>’</w:t>
      </w:r>
      <w:r w:rsidR="00CA7A8A" w:rsidRPr="00B8283E">
        <w:rPr>
          <w:spacing w:val="-4"/>
          <w:lang w:val="fr-FR"/>
        </w:rPr>
        <w:t>elle n</w:t>
      </w:r>
      <w:r w:rsidR="00D0243F" w:rsidRPr="00B8283E">
        <w:rPr>
          <w:spacing w:val="-4"/>
          <w:lang w:val="fr-FR"/>
        </w:rPr>
        <w:t>’</w:t>
      </w:r>
      <w:r w:rsidR="00CA7A8A" w:rsidRPr="00B8283E">
        <w:rPr>
          <w:spacing w:val="-4"/>
          <w:lang w:val="fr-FR"/>
        </w:rPr>
        <w:t>entraînerait aucune modification pour les offices qui participaient déjà au service de transfert de tax</w:t>
      </w:r>
      <w:r w:rsidR="00C764A0" w:rsidRPr="00B8283E">
        <w:rPr>
          <w:spacing w:val="-4"/>
          <w:lang w:val="fr-FR"/>
        </w:rPr>
        <w:t>es.  Il</w:t>
      </w:r>
      <w:r w:rsidR="00CA7A8A" w:rsidRPr="00B8283E">
        <w:rPr>
          <w:spacing w:val="-4"/>
          <w:lang w:val="fr-FR"/>
        </w:rPr>
        <w:t xml:space="preserve"> comprenait que les offices qui ne participaient actuellement pas au système n</w:t>
      </w:r>
      <w:r w:rsidR="00D0243F" w:rsidRPr="00B8283E">
        <w:rPr>
          <w:spacing w:val="-4"/>
          <w:lang w:val="fr-FR"/>
        </w:rPr>
        <w:t>’</w:t>
      </w:r>
      <w:r w:rsidR="00CA7A8A" w:rsidRPr="00B8283E">
        <w:rPr>
          <w:spacing w:val="-4"/>
          <w:lang w:val="fr-FR"/>
        </w:rPr>
        <w:t>étaient pas opposés au principe d</w:t>
      </w:r>
      <w:r w:rsidR="00D0243F" w:rsidRPr="00B8283E">
        <w:rPr>
          <w:spacing w:val="-4"/>
          <w:lang w:val="fr-FR"/>
        </w:rPr>
        <w:t>’</w:t>
      </w:r>
      <w:r w:rsidR="00CA7A8A" w:rsidRPr="00B8283E">
        <w:rPr>
          <w:spacing w:val="-4"/>
          <w:lang w:val="fr-FR"/>
        </w:rPr>
        <w:t>une participation, mais en étaient empêchés par le fait que, selon les règles, les taxes devaient être transférées à l</w:t>
      </w:r>
      <w:r w:rsidR="00D0243F" w:rsidRPr="00B8283E">
        <w:rPr>
          <w:spacing w:val="-4"/>
          <w:lang w:val="fr-FR"/>
        </w:rPr>
        <w:t>’</w:t>
      </w:r>
      <w:r w:rsidR="00CA7A8A" w:rsidRPr="00B8283E">
        <w:rPr>
          <w:spacing w:val="-4"/>
          <w:lang w:val="fr-FR"/>
        </w:rPr>
        <w:t>office bénéficiaire (en général, l</w:t>
      </w:r>
      <w:r w:rsidR="00D0243F" w:rsidRPr="00B8283E">
        <w:rPr>
          <w:spacing w:val="-4"/>
          <w:lang w:val="fr-FR"/>
        </w:rPr>
        <w:t>’</w:t>
      </w:r>
      <w:r w:rsidR="00CA7A8A" w:rsidRPr="00B8283E">
        <w:rPr>
          <w:spacing w:val="-4"/>
          <w:lang w:val="fr-FR"/>
        </w:rPr>
        <w:t xml:space="preserve">administration chargée de la recherche internationale), et que la </w:t>
      </w:r>
      <w:r w:rsidR="00D0243F" w:rsidRPr="00B8283E">
        <w:rPr>
          <w:spacing w:val="-4"/>
          <w:lang w:val="fr-FR"/>
        </w:rPr>
        <w:t>règle 9</w:t>
      </w:r>
      <w:r w:rsidR="00CA7A8A" w:rsidRPr="00B8283E">
        <w:rPr>
          <w:spacing w:val="-4"/>
          <w:lang w:val="fr-FR"/>
        </w:rPr>
        <w:t>6.2.c) actuelle ne constituait pas une base juridique suffisante pour effectuer un paiement auprès du Bureau internation</w:t>
      </w:r>
      <w:r w:rsidR="00C764A0" w:rsidRPr="00B8283E">
        <w:rPr>
          <w:spacing w:val="-4"/>
          <w:lang w:val="fr-FR"/>
        </w:rPr>
        <w:t>al.  Il</w:t>
      </w:r>
      <w:r w:rsidR="00CA7A8A" w:rsidRPr="00B8283E">
        <w:rPr>
          <w:spacing w:val="-4"/>
          <w:lang w:val="fr-FR"/>
        </w:rPr>
        <w:t xml:space="preserve"> était entendu que l</w:t>
      </w:r>
      <w:r w:rsidR="00D0243F" w:rsidRPr="00B8283E">
        <w:rPr>
          <w:spacing w:val="-4"/>
          <w:lang w:val="fr-FR"/>
        </w:rPr>
        <w:t>’</w:t>
      </w:r>
      <w:r w:rsidR="00CA7A8A" w:rsidRPr="00B8283E">
        <w:rPr>
          <w:spacing w:val="-4"/>
          <w:lang w:val="fr-FR"/>
        </w:rPr>
        <w:t>introduction d</w:t>
      </w:r>
      <w:r w:rsidR="00D0243F" w:rsidRPr="00B8283E">
        <w:rPr>
          <w:spacing w:val="-4"/>
          <w:lang w:val="fr-FR"/>
        </w:rPr>
        <w:t>’</w:t>
      </w:r>
      <w:r w:rsidR="00CA7A8A" w:rsidRPr="00B8283E">
        <w:rPr>
          <w:spacing w:val="-4"/>
          <w:lang w:val="fr-FR"/>
        </w:rPr>
        <w:t>une disposition expresse, dans le règlement d</w:t>
      </w:r>
      <w:r w:rsidR="00D0243F" w:rsidRPr="00B8283E">
        <w:rPr>
          <w:spacing w:val="-4"/>
          <w:lang w:val="fr-FR"/>
        </w:rPr>
        <w:t>’</w:t>
      </w:r>
      <w:r w:rsidR="00CA7A8A" w:rsidRPr="00B8283E">
        <w:rPr>
          <w:spacing w:val="-4"/>
          <w:lang w:val="fr-FR"/>
        </w:rPr>
        <w:t>exécution, selon laquelle les taxes devaient être transférées au Bureau international devrait venir à bout de cette difficulté</w:t>
      </w:r>
      <w:r w:rsidR="00D0243F" w:rsidRPr="00B8283E">
        <w:rPr>
          <w:spacing w:val="-4"/>
          <w:lang w:val="fr-FR"/>
        </w:rPr>
        <w:t>.”</w:t>
      </w:r>
    </w:p>
    <w:p w:rsidR="00CA7A8A" w:rsidRPr="00B33B43" w:rsidRDefault="00CA7A8A" w:rsidP="00B4541C">
      <w:pPr>
        <w:pStyle w:val="ONUMFS"/>
        <w:rPr>
          <w:lang w:val="fr-FR"/>
        </w:rPr>
      </w:pPr>
      <w:bookmarkStart w:id="6" w:name="_Ref124328011"/>
      <w:r w:rsidRPr="00B33B43">
        <w:rPr>
          <w:lang w:val="fr-FR"/>
        </w:rPr>
        <w:t>Le Bureau international suggère de répondre à ces préoccupations en prévoyant la possibilité de variations dans des cas exceptionne</w:t>
      </w:r>
      <w:r w:rsidR="00C764A0" w:rsidRPr="00B33B43">
        <w:rPr>
          <w:lang w:val="fr-FR"/>
        </w:rPr>
        <w:t>ls.  Le</w:t>
      </w:r>
      <w:r w:rsidRPr="00B33B43">
        <w:rPr>
          <w:lang w:val="fr-FR"/>
        </w:rPr>
        <w:t xml:space="preserve"> projet de </w:t>
      </w:r>
      <w:r w:rsidR="00D0243F" w:rsidRPr="00B33B43">
        <w:rPr>
          <w:lang w:val="fr-FR"/>
        </w:rPr>
        <w:t>règle 9</w:t>
      </w:r>
      <w:r w:rsidRPr="00B33B43">
        <w:rPr>
          <w:lang w:val="fr-FR"/>
        </w:rPr>
        <w:t>6.2.c) prévoit donc la possibilité de conclure des accords entre un office percepteur et le Bureau international pour s</w:t>
      </w:r>
      <w:r w:rsidR="00D0243F" w:rsidRPr="00B33B43">
        <w:rPr>
          <w:lang w:val="fr-FR"/>
        </w:rPr>
        <w:t>’</w:t>
      </w:r>
      <w:r w:rsidRPr="00B33B43">
        <w:rPr>
          <w:lang w:val="fr-FR"/>
        </w:rPr>
        <w:t>écarter des procédures normal</w:t>
      </w:r>
      <w:r w:rsidR="00C764A0" w:rsidRPr="00B33B43">
        <w:rPr>
          <w:lang w:val="fr-FR"/>
        </w:rPr>
        <w:t>es.  Ce</w:t>
      </w:r>
      <w:r w:rsidRPr="00B33B43">
        <w:rPr>
          <w:lang w:val="fr-FR"/>
        </w:rPr>
        <w:t>s accords pourraient couvrir des circonstances exceptionnelles, par exemple lorsque l</w:t>
      </w:r>
      <w:r w:rsidR="00D0243F" w:rsidRPr="00B33B43">
        <w:rPr>
          <w:lang w:val="fr-FR"/>
        </w:rPr>
        <w:t>’</w:t>
      </w:r>
      <w:r w:rsidRPr="00B33B43">
        <w:rPr>
          <w:lang w:val="fr-FR"/>
        </w:rPr>
        <w:t>utilisation du service devient impossible pour un office mais qu</w:t>
      </w:r>
      <w:r w:rsidR="00D0243F" w:rsidRPr="00B33B43">
        <w:rPr>
          <w:lang w:val="fr-FR"/>
        </w:rPr>
        <w:t>’</w:t>
      </w:r>
      <w:r w:rsidRPr="00B33B43">
        <w:rPr>
          <w:lang w:val="fr-FR"/>
        </w:rPr>
        <w:t>une autre solution est possible, ou des situations inhabituelles telles que la désignation provisoire d</w:t>
      </w:r>
      <w:r w:rsidR="00D0243F" w:rsidRPr="00B33B43">
        <w:rPr>
          <w:lang w:val="fr-FR"/>
        </w:rPr>
        <w:t>’</w:t>
      </w:r>
      <w:r w:rsidRPr="00B33B43">
        <w:rPr>
          <w:lang w:val="fr-FR"/>
        </w:rPr>
        <w:t>une administration chargée de la recherche internationale par un office récepteur à titre d</w:t>
      </w:r>
      <w:r w:rsidR="00D0243F" w:rsidRPr="00B33B43">
        <w:rPr>
          <w:lang w:val="fr-FR"/>
        </w:rPr>
        <w:t>’</w:t>
      </w:r>
      <w:r w:rsidRPr="00B33B43">
        <w:rPr>
          <w:lang w:val="fr-FR"/>
        </w:rPr>
        <w:t>ess</w:t>
      </w:r>
      <w:r w:rsidR="00C764A0" w:rsidRPr="00B33B43">
        <w:rPr>
          <w:lang w:val="fr-FR"/>
        </w:rPr>
        <w:t>ai.  To</w:t>
      </w:r>
      <w:r w:rsidRPr="00B33B43">
        <w:rPr>
          <w:lang w:val="fr-FR"/>
        </w:rPr>
        <w:t>ut accord de ce type serait conclu en consultation avec l</w:t>
      </w:r>
      <w:r w:rsidR="00D0243F" w:rsidRPr="00B33B43">
        <w:rPr>
          <w:lang w:val="fr-FR"/>
        </w:rPr>
        <w:t>’</w:t>
      </w:r>
      <w:r w:rsidRPr="00B33B43">
        <w:rPr>
          <w:lang w:val="fr-FR"/>
        </w:rPr>
        <w:t>office bénéficiaire concerné et tiendrait compte de questions telles que celles couvertes par l</w:t>
      </w:r>
      <w:r w:rsidR="00D0243F" w:rsidRPr="00B33B43">
        <w:rPr>
          <w:lang w:val="fr-FR"/>
        </w:rPr>
        <w:t>’</w:t>
      </w:r>
      <w:r w:rsidRPr="00B33B43">
        <w:rPr>
          <w:lang w:val="fr-FR"/>
        </w:rPr>
        <w:t xml:space="preserve">actuelle </w:t>
      </w:r>
      <w:r w:rsidR="00D0243F" w:rsidRPr="00B33B43">
        <w:rPr>
          <w:lang w:val="fr-FR"/>
        </w:rPr>
        <w:t>règle 1</w:t>
      </w:r>
      <w:r w:rsidRPr="00B33B43">
        <w:rPr>
          <w:lang w:val="fr-FR"/>
        </w:rPr>
        <w:t>6.1.e) (pour que l</w:t>
      </w:r>
      <w:r w:rsidR="00D0243F" w:rsidRPr="00B33B43">
        <w:rPr>
          <w:lang w:val="fr-FR"/>
        </w:rPr>
        <w:t>’</w:t>
      </w:r>
      <w:r w:rsidRPr="00B33B43">
        <w:rPr>
          <w:lang w:val="fr-FR"/>
        </w:rPr>
        <w:t>administration chargée de la recherche internationale reçoive la valeur totale de la taxe en fonction de la monnaie fixée).</w:t>
      </w:r>
      <w:bookmarkEnd w:id="6"/>
    </w:p>
    <w:p w:rsidR="00CA7A8A" w:rsidRPr="00B33B43" w:rsidRDefault="00CA7A8A" w:rsidP="00B8283E">
      <w:pPr>
        <w:pStyle w:val="Heading1"/>
        <w:rPr>
          <w:lang w:val="fr-FR"/>
        </w:rPr>
      </w:pPr>
      <w:r w:rsidRPr="00B33B43">
        <w:rPr>
          <w:lang w:val="fr-FR"/>
        </w:rPr>
        <w:t>Paiement centralisé</w:t>
      </w:r>
    </w:p>
    <w:p w:rsidR="00CA7A8A" w:rsidRPr="00B33B43" w:rsidRDefault="00CA7A8A" w:rsidP="00B4541C">
      <w:pPr>
        <w:pStyle w:val="ONUMFS"/>
        <w:rPr>
          <w:lang w:val="fr-FR"/>
        </w:rPr>
      </w:pPr>
      <w:r w:rsidRPr="00B33B43">
        <w:rPr>
          <w:lang w:val="fr-FR"/>
        </w:rPr>
        <w:t>Le document PCT/WG/15/17 contenait également un projet de modification du règlement d</w:t>
      </w:r>
      <w:r w:rsidR="00D0243F" w:rsidRPr="00B33B43">
        <w:rPr>
          <w:lang w:val="fr-FR"/>
        </w:rPr>
        <w:t>’</w:t>
      </w:r>
      <w:r w:rsidRPr="00B33B43">
        <w:rPr>
          <w:lang w:val="fr-FR"/>
        </w:rPr>
        <w:t>exécution</w:t>
      </w:r>
      <w:r w:rsidR="00D0243F" w:rsidRPr="00B33B43">
        <w:rPr>
          <w:lang w:val="fr-FR"/>
        </w:rPr>
        <w:t xml:space="preserve"> du PCT</w:t>
      </w:r>
      <w:r w:rsidRPr="00B33B43">
        <w:rPr>
          <w:lang w:val="fr-FR"/>
        </w:rPr>
        <w:t xml:space="preserve"> indiquant comment un système de paiement centralisé pourrait être mis en œuv</w:t>
      </w:r>
      <w:r w:rsidR="00C764A0" w:rsidRPr="00B33B43">
        <w:rPr>
          <w:lang w:val="fr-FR"/>
        </w:rPr>
        <w:t>re.  Ce</w:t>
      </w:r>
      <w:r w:rsidRPr="00B33B43">
        <w:rPr>
          <w:lang w:val="fr-FR"/>
        </w:rPr>
        <w:t>tte question, actuellement à l</w:t>
      </w:r>
      <w:r w:rsidR="00D0243F" w:rsidRPr="00B33B43">
        <w:rPr>
          <w:lang w:val="fr-FR"/>
        </w:rPr>
        <w:t>’</w:t>
      </w:r>
      <w:r w:rsidRPr="00B33B43">
        <w:rPr>
          <w:lang w:val="fr-FR"/>
        </w:rPr>
        <w:t>étude, fera l</w:t>
      </w:r>
      <w:r w:rsidR="00D0243F" w:rsidRPr="00B33B43">
        <w:rPr>
          <w:lang w:val="fr-FR"/>
        </w:rPr>
        <w:t>’</w:t>
      </w:r>
      <w:r w:rsidRPr="00B33B43">
        <w:rPr>
          <w:lang w:val="fr-FR"/>
        </w:rPr>
        <w:t>objet de propositions plus détaillées et de projets pilotes à petite échel</w:t>
      </w:r>
      <w:r w:rsidR="00C764A0" w:rsidRPr="00B33B43">
        <w:rPr>
          <w:lang w:val="fr-FR"/>
        </w:rPr>
        <w:t>le.  Le</w:t>
      </w:r>
      <w:r w:rsidRPr="00B33B43">
        <w:rPr>
          <w:lang w:val="fr-FR"/>
        </w:rPr>
        <w:t>s résultats et d</w:t>
      </w:r>
      <w:r w:rsidR="00D0243F" w:rsidRPr="00B33B43">
        <w:rPr>
          <w:lang w:val="fr-FR"/>
        </w:rPr>
        <w:t>’</w:t>
      </w:r>
      <w:r w:rsidRPr="00B33B43">
        <w:rPr>
          <w:lang w:val="fr-FR"/>
        </w:rPr>
        <w:t>éventuelles propositions concrètes seront présentés au groupe de travail lors d</w:t>
      </w:r>
      <w:r w:rsidR="00D0243F" w:rsidRPr="00B33B43">
        <w:rPr>
          <w:lang w:val="fr-FR"/>
        </w:rPr>
        <w:t>’</w:t>
      </w:r>
      <w:r w:rsidRPr="00B33B43">
        <w:rPr>
          <w:lang w:val="fr-FR"/>
        </w:rPr>
        <w:t>une session ultérieure.</w:t>
      </w:r>
    </w:p>
    <w:p w:rsidR="00CA7A8A" w:rsidRPr="00B8283E" w:rsidRDefault="00CA7A8A" w:rsidP="00B8283E">
      <w:pPr>
        <w:pStyle w:val="ONUMFS"/>
        <w:ind w:left="5533"/>
        <w:rPr>
          <w:i/>
        </w:rPr>
      </w:pPr>
      <w:r w:rsidRPr="00B8283E">
        <w:rPr>
          <w:i/>
        </w:rPr>
        <w:t>Le groupe de travail est invité à examiner les propositions énoncées dans l</w:t>
      </w:r>
      <w:r w:rsidR="00D0243F" w:rsidRPr="00B8283E">
        <w:rPr>
          <w:i/>
        </w:rPr>
        <w:t>’</w:t>
      </w:r>
      <w:r w:rsidRPr="00B8283E">
        <w:rPr>
          <w:i/>
        </w:rPr>
        <w:t>annexe du présent document.</w:t>
      </w:r>
    </w:p>
    <w:p w:rsidR="00CA7A8A" w:rsidRPr="00B33B43" w:rsidRDefault="00CA7A8A" w:rsidP="00B8283E">
      <w:pPr>
        <w:pStyle w:val="Endofdocument-Annex"/>
        <w:spacing w:before="600"/>
        <w:sectPr w:rsidR="00CA7A8A" w:rsidRPr="00B33B43" w:rsidSect="00900E7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B33B43">
        <w:t>[L</w:t>
      </w:r>
      <w:r w:rsidR="00D0243F" w:rsidRPr="00B33B43">
        <w:t>’</w:t>
      </w:r>
      <w:r w:rsidRPr="00B33B43">
        <w:t>annexe suit]</w:t>
      </w:r>
    </w:p>
    <w:p w:rsidR="00CA7A8A" w:rsidRPr="00B33B43" w:rsidRDefault="00CA7A8A" w:rsidP="00CA7A8A">
      <w:pPr>
        <w:pStyle w:val="ONUME"/>
        <w:numPr>
          <w:ilvl w:val="0"/>
          <w:numId w:val="0"/>
        </w:numPr>
        <w:jc w:val="center"/>
        <w:rPr>
          <w:caps/>
          <w:lang w:val="fr-FR"/>
        </w:rPr>
      </w:pPr>
      <w:r w:rsidRPr="00B33B43">
        <w:rPr>
          <w:caps/>
          <w:lang w:val="fr-FR"/>
        </w:rPr>
        <w:lastRenderedPageBreak/>
        <w:t>Propositions de modification du règlement d</w:t>
      </w:r>
      <w:r w:rsidR="00D0243F" w:rsidRPr="00B33B43">
        <w:rPr>
          <w:caps/>
          <w:lang w:val="fr-FR"/>
        </w:rPr>
        <w:t>’</w:t>
      </w:r>
      <w:r w:rsidRPr="00B33B43">
        <w:rPr>
          <w:caps/>
          <w:lang w:val="fr-FR"/>
        </w:rPr>
        <w:t>exécution</w:t>
      </w:r>
      <w:r w:rsidR="00D0243F" w:rsidRPr="00B33B43">
        <w:rPr>
          <w:caps/>
          <w:lang w:val="fr-FR"/>
        </w:rPr>
        <w:t xml:space="preserve"> du PCT</w:t>
      </w:r>
      <w:r w:rsidRPr="00B33B43">
        <w:rPr>
          <w:caps/>
          <w:lang w:val="fr-FR"/>
        </w:rPr>
        <w:t xml:space="preserve"> </w:t>
      </w:r>
      <w:r w:rsidRPr="00B33B43">
        <w:rPr>
          <w:caps/>
          <w:lang w:val="fr-FR"/>
        </w:rPr>
        <w:br/>
        <w:t>concernant l</w:t>
      </w:r>
      <w:r w:rsidR="00D0243F" w:rsidRPr="00B33B43">
        <w:rPr>
          <w:caps/>
          <w:lang w:val="fr-FR"/>
        </w:rPr>
        <w:t>’</w:t>
      </w:r>
      <w:r w:rsidRPr="00B33B43">
        <w:rPr>
          <w:caps/>
          <w:lang w:val="fr-FR"/>
        </w:rPr>
        <w:t>utilisation obligatoire du Service de transfert de taxes de l</w:t>
      </w:r>
      <w:r w:rsidR="00D0243F" w:rsidRPr="00B33B43">
        <w:rPr>
          <w:caps/>
          <w:lang w:val="fr-FR"/>
        </w:rPr>
        <w:t>’</w:t>
      </w:r>
      <w:r w:rsidRPr="00B33B43">
        <w:rPr>
          <w:caps/>
          <w:lang w:val="fr-FR"/>
        </w:rPr>
        <w:t>OMPI</w:t>
      </w:r>
      <w:r w:rsidRPr="00B33B43">
        <w:rPr>
          <w:rStyle w:val="FootnoteReference"/>
          <w:caps/>
          <w:lang w:val="fr-FR"/>
        </w:rPr>
        <w:footnoteReference w:id="3"/>
      </w:r>
    </w:p>
    <w:p w:rsidR="00CA7A8A" w:rsidRPr="00B33B43" w:rsidRDefault="00CA7A8A" w:rsidP="00CA7A8A">
      <w:pPr>
        <w:pStyle w:val="ONUME"/>
        <w:numPr>
          <w:ilvl w:val="0"/>
          <w:numId w:val="0"/>
        </w:numPr>
        <w:jc w:val="center"/>
        <w:rPr>
          <w:caps/>
          <w:lang w:val="fr-FR"/>
        </w:rPr>
      </w:pPr>
    </w:p>
    <w:p w:rsidR="00CA7A8A" w:rsidRPr="00B33B43" w:rsidRDefault="00CA7A8A" w:rsidP="00CA7A8A">
      <w:pPr>
        <w:pStyle w:val="ONUME"/>
        <w:numPr>
          <w:ilvl w:val="0"/>
          <w:numId w:val="0"/>
        </w:numPr>
        <w:jc w:val="center"/>
        <w:rPr>
          <w:caps/>
          <w:lang w:val="fr-FR"/>
        </w:rPr>
      </w:pPr>
      <w:r w:rsidRPr="00B33B43">
        <w:rPr>
          <w:caps/>
          <w:lang w:val="fr-FR"/>
        </w:rPr>
        <w:t>Table des matières</w:t>
      </w:r>
    </w:p>
    <w:p w:rsidR="00CA7A8A" w:rsidRPr="00B33B43" w:rsidRDefault="00CA7A8A" w:rsidP="00CA7A8A">
      <w:pPr>
        <w:pStyle w:val="ONUME"/>
        <w:numPr>
          <w:ilvl w:val="0"/>
          <w:numId w:val="0"/>
        </w:numPr>
        <w:jc w:val="center"/>
        <w:rPr>
          <w:caps/>
          <w:lang w:val="fr-FR"/>
        </w:rPr>
      </w:pPr>
    </w:p>
    <w:p w:rsidR="0057601F" w:rsidRPr="0048376D" w:rsidRDefault="0057601F">
      <w:pPr>
        <w:pStyle w:val="TOC1"/>
        <w:tabs>
          <w:tab w:val="right" w:leader="dot" w:pos="9345"/>
        </w:tabs>
        <w:rPr>
          <w:rFonts w:asciiTheme="minorHAnsi" w:eastAsiaTheme="minorEastAsia" w:hAnsiTheme="minorHAnsi" w:cstheme="minorBidi"/>
          <w:noProof/>
          <w:szCs w:val="22"/>
          <w:lang w:val="fr-CH" w:eastAsia="en-US"/>
        </w:rPr>
      </w:pPr>
      <w:r>
        <w:rPr>
          <w:caps/>
        </w:rPr>
        <w:fldChar w:fldCharType="begin"/>
      </w:r>
      <w:r>
        <w:rPr>
          <w:caps/>
        </w:rPr>
        <w:instrText xml:space="preserve"> TOC \t "Leg # Title;1;Leg SubRule #;2" </w:instrText>
      </w:r>
      <w:r>
        <w:rPr>
          <w:caps/>
        </w:rPr>
        <w:fldChar w:fldCharType="separate"/>
      </w:r>
      <w:r>
        <w:rPr>
          <w:noProof/>
        </w:rPr>
        <w:t>Règle 16 –  Taxe de recherche</w:t>
      </w:r>
      <w:r>
        <w:rPr>
          <w:noProof/>
        </w:rPr>
        <w:tab/>
      </w:r>
      <w:r>
        <w:rPr>
          <w:noProof/>
        </w:rPr>
        <w:fldChar w:fldCharType="begin"/>
      </w:r>
      <w:r>
        <w:rPr>
          <w:noProof/>
        </w:rPr>
        <w:instrText xml:space="preserve"> PAGEREF _Toc124949231 \h </w:instrText>
      </w:r>
      <w:r>
        <w:rPr>
          <w:noProof/>
        </w:rPr>
      </w:r>
      <w:r>
        <w:rPr>
          <w:noProof/>
        </w:rPr>
        <w:fldChar w:fldCharType="separate"/>
      </w:r>
      <w:r w:rsidR="00900E72">
        <w:rPr>
          <w:noProof/>
        </w:rPr>
        <w:t>2</w:t>
      </w:r>
      <w:r>
        <w:rPr>
          <w:noProof/>
        </w:rPr>
        <w:fldChar w:fldCharType="end"/>
      </w:r>
    </w:p>
    <w:p w:rsidR="0057601F" w:rsidRPr="0048376D" w:rsidRDefault="0057601F">
      <w:pPr>
        <w:pStyle w:val="TOC2"/>
        <w:tabs>
          <w:tab w:val="right" w:leader="dot" w:pos="9345"/>
        </w:tabs>
        <w:rPr>
          <w:rFonts w:asciiTheme="minorHAnsi" w:eastAsiaTheme="minorEastAsia" w:hAnsiTheme="minorHAnsi" w:cstheme="minorBidi"/>
          <w:noProof/>
          <w:szCs w:val="22"/>
          <w:lang w:val="fr-CH" w:eastAsia="en-US"/>
        </w:rPr>
      </w:pPr>
      <w:r>
        <w:rPr>
          <w:noProof/>
        </w:rPr>
        <w:t>16.1   </w:t>
      </w:r>
      <w:r w:rsidRPr="00C75F92">
        <w:rPr>
          <w:i/>
          <w:iCs/>
          <w:noProof/>
        </w:rPr>
        <w:t>Droit de demander une taxe</w:t>
      </w:r>
      <w:r>
        <w:rPr>
          <w:noProof/>
        </w:rPr>
        <w:tab/>
      </w:r>
      <w:r>
        <w:rPr>
          <w:noProof/>
        </w:rPr>
        <w:fldChar w:fldCharType="begin"/>
      </w:r>
      <w:r>
        <w:rPr>
          <w:noProof/>
        </w:rPr>
        <w:instrText xml:space="preserve"> PAGEREF _Toc124949232 \h </w:instrText>
      </w:r>
      <w:r>
        <w:rPr>
          <w:noProof/>
        </w:rPr>
      </w:r>
      <w:r>
        <w:rPr>
          <w:noProof/>
        </w:rPr>
        <w:fldChar w:fldCharType="separate"/>
      </w:r>
      <w:r w:rsidR="00900E72">
        <w:rPr>
          <w:noProof/>
        </w:rPr>
        <w:t>2</w:t>
      </w:r>
      <w:r>
        <w:rPr>
          <w:noProof/>
        </w:rPr>
        <w:fldChar w:fldCharType="end"/>
      </w:r>
    </w:p>
    <w:p w:rsidR="0057601F" w:rsidRPr="0048376D" w:rsidRDefault="0057601F">
      <w:pPr>
        <w:pStyle w:val="TOC2"/>
        <w:tabs>
          <w:tab w:val="right" w:leader="dot" w:pos="9345"/>
        </w:tabs>
        <w:rPr>
          <w:rFonts w:asciiTheme="minorHAnsi" w:eastAsiaTheme="minorEastAsia" w:hAnsiTheme="minorHAnsi" w:cstheme="minorBidi"/>
          <w:noProof/>
          <w:szCs w:val="22"/>
          <w:lang w:val="fr-CH" w:eastAsia="en-US"/>
        </w:rPr>
      </w:pPr>
      <w:r>
        <w:rPr>
          <w:noProof/>
        </w:rPr>
        <w:t>16.2 et 16.3   </w:t>
      </w:r>
      <w:r w:rsidRPr="00C75F92">
        <w:rPr>
          <w:i/>
          <w:iCs/>
          <w:noProof/>
        </w:rPr>
        <w:t>[Sans changement]</w:t>
      </w:r>
      <w:r>
        <w:rPr>
          <w:noProof/>
        </w:rPr>
        <w:tab/>
      </w:r>
      <w:r>
        <w:rPr>
          <w:noProof/>
        </w:rPr>
        <w:fldChar w:fldCharType="begin"/>
      </w:r>
      <w:r>
        <w:rPr>
          <w:noProof/>
        </w:rPr>
        <w:instrText xml:space="preserve"> PAGEREF _Toc124949233 \h </w:instrText>
      </w:r>
      <w:r>
        <w:rPr>
          <w:noProof/>
        </w:rPr>
      </w:r>
      <w:r>
        <w:rPr>
          <w:noProof/>
        </w:rPr>
        <w:fldChar w:fldCharType="separate"/>
      </w:r>
      <w:r w:rsidR="00900E72">
        <w:rPr>
          <w:noProof/>
        </w:rPr>
        <w:t>2</w:t>
      </w:r>
      <w:r>
        <w:rPr>
          <w:noProof/>
        </w:rPr>
        <w:fldChar w:fldCharType="end"/>
      </w:r>
    </w:p>
    <w:p w:rsidR="0057601F" w:rsidRPr="0048376D" w:rsidRDefault="0057601F">
      <w:pPr>
        <w:pStyle w:val="TOC1"/>
        <w:tabs>
          <w:tab w:val="right" w:leader="dot" w:pos="9345"/>
        </w:tabs>
        <w:rPr>
          <w:rFonts w:asciiTheme="minorHAnsi" w:eastAsiaTheme="minorEastAsia" w:hAnsiTheme="minorHAnsi" w:cstheme="minorBidi"/>
          <w:noProof/>
          <w:szCs w:val="22"/>
          <w:lang w:val="fr-CH" w:eastAsia="en-US"/>
        </w:rPr>
      </w:pPr>
      <w:r>
        <w:rPr>
          <w:noProof/>
        </w:rPr>
        <w:t>Règle 45</w:t>
      </w:r>
      <w:r w:rsidRPr="00C75F92">
        <w:rPr>
          <w:i/>
          <w:noProof/>
        </w:rPr>
        <w:t xml:space="preserve">bis – </w:t>
      </w:r>
      <w:r>
        <w:rPr>
          <w:noProof/>
        </w:rPr>
        <w:t xml:space="preserve"> Recherches internationales supplémentaires</w:t>
      </w:r>
      <w:r>
        <w:rPr>
          <w:noProof/>
        </w:rPr>
        <w:tab/>
      </w:r>
      <w:r>
        <w:rPr>
          <w:noProof/>
        </w:rPr>
        <w:fldChar w:fldCharType="begin"/>
      </w:r>
      <w:r>
        <w:rPr>
          <w:noProof/>
        </w:rPr>
        <w:instrText xml:space="preserve"> PAGEREF _Toc124949234 \h </w:instrText>
      </w:r>
      <w:r>
        <w:rPr>
          <w:noProof/>
        </w:rPr>
      </w:r>
      <w:r>
        <w:rPr>
          <w:noProof/>
        </w:rPr>
        <w:fldChar w:fldCharType="separate"/>
      </w:r>
      <w:r w:rsidR="00900E72">
        <w:rPr>
          <w:noProof/>
        </w:rPr>
        <w:t>3</w:t>
      </w:r>
      <w:r>
        <w:rPr>
          <w:noProof/>
        </w:rPr>
        <w:fldChar w:fldCharType="end"/>
      </w:r>
    </w:p>
    <w:p w:rsidR="0057601F" w:rsidRPr="0048376D" w:rsidRDefault="0057601F">
      <w:pPr>
        <w:pStyle w:val="TOC2"/>
        <w:tabs>
          <w:tab w:val="right" w:leader="dot" w:pos="9345"/>
        </w:tabs>
        <w:rPr>
          <w:rFonts w:asciiTheme="minorHAnsi" w:eastAsiaTheme="minorEastAsia" w:hAnsiTheme="minorHAnsi" w:cstheme="minorBidi"/>
          <w:noProof/>
          <w:szCs w:val="22"/>
          <w:lang w:val="fr-CH" w:eastAsia="en-US"/>
        </w:rPr>
      </w:pPr>
      <w:r>
        <w:rPr>
          <w:noProof/>
        </w:rPr>
        <w:t>45</w:t>
      </w:r>
      <w:r w:rsidRPr="00C75F92">
        <w:rPr>
          <w:i/>
          <w:iCs/>
          <w:noProof/>
        </w:rPr>
        <w:t>bis</w:t>
      </w:r>
      <w:r>
        <w:rPr>
          <w:noProof/>
        </w:rPr>
        <w:t>.1 et 2   </w:t>
      </w:r>
      <w:r w:rsidRPr="00C75F92">
        <w:rPr>
          <w:i/>
          <w:iCs/>
          <w:noProof/>
        </w:rPr>
        <w:t>[Sans changement]</w:t>
      </w:r>
      <w:r>
        <w:rPr>
          <w:noProof/>
        </w:rPr>
        <w:tab/>
      </w:r>
      <w:r>
        <w:rPr>
          <w:noProof/>
        </w:rPr>
        <w:fldChar w:fldCharType="begin"/>
      </w:r>
      <w:r>
        <w:rPr>
          <w:noProof/>
        </w:rPr>
        <w:instrText xml:space="preserve"> PAGEREF _Toc124949235 \h </w:instrText>
      </w:r>
      <w:r>
        <w:rPr>
          <w:noProof/>
        </w:rPr>
      </w:r>
      <w:r>
        <w:rPr>
          <w:noProof/>
        </w:rPr>
        <w:fldChar w:fldCharType="separate"/>
      </w:r>
      <w:r w:rsidR="00900E72">
        <w:rPr>
          <w:noProof/>
        </w:rPr>
        <w:t>3</w:t>
      </w:r>
      <w:r>
        <w:rPr>
          <w:noProof/>
        </w:rPr>
        <w:fldChar w:fldCharType="end"/>
      </w:r>
    </w:p>
    <w:p w:rsidR="0057601F" w:rsidRPr="0048376D" w:rsidRDefault="0057601F">
      <w:pPr>
        <w:pStyle w:val="TOC2"/>
        <w:tabs>
          <w:tab w:val="right" w:leader="dot" w:pos="9345"/>
        </w:tabs>
        <w:rPr>
          <w:rFonts w:asciiTheme="minorHAnsi" w:eastAsiaTheme="minorEastAsia" w:hAnsiTheme="minorHAnsi" w:cstheme="minorBidi"/>
          <w:noProof/>
          <w:szCs w:val="22"/>
          <w:lang w:val="fr-CH" w:eastAsia="en-US"/>
        </w:rPr>
      </w:pPr>
      <w:r>
        <w:rPr>
          <w:noProof/>
        </w:rPr>
        <w:t>45</w:t>
      </w:r>
      <w:r w:rsidRPr="00C75F92">
        <w:rPr>
          <w:i/>
          <w:noProof/>
        </w:rPr>
        <w:t>bis</w:t>
      </w:r>
      <w:r>
        <w:rPr>
          <w:noProof/>
        </w:rPr>
        <w:t>.3   </w:t>
      </w:r>
      <w:r w:rsidRPr="00C75F92">
        <w:rPr>
          <w:i/>
          <w:noProof/>
        </w:rPr>
        <w:t>Taxe de recherche supplémentaire</w:t>
      </w:r>
      <w:r>
        <w:rPr>
          <w:noProof/>
        </w:rPr>
        <w:tab/>
      </w:r>
      <w:r>
        <w:rPr>
          <w:noProof/>
        </w:rPr>
        <w:fldChar w:fldCharType="begin"/>
      </w:r>
      <w:r>
        <w:rPr>
          <w:noProof/>
        </w:rPr>
        <w:instrText xml:space="preserve"> PAGEREF _Toc124949236 \h </w:instrText>
      </w:r>
      <w:r>
        <w:rPr>
          <w:noProof/>
        </w:rPr>
      </w:r>
      <w:r>
        <w:rPr>
          <w:noProof/>
        </w:rPr>
        <w:fldChar w:fldCharType="separate"/>
      </w:r>
      <w:r w:rsidR="00900E72">
        <w:rPr>
          <w:noProof/>
        </w:rPr>
        <w:t>3</w:t>
      </w:r>
      <w:r>
        <w:rPr>
          <w:noProof/>
        </w:rPr>
        <w:fldChar w:fldCharType="end"/>
      </w:r>
    </w:p>
    <w:p w:rsidR="0057601F" w:rsidRPr="0048376D" w:rsidRDefault="0057601F">
      <w:pPr>
        <w:pStyle w:val="TOC2"/>
        <w:tabs>
          <w:tab w:val="right" w:leader="dot" w:pos="9345"/>
        </w:tabs>
        <w:rPr>
          <w:rFonts w:asciiTheme="minorHAnsi" w:eastAsiaTheme="minorEastAsia" w:hAnsiTheme="minorHAnsi" w:cstheme="minorBidi"/>
          <w:noProof/>
          <w:szCs w:val="22"/>
          <w:lang w:val="fr-CH" w:eastAsia="en-US"/>
        </w:rPr>
      </w:pPr>
      <w:r>
        <w:rPr>
          <w:noProof/>
        </w:rPr>
        <w:t>45</w:t>
      </w:r>
      <w:r w:rsidRPr="00C75F92">
        <w:rPr>
          <w:i/>
          <w:iCs/>
          <w:noProof/>
        </w:rPr>
        <w:t>bis</w:t>
      </w:r>
      <w:r>
        <w:rPr>
          <w:noProof/>
        </w:rPr>
        <w:t>.4 à 9   </w:t>
      </w:r>
      <w:r w:rsidRPr="00C75F92">
        <w:rPr>
          <w:i/>
          <w:iCs/>
          <w:noProof/>
        </w:rPr>
        <w:t>[Sans changement]</w:t>
      </w:r>
      <w:r>
        <w:rPr>
          <w:noProof/>
        </w:rPr>
        <w:tab/>
      </w:r>
      <w:r>
        <w:rPr>
          <w:noProof/>
        </w:rPr>
        <w:fldChar w:fldCharType="begin"/>
      </w:r>
      <w:r>
        <w:rPr>
          <w:noProof/>
        </w:rPr>
        <w:instrText xml:space="preserve"> PAGEREF _Toc124949237 \h </w:instrText>
      </w:r>
      <w:r>
        <w:rPr>
          <w:noProof/>
        </w:rPr>
      </w:r>
      <w:r>
        <w:rPr>
          <w:noProof/>
        </w:rPr>
        <w:fldChar w:fldCharType="separate"/>
      </w:r>
      <w:r w:rsidR="00900E72">
        <w:rPr>
          <w:noProof/>
        </w:rPr>
        <w:t>3</w:t>
      </w:r>
      <w:r>
        <w:rPr>
          <w:noProof/>
        </w:rPr>
        <w:fldChar w:fldCharType="end"/>
      </w:r>
    </w:p>
    <w:p w:rsidR="0057601F" w:rsidRPr="0048376D" w:rsidRDefault="0057601F">
      <w:pPr>
        <w:pStyle w:val="TOC1"/>
        <w:tabs>
          <w:tab w:val="right" w:leader="dot" w:pos="9345"/>
        </w:tabs>
        <w:rPr>
          <w:rFonts w:asciiTheme="minorHAnsi" w:eastAsiaTheme="minorEastAsia" w:hAnsiTheme="minorHAnsi" w:cstheme="minorBidi"/>
          <w:noProof/>
          <w:szCs w:val="22"/>
          <w:lang w:val="fr-CH" w:eastAsia="en-US"/>
        </w:rPr>
      </w:pPr>
      <w:r>
        <w:rPr>
          <w:noProof/>
        </w:rPr>
        <w:t>Règle 96 –  Barème de taxes;  perception et transfert de taxes</w:t>
      </w:r>
      <w:r>
        <w:rPr>
          <w:noProof/>
        </w:rPr>
        <w:tab/>
      </w:r>
      <w:r>
        <w:rPr>
          <w:noProof/>
        </w:rPr>
        <w:fldChar w:fldCharType="begin"/>
      </w:r>
      <w:r>
        <w:rPr>
          <w:noProof/>
        </w:rPr>
        <w:instrText xml:space="preserve"> PAGEREF _Toc124949238 \h </w:instrText>
      </w:r>
      <w:r>
        <w:rPr>
          <w:noProof/>
        </w:rPr>
      </w:r>
      <w:r>
        <w:rPr>
          <w:noProof/>
        </w:rPr>
        <w:fldChar w:fldCharType="separate"/>
      </w:r>
      <w:r w:rsidR="00900E72">
        <w:rPr>
          <w:noProof/>
        </w:rPr>
        <w:t>4</w:t>
      </w:r>
      <w:r>
        <w:rPr>
          <w:noProof/>
        </w:rPr>
        <w:fldChar w:fldCharType="end"/>
      </w:r>
    </w:p>
    <w:p w:rsidR="0057601F" w:rsidRPr="0048376D" w:rsidRDefault="0057601F">
      <w:pPr>
        <w:pStyle w:val="TOC2"/>
        <w:tabs>
          <w:tab w:val="right" w:leader="dot" w:pos="9345"/>
        </w:tabs>
        <w:rPr>
          <w:rFonts w:asciiTheme="minorHAnsi" w:eastAsiaTheme="minorEastAsia" w:hAnsiTheme="minorHAnsi" w:cstheme="minorBidi"/>
          <w:noProof/>
          <w:szCs w:val="22"/>
          <w:lang w:val="fr-CH" w:eastAsia="en-US"/>
        </w:rPr>
      </w:pPr>
      <w:r>
        <w:rPr>
          <w:noProof/>
        </w:rPr>
        <w:t>96.1   </w:t>
      </w:r>
      <w:r w:rsidRPr="00C75F92">
        <w:rPr>
          <w:i/>
          <w:iCs/>
          <w:noProof/>
        </w:rPr>
        <w:t>Barème de taxes reproduit en annexe au règlement d’exécution</w:t>
      </w:r>
      <w:r>
        <w:rPr>
          <w:noProof/>
        </w:rPr>
        <w:tab/>
      </w:r>
      <w:r>
        <w:rPr>
          <w:noProof/>
        </w:rPr>
        <w:fldChar w:fldCharType="begin"/>
      </w:r>
      <w:r>
        <w:rPr>
          <w:noProof/>
        </w:rPr>
        <w:instrText xml:space="preserve"> PAGEREF _Toc124949239 \h </w:instrText>
      </w:r>
      <w:r>
        <w:rPr>
          <w:noProof/>
        </w:rPr>
      </w:r>
      <w:r>
        <w:rPr>
          <w:noProof/>
        </w:rPr>
        <w:fldChar w:fldCharType="separate"/>
      </w:r>
      <w:r w:rsidR="00900E72">
        <w:rPr>
          <w:noProof/>
        </w:rPr>
        <w:t>4</w:t>
      </w:r>
      <w:r>
        <w:rPr>
          <w:noProof/>
        </w:rPr>
        <w:fldChar w:fldCharType="end"/>
      </w:r>
    </w:p>
    <w:p w:rsidR="0057601F" w:rsidRPr="0048376D" w:rsidRDefault="0057601F">
      <w:pPr>
        <w:pStyle w:val="TOC2"/>
        <w:tabs>
          <w:tab w:val="right" w:leader="dot" w:pos="9345"/>
        </w:tabs>
        <w:rPr>
          <w:rFonts w:asciiTheme="minorHAnsi" w:eastAsiaTheme="minorEastAsia" w:hAnsiTheme="minorHAnsi" w:cstheme="minorBidi"/>
          <w:noProof/>
          <w:szCs w:val="22"/>
          <w:lang w:val="fr-CH" w:eastAsia="en-US"/>
        </w:rPr>
      </w:pPr>
      <w:r>
        <w:rPr>
          <w:noProof/>
        </w:rPr>
        <w:t>96.2   </w:t>
      </w:r>
      <w:r w:rsidRPr="00C75F92">
        <w:rPr>
          <w:i/>
          <w:iCs/>
          <w:noProof/>
        </w:rPr>
        <w:t>Notification de la perception de taxes; transfert de taxes</w:t>
      </w:r>
      <w:r>
        <w:rPr>
          <w:noProof/>
        </w:rPr>
        <w:tab/>
      </w:r>
      <w:r>
        <w:rPr>
          <w:noProof/>
        </w:rPr>
        <w:fldChar w:fldCharType="begin"/>
      </w:r>
      <w:r>
        <w:rPr>
          <w:noProof/>
        </w:rPr>
        <w:instrText xml:space="preserve"> PAGEREF _Toc124949240 \h </w:instrText>
      </w:r>
      <w:r>
        <w:rPr>
          <w:noProof/>
        </w:rPr>
      </w:r>
      <w:r>
        <w:rPr>
          <w:noProof/>
        </w:rPr>
        <w:fldChar w:fldCharType="separate"/>
      </w:r>
      <w:r w:rsidR="00900E72">
        <w:rPr>
          <w:noProof/>
        </w:rPr>
        <w:t>4</w:t>
      </w:r>
      <w:r>
        <w:rPr>
          <w:noProof/>
        </w:rPr>
        <w:fldChar w:fldCharType="end"/>
      </w:r>
    </w:p>
    <w:p w:rsidR="00CA7A8A" w:rsidRPr="00B33B43" w:rsidRDefault="0057601F" w:rsidP="00CA7A8A">
      <w:pPr>
        <w:pStyle w:val="ONUME"/>
        <w:numPr>
          <w:ilvl w:val="0"/>
          <w:numId w:val="0"/>
        </w:numPr>
        <w:jc w:val="center"/>
        <w:rPr>
          <w:caps/>
          <w:lang w:val="fr-FR"/>
        </w:rPr>
      </w:pPr>
      <w:r>
        <w:rPr>
          <w:caps/>
          <w:lang w:val="fr-FR"/>
        </w:rPr>
        <w:fldChar w:fldCharType="end"/>
      </w:r>
    </w:p>
    <w:p w:rsidR="00CA7A8A" w:rsidRPr="00B33B43" w:rsidRDefault="00D0243F" w:rsidP="00CA7A8A">
      <w:pPr>
        <w:pStyle w:val="LegTitle"/>
      </w:pPr>
      <w:bookmarkStart w:id="7" w:name="_Toc114584490"/>
      <w:bookmarkStart w:id="8" w:name="_Toc124949231"/>
      <w:r w:rsidRPr="00B33B43">
        <w:lastRenderedPageBreak/>
        <w:t>Règle 1</w:t>
      </w:r>
      <w:r w:rsidR="00CA7A8A" w:rsidRPr="00B33B43">
        <w:t>6</w:t>
      </w:r>
      <w:r w:rsidRPr="00B33B43">
        <w:t xml:space="preserve"> – </w:t>
      </w:r>
      <w:r w:rsidR="00CA7A8A" w:rsidRPr="00B33B43">
        <w:br/>
        <w:t>Taxe de recherche</w:t>
      </w:r>
      <w:bookmarkEnd w:id="7"/>
      <w:bookmarkEnd w:id="8"/>
    </w:p>
    <w:p w:rsidR="00CA7A8A" w:rsidRPr="00B33B43" w:rsidRDefault="00CA7A8A" w:rsidP="00CA7A8A">
      <w:pPr>
        <w:pStyle w:val="LegSubRule"/>
        <w:keepLines w:val="0"/>
        <w:outlineLvl w:val="0"/>
      </w:pPr>
      <w:bookmarkStart w:id="9" w:name="_Toc114584491"/>
      <w:bookmarkStart w:id="10" w:name="_Toc124949232"/>
      <w:r w:rsidRPr="00B33B43">
        <w:t>16.1   </w:t>
      </w:r>
      <w:r w:rsidRPr="00B33B43">
        <w:rPr>
          <w:i/>
          <w:iCs/>
        </w:rPr>
        <w:t>Droit de demander une taxe</w:t>
      </w:r>
      <w:bookmarkEnd w:id="9"/>
      <w:bookmarkEnd w:id="10"/>
    </w:p>
    <w:p w:rsidR="00CA7A8A" w:rsidRPr="00B33B43" w:rsidRDefault="0057601F" w:rsidP="00CA7A8A">
      <w:pPr>
        <w:pStyle w:val="Lega"/>
      </w:pPr>
      <w:r>
        <w:tab/>
        <w:t>a) à d)  </w:t>
      </w:r>
      <w:r w:rsidR="00CA7A8A" w:rsidRPr="00B33B43">
        <w:rPr>
          <w:i/>
          <w:iCs/>
        </w:rPr>
        <w:t>[Sans changement]</w:t>
      </w:r>
    </w:p>
    <w:p w:rsidR="00CA7A8A" w:rsidRPr="00B33B43" w:rsidRDefault="00CA7A8A" w:rsidP="00CA7A8A">
      <w:pPr>
        <w:pStyle w:val="Lega"/>
        <w:rPr>
          <w:rStyle w:val="Deletedtext"/>
        </w:rPr>
      </w:pPr>
      <w:r w:rsidRPr="00B33B43">
        <w:tab/>
      </w:r>
      <w:r w:rsidRPr="00B33B43">
        <w:rPr>
          <w:rStyle w:val="Deletedtext"/>
        </w:rPr>
        <w:t>e)  Lorsque, en ce qui concerne le paiement de la taxe de recherche dans une monnaie prescrite autre que la monnaie fixée, le montant effectivement reçu par l</w:t>
      </w:r>
      <w:r w:rsidR="00D0243F" w:rsidRPr="00B33B43">
        <w:rPr>
          <w:rStyle w:val="Deletedtext"/>
        </w:rPr>
        <w:t>’</w:t>
      </w:r>
      <w:r w:rsidRPr="00B33B43">
        <w:rPr>
          <w:rStyle w:val="Deletedtext"/>
        </w:rPr>
        <w:t>administration chargée de la recherche internationale dans la monnaie prescrite, en vertu de l</w:t>
      </w:r>
      <w:r w:rsidR="00D0243F" w:rsidRPr="00B33B43">
        <w:rPr>
          <w:rStyle w:val="Deletedtext"/>
        </w:rPr>
        <w:t>’alinéa d)</w:t>
      </w:r>
      <w:r w:rsidRPr="00B33B43">
        <w:rPr>
          <w:rStyle w:val="Deletedtext"/>
        </w:rPr>
        <w:t>i) de la présente règle, est, une fois converti par cette administration dans la monnaie fixée, inférieur à celui qu</w:t>
      </w:r>
      <w:r w:rsidR="00D0243F" w:rsidRPr="00B33B43">
        <w:rPr>
          <w:rStyle w:val="Deletedtext"/>
        </w:rPr>
        <w:t>’</w:t>
      </w:r>
      <w:r w:rsidRPr="00B33B43">
        <w:rPr>
          <w:rStyle w:val="Deletedtext"/>
        </w:rPr>
        <w:t>elle a fixé, la différence est payée à ladite administration par le Bureau international;  au contraire, si le montant effectivement reçu est supérieur au montant fixé, la différence appartient au Bureau international.</w:t>
      </w:r>
    </w:p>
    <w:p w:rsidR="00CA7A8A" w:rsidRPr="00B33B43" w:rsidRDefault="00CA7A8A" w:rsidP="00CA7A8A">
      <w:pPr>
        <w:pStyle w:val="Lega"/>
      </w:pPr>
      <w:r w:rsidRPr="00B33B43">
        <w:tab/>
        <w:t>f)  </w:t>
      </w:r>
      <w:r w:rsidRPr="00B33B43">
        <w:rPr>
          <w:i/>
          <w:iCs/>
        </w:rPr>
        <w:t>[Sans changement]</w:t>
      </w:r>
    </w:p>
    <w:p w:rsidR="00CA7A8A" w:rsidRPr="00B33B43" w:rsidRDefault="00CA7A8A" w:rsidP="00CA7A8A">
      <w:pPr>
        <w:pStyle w:val="LegSubRule"/>
        <w:rPr>
          <w:i/>
        </w:rPr>
      </w:pPr>
      <w:bookmarkStart w:id="11" w:name="_Toc114584492"/>
      <w:bookmarkStart w:id="12" w:name="_Toc124949233"/>
      <w:r w:rsidRPr="00B33B43">
        <w:t>16.2 et 16.3   </w:t>
      </w:r>
      <w:r w:rsidRPr="00B33B43">
        <w:rPr>
          <w:i/>
          <w:iCs/>
        </w:rPr>
        <w:t>[Sans changement]</w:t>
      </w:r>
      <w:bookmarkEnd w:id="11"/>
      <w:bookmarkEnd w:id="12"/>
    </w:p>
    <w:p w:rsidR="00CA7A8A" w:rsidRPr="00B33B43" w:rsidRDefault="00D0243F" w:rsidP="00CA7A8A">
      <w:pPr>
        <w:pStyle w:val="LegTitle"/>
      </w:pPr>
      <w:bookmarkStart w:id="13" w:name="_Toc124949234"/>
      <w:bookmarkStart w:id="14" w:name="_Toc114584493"/>
      <w:r w:rsidRPr="00B33B43">
        <w:lastRenderedPageBreak/>
        <w:t>Règle 4</w:t>
      </w:r>
      <w:r w:rsidR="00CA7A8A" w:rsidRPr="00B33B43">
        <w:t>5</w:t>
      </w:r>
      <w:r w:rsidR="00CA7A8A" w:rsidRPr="00B33B43">
        <w:rPr>
          <w:i/>
        </w:rPr>
        <w:t>bis</w:t>
      </w:r>
      <w:r w:rsidRPr="00B33B43">
        <w:rPr>
          <w:i/>
        </w:rPr>
        <w:t xml:space="preserve"> – </w:t>
      </w:r>
      <w:r w:rsidR="00CA7A8A" w:rsidRPr="00B33B43">
        <w:br/>
        <w:t>Recherches internationales supplémentaires</w:t>
      </w:r>
      <w:bookmarkEnd w:id="13"/>
    </w:p>
    <w:p w:rsidR="00CA7A8A" w:rsidRPr="00B33B43" w:rsidRDefault="00CA7A8A" w:rsidP="00CA7A8A">
      <w:pPr>
        <w:pStyle w:val="LegSubRule"/>
        <w:rPr>
          <w:i/>
        </w:rPr>
      </w:pPr>
      <w:bookmarkStart w:id="15" w:name="_Toc124949235"/>
      <w:r w:rsidRPr="00B33B43">
        <w:t>45</w:t>
      </w:r>
      <w:r w:rsidRPr="00B33B43">
        <w:rPr>
          <w:i/>
          <w:iCs/>
        </w:rPr>
        <w:t>bis</w:t>
      </w:r>
      <w:r w:rsidRPr="00B33B43">
        <w:t>.1 et 2   </w:t>
      </w:r>
      <w:r w:rsidRPr="00B33B43">
        <w:rPr>
          <w:i/>
          <w:iCs/>
        </w:rPr>
        <w:t>[Sans changement]</w:t>
      </w:r>
      <w:bookmarkEnd w:id="15"/>
    </w:p>
    <w:p w:rsidR="00CA7A8A" w:rsidRPr="00B33B43" w:rsidRDefault="00CA7A8A" w:rsidP="00CA7A8A">
      <w:pPr>
        <w:pStyle w:val="LegSubRule"/>
        <w:keepLines w:val="0"/>
        <w:outlineLvl w:val="0"/>
      </w:pPr>
      <w:bookmarkStart w:id="16" w:name="_Toc124949236"/>
      <w:r w:rsidRPr="00B33B43">
        <w:t>45</w:t>
      </w:r>
      <w:r w:rsidRPr="00B33B43">
        <w:rPr>
          <w:i/>
        </w:rPr>
        <w:t>bis</w:t>
      </w:r>
      <w:r w:rsidRPr="00B33B43">
        <w:t>.3   </w:t>
      </w:r>
      <w:r w:rsidRPr="00B33B43">
        <w:rPr>
          <w:i/>
        </w:rPr>
        <w:t>Taxe de recherche supplémentaire</w:t>
      </w:r>
      <w:bookmarkEnd w:id="16"/>
    </w:p>
    <w:p w:rsidR="00D0243F" w:rsidRPr="00B33B43" w:rsidRDefault="0057601F" w:rsidP="00CA7A8A">
      <w:pPr>
        <w:pStyle w:val="Lega"/>
        <w:ind w:firstLine="567"/>
      </w:pPr>
      <w:r>
        <w:t>a)  </w:t>
      </w:r>
      <w:r w:rsidR="00CA7A8A" w:rsidRPr="00B33B43">
        <w:rPr>
          <w:i/>
          <w:iCs/>
        </w:rPr>
        <w:t>[Sans changement]</w:t>
      </w:r>
      <w:r>
        <w:t>  </w:t>
      </w:r>
      <w:r w:rsidR="00CA7A8A" w:rsidRPr="00B33B43">
        <w:t>Toute administration chargée de la recherche internationale qui effectue des recherches internationales supplémentaires peut exiger du déposant le paiement, à son profit, d</w:t>
      </w:r>
      <w:r w:rsidR="00D0243F" w:rsidRPr="00B33B43">
        <w:t>’</w:t>
      </w:r>
      <w:r w:rsidR="00CA7A8A" w:rsidRPr="00B33B43">
        <w:t>une taxe (“taxe de recherche supplémentaire”) pour la réalisation de cette recherche.</w:t>
      </w:r>
    </w:p>
    <w:p w:rsidR="00D0243F" w:rsidRPr="00B33B43" w:rsidRDefault="00CA7A8A" w:rsidP="00CA7A8A">
      <w:pPr>
        <w:pStyle w:val="Lega"/>
        <w:ind w:firstLine="567"/>
      </w:pPr>
      <w:r w:rsidRPr="00B33B43">
        <w:t>b)</w:t>
      </w:r>
      <w:r w:rsidR="0057601F">
        <w:t>  </w:t>
      </w:r>
      <w:r w:rsidRPr="00B33B43">
        <w:t>La taxe de recherche supplémentaire est perçue par le Bureau internation</w:t>
      </w:r>
      <w:r w:rsidR="00C764A0" w:rsidRPr="00B33B43">
        <w:t>al.  Le</w:t>
      </w:r>
      <w:r w:rsidRPr="00B33B43">
        <w:t xml:space="preserve">s règles 16.1.b) à </w:t>
      </w:r>
      <w:r w:rsidRPr="00B33B43">
        <w:rPr>
          <w:rStyle w:val="Deletedtext"/>
        </w:rPr>
        <w:t>e</w:t>
      </w:r>
      <w:r w:rsidRPr="00B33B43">
        <w:rPr>
          <w:rStyle w:val="Insertedtext"/>
        </w:rPr>
        <w:t>d</w:t>
      </w:r>
      <w:r w:rsidRPr="00B33B43">
        <w:t>) s</w:t>
      </w:r>
      <w:r w:rsidR="00D0243F" w:rsidRPr="00B33B43">
        <w:t>’</w:t>
      </w:r>
      <w:r w:rsidRPr="00B33B43">
        <w:t xml:space="preserve">appliquent </w:t>
      </w:r>
      <w:r w:rsidRPr="00B33B43">
        <w:rPr>
          <w:i/>
        </w:rPr>
        <w:t>mutatis mutandis</w:t>
      </w:r>
      <w:r w:rsidRPr="00B33B43">
        <w:t>.</w:t>
      </w:r>
    </w:p>
    <w:p w:rsidR="00CA7A8A" w:rsidRPr="00B33B43" w:rsidRDefault="0057601F" w:rsidP="00CA7A8A">
      <w:pPr>
        <w:pStyle w:val="Lega"/>
        <w:ind w:firstLine="567"/>
      </w:pPr>
      <w:r>
        <w:t>c) à e)  </w:t>
      </w:r>
      <w:r w:rsidR="00CA7A8A" w:rsidRPr="00B33B43">
        <w:rPr>
          <w:i/>
          <w:iCs/>
        </w:rPr>
        <w:t>[Sans changement]</w:t>
      </w:r>
    </w:p>
    <w:p w:rsidR="00CA7A8A" w:rsidRPr="00B33B43" w:rsidRDefault="00CA7A8A" w:rsidP="00CA7A8A">
      <w:pPr>
        <w:pStyle w:val="LegSubRule"/>
        <w:rPr>
          <w:i/>
        </w:rPr>
      </w:pPr>
      <w:bookmarkStart w:id="17" w:name="_Toc124949237"/>
      <w:r w:rsidRPr="00B33B43">
        <w:t>45</w:t>
      </w:r>
      <w:r w:rsidRPr="00B33B43">
        <w:rPr>
          <w:i/>
          <w:iCs/>
        </w:rPr>
        <w:t>bis</w:t>
      </w:r>
      <w:r w:rsidRPr="00B33B43">
        <w:t>.4 à 9   </w:t>
      </w:r>
      <w:r w:rsidRPr="00B33B43">
        <w:rPr>
          <w:i/>
          <w:iCs/>
        </w:rPr>
        <w:t>[Sans changement]</w:t>
      </w:r>
      <w:bookmarkEnd w:id="17"/>
    </w:p>
    <w:p w:rsidR="00CA7A8A" w:rsidRPr="00B33B43" w:rsidRDefault="00CA7A8A" w:rsidP="00CA7A8A">
      <w:pPr>
        <w:rPr>
          <w:lang w:val="fr-FR"/>
        </w:rPr>
      </w:pPr>
    </w:p>
    <w:p w:rsidR="00CA7A8A" w:rsidRPr="00B33B43" w:rsidRDefault="00D0243F" w:rsidP="00CA7A8A">
      <w:pPr>
        <w:pStyle w:val="LegTitle"/>
      </w:pPr>
      <w:bookmarkStart w:id="18" w:name="_Toc124949238"/>
      <w:r w:rsidRPr="00B33B43">
        <w:lastRenderedPageBreak/>
        <w:t>Règle 9</w:t>
      </w:r>
      <w:r w:rsidR="00CA7A8A" w:rsidRPr="00B33B43">
        <w:t>6</w:t>
      </w:r>
      <w:r w:rsidRPr="00B33B43">
        <w:t xml:space="preserve"> – </w:t>
      </w:r>
      <w:r w:rsidR="00CA7A8A" w:rsidRPr="00B33B43">
        <w:br/>
        <w:t>Barème de taxes;  perception et transfert de taxes</w:t>
      </w:r>
      <w:bookmarkEnd w:id="14"/>
      <w:bookmarkEnd w:id="18"/>
    </w:p>
    <w:p w:rsidR="00CA7A8A" w:rsidRPr="00B33B43" w:rsidRDefault="00CA7A8A" w:rsidP="00CA7A8A">
      <w:pPr>
        <w:pStyle w:val="LegSubRule"/>
        <w:keepLines w:val="0"/>
      </w:pPr>
      <w:bookmarkStart w:id="19" w:name="_Toc114584494"/>
      <w:bookmarkStart w:id="20" w:name="_Toc124949239"/>
      <w:r w:rsidRPr="00B33B43">
        <w:t>96.1   </w:t>
      </w:r>
      <w:r w:rsidRPr="00B33B43">
        <w:rPr>
          <w:i/>
          <w:iCs/>
        </w:rPr>
        <w:t>Barème de taxes reproduit en annexe au règlement d</w:t>
      </w:r>
      <w:r w:rsidR="00D0243F" w:rsidRPr="00B33B43">
        <w:rPr>
          <w:i/>
          <w:iCs/>
        </w:rPr>
        <w:t>’</w:t>
      </w:r>
      <w:r w:rsidRPr="00B33B43">
        <w:rPr>
          <w:i/>
          <w:iCs/>
        </w:rPr>
        <w:t>exécution</w:t>
      </w:r>
      <w:bookmarkEnd w:id="19"/>
      <w:bookmarkEnd w:id="20"/>
    </w:p>
    <w:p w:rsidR="00CA7A8A" w:rsidRPr="00B33B43" w:rsidRDefault="00CA7A8A" w:rsidP="00CA7A8A">
      <w:pPr>
        <w:pStyle w:val="Lega"/>
      </w:pPr>
      <w:r w:rsidRPr="00B33B43">
        <w:tab/>
      </w:r>
      <w:r w:rsidRPr="00B33B43">
        <w:rPr>
          <w:i/>
          <w:iCs/>
        </w:rPr>
        <w:t>[Sans changement]</w:t>
      </w:r>
      <w:r w:rsidR="0057601F">
        <w:t>  </w:t>
      </w:r>
      <w:r w:rsidRPr="00B33B43">
        <w:t xml:space="preserve">Le montant des taxes visées aux </w:t>
      </w:r>
      <w:r w:rsidR="00D0243F" w:rsidRPr="00B33B43">
        <w:t>règles 1</w:t>
      </w:r>
      <w:r w:rsidRPr="00B33B43">
        <w:t>5, 45</w:t>
      </w:r>
      <w:r w:rsidRPr="00B33B43">
        <w:rPr>
          <w:i/>
        </w:rPr>
        <w:t>bis</w:t>
      </w:r>
      <w:r w:rsidRPr="00B33B43">
        <w:t>.2 et 57 est exprimé en monnaie suis</w:t>
      </w:r>
      <w:r w:rsidR="00C764A0" w:rsidRPr="00B33B43">
        <w:t>se.  Il</w:t>
      </w:r>
      <w:r w:rsidRPr="00B33B43">
        <w:t xml:space="preserve"> est indiqué dans le barème de taxes annexé au présent règlement d</w:t>
      </w:r>
      <w:r w:rsidR="00D0243F" w:rsidRPr="00B33B43">
        <w:t>’</w:t>
      </w:r>
      <w:r w:rsidRPr="00B33B43">
        <w:t>exécution et qui en fait partie intégrante.</w:t>
      </w:r>
    </w:p>
    <w:p w:rsidR="00CA7A8A" w:rsidRPr="00B33B43" w:rsidRDefault="00CA7A8A" w:rsidP="00CA7A8A">
      <w:pPr>
        <w:pStyle w:val="LegSubRule"/>
        <w:rPr>
          <w:rFonts w:eastAsia="Arial Unicode MS"/>
        </w:rPr>
      </w:pPr>
      <w:bookmarkStart w:id="21" w:name="_Toc114584495"/>
      <w:bookmarkStart w:id="22" w:name="_Toc124949240"/>
      <w:r w:rsidRPr="00B33B43">
        <w:t>96.2   </w:t>
      </w:r>
      <w:r w:rsidRPr="00B33B43">
        <w:rPr>
          <w:i/>
          <w:iCs/>
        </w:rPr>
        <w:t>Notification de la perception de taxes; transfert de taxes</w:t>
      </w:r>
      <w:bookmarkEnd w:id="21"/>
      <w:bookmarkEnd w:id="22"/>
    </w:p>
    <w:p w:rsidR="00CA7A8A" w:rsidRPr="00B33B43" w:rsidRDefault="00CA7A8A" w:rsidP="00CA7A8A">
      <w:pPr>
        <w:pStyle w:val="Lega"/>
        <w:rPr>
          <w:rFonts w:eastAsia="Arial Unicode MS"/>
        </w:rPr>
      </w:pPr>
      <w:r w:rsidRPr="00B33B43">
        <w:tab/>
        <w:t>a)  </w:t>
      </w:r>
      <w:r w:rsidRPr="00B33B43">
        <w:rPr>
          <w:i/>
          <w:iCs/>
        </w:rPr>
        <w:t>[Sans changement]</w:t>
      </w:r>
      <w:r w:rsidR="0057601F">
        <w:t>  </w:t>
      </w:r>
      <w:r w:rsidRPr="00B33B43">
        <w:t>Aux fins de la présente règle, le terme “office” s</w:t>
      </w:r>
      <w:r w:rsidR="00D0243F" w:rsidRPr="00B33B43">
        <w:t>’</w:t>
      </w:r>
      <w:r w:rsidRPr="00B33B43">
        <w:t>entend de l</w:t>
      </w:r>
      <w:r w:rsidR="00D0243F" w:rsidRPr="00B33B43">
        <w:t>’</w:t>
      </w:r>
      <w:r w:rsidRPr="00B33B43">
        <w:t>office récepteur (</w:t>
      </w:r>
      <w:r w:rsidR="00D0243F" w:rsidRPr="00B33B43">
        <w:t>y compris</w:t>
      </w:r>
      <w:r w:rsidRPr="00B33B43">
        <w:t xml:space="preserve"> le Bureau international agissant en tant qu</w:t>
      </w:r>
      <w:r w:rsidR="00D0243F" w:rsidRPr="00B33B43">
        <w:t>’</w:t>
      </w:r>
      <w:r w:rsidRPr="00B33B43">
        <w:t>office récepteur), de l</w:t>
      </w:r>
      <w:r w:rsidR="00D0243F" w:rsidRPr="00B33B43">
        <w:t>’</w:t>
      </w:r>
      <w:r w:rsidRPr="00B33B43">
        <w:t>administration chargée de la recherche internationale, d</w:t>
      </w:r>
      <w:r w:rsidR="00D0243F" w:rsidRPr="00B33B43">
        <w:t>’</w:t>
      </w:r>
      <w:r w:rsidRPr="00B33B43">
        <w:t>une administration indiquée pour la recherche supplémentaire, de l</w:t>
      </w:r>
      <w:r w:rsidR="00D0243F" w:rsidRPr="00B33B43">
        <w:t>’</w:t>
      </w:r>
      <w:r w:rsidRPr="00B33B43">
        <w:t>administration chargée de l</w:t>
      </w:r>
      <w:r w:rsidR="00D0243F" w:rsidRPr="00B33B43">
        <w:t>’</w:t>
      </w:r>
      <w:r w:rsidRPr="00B33B43">
        <w:t>examen préliminaire international ou du Bureau international.</w:t>
      </w:r>
    </w:p>
    <w:p w:rsidR="00CA7A8A" w:rsidRPr="00B33B43" w:rsidRDefault="0057601F" w:rsidP="00CA7A8A">
      <w:pPr>
        <w:pStyle w:val="Lega"/>
        <w:rPr>
          <w:rFonts w:eastAsia="Arial Unicode MS"/>
        </w:rPr>
      </w:pPr>
      <w:r>
        <w:tab/>
        <w:t>b)  </w:t>
      </w:r>
      <w:r w:rsidR="00CA7A8A" w:rsidRPr="00B33B43">
        <w:rPr>
          <w:i/>
          <w:iCs/>
        </w:rPr>
        <w:t>[Sans changement]</w:t>
      </w:r>
      <w:r>
        <w:t>  </w:t>
      </w:r>
      <w:r w:rsidR="00CA7A8A" w:rsidRPr="00B33B43">
        <w:t>Lorsque, en vertu du présent règlement d</w:t>
      </w:r>
      <w:r w:rsidR="00D0243F" w:rsidRPr="00B33B43">
        <w:t>’</w:t>
      </w:r>
      <w:r w:rsidR="00CA7A8A" w:rsidRPr="00B33B43">
        <w:t>exécution ou des instructions administratives, une taxe est perçue par un office (“office percepteur”) au profit d</w:t>
      </w:r>
      <w:r w:rsidR="00D0243F" w:rsidRPr="00B33B43">
        <w:t>’</w:t>
      </w:r>
      <w:r w:rsidR="00CA7A8A" w:rsidRPr="00B33B43">
        <w:t>un autre office (“office bénéficiaire”), l</w:t>
      </w:r>
      <w:r w:rsidR="00D0243F" w:rsidRPr="00B33B43">
        <w:t>’</w:t>
      </w:r>
      <w:r w:rsidR="00CA7A8A" w:rsidRPr="00B33B43">
        <w:t>office percepteur notifie à bref délai la réception de cette taxe conformément aux instructions administrativ</w:t>
      </w:r>
      <w:r w:rsidR="00C764A0" w:rsidRPr="00B33B43">
        <w:t xml:space="preserve">es.  À </w:t>
      </w:r>
      <w:r w:rsidR="00CA7A8A" w:rsidRPr="00B33B43">
        <w:t>la réception de la notification, l</w:t>
      </w:r>
      <w:r w:rsidR="00D0243F" w:rsidRPr="00B33B43">
        <w:t>’</w:t>
      </w:r>
      <w:r w:rsidR="00CA7A8A" w:rsidRPr="00B33B43">
        <w:t>office bénéficiaire procède comme s</w:t>
      </w:r>
      <w:r w:rsidR="00D0243F" w:rsidRPr="00B33B43">
        <w:t>’</w:t>
      </w:r>
      <w:r w:rsidR="00CA7A8A" w:rsidRPr="00B33B43">
        <w:t>il avait reçu la taxe à la date à laquelle la taxe a été reçue par l</w:t>
      </w:r>
      <w:r w:rsidR="00D0243F" w:rsidRPr="00B33B43">
        <w:t>’</w:t>
      </w:r>
      <w:r w:rsidR="00CA7A8A" w:rsidRPr="00B33B43">
        <w:t>office percepteur.</w:t>
      </w:r>
    </w:p>
    <w:p w:rsidR="00D0243F" w:rsidRPr="00B33B43" w:rsidRDefault="00CA7A8A" w:rsidP="00CA7A8A">
      <w:pPr>
        <w:pStyle w:val="Lega"/>
        <w:ind w:firstLine="567"/>
      </w:pPr>
      <w:r w:rsidRPr="00B33B43">
        <w:t>c)  L</w:t>
      </w:r>
      <w:r w:rsidR="00D0243F" w:rsidRPr="00B33B43">
        <w:t>’</w:t>
      </w:r>
      <w:r w:rsidRPr="00B33B43">
        <w:t>office percepteur</w:t>
      </w:r>
      <w:r w:rsidRPr="00B33B43">
        <w:rPr>
          <w:rStyle w:val="Insertedtext"/>
        </w:rPr>
        <w:t>, s</w:t>
      </w:r>
      <w:r w:rsidR="00D0243F" w:rsidRPr="00B33B43">
        <w:rPr>
          <w:rStyle w:val="Insertedtext"/>
        </w:rPr>
        <w:t>’</w:t>
      </w:r>
      <w:r w:rsidRPr="00B33B43">
        <w:rPr>
          <w:rStyle w:val="Insertedtext"/>
        </w:rPr>
        <w:t>il ne s</w:t>
      </w:r>
      <w:r w:rsidR="00D0243F" w:rsidRPr="00B33B43">
        <w:rPr>
          <w:rStyle w:val="Insertedtext"/>
        </w:rPr>
        <w:t>’</w:t>
      </w:r>
      <w:r w:rsidRPr="00B33B43">
        <w:rPr>
          <w:rStyle w:val="Insertedtext"/>
        </w:rPr>
        <w:t>agit pas du Bureau international,</w:t>
      </w:r>
      <w:r w:rsidRPr="00B33B43">
        <w:t xml:space="preserve"> transfère </w:t>
      </w:r>
      <w:r w:rsidRPr="00B33B43">
        <w:rPr>
          <w:rStyle w:val="Insertedtext"/>
        </w:rPr>
        <w:t>au Bureau international</w:t>
      </w:r>
      <w:r w:rsidRPr="00B33B43">
        <w:rPr>
          <w:rStyle w:val="Deletedtext"/>
        </w:rPr>
        <w:t>à l</w:t>
      </w:r>
      <w:r w:rsidR="00D0243F" w:rsidRPr="00B33B43">
        <w:rPr>
          <w:rStyle w:val="Deletedtext"/>
        </w:rPr>
        <w:t>’</w:t>
      </w:r>
      <w:r w:rsidRPr="00B33B43">
        <w:rPr>
          <w:rStyle w:val="Deletedtext"/>
        </w:rPr>
        <w:t>office bénéficiaire</w:t>
      </w:r>
      <w:r w:rsidRPr="00B33B43">
        <w:t xml:space="preserve"> les taxes perçues </w:t>
      </w:r>
      <w:r w:rsidRPr="00B33B43">
        <w:rPr>
          <w:rStyle w:val="Insertedtext"/>
        </w:rPr>
        <w:t>au</w:t>
      </w:r>
      <w:r w:rsidRPr="00B33B43">
        <w:rPr>
          <w:rStyle w:val="Deletedtext"/>
        </w:rPr>
        <w:t>à son</w:t>
      </w:r>
      <w:r w:rsidRPr="00B33B43">
        <w:t xml:space="preserve"> profit </w:t>
      </w:r>
      <w:r w:rsidRPr="00B33B43">
        <w:rPr>
          <w:rStyle w:val="Insertedtext"/>
        </w:rPr>
        <w:t>de tout autre office agissant en tant qu</w:t>
      </w:r>
      <w:r w:rsidR="00D0243F" w:rsidRPr="00B33B43">
        <w:rPr>
          <w:rStyle w:val="Insertedtext"/>
        </w:rPr>
        <w:t>’</w:t>
      </w:r>
      <w:r w:rsidRPr="00B33B43">
        <w:rPr>
          <w:rStyle w:val="Insertedtext"/>
        </w:rPr>
        <w:t>office bénéficiaire</w:t>
      </w:r>
      <w:r w:rsidRPr="00B33B43">
        <w:t xml:space="preserve"> conformément aux instructions administratives</w:t>
      </w:r>
      <w:r w:rsidRPr="00B33B43">
        <w:rPr>
          <w:rStyle w:val="Insertedtext"/>
        </w:rPr>
        <w:t>, à moins que l</w:t>
      </w:r>
      <w:r w:rsidR="00D0243F" w:rsidRPr="00B33B43">
        <w:rPr>
          <w:rStyle w:val="Insertedtext"/>
        </w:rPr>
        <w:t>’</w:t>
      </w:r>
      <w:r w:rsidRPr="00B33B43">
        <w:rPr>
          <w:rStyle w:val="Insertedtext"/>
        </w:rPr>
        <w:t>office percepteur et le Bureau international acceptent que ces taxes soient transférées à l</w:t>
      </w:r>
      <w:r w:rsidR="00D0243F" w:rsidRPr="00B33B43">
        <w:rPr>
          <w:rStyle w:val="Insertedtext"/>
        </w:rPr>
        <w:t>’</w:t>
      </w:r>
      <w:r w:rsidRPr="00B33B43">
        <w:rPr>
          <w:rStyle w:val="Insertedtext"/>
        </w:rPr>
        <w:t>office bénéficiaire par un autre moyen</w:t>
      </w:r>
      <w:r w:rsidRPr="00B33B43">
        <w:t>.</w:t>
      </w:r>
    </w:p>
    <w:p w:rsidR="00CA7A8A" w:rsidRPr="00B33B43" w:rsidRDefault="00CA7A8A" w:rsidP="00CA7A8A">
      <w:pPr>
        <w:pStyle w:val="Lega"/>
        <w:rPr>
          <w:rStyle w:val="Insertedtext"/>
          <w:rFonts w:eastAsia="Arial Unicode MS"/>
        </w:rPr>
      </w:pPr>
      <w:r w:rsidRPr="00B33B43">
        <w:tab/>
      </w:r>
      <w:r w:rsidRPr="00B33B43">
        <w:rPr>
          <w:rStyle w:val="Insertedtext"/>
        </w:rPr>
        <w:t>d)</w:t>
      </w:r>
      <w:r w:rsidR="0057601F">
        <w:rPr>
          <w:rStyle w:val="Insertedtext"/>
        </w:rPr>
        <w:t>  </w:t>
      </w:r>
      <w:r w:rsidRPr="00B33B43">
        <w:rPr>
          <w:rStyle w:val="Insertedtext"/>
        </w:rPr>
        <w:t>Le Bureau international transfère les taxes reçues de ce dernier au profit de tout autre office agissant en tant qu</w:t>
      </w:r>
      <w:r w:rsidR="00D0243F" w:rsidRPr="00B33B43">
        <w:rPr>
          <w:rStyle w:val="Insertedtext"/>
        </w:rPr>
        <w:t>’</w:t>
      </w:r>
      <w:r w:rsidRPr="00B33B43">
        <w:rPr>
          <w:rStyle w:val="Insertedtext"/>
        </w:rPr>
        <w:t>office bénéficiaire à cet office dans la monnaie fixée conformément aux instructions administratives.</w:t>
      </w:r>
    </w:p>
    <w:p w:rsidR="000F5E56" w:rsidRPr="00B33B43" w:rsidRDefault="00CA7A8A" w:rsidP="00B4541C">
      <w:pPr>
        <w:pStyle w:val="Endofdocument-Annex"/>
      </w:pPr>
      <w:r w:rsidRPr="00B33B43">
        <w:t>[Fin de l</w:t>
      </w:r>
      <w:r w:rsidR="00D0243F" w:rsidRPr="00B33B43">
        <w:t>’</w:t>
      </w:r>
      <w:r w:rsidRPr="00B33B43">
        <w:t>annexe et du document]</w:t>
      </w:r>
    </w:p>
    <w:sectPr w:rsidR="000F5E56" w:rsidRPr="00B33B43" w:rsidSect="00B8283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8A" w:rsidRDefault="00CA7A8A">
      <w:r>
        <w:separator/>
      </w:r>
    </w:p>
  </w:endnote>
  <w:endnote w:type="continuationSeparator" w:id="0">
    <w:p w:rsidR="00CA7A8A" w:rsidRPr="009D30E6" w:rsidRDefault="00CA7A8A" w:rsidP="00D45252">
      <w:pPr>
        <w:rPr>
          <w:sz w:val="17"/>
          <w:szCs w:val="17"/>
        </w:rPr>
      </w:pPr>
      <w:r w:rsidRPr="009D30E6">
        <w:rPr>
          <w:sz w:val="17"/>
          <w:szCs w:val="17"/>
        </w:rPr>
        <w:separator/>
      </w:r>
    </w:p>
    <w:p w:rsidR="00CA7A8A" w:rsidRPr="009D30E6" w:rsidRDefault="00CA7A8A" w:rsidP="00D45252">
      <w:pPr>
        <w:spacing w:after="60"/>
        <w:rPr>
          <w:sz w:val="17"/>
          <w:szCs w:val="17"/>
        </w:rPr>
      </w:pPr>
      <w:r w:rsidRPr="009D30E6">
        <w:rPr>
          <w:sz w:val="17"/>
          <w:szCs w:val="17"/>
        </w:rPr>
        <w:t>[Suite de la note de la page précédente]</w:t>
      </w:r>
    </w:p>
  </w:endnote>
  <w:endnote w:type="continuationNotice" w:id="1">
    <w:p w:rsidR="00CA7A8A" w:rsidRPr="009D30E6" w:rsidRDefault="00CA7A8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72" w:rsidRDefault="00900E72" w:rsidP="00900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F5" w:rsidRDefault="00F44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F5" w:rsidRPr="0057601F" w:rsidRDefault="00F44BF5" w:rsidP="005760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72" w:rsidRDefault="00900E72" w:rsidP="00900E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72" w:rsidRDefault="00900E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72" w:rsidRPr="0057601F" w:rsidRDefault="00900E72" w:rsidP="0057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8A" w:rsidRDefault="00CA7A8A">
      <w:r>
        <w:separator/>
      </w:r>
    </w:p>
  </w:footnote>
  <w:footnote w:type="continuationSeparator" w:id="0">
    <w:p w:rsidR="00CA7A8A" w:rsidRDefault="00CA7A8A" w:rsidP="007461F1">
      <w:r>
        <w:separator/>
      </w:r>
    </w:p>
    <w:p w:rsidR="00CA7A8A" w:rsidRPr="009D30E6" w:rsidRDefault="00CA7A8A" w:rsidP="007461F1">
      <w:pPr>
        <w:spacing w:after="60"/>
        <w:rPr>
          <w:sz w:val="17"/>
          <w:szCs w:val="17"/>
        </w:rPr>
      </w:pPr>
      <w:r w:rsidRPr="009D30E6">
        <w:rPr>
          <w:sz w:val="17"/>
          <w:szCs w:val="17"/>
        </w:rPr>
        <w:t>[Suite de la note de la page précédente]</w:t>
      </w:r>
    </w:p>
  </w:footnote>
  <w:footnote w:type="continuationNotice" w:id="1">
    <w:p w:rsidR="00CA7A8A" w:rsidRPr="009D30E6" w:rsidRDefault="00CA7A8A" w:rsidP="007461F1">
      <w:pPr>
        <w:spacing w:before="60"/>
        <w:jc w:val="right"/>
        <w:rPr>
          <w:sz w:val="17"/>
          <w:szCs w:val="17"/>
        </w:rPr>
      </w:pPr>
      <w:r w:rsidRPr="009D30E6">
        <w:rPr>
          <w:sz w:val="17"/>
          <w:szCs w:val="17"/>
        </w:rPr>
        <w:t>[Suite de la note page suivante]</w:t>
      </w:r>
    </w:p>
  </w:footnote>
  <w:footnote w:id="2">
    <w:p w:rsidR="00CA7A8A" w:rsidRPr="00E74DD0" w:rsidRDefault="00CA7A8A" w:rsidP="00CA7A8A">
      <w:pPr>
        <w:pStyle w:val="FootnoteText"/>
      </w:pPr>
      <w:r>
        <w:rPr>
          <w:rStyle w:val="FootnoteReference"/>
        </w:rPr>
        <w:footnoteRef/>
      </w:r>
      <w:r>
        <w:t xml:space="preserve"> </w:t>
      </w:r>
      <w:r>
        <w:tab/>
        <w:t xml:space="preserve">Dans le présent document, on entend par </w:t>
      </w:r>
      <w:r w:rsidR="007E6526">
        <w:t>“o</w:t>
      </w:r>
      <w:r>
        <w:t>ffice</w:t>
      </w:r>
      <w:r w:rsidR="007E6526">
        <w:t>s”</w:t>
      </w:r>
      <w:r>
        <w:t xml:space="preserve"> les offices nationaux et les organisations intergouvernementales chargés du traitement dans la phase internationale, notamment les offices récepteurs, les administrations chargées de la recherche internationale, les administrations internationales chargées de l</w:t>
      </w:r>
      <w:r w:rsidR="007E6526">
        <w:t>’</w:t>
      </w:r>
      <w:r>
        <w:t>examen préliminaire international et le Bureau international.</w:t>
      </w:r>
    </w:p>
  </w:footnote>
  <w:footnote w:id="3">
    <w:p w:rsidR="00CA7A8A" w:rsidRPr="005C071C" w:rsidRDefault="00CA7A8A" w:rsidP="00CA7A8A">
      <w:pPr>
        <w:pStyle w:val="FootnoteText"/>
      </w:pPr>
      <w:r>
        <w:rPr>
          <w:rStyle w:val="FootnoteReference"/>
        </w:rPr>
        <w:footnoteRef/>
      </w:r>
      <w:r>
        <w:t xml:space="preserve"> </w:t>
      </w:r>
      <w:r>
        <w:tab/>
        <w:t>Le texte qu</w:t>
      </w:r>
      <w:r w:rsidR="007E6526">
        <w:t>’</w:t>
      </w:r>
      <w:r>
        <w:t>il est proposé d</w:t>
      </w:r>
      <w:r w:rsidR="007E6526">
        <w:t>’</w:t>
      </w:r>
      <w:r>
        <w:t>ajouter est souligné et celui qu</w:t>
      </w:r>
      <w:r w:rsidR="007E6526">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72" w:rsidRDefault="00900E72" w:rsidP="00900E72">
    <w:pPr>
      <w:jc w:val="right"/>
    </w:pPr>
    <w:r>
      <w:t>PCT/WG/16/4</w:t>
    </w:r>
  </w:p>
  <w:p w:rsidR="00900E72" w:rsidRDefault="00900E72" w:rsidP="00900E72">
    <w:pPr>
      <w:spacing w:after="480"/>
      <w:jc w:val="right"/>
    </w:pPr>
    <w:r>
      <w:t>page </w:t>
    </w:r>
    <w:r>
      <w:fldChar w:fldCharType="begin"/>
    </w:r>
    <w:r>
      <w:instrText xml:space="preserve"> PAGE  \* MERGEFORMAT </w:instrText>
    </w:r>
    <w:r>
      <w:fldChar w:fldCharType="separate"/>
    </w:r>
    <w:r w:rsidR="00C8794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8A" w:rsidRDefault="00CA7A8A" w:rsidP="00477D6B">
    <w:pPr>
      <w:jc w:val="right"/>
    </w:pPr>
    <w:r>
      <w:t>PCT/WG/16/4</w:t>
    </w:r>
  </w:p>
  <w:p w:rsidR="00CA7A8A" w:rsidRDefault="00CA7A8A" w:rsidP="00B8283E">
    <w:pPr>
      <w:spacing w:after="480"/>
      <w:jc w:val="right"/>
    </w:pPr>
    <w:r>
      <w:t>page</w:t>
    </w:r>
    <w:r w:rsidR="00F44BF5">
      <w:t> </w:t>
    </w:r>
    <w:r>
      <w:fldChar w:fldCharType="begin"/>
    </w:r>
    <w:r>
      <w:instrText xml:space="preserve"> PAGE  \* MERGEFORMAT </w:instrText>
    </w:r>
    <w:r>
      <w:fldChar w:fldCharType="separate"/>
    </w:r>
    <w:r w:rsidR="00C87946">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BF5" w:rsidRDefault="00F44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E72" w:rsidRDefault="00900E72" w:rsidP="00900E72">
    <w:pPr>
      <w:jc w:val="right"/>
    </w:pPr>
    <w:r>
      <w:t>PCT/WG/16/4</w:t>
    </w:r>
  </w:p>
  <w:p w:rsidR="00900E72" w:rsidRDefault="00900E72" w:rsidP="00900E72">
    <w:pPr>
      <w:spacing w:after="480"/>
      <w:jc w:val="right"/>
    </w:pPr>
    <w:r>
      <w:t>Annexe, page </w:t>
    </w:r>
    <w:r>
      <w:fldChar w:fldCharType="begin"/>
    </w:r>
    <w:r>
      <w:instrText xml:space="preserve"> PAGE  \* MERGEFORMAT </w:instrText>
    </w:r>
    <w:r>
      <w:fldChar w:fldCharType="separate"/>
    </w:r>
    <w:r w:rsidR="00C87946">
      <w:rPr>
        <w:noProof/>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CA7A8A" w:rsidP="00477D6B">
    <w:pPr>
      <w:jc w:val="right"/>
    </w:pPr>
    <w:r>
      <w:t>PCT/WG/16/4</w:t>
    </w:r>
  </w:p>
  <w:p w:rsidR="004F4E31" w:rsidRDefault="00B8283E" w:rsidP="00B8283E">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C87946">
      <w:rPr>
        <w:noProof/>
      </w:rPr>
      <w:t>3</w:t>
    </w:r>
    <w:r w:rsidR="00F1697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83E" w:rsidRDefault="00B8283E" w:rsidP="00B8283E">
    <w:pPr>
      <w:jc w:val="right"/>
    </w:pPr>
    <w:r>
      <w:t>PCT/WG/16/4</w:t>
    </w:r>
  </w:p>
  <w:p w:rsidR="00B8283E" w:rsidRDefault="00B8283E" w:rsidP="00B8283E">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8A"/>
    <w:rsid w:val="00011B7D"/>
    <w:rsid w:val="00075432"/>
    <w:rsid w:val="000C198B"/>
    <w:rsid w:val="000F3F68"/>
    <w:rsid w:val="000F5E56"/>
    <w:rsid w:val="00112637"/>
    <w:rsid w:val="001362EE"/>
    <w:rsid w:val="001832A6"/>
    <w:rsid w:val="00195C6E"/>
    <w:rsid w:val="001B20C2"/>
    <w:rsid w:val="001B266A"/>
    <w:rsid w:val="001D3D56"/>
    <w:rsid w:val="00240654"/>
    <w:rsid w:val="002634C4"/>
    <w:rsid w:val="002D4918"/>
    <w:rsid w:val="002E4D1A"/>
    <w:rsid w:val="002F16BC"/>
    <w:rsid w:val="002F4E68"/>
    <w:rsid w:val="00315FCA"/>
    <w:rsid w:val="003165BF"/>
    <w:rsid w:val="003845C1"/>
    <w:rsid w:val="003A1BCD"/>
    <w:rsid w:val="004008A2"/>
    <w:rsid w:val="004025DF"/>
    <w:rsid w:val="00423E3E"/>
    <w:rsid w:val="00427AF4"/>
    <w:rsid w:val="004647DA"/>
    <w:rsid w:val="00477D6B"/>
    <w:rsid w:val="0048376D"/>
    <w:rsid w:val="004D6471"/>
    <w:rsid w:val="004F4E31"/>
    <w:rsid w:val="00525B63"/>
    <w:rsid w:val="00547476"/>
    <w:rsid w:val="00561DB8"/>
    <w:rsid w:val="00567A4C"/>
    <w:rsid w:val="0057601F"/>
    <w:rsid w:val="005E6516"/>
    <w:rsid w:val="00605827"/>
    <w:rsid w:val="00676936"/>
    <w:rsid w:val="006B0DB5"/>
    <w:rsid w:val="006E4243"/>
    <w:rsid w:val="007461F1"/>
    <w:rsid w:val="0075224E"/>
    <w:rsid w:val="007D0CB1"/>
    <w:rsid w:val="007D6961"/>
    <w:rsid w:val="007E6526"/>
    <w:rsid w:val="007F07CB"/>
    <w:rsid w:val="00810CEF"/>
    <w:rsid w:val="0081208D"/>
    <w:rsid w:val="00842A13"/>
    <w:rsid w:val="00892E32"/>
    <w:rsid w:val="008A1911"/>
    <w:rsid w:val="008B2CC1"/>
    <w:rsid w:val="008E7930"/>
    <w:rsid w:val="00900E72"/>
    <w:rsid w:val="0090731E"/>
    <w:rsid w:val="00966A22"/>
    <w:rsid w:val="00974CD6"/>
    <w:rsid w:val="009D30E6"/>
    <w:rsid w:val="009E3F6F"/>
    <w:rsid w:val="009F499F"/>
    <w:rsid w:val="00A003A7"/>
    <w:rsid w:val="00A02BD3"/>
    <w:rsid w:val="00AA1F20"/>
    <w:rsid w:val="00AC0AE4"/>
    <w:rsid w:val="00AD61DB"/>
    <w:rsid w:val="00AE7C04"/>
    <w:rsid w:val="00B33B43"/>
    <w:rsid w:val="00B4541C"/>
    <w:rsid w:val="00B8283E"/>
    <w:rsid w:val="00B87BCF"/>
    <w:rsid w:val="00BA62D4"/>
    <w:rsid w:val="00BB16AB"/>
    <w:rsid w:val="00C40E15"/>
    <w:rsid w:val="00C664C8"/>
    <w:rsid w:val="00C764A0"/>
    <w:rsid w:val="00C76A79"/>
    <w:rsid w:val="00C87946"/>
    <w:rsid w:val="00CA15F5"/>
    <w:rsid w:val="00CA7A8A"/>
    <w:rsid w:val="00CB5950"/>
    <w:rsid w:val="00CF0460"/>
    <w:rsid w:val="00D0243F"/>
    <w:rsid w:val="00D04414"/>
    <w:rsid w:val="00D45252"/>
    <w:rsid w:val="00D71B4D"/>
    <w:rsid w:val="00D75C1E"/>
    <w:rsid w:val="00D93D55"/>
    <w:rsid w:val="00DB0349"/>
    <w:rsid w:val="00DD6A16"/>
    <w:rsid w:val="00E0091A"/>
    <w:rsid w:val="00E203AA"/>
    <w:rsid w:val="00E527A5"/>
    <w:rsid w:val="00E76456"/>
    <w:rsid w:val="00EE71CB"/>
    <w:rsid w:val="00F16975"/>
    <w:rsid w:val="00F44BF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9777810-A80A-4F5A-BD43-6C58621A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4541C"/>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semiHidden/>
    <w:unhideWhenUsed/>
    <w:rsid w:val="00CA7A8A"/>
    <w:rPr>
      <w:vertAlign w:val="superscript"/>
    </w:rPr>
  </w:style>
  <w:style w:type="paragraph" w:customStyle="1" w:styleId="LegTitle">
    <w:name w:val="Leg # Title"/>
    <w:basedOn w:val="Normal"/>
    <w:next w:val="Normal"/>
    <w:rsid w:val="00CA7A8A"/>
    <w:pPr>
      <w:keepNext/>
      <w:keepLines/>
      <w:pageBreakBefore/>
      <w:spacing w:before="240" w:after="48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CA7A8A"/>
    <w:pPr>
      <w:keepNext/>
      <w:keepLines/>
      <w:spacing w:after="240" w:line="360" w:lineRule="auto"/>
      <w:ind w:left="567" w:hanging="567"/>
    </w:pPr>
    <w:rPr>
      <w:rFonts w:eastAsia="Times New Roman" w:cs="Times New Roman"/>
      <w:noProof/>
      <w:snapToGrid w:val="0"/>
      <w:lang w:val="fr-FR" w:eastAsia="en-US"/>
    </w:rPr>
  </w:style>
  <w:style w:type="paragraph" w:customStyle="1" w:styleId="Lega">
    <w:name w:val="Leg (a)"/>
    <w:basedOn w:val="Normal"/>
    <w:rsid w:val="00CA7A8A"/>
    <w:pPr>
      <w:spacing w:after="240" w:line="360" w:lineRule="auto"/>
    </w:pPr>
    <w:rPr>
      <w:rFonts w:eastAsia="Times New Roman" w:cs="Times New Roman"/>
      <w:noProof/>
      <w:snapToGrid w:val="0"/>
      <w:lang w:val="fr-FR" w:eastAsia="en-US"/>
    </w:rPr>
  </w:style>
  <w:style w:type="character" w:customStyle="1" w:styleId="Deletedtext">
    <w:name w:val="Deleted text"/>
    <w:basedOn w:val="DefaultParagraphFont"/>
    <w:uiPriority w:val="1"/>
    <w:qFormat/>
    <w:rsid w:val="00CA7A8A"/>
    <w:rPr>
      <w:strike/>
      <w:dstrike w:val="0"/>
      <w:color w:val="FF0000"/>
    </w:rPr>
  </w:style>
  <w:style w:type="character" w:customStyle="1" w:styleId="Insertedtext">
    <w:name w:val="Inserted text"/>
    <w:basedOn w:val="DefaultParagraphFont"/>
    <w:uiPriority w:val="1"/>
    <w:qFormat/>
    <w:rsid w:val="00CA7A8A"/>
    <w:rPr>
      <w:color w:val="0000FF"/>
      <w:u w:val="single"/>
    </w:rPr>
  </w:style>
  <w:style w:type="paragraph" w:styleId="TOC2">
    <w:name w:val="toc 2"/>
    <w:basedOn w:val="Normal"/>
    <w:next w:val="Normal"/>
    <w:autoRedefine/>
    <w:uiPriority w:val="39"/>
    <w:unhideWhenUsed/>
    <w:rsid w:val="00CA7A8A"/>
    <w:pPr>
      <w:spacing w:after="100"/>
      <w:ind w:left="220"/>
    </w:pPr>
    <w:rPr>
      <w:lang w:val="fr-FR"/>
    </w:rPr>
  </w:style>
  <w:style w:type="paragraph" w:styleId="TOC1">
    <w:name w:val="toc 1"/>
    <w:basedOn w:val="Normal"/>
    <w:next w:val="Normal"/>
    <w:autoRedefine/>
    <w:uiPriority w:val="39"/>
    <w:unhideWhenUsed/>
    <w:rsid w:val="00CA7A8A"/>
    <w:pPr>
      <w:spacing w:after="100"/>
    </w:pPr>
    <w:rPr>
      <w:lang w:val="fr-FR"/>
    </w:rPr>
  </w:style>
  <w:style w:type="character" w:styleId="Hyperlink">
    <w:name w:val="Hyperlink"/>
    <w:basedOn w:val="DefaultParagraphFont"/>
    <w:uiPriority w:val="99"/>
    <w:unhideWhenUsed/>
    <w:rsid w:val="00CA7A8A"/>
    <w:rPr>
      <w:color w:val="0000FF" w:themeColor="hyperlink"/>
      <w:u w:val="single"/>
    </w:rPr>
  </w:style>
  <w:style w:type="paragraph" w:styleId="TOC3">
    <w:name w:val="toc 3"/>
    <w:basedOn w:val="Normal"/>
    <w:next w:val="Normal"/>
    <w:autoRedefine/>
    <w:uiPriority w:val="39"/>
    <w:unhideWhenUsed/>
    <w:rsid w:val="0057601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1898</Words>
  <Characters>11001</Characters>
  <Application>Microsoft Office Word</Application>
  <DocSecurity>0</DocSecurity>
  <Lines>190</Lines>
  <Paragraphs>64</Paragraphs>
  <ScaleCrop>false</ScaleCrop>
  <HeadingPairs>
    <vt:vector size="2" baseType="variant">
      <vt:variant>
        <vt:lpstr>Title</vt:lpstr>
      </vt:variant>
      <vt:variant>
        <vt:i4>1</vt:i4>
      </vt:variant>
    </vt:vector>
  </HeadingPairs>
  <TitlesOfParts>
    <vt:vector size="1" baseType="lpstr">
      <vt:lpstr>PCT/WG/16/4</vt:lpstr>
    </vt:vector>
  </TitlesOfParts>
  <Company>WIPO</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PCT/WG/16/4</dc:title>
  <dc:creator>OLIVIÉ Karen</dc:creator>
  <cp:keywords>PUBLIC</cp:keywords>
  <cp:lastModifiedBy>MARLOW Thomas</cp:lastModifiedBy>
  <cp:revision>5</cp:revision>
  <cp:lastPrinted>2011-05-19T12:37:00Z</cp:lastPrinted>
  <dcterms:created xsi:type="dcterms:W3CDTF">2023-01-18T15:33:00Z</dcterms:created>
  <dcterms:modified xsi:type="dcterms:W3CDTF">2023-01-18T15:35:00Z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