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7AC5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530A31A" wp14:editId="75EDF5F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502A0B5" wp14:editId="10DC29C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69D52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C8DB9DF" w14:textId="77777777" w:rsidR="008B2CC1" w:rsidRPr="00DB0349" w:rsidRDefault="00FC45E7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AE7C04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AE7C04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1</w:t>
      </w:r>
      <w:r w:rsidR="004010C2">
        <w:rPr>
          <w:rFonts w:ascii="Arial Black" w:hAnsi="Arial Black"/>
          <w:caps/>
          <w:sz w:val="15"/>
          <w:szCs w:val="15"/>
        </w:rPr>
        <w:t>7</w:t>
      </w:r>
      <w:r w:rsidR="00D04414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762560">
        <w:rPr>
          <w:rFonts w:ascii="Arial Black" w:hAnsi="Arial Black"/>
          <w:caps/>
          <w:sz w:val="15"/>
          <w:szCs w:val="15"/>
        </w:rPr>
        <w:t>1 Prov.2</w:t>
      </w:r>
    </w:p>
    <w:bookmarkEnd w:id="0"/>
    <w:p w14:paraId="142085D8" w14:textId="079B5C4E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3D333F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762560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3EBB5D40" w14:textId="62AF6413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3D333F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762560">
        <w:rPr>
          <w:rFonts w:ascii="Arial Black" w:hAnsi="Arial Black"/>
          <w:caps/>
          <w:sz w:val="15"/>
          <w:szCs w:val="15"/>
        </w:rPr>
        <w:t>26 janvier 2024</w:t>
      </w:r>
    </w:p>
    <w:bookmarkEnd w:id="2"/>
    <w:p w14:paraId="34F5396A" w14:textId="77777777" w:rsidR="00C40E15" w:rsidRPr="00DB0349" w:rsidRDefault="00BB16AB" w:rsidP="00A003A7">
      <w:pPr>
        <w:spacing w:after="600"/>
        <w:rPr>
          <w:b/>
          <w:sz w:val="28"/>
          <w:szCs w:val="28"/>
        </w:rPr>
      </w:pPr>
      <w:r w:rsidRPr="00BB16AB">
        <w:rPr>
          <w:b/>
          <w:sz w:val="28"/>
          <w:szCs w:val="28"/>
          <w:lang w:val="fr-FR"/>
        </w:rPr>
        <w:t>Groupe de travail du Traité de coopération en matière de brevets (PCT</w:t>
      </w:r>
      <w:r>
        <w:rPr>
          <w:b/>
          <w:sz w:val="28"/>
          <w:szCs w:val="28"/>
          <w:lang w:val="fr-FR"/>
        </w:rPr>
        <w:t>)</w:t>
      </w:r>
    </w:p>
    <w:p w14:paraId="3EA87731" w14:textId="75F6858E" w:rsidR="008B2CC1" w:rsidRPr="003845C1" w:rsidRDefault="004010C2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Dix</w:t>
      </w:r>
      <w:r w:rsidR="00876D45">
        <w:rPr>
          <w:b/>
          <w:sz w:val="24"/>
          <w:szCs w:val="24"/>
          <w:lang w:val="fr-FR"/>
        </w:rPr>
        <w:noBreakHyphen/>
      </w:r>
      <w:r>
        <w:rPr>
          <w:b/>
          <w:sz w:val="24"/>
          <w:szCs w:val="24"/>
          <w:lang w:val="fr-FR"/>
        </w:rPr>
        <w:t>sept</w:t>
      </w:r>
      <w:r w:rsidR="003D333F">
        <w:rPr>
          <w:b/>
          <w:sz w:val="24"/>
          <w:szCs w:val="24"/>
          <w:lang w:val="fr-FR"/>
        </w:rPr>
        <w:t>ième session</w:t>
      </w:r>
    </w:p>
    <w:p w14:paraId="5FF16AEA" w14:textId="77777777" w:rsidR="008B2CC1" w:rsidRPr="003845C1" w:rsidRDefault="00BB16AB" w:rsidP="00DB0349">
      <w:pPr>
        <w:spacing w:after="720"/>
        <w:rPr>
          <w:b/>
          <w:sz w:val="24"/>
          <w:szCs w:val="24"/>
        </w:rPr>
      </w:pPr>
      <w:r w:rsidRPr="00F0691F">
        <w:rPr>
          <w:b/>
          <w:sz w:val="24"/>
          <w:szCs w:val="24"/>
          <w:lang w:val="fr-FR"/>
        </w:rPr>
        <w:t>Gen</w:t>
      </w:r>
      <w:r>
        <w:rPr>
          <w:b/>
          <w:sz w:val="24"/>
          <w:szCs w:val="24"/>
          <w:lang w:val="fr-FR"/>
        </w:rPr>
        <w:t xml:space="preserve">ève, </w:t>
      </w:r>
      <w:r w:rsidR="004010C2">
        <w:rPr>
          <w:b/>
          <w:sz w:val="24"/>
          <w:szCs w:val="24"/>
          <w:lang w:val="fr-FR"/>
        </w:rPr>
        <w:t>19 – 21 février</w:t>
      </w:r>
      <w:r w:rsidR="004010C2" w:rsidRPr="00F0691F">
        <w:rPr>
          <w:b/>
          <w:sz w:val="24"/>
          <w:szCs w:val="24"/>
          <w:lang w:val="fr-FR"/>
        </w:rPr>
        <w:t> </w:t>
      </w:r>
      <w:r w:rsidR="004010C2">
        <w:rPr>
          <w:b/>
          <w:sz w:val="24"/>
          <w:szCs w:val="24"/>
          <w:lang w:val="fr-FR"/>
        </w:rPr>
        <w:t>2024</w:t>
      </w:r>
    </w:p>
    <w:p w14:paraId="4B9F8439" w14:textId="09DDF4A1" w:rsidR="00AE7C04" w:rsidRPr="00842A13" w:rsidRDefault="00762560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</w:t>
      </w:r>
      <w:r w:rsidR="003D333F">
        <w:rPr>
          <w:caps/>
          <w:sz w:val="24"/>
        </w:rPr>
        <w:t>’</w:t>
      </w:r>
      <w:r>
        <w:rPr>
          <w:caps/>
          <w:sz w:val="24"/>
        </w:rPr>
        <w:t>ordre du jour révisé</w:t>
      </w:r>
    </w:p>
    <w:p w14:paraId="41A06A28" w14:textId="20ECCDB6" w:rsidR="00525B63" w:rsidRPr="00A003A7" w:rsidRDefault="00762560" w:rsidP="00DB0349">
      <w:pPr>
        <w:spacing w:after="960"/>
        <w:rPr>
          <w:i/>
        </w:rPr>
      </w:pPr>
      <w:bookmarkStart w:id="4" w:name="Prepared"/>
      <w:bookmarkEnd w:id="3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bookmarkEnd w:id="4"/>
    <w:p w14:paraId="7CAFAF17" w14:textId="77777777" w:rsidR="00762560" w:rsidRDefault="00762560" w:rsidP="00E05FC2">
      <w:pPr>
        <w:pStyle w:val="ONUMFS"/>
        <w:ind w:left="567" w:hanging="567"/>
      </w:pPr>
      <w:r>
        <w:t>Ouverture de la session</w:t>
      </w:r>
    </w:p>
    <w:p w14:paraId="7ADCFDD6" w14:textId="06D8A507" w:rsidR="00762560" w:rsidRDefault="00762560" w:rsidP="00E05FC2">
      <w:pPr>
        <w:pStyle w:val="ONUMFS"/>
        <w:ind w:left="1134" w:hanging="1134"/>
      </w:pPr>
      <w:r>
        <w:t>Adoption de l</w:t>
      </w:r>
      <w:r w:rsidR="003D333F">
        <w:t>’</w:t>
      </w:r>
      <w:r>
        <w:t>ordre du jour</w:t>
      </w:r>
      <w:r>
        <w:br/>
        <w:t>Voir le document</w:t>
      </w:r>
      <w:r w:rsidR="00876D45">
        <w:t> </w:t>
      </w:r>
      <w:r>
        <w:t>PCT/WG/17/1</w:t>
      </w:r>
      <w:r w:rsidR="00100EEA">
        <w:t> </w:t>
      </w:r>
      <w:r>
        <w:t>Prov.2.</w:t>
      </w:r>
    </w:p>
    <w:p w14:paraId="0B02FDF2" w14:textId="1F9E370B" w:rsidR="00762560" w:rsidRDefault="00762560" w:rsidP="00E05FC2">
      <w:pPr>
        <w:pStyle w:val="ONUMFS"/>
      </w:pPr>
      <w:r>
        <w:t>Élection du deuxième vice</w:t>
      </w:r>
      <w:r w:rsidR="00876D45">
        <w:noBreakHyphen/>
      </w:r>
      <w:r>
        <w:t>président de la session et du bureau de la dix</w:t>
      </w:r>
      <w:r w:rsidR="00876D45">
        <w:noBreakHyphen/>
      </w:r>
      <w:r>
        <w:t>huit</w:t>
      </w:r>
      <w:r w:rsidR="003D333F">
        <w:t>ième session</w:t>
      </w:r>
    </w:p>
    <w:p w14:paraId="0CD4E27E" w14:textId="7F938D80" w:rsidR="00762560" w:rsidRDefault="00762560" w:rsidP="00E05FC2">
      <w:pPr>
        <w:pStyle w:val="ONUMFS"/>
      </w:pPr>
      <w:r>
        <w:t>Statistiques</w:t>
      </w:r>
      <w:r w:rsidR="003D333F">
        <w:t xml:space="preserve"> du PCT</w:t>
      </w:r>
    </w:p>
    <w:p w14:paraId="045C99C3" w14:textId="4CD2A997" w:rsidR="00E05FC2" w:rsidRDefault="00762560" w:rsidP="00E05FC2">
      <w:pPr>
        <w:pStyle w:val="ONUMFS"/>
        <w:ind w:left="567" w:hanging="567"/>
        <w:contextualSpacing/>
      </w:pPr>
      <w:r>
        <w:t>Réunion des administrations internationales instituées en vertu du PCT</w:t>
      </w:r>
      <w:r w:rsidR="003D333F">
        <w:t> :</w:t>
      </w:r>
      <w:r>
        <w:t xml:space="preserve"> Rapport de la trent</w:t>
      </w:r>
      <w:r w:rsidR="003D333F">
        <w:t>ième session</w:t>
      </w:r>
    </w:p>
    <w:p w14:paraId="5E01AA61" w14:textId="6925DF94" w:rsidR="00762560" w:rsidRDefault="00762560" w:rsidP="00E05FC2">
      <w:pPr>
        <w:pStyle w:val="ONUMFS"/>
        <w:numPr>
          <w:ilvl w:val="0"/>
          <w:numId w:val="0"/>
        </w:numPr>
        <w:ind w:left="1134"/>
      </w:pPr>
      <w:r>
        <w:t>Voir le document</w:t>
      </w:r>
      <w:r w:rsidR="00876D45">
        <w:t> </w:t>
      </w:r>
      <w:r>
        <w:t>PCT/WG/17/2.</w:t>
      </w:r>
    </w:p>
    <w:p w14:paraId="00F22455" w14:textId="1115792A" w:rsidR="00762560" w:rsidRDefault="00762560" w:rsidP="00E05FC2">
      <w:pPr>
        <w:pStyle w:val="ONUMFS"/>
        <w:ind w:left="1134" w:hanging="1134"/>
      </w:pPr>
      <w:r>
        <w:t>Coordination de l</w:t>
      </w:r>
      <w:r w:rsidR="003D333F">
        <w:t>’</w:t>
      </w:r>
      <w:r>
        <w:t>assistance technique relevant</w:t>
      </w:r>
      <w:r w:rsidR="003D333F">
        <w:t xml:space="preserve"> du PCT</w:t>
      </w:r>
      <w:r>
        <w:br/>
        <w:t>Voir le document</w:t>
      </w:r>
      <w:r w:rsidR="00876D45">
        <w:t> </w:t>
      </w:r>
      <w:r>
        <w:t>PCT/WG/17/19.</w:t>
      </w:r>
    </w:p>
    <w:p w14:paraId="6468833B" w14:textId="4C33D925" w:rsidR="00762560" w:rsidRDefault="00762560" w:rsidP="00E05FC2">
      <w:pPr>
        <w:pStyle w:val="ONUMFS"/>
        <w:ind w:left="1134" w:hanging="1134"/>
      </w:pPr>
      <w:r>
        <w:t>Coordination de la formation des examinateurs de brevets</w:t>
      </w:r>
      <w:r>
        <w:br/>
        <w:t>Voir le document</w:t>
      </w:r>
      <w:r w:rsidR="00876D45">
        <w:t> </w:t>
      </w:r>
      <w:r>
        <w:t>PCT/WG/17/11.</w:t>
      </w:r>
    </w:p>
    <w:p w14:paraId="187F4AAD" w14:textId="2D3EBE62" w:rsidR="00762560" w:rsidRPr="00CA06FB" w:rsidRDefault="00762560" w:rsidP="00E05FC2">
      <w:pPr>
        <w:pStyle w:val="ONUMFS"/>
        <w:ind w:left="1134" w:hanging="1134"/>
      </w:pPr>
      <w:r>
        <w:t>Services en ligne</w:t>
      </w:r>
      <w:r w:rsidR="003D333F">
        <w:t xml:space="preserve"> du PCT</w:t>
      </w:r>
      <w:r>
        <w:br/>
        <w:t>Voir le document</w:t>
      </w:r>
      <w:r w:rsidR="00876D45">
        <w:t> </w:t>
      </w:r>
      <w:r>
        <w:t>PCT/WG/17/20.</w:t>
      </w:r>
    </w:p>
    <w:p w14:paraId="66607E6D" w14:textId="238244CC" w:rsidR="00762560" w:rsidRDefault="00762560" w:rsidP="00E05FC2">
      <w:pPr>
        <w:pStyle w:val="ONUMFS"/>
        <w:ind w:left="1134" w:hanging="1134"/>
      </w:pPr>
      <w:r>
        <w:t xml:space="preserve">Mode de dépôt des demandes internationales et des documents connexes </w:t>
      </w:r>
      <w:r>
        <w:br/>
        <w:t>Voir le document</w:t>
      </w:r>
      <w:r w:rsidR="00876D45">
        <w:t> </w:t>
      </w:r>
      <w:r>
        <w:t>PCT/WG/17/15.</w:t>
      </w:r>
    </w:p>
    <w:p w14:paraId="1EDF028D" w14:textId="308BF60B" w:rsidR="00762560" w:rsidRDefault="00762560" w:rsidP="00E05FC2">
      <w:pPr>
        <w:pStyle w:val="ONUMFS"/>
        <w:ind w:left="1134" w:hanging="1134"/>
      </w:pPr>
      <w:r>
        <w:lastRenderedPageBreak/>
        <w:t>Mesures juridiques d</w:t>
      </w:r>
      <w:r w:rsidR="003D333F">
        <w:t>’</w:t>
      </w:r>
      <w:r>
        <w:t>appui au traitement électronique</w:t>
      </w:r>
      <w:r>
        <w:br/>
        <w:t>Voir le document</w:t>
      </w:r>
      <w:r w:rsidR="00876D45">
        <w:t> </w:t>
      </w:r>
      <w:r>
        <w:t>PCT/WG/17/9.</w:t>
      </w:r>
    </w:p>
    <w:p w14:paraId="6C71A4BA" w14:textId="115D3CF9" w:rsidR="00762560" w:rsidRDefault="00762560" w:rsidP="00E05FC2">
      <w:pPr>
        <w:pStyle w:val="ONUMFS"/>
        <w:ind w:left="1134" w:hanging="1134"/>
      </w:pPr>
      <w:r>
        <w:t>Protection des données personnelles dans le cadre</w:t>
      </w:r>
      <w:r w:rsidR="003D333F">
        <w:t xml:space="preserve"> du PCT</w:t>
      </w:r>
      <w:r>
        <w:br/>
        <w:t>Voir le document</w:t>
      </w:r>
      <w:r w:rsidR="00876D45">
        <w:t> </w:t>
      </w:r>
      <w:r>
        <w:t>PCT/WG/17/8.</w:t>
      </w:r>
    </w:p>
    <w:p w14:paraId="5EC954AD" w14:textId="22CCA6D4" w:rsidR="00762560" w:rsidRDefault="00762560" w:rsidP="00E05FC2">
      <w:pPr>
        <w:pStyle w:val="ONUMFS"/>
        <w:ind w:left="1134" w:hanging="1134"/>
      </w:pPr>
      <w:r>
        <w:t>Langues de communication avec le Bureau international</w:t>
      </w:r>
      <w:r>
        <w:br/>
        <w:t>Voir le document</w:t>
      </w:r>
      <w:r w:rsidR="00876D45">
        <w:t> </w:t>
      </w:r>
      <w:r>
        <w:t>PCT/WG/17/6.</w:t>
      </w:r>
    </w:p>
    <w:p w14:paraId="17C8F74A" w14:textId="41D9D814" w:rsidR="00E05FC2" w:rsidRDefault="00762560" w:rsidP="00E05FC2">
      <w:pPr>
        <w:pStyle w:val="ONUMFS"/>
        <w:ind w:left="567" w:hanging="567"/>
        <w:contextualSpacing/>
      </w:pPr>
      <w:r>
        <w:t xml:space="preserve">Nouvelle modification de la </w:t>
      </w:r>
      <w:r w:rsidR="003D333F">
        <w:t>règle 2</w:t>
      </w:r>
      <w:r>
        <w:t>6.3</w:t>
      </w:r>
      <w:r w:rsidRPr="00EC4FEC">
        <w:rPr>
          <w:i/>
        </w:rPr>
        <w:t>ter</w:t>
      </w:r>
      <w:r>
        <w:t xml:space="preserve"> – Invitation à corriger des irrégularités en vertu de l</w:t>
      </w:r>
      <w:r w:rsidR="003D333F">
        <w:t>’</w:t>
      </w:r>
      <w:r>
        <w:t>article </w:t>
      </w:r>
      <w:proofErr w:type="gramStart"/>
      <w:r>
        <w:t>3.4)i</w:t>
      </w:r>
      <w:proofErr w:type="gramEnd"/>
      <w:r>
        <w:t>)</w:t>
      </w:r>
    </w:p>
    <w:p w14:paraId="6CC25A45" w14:textId="59870819" w:rsidR="00762560" w:rsidRDefault="00762560" w:rsidP="00E05FC2">
      <w:pPr>
        <w:pStyle w:val="ONUMFS"/>
        <w:numPr>
          <w:ilvl w:val="0"/>
          <w:numId w:val="0"/>
        </w:numPr>
        <w:ind w:left="1134"/>
      </w:pPr>
      <w:r>
        <w:t>Voir le document</w:t>
      </w:r>
      <w:r w:rsidR="00876D45">
        <w:t> </w:t>
      </w:r>
      <w:r>
        <w:t>PCT/WG/17/7.</w:t>
      </w:r>
    </w:p>
    <w:p w14:paraId="770DF8B5" w14:textId="5A52F3CD" w:rsidR="00762560" w:rsidRDefault="00762560" w:rsidP="00E05FC2">
      <w:pPr>
        <w:pStyle w:val="ONUMFS"/>
        <w:ind w:left="1134" w:hanging="1134"/>
      </w:pPr>
      <w:r>
        <w:t xml:space="preserve">Citation de divulgations non écrites </w:t>
      </w:r>
      <w:r>
        <w:br/>
        <w:t>Voir le document</w:t>
      </w:r>
      <w:r w:rsidR="00876D45">
        <w:t> </w:t>
      </w:r>
      <w:r>
        <w:t>PCT/WG/17/10.</w:t>
      </w:r>
    </w:p>
    <w:p w14:paraId="6E0B2A77" w14:textId="6ACF7950" w:rsidR="00762560" w:rsidRDefault="00762560" w:rsidP="00E05FC2">
      <w:pPr>
        <w:pStyle w:val="ONUMFS"/>
        <w:ind w:left="1134" w:hanging="1134"/>
      </w:pPr>
      <w:r>
        <w:t>Rapport de l</w:t>
      </w:r>
      <w:r w:rsidR="003D333F">
        <w:t>’</w:t>
      </w:r>
      <w:r>
        <w:t>enquête sur les stratégies de recherche</w:t>
      </w:r>
      <w:r>
        <w:br/>
        <w:t>Voir le document</w:t>
      </w:r>
      <w:r w:rsidR="00876D45">
        <w:t> </w:t>
      </w:r>
      <w:r>
        <w:t>PCT/WG/17/14.</w:t>
      </w:r>
    </w:p>
    <w:p w14:paraId="3D691B08" w14:textId="7789BCBE" w:rsidR="00762560" w:rsidRDefault="00762560" w:rsidP="00E05FC2">
      <w:pPr>
        <w:pStyle w:val="ONUMFS"/>
        <w:ind w:left="1134" w:hanging="1134"/>
      </w:pPr>
      <w:r>
        <w:t>Dessins en couleur</w:t>
      </w:r>
      <w:r>
        <w:br/>
        <w:t>Voir le document</w:t>
      </w:r>
      <w:r w:rsidR="00876D45">
        <w:t> </w:t>
      </w:r>
      <w:r>
        <w:t>PCT/WG/17/12.</w:t>
      </w:r>
    </w:p>
    <w:p w14:paraId="043EC8DE" w14:textId="6E5B0745" w:rsidR="00762560" w:rsidRDefault="00762560" w:rsidP="00E05FC2">
      <w:pPr>
        <w:pStyle w:val="ONUMFS"/>
        <w:ind w:left="1134" w:hanging="1134"/>
      </w:pPr>
      <w:r>
        <w:t>Identifiant mondial dans le cadre</w:t>
      </w:r>
      <w:r w:rsidR="003D333F">
        <w:t xml:space="preserve"> du PCT</w:t>
      </w:r>
      <w:r>
        <w:br/>
        <w:t>Voir le document</w:t>
      </w:r>
      <w:r w:rsidR="00876D45">
        <w:t> </w:t>
      </w:r>
      <w:r>
        <w:t>PCT/WG/17/13.</w:t>
      </w:r>
    </w:p>
    <w:p w14:paraId="07247FA9" w14:textId="77777777" w:rsidR="00E05FC2" w:rsidRDefault="00762560" w:rsidP="00E05FC2">
      <w:pPr>
        <w:pStyle w:val="ONUMFS"/>
        <w:ind w:left="567" w:hanging="567"/>
        <w:contextualSpacing/>
      </w:pPr>
      <w:r>
        <w:t>Critères de réduction des taxes accordées aux déposants de certains pays, notamment des pays en développement et des pays de la catégorie des moins avancés</w:t>
      </w:r>
    </w:p>
    <w:p w14:paraId="77ACA0A5" w14:textId="7795F70F" w:rsidR="00762560" w:rsidRDefault="00762560" w:rsidP="00E05FC2">
      <w:pPr>
        <w:pStyle w:val="ONUMFS"/>
        <w:numPr>
          <w:ilvl w:val="0"/>
          <w:numId w:val="0"/>
        </w:numPr>
        <w:ind w:left="1134"/>
      </w:pPr>
      <w:r>
        <w:t>Voir le document</w:t>
      </w:r>
      <w:r w:rsidR="00876D45">
        <w:t> </w:t>
      </w:r>
      <w:r>
        <w:t>PCT/WG/17/5.</w:t>
      </w:r>
    </w:p>
    <w:p w14:paraId="349BDC65" w14:textId="77777777" w:rsidR="00762560" w:rsidRDefault="00762560" w:rsidP="00E05FC2">
      <w:pPr>
        <w:pStyle w:val="ONUMFS"/>
      </w:pPr>
      <w:r>
        <w:t>Listages de séquences</w:t>
      </w:r>
    </w:p>
    <w:p w14:paraId="5A62CB4F" w14:textId="15A86713" w:rsidR="00762560" w:rsidRDefault="00762560" w:rsidP="00E05FC2">
      <w:pPr>
        <w:pStyle w:val="ONUMFS"/>
        <w:numPr>
          <w:ilvl w:val="1"/>
          <w:numId w:val="6"/>
        </w:numPr>
        <w:ind w:left="1701" w:hanging="1134"/>
      </w:pPr>
      <w:r>
        <w:t>Mise en œuvre de la norme</w:t>
      </w:r>
      <w:r w:rsidR="00100EEA">
        <w:t> </w:t>
      </w:r>
      <w:r>
        <w:t>ST.26 de l</w:t>
      </w:r>
      <w:r w:rsidR="003D333F">
        <w:t>’</w:t>
      </w:r>
      <w:r>
        <w:t>OMPI dans le cadre</w:t>
      </w:r>
      <w:r w:rsidR="003D333F">
        <w:t xml:space="preserve"> du PCT</w:t>
      </w:r>
      <w:r>
        <w:br/>
        <w:t>Voir le document</w:t>
      </w:r>
      <w:r w:rsidR="00876D45">
        <w:t> </w:t>
      </w:r>
      <w:r>
        <w:t>PCT/WG/17/3.</w:t>
      </w:r>
    </w:p>
    <w:p w14:paraId="69020A29" w14:textId="294A0D3C" w:rsidR="00E05FC2" w:rsidRDefault="00762560" w:rsidP="00E05FC2">
      <w:pPr>
        <w:pStyle w:val="ONUMFS"/>
        <w:numPr>
          <w:ilvl w:val="1"/>
          <w:numId w:val="6"/>
        </w:numPr>
        <w:ind w:left="1134" w:hanging="567"/>
        <w:contextualSpacing/>
      </w:pPr>
      <w:r>
        <w:t>Rapport sur l</w:t>
      </w:r>
      <w:r w:rsidR="003D333F">
        <w:t>’</w:t>
      </w:r>
      <w:r>
        <w:t>état d</w:t>
      </w:r>
      <w:r w:rsidR="003D333F">
        <w:t>’</w:t>
      </w:r>
      <w:r>
        <w:t>avancement des travaux de l</w:t>
      </w:r>
      <w:r w:rsidR="003D333F">
        <w:t>’</w:t>
      </w:r>
      <w:r>
        <w:t>équipe d</w:t>
      </w:r>
      <w:r w:rsidR="003D333F">
        <w:t>’</w:t>
      </w:r>
      <w:r>
        <w:t>experts chargée de la norme relative aux listages de séquences</w:t>
      </w:r>
    </w:p>
    <w:p w14:paraId="1B1E6D85" w14:textId="6D542FD4" w:rsidR="00762560" w:rsidRDefault="00762560" w:rsidP="00E05FC2">
      <w:pPr>
        <w:pStyle w:val="ONUMFS"/>
        <w:numPr>
          <w:ilvl w:val="0"/>
          <w:numId w:val="0"/>
        </w:numPr>
        <w:ind w:left="1701"/>
      </w:pPr>
      <w:r>
        <w:t>Voir le document</w:t>
      </w:r>
      <w:r w:rsidR="00876D45">
        <w:t> </w:t>
      </w:r>
      <w:r>
        <w:t>PCT/WG/17/18.</w:t>
      </w:r>
    </w:p>
    <w:p w14:paraId="795C364B" w14:textId="2E0C71F9" w:rsidR="00762560" w:rsidRDefault="00762560" w:rsidP="00E05FC2">
      <w:pPr>
        <w:pStyle w:val="ONUMFS"/>
        <w:numPr>
          <w:ilvl w:val="1"/>
          <w:numId w:val="6"/>
        </w:numPr>
        <w:ind w:left="1701" w:hanging="1134"/>
      </w:pPr>
      <w:r>
        <w:t>Transmission des listages de séquences dans le cadre des documents de priorité</w:t>
      </w:r>
      <w:r>
        <w:br/>
        <w:t>Voir le document</w:t>
      </w:r>
      <w:r w:rsidR="00876D45">
        <w:t> </w:t>
      </w:r>
      <w:r>
        <w:t>PCT/WG/17/4.</w:t>
      </w:r>
    </w:p>
    <w:p w14:paraId="03CEBF77" w14:textId="18EA8BB1" w:rsidR="00E05FC2" w:rsidRDefault="00762560" w:rsidP="00E05FC2">
      <w:pPr>
        <w:pStyle w:val="ONUMFS"/>
        <w:ind w:left="567" w:hanging="567"/>
        <w:contextualSpacing/>
      </w:pPr>
      <w:r>
        <w:t>Rapport sur l</w:t>
      </w:r>
      <w:r w:rsidR="003D333F">
        <w:t>’</w:t>
      </w:r>
      <w:r>
        <w:t>état d</w:t>
      </w:r>
      <w:r w:rsidR="003D333F">
        <w:t>’</w:t>
      </w:r>
      <w:r>
        <w:t>avancement des travaux des travaux de l</w:t>
      </w:r>
      <w:r w:rsidR="003D333F">
        <w:t>’</w:t>
      </w:r>
      <w:r>
        <w:t>équipe d</w:t>
      </w:r>
      <w:r w:rsidR="003D333F">
        <w:t>’</w:t>
      </w:r>
      <w:r>
        <w:t>experts chargée de la documentation minimale du PCT</w:t>
      </w:r>
    </w:p>
    <w:p w14:paraId="619BD72D" w14:textId="11413881" w:rsidR="00762560" w:rsidRDefault="00762560" w:rsidP="00E05FC2">
      <w:pPr>
        <w:pStyle w:val="ONUMFS"/>
        <w:numPr>
          <w:ilvl w:val="0"/>
          <w:numId w:val="0"/>
        </w:numPr>
        <w:ind w:left="1134"/>
      </w:pPr>
      <w:r>
        <w:t>Voir le document</w:t>
      </w:r>
      <w:r w:rsidR="00876D45">
        <w:t> </w:t>
      </w:r>
      <w:r>
        <w:t>PCT/WG/17/16.</w:t>
      </w:r>
    </w:p>
    <w:p w14:paraId="1FB318A0" w14:textId="78FDD76B" w:rsidR="00E05FC2" w:rsidRDefault="00762560" w:rsidP="00E05FC2">
      <w:pPr>
        <w:pStyle w:val="ONUMFS"/>
        <w:ind w:left="567" w:hanging="567"/>
        <w:contextualSpacing/>
      </w:pPr>
      <w:r>
        <w:t>Rapport final du projet de recherche et d</w:t>
      </w:r>
      <w:r w:rsidR="003D333F">
        <w:t>’</w:t>
      </w:r>
      <w:r>
        <w:t>examen en collaboration dans le cadre</w:t>
      </w:r>
      <w:r w:rsidR="003D333F">
        <w:t xml:space="preserve"> du PCT</w:t>
      </w:r>
      <w:r>
        <w:t xml:space="preserve"> mené par les offices de l</w:t>
      </w:r>
      <w:r w:rsidR="003D333F">
        <w:t>’</w:t>
      </w:r>
      <w:r>
        <w:t>IP5</w:t>
      </w:r>
    </w:p>
    <w:p w14:paraId="329AC3F9" w14:textId="33C14106" w:rsidR="00762560" w:rsidRDefault="00762560" w:rsidP="00E05FC2">
      <w:pPr>
        <w:pStyle w:val="ONUMFS"/>
        <w:numPr>
          <w:ilvl w:val="0"/>
          <w:numId w:val="0"/>
        </w:numPr>
        <w:ind w:left="1134"/>
      </w:pPr>
      <w:r>
        <w:t>Voir le document</w:t>
      </w:r>
      <w:r w:rsidR="00876D45">
        <w:t> </w:t>
      </w:r>
      <w:r>
        <w:t>PCT/WG/17/17.</w:t>
      </w:r>
    </w:p>
    <w:p w14:paraId="53171E85" w14:textId="3D3E2712" w:rsidR="003D333F" w:rsidRDefault="00762560" w:rsidP="00E05FC2">
      <w:pPr>
        <w:pStyle w:val="ONUMFS"/>
        <w:ind w:left="567" w:hanging="567"/>
      </w:pPr>
      <w:r>
        <w:t>Atelier d</w:t>
      </w:r>
      <w:r w:rsidR="003D333F">
        <w:t>’</w:t>
      </w:r>
      <w:r>
        <w:t>échange d</w:t>
      </w:r>
      <w:r w:rsidR="003D333F">
        <w:t>’</w:t>
      </w:r>
      <w:r>
        <w:t>informations</w:t>
      </w:r>
      <w:r w:rsidR="003D333F">
        <w:t> :</w:t>
      </w:r>
      <w:r>
        <w:t xml:space="preserve"> Procédure accélérée d</w:t>
      </w:r>
      <w:r w:rsidR="003D333F">
        <w:t>’</w:t>
      </w:r>
      <w:r>
        <w:t>examen de demandes de brevet (PPH) dans le cadre</w:t>
      </w:r>
      <w:r w:rsidR="003D333F">
        <w:t xml:space="preserve"> du PCT</w:t>
      </w:r>
    </w:p>
    <w:p w14:paraId="66025511" w14:textId="3FFC74BC" w:rsidR="00762560" w:rsidRDefault="00762560" w:rsidP="00E05FC2">
      <w:pPr>
        <w:pStyle w:val="ONUMFS"/>
      </w:pPr>
      <w:r>
        <w:t>Questions diverses</w:t>
      </w:r>
    </w:p>
    <w:p w14:paraId="02866909" w14:textId="77777777" w:rsidR="00762560" w:rsidRDefault="00762560" w:rsidP="00876D45">
      <w:pPr>
        <w:pStyle w:val="ONUMFS"/>
        <w:keepNext/>
      </w:pPr>
      <w:r>
        <w:lastRenderedPageBreak/>
        <w:t>Résumé présenté par le président</w:t>
      </w:r>
    </w:p>
    <w:p w14:paraId="79783B68" w14:textId="77777777" w:rsidR="00762560" w:rsidRDefault="00762560" w:rsidP="00876D45">
      <w:pPr>
        <w:pStyle w:val="ONUMFS"/>
        <w:keepNext/>
      </w:pPr>
      <w:r>
        <w:t>Clôture de la session</w:t>
      </w:r>
    </w:p>
    <w:p w14:paraId="42154624" w14:textId="3DBCFDBD" w:rsidR="000F5E56" w:rsidRPr="00876D45" w:rsidRDefault="00762560" w:rsidP="00876D45">
      <w:pPr>
        <w:pStyle w:val="Endofdocument-Annex"/>
      </w:pPr>
      <w:r w:rsidRPr="00876D45">
        <w:t>[Fin du document]</w:t>
      </w:r>
    </w:p>
    <w:sectPr w:rsidR="000F5E56" w:rsidRPr="00876D45" w:rsidSect="007625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FDEF" w14:textId="77777777" w:rsidR="00762560" w:rsidRDefault="00762560">
      <w:r>
        <w:separator/>
      </w:r>
    </w:p>
  </w:endnote>
  <w:endnote w:type="continuationSeparator" w:id="0">
    <w:p w14:paraId="171365A5" w14:textId="77777777" w:rsidR="00762560" w:rsidRPr="009D30E6" w:rsidRDefault="0076256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E2F32A5" w14:textId="77777777" w:rsidR="00762560" w:rsidRPr="009D30E6" w:rsidRDefault="0076256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9611C5E" w14:textId="77777777" w:rsidR="00762560" w:rsidRPr="009D30E6" w:rsidRDefault="0076256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8532" w14:textId="77777777" w:rsidR="00876D45" w:rsidRDefault="00876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ED03" w14:textId="77777777" w:rsidR="00876D45" w:rsidRDefault="00876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EABD" w14:textId="77777777" w:rsidR="00876D45" w:rsidRDefault="0087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0F32" w14:textId="77777777" w:rsidR="00762560" w:rsidRDefault="00762560">
      <w:r>
        <w:separator/>
      </w:r>
    </w:p>
  </w:footnote>
  <w:footnote w:type="continuationSeparator" w:id="0">
    <w:p w14:paraId="08118229" w14:textId="77777777" w:rsidR="00762560" w:rsidRDefault="00762560" w:rsidP="007461F1">
      <w:r>
        <w:separator/>
      </w:r>
    </w:p>
    <w:p w14:paraId="22BB1B10" w14:textId="77777777" w:rsidR="00762560" w:rsidRPr="009D30E6" w:rsidRDefault="0076256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F0F17C8" w14:textId="77777777" w:rsidR="00762560" w:rsidRPr="009D30E6" w:rsidRDefault="0076256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9AFF" w14:textId="77777777" w:rsidR="00876D45" w:rsidRDefault="00876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56B0" w14:textId="77777777" w:rsidR="00F16975" w:rsidRDefault="00762560" w:rsidP="00477D6B">
    <w:pPr>
      <w:jc w:val="right"/>
    </w:pPr>
    <w:bookmarkStart w:id="5" w:name="Code2"/>
    <w:bookmarkEnd w:id="5"/>
    <w:r>
      <w:t>PCT/WG/17/1 Prov.2</w:t>
    </w:r>
  </w:p>
  <w:p w14:paraId="2139296D" w14:textId="587E8F41" w:rsidR="004F4E31" w:rsidRDefault="00F16975" w:rsidP="00E05FC2">
    <w:pPr>
      <w:spacing w:after="480"/>
      <w:jc w:val="right"/>
    </w:pPr>
    <w:proofErr w:type="gramStart"/>
    <w:r>
      <w:t>page</w:t>
    </w:r>
    <w:proofErr w:type="gramEnd"/>
    <w:r w:rsidR="00E05FC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F557" w14:textId="77777777" w:rsidR="00876D45" w:rsidRDefault="00876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4231">
    <w:abstractNumId w:val="2"/>
  </w:num>
  <w:num w:numId="2" w16cid:durableId="2057001410">
    <w:abstractNumId w:val="4"/>
  </w:num>
  <w:num w:numId="3" w16cid:durableId="345792481">
    <w:abstractNumId w:val="0"/>
  </w:num>
  <w:num w:numId="4" w16cid:durableId="1567110324">
    <w:abstractNumId w:val="5"/>
  </w:num>
  <w:num w:numId="5" w16cid:durableId="1715153223">
    <w:abstractNumId w:val="1"/>
  </w:num>
  <w:num w:numId="6" w16cid:durableId="173231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60"/>
    <w:rsid w:val="00001E46"/>
    <w:rsid w:val="00011B7D"/>
    <w:rsid w:val="000410D3"/>
    <w:rsid w:val="00050E4E"/>
    <w:rsid w:val="00075432"/>
    <w:rsid w:val="000F3F68"/>
    <w:rsid w:val="000F5E56"/>
    <w:rsid w:val="00100EEA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3D333F"/>
    <w:rsid w:val="004008A2"/>
    <w:rsid w:val="004010C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5224E"/>
    <w:rsid w:val="00762560"/>
    <w:rsid w:val="007D0CB1"/>
    <w:rsid w:val="007D6961"/>
    <w:rsid w:val="007F07CB"/>
    <w:rsid w:val="00810CEF"/>
    <w:rsid w:val="0081208D"/>
    <w:rsid w:val="00842A13"/>
    <w:rsid w:val="00876D45"/>
    <w:rsid w:val="00892E32"/>
    <w:rsid w:val="008B2CC1"/>
    <w:rsid w:val="008E2A5D"/>
    <w:rsid w:val="008E7930"/>
    <w:rsid w:val="0090731E"/>
    <w:rsid w:val="00966A22"/>
    <w:rsid w:val="00974CD6"/>
    <w:rsid w:val="009D30E6"/>
    <w:rsid w:val="009E3F6F"/>
    <w:rsid w:val="009F499F"/>
    <w:rsid w:val="00A003A7"/>
    <w:rsid w:val="00A02BD3"/>
    <w:rsid w:val="00AA1F20"/>
    <w:rsid w:val="00AC0AE4"/>
    <w:rsid w:val="00AD61DB"/>
    <w:rsid w:val="00AE7C04"/>
    <w:rsid w:val="00B87BCF"/>
    <w:rsid w:val="00BA62D4"/>
    <w:rsid w:val="00BB16AB"/>
    <w:rsid w:val="00C40E15"/>
    <w:rsid w:val="00C664C8"/>
    <w:rsid w:val="00C76A79"/>
    <w:rsid w:val="00CA15F5"/>
    <w:rsid w:val="00CF0460"/>
    <w:rsid w:val="00D04414"/>
    <w:rsid w:val="00D45252"/>
    <w:rsid w:val="00D71B4D"/>
    <w:rsid w:val="00D75C1E"/>
    <w:rsid w:val="00D93D55"/>
    <w:rsid w:val="00DB0349"/>
    <w:rsid w:val="00DD6A16"/>
    <w:rsid w:val="00E0091A"/>
    <w:rsid w:val="00E05FC2"/>
    <w:rsid w:val="00E203AA"/>
    <w:rsid w:val="00E527A5"/>
    <w:rsid w:val="00E76456"/>
    <w:rsid w:val="00EC4FEC"/>
    <w:rsid w:val="00EE71CB"/>
    <w:rsid w:val="00F16975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0D951"/>
  <w15:docId w15:val="{2284171D-06A2-4A3F-A512-F693D08F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76D45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EC4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739D-AA49-4753-BB13-FB5AE373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PCT_WG_17 (F)</Template>
  <TotalTime>0</TotalTime>
  <Pages>3</Pages>
  <Words>421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PCT/WG/17/1 Prov.2</vt:lpstr>
    </vt:vector>
  </TitlesOfParts>
  <Company>WIPO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PCT/WG/17/1 Prov.2</dc:title>
  <dc:creator>OLIVIÉ Karen</dc:creator>
  <cp:keywords>PUBLIC</cp:keywords>
  <cp:lastModifiedBy>MARLOW Thomas</cp:lastModifiedBy>
  <cp:revision>3</cp:revision>
  <cp:lastPrinted>2011-05-19T12:37:00Z</cp:lastPrinted>
  <dcterms:created xsi:type="dcterms:W3CDTF">2024-01-30T14:19:00Z</dcterms:created>
  <dcterms:modified xsi:type="dcterms:W3CDTF">2024-01-30T14:19:00Z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