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12E0B" w14:textId="77777777" w:rsidR="008B2CC1" w:rsidRPr="008B2CC1" w:rsidRDefault="00DB0349" w:rsidP="00DB0349">
      <w:pPr>
        <w:spacing w:after="120"/>
        <w:jc w:val="right"/>
      </w:pPr>
      <w:r>
        <w:rPr>
          <w:noProof/>
          <w:lang w:val="en-US" w:eastAsia="en-US"/>
        </w:rPr>
        <w:drawing>
          <wp:inline distT="0" distB="0" distL="0" distR="0" wp14:anchorId="17F3A8D6" wp14:editId="79A0CE7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291E8CD2" wp14:editId="140D0E1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157EA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5201C53" w14:textId="439D7856" w:rsidR="008B2CC1" w:rsidRPr="00DB0349" w:rsidRDefault="00FC45E7" w:rsidP="00DB0349">
      <w:pPr>
        <w:jc w:val="right"/>
        <w:rPr>
          <w:rFonts w:ascii="Arial Black" w:hAnsi="Arial Black"/>
          <w:caps/>
          <w:sz w:val="15"/>
          <w:szCs w:val="15"/>
        </w:rPr>
      </w:pPr>
      <w:r>
        <w:rPr>
          <w:rFonts w:ascii="Arial Black" w:hAnsi="Arial Black"/>
          <w:caps/>
          <w:sz w:val="15"/>
          <w:szCs w:val="15"/>
        </w:rPr>
        <w:t>pct</w:t>
      </w:r>
      <w:r w:rsidR="00AE7C04">
        <w:rPr>
          <w:rFonts w:ascii="Arial Black" w:hAnsi="Arial Black"/>
          <w:caps/>
          <w:sz w:val="15"/>
          <w:szCs w:val="15"/>
        </w:rPr>
        <w:t>/</w:t>
      </w:r>
      <w:r>
        <w:rPr>
          <w:rFonts w:ascii="Arial Black" w:hAnsi="Arial Black"/>
          <w:caps/>
          <w:sz w:val="15"/>
          <w:szCs w:val="15"/>
        </w:rPr>
        <w:t>wg</w:t>
      </w:r>
      <w:r w:rsidR="00AE7C04">
        <w:rPr>
          <w:rFonts w:ascii="Arial Black" w:hAnsi="Arial Black"/>
          <w:caps/>
          <w:sz w:val="15"/>
          <w:szCs w:val="15"/>
        </w:rPr>
        <w:t>/</w:t>
      </w:r>
      <w:r>
        <w:rPr>
          <w:rFonts w:ascii="Arial Black" w:hAnsi="Arial Black"/>
          <w:caps/>
          <w:sz w:val="15"/>
          <w:szCs w:val="15"/>
        </w:rPr>
        <w:t>1</w:t>
      </w:r>
      <w:r w:rsidR="003500BE">
        <w:rPr>
          <w:rFonts w:ascii="Arial Black" w:hAnsi="Arial Black"/>
          <w:caps/>
          <w:sz w:val="15"/>
          <w:szCs w:val="15"/>
        </w:rPr>
        <w:t>8</w:t>
      </w:r>
      <w:r w:rsidR="00D04414">
        <w:rPr>
          <w:rFonts w:ascii="Arial Black" w:hAnsi="Arial Black"/>
          <w:caps/>
          <w:sz w:val="15"/>
          <w:szCs w:val="15"/>
        </w:rPr>
        <w:t>/</w:t>
      </w:r>
      <w:bookmarkStart w:id="0" w:name="Code"/>
      <w:r w:rsidR="004A0670">
        <w:rPr>
          <w:rFonts w:ascii="Arial Black" w:hAnsi="Arial Black"/>
          <w:caps/>
          <w:sz w:val="15"/>
          <w:szCs w:val="15"/>
        </w:rPr>
        <w:t>5</w:t>
      </w:r>
    </w:p>
    <w:bookmarkEnd w:id="0"/>
    <w:p w14:paraId="0BEB6074" w14:textId="4EC7532C"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AD752E">
        <w:rPr>
          <w:rFonts w:ascii="Arial Black" w:hAnsi="Arial Black"/>
          <w:caps/>
          <w:sz w:val="15"/>
          <w:szCs w:val="15"/>
        </w:rPr>
        <w:t> :</w:t>
      </w:r>
      <w:r>
        <w:rPr>
          <w:rFonts w:ascii="Arial Black" w:hAnsi="Arial Black"/>
          <w:caps/>
          <w:sz w:val="15"/>
          <w:szCs w:val="15"/>
        </w:rPr>
        <w:t xml:space="preserve"> </w:t>
      </w:r>
      <w:bookmarkStart w:id="1" w:name="Original"/>
      <w:r w:rsidR="004A0670">
        <w:rPr>
          <w:rFonts w:ascii="Arial Black" w:hAnsi="Arial Black"/>
          <w:caps/>
          <w:sz w:val="15"/>
          <w:szCs w:val="15"/>
        </w:rPr>
        <w:t>anglais</w:t>
      </w:r>
    </w:p>
    <w:bookmarkEnd w:id="1"/>
    <w:p w14:paraId="5FDFF820" w14:textId="12072FC5"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AD752E">
        <w:rPr>
          <w:rFonts w:ascii="Arial Black" w:hAnsi="Arial Black"/>
          <w:caps/>
          <w:sz w:val="15"/>
          <w:szCs w:val="15"/>
        </w:rPr>
        <w:t> :</w:t>
      </w:r>
      <w:r>
        <w:rPr>
          <w:rFonts w:ascii="Arial Black" w:hAnsi="Arial Black"/>
          <w:caps/>
          <w:sz w:val="15"/>
          <w:szCs w:val="15"/>
        </w:rPr>
        <w:t xml:space="preserve"> </w:t>
      </w:r>
      <w:bookmarkStart w:id="2" w:name="Date"/>
      <w:r w:rsidR="004A0670">
        <w:rPr>
          <w:rFonts w:ascii="Arial Black" w:hAnsi="Arial Black"/>
          <w:caps/>
          <w:sz w:val="15"/>
          <w:szCs w:val="15"/>
        </w:rPr>
        <w:t>20</w:t>
      </w:r>
      <w:r w:rsidR="00AD752E">
        <w:rPr>
          <w:rFonts w:ascii="Arial Black" w:hAnsi="Arial Black"/>
          <w:caps/>
          <w:sz w:val="15"/>
          <w:szCs w:val="15"/>
        </w:rPr>
        <w:t> décembre 20</w:t>
      </w:r>
      <w:r w:rsidR="004A0670">
        <w:rPr>
          <w:rFonts w:ascii="Arial Black" w:hAnsi="Arial Black"/>
          <w:caps/>
          <w:sz w:val="15"/>
          <w:szCs w:val="15"/>
        </w:rPr>
        <w:t>24</w:t>
      </w:r>
    </w:p>
    <w:bookmarkEnd w:id="2"/>
    <w:p w14:paraId="2E3ECBBD" w14:textId="77777777" w:rsidR="00C40E15" w:rsidRPr="00DB0349" w:rsidRDefault="00BB16AB" w:rsidP="00A003A7">
      <w:pPr>
        <w:spacing w:after="600"/>
        <w:rPr>
          <w:b/>
          <w:sz w:val="28"/>
          <w:szCs w:val="28"/>
        </w:rPr>
      </w:pPr>
      <w:r w:rsidRPr="00BB16AB">
        <w:rPr>
          <w:b/>
          <w:sz w:val="28"/>
          <w:szCs w:val="28"/>
          <w:lang w:val="fr-FR"/>
        </w:rPr>
        <w:t>Groupe de travail du Traité de coopération en matière de brevets (PCT</w:t>
      </w:r>
      <w:r>
        <w:rPr>
          <w:b/>
          <w:sz w:val="28"/>
          <w:szCs w:val="28"/>
          <w:lang w:val="fr-FR"/>
        </w:rPr>
        <w:t>)</w:t>
      </w:r>
    </w:p>
    <w:p w14:paraId="3A1AE73B" w14:textId="3AFCEA93" w:rsidR="008B2CC1" w:rsidRPr="003845C1" w:rsidRDefault="004010C2" w:rsidP="008B2CC1">
      <w:pPr>
        <w:rPr>
          <w:b/>
          <w:sz w:val="24"/>
          <w:szCs w:val="24"/>
        </w:rPr>
      </w:pPr>
      <w:r>
        <w:rPr>
          <w:b/>
          <w:sz w:val="24"/>
          <w:szCs w:val="24"/>
          <w:lang w:val="fr-FR"/>
        </w:rPr>
        <w:t>Dix</w:t>
      </w:r>
      <w:r w:rsidR="003D20B5">
        <w:rPr>
          <w:b/>
          <w:sz w:val="24"/>
          <w:szCs w:val="24"/>
          <w:lang w:val="fr-FR"/>
        </w:rPr>
        <w:noBreakHyphen/>
      </w:r>
      <w:r w:rsidR="003500BE">
        <w:rPr>
          <w:b/>
          <w:sz w:val="24"/>
          <w:szCs w:val="24"/>
          <w:lang w:val="fr-FR"/>
        </w:rPr>
        <w:t>huit</w:t>
      </w:r>
      <w:r w:rsidR="00AD752E">
        <w:rPr>
          <w:b/>
          <w:sz w:val="24"/>
          <w:szCs w:val="24"/>
          <w:lang w:val="fr-FR"/>
        </w:rPr>
        <w:t>ième session</w:t>
      </w:r>
    </w:p>
    <w:p w14:paraId="3525868B" w14:textId="77777777" w:rsidR="008B2CC1" w:rsidRPr="003845C1" w:rsidRDefault="00BB16AB" w:rsidP="00DB0349">
      <w:pPr>
        <w:spacing w:after="720"/>
        <w:rPr>
          <w:b/>
          <w:sz w:val="24"/>
          <w:szCs w:val="24"/>
        </w:rPr>
      </w:pPr>
      <w:r w:rsidRPr="00F0691F">
        <w:rPr>
          <w:b/>
          <w:sz w:val="24"/>
          <w:szCs w:val="24"/>
          <w:lang w:val="fr-FR"/>
        </w:rPr>
        <w:t>Gen</w:t>
      </w:r>
      <w:r>
        <w:rPr>
          <w:b/>
          <w:sz w:val="24"/>
          <w:szCs w:val="24"/>
          <w:lang w:val="fr-FR"/>
        </w:rPr>
        <w:t xml:space="preserve">ève, </w:t>
      </w:r>
      <w:r w:rsidR="004010C2">
        <w:rPr>
          <w:b/>
          <w:sz w:val="24"/>
          <w:szCs w:val="24"/>
          <w:lang w:val="fr-FR"/>
        </w:rPr>
        <w:t>1</w:t>
      </w:r>
      <w:r w:rsidR="003500BE">
        <w:rPr>
          <w:b/>
          <w:sz w:val="24"/>
          <w:szCs w:val="24"/>
          <w:lang w:val="fr-FR"/>
        </w:rPr>
        <w:t>8</w:t>
      </w:r>
      <w:r w:rsidR="004010C2">
        <w:rPr>
          <w:b/>
          <w:sz w:val="24"/>
          <w:szCs w:val="24"/>
          <w:lang w:val="fr-FR"/>
        </w:rPr>
        <w:t xml:space="preserve"> – 2</w:t>
      </w:r>
      <w:r w:rsidR="003500BE">
        <w:rPr>
          <w:b/>
          <w:sz w:val="24"/>
          <w:szCs w:val="24"/>
          <w:lang w:val="fr-FR"/>
        </w:rPr>
        <w:t>0</w:t>
      </w:r>
      <w:r w:rsidR="004010C2">
        <w:rPr>
          <w:b/>
          <w:sz w:val="24"/>
          <w:szCs w:val="24"/>
          <w:lang w:val="fr-FR"/>
        </w:rPr>
        <w:t> février</w:t>
      </w:r>
      <w:r w:rsidR="004010C2" w:rsidRPr="00F0691F">
        <w:rPr>
          <w:b/>
          <w:sz w:val="24"/>
          <w:szCs w:val="24"/>
          <w:lang w:val="fr-FR"/>
        </w:rPr>
        <w:t> </w:t>
      </w:r>
      <w:r w:rsidR="004010C2">
        <w:rPr>
          <w:b/>
          <w:sz w:val="24"/>
          <w:szCs w:val="24"/>
          <w:lang w:val="fr-FR"/>
        </w:rPr>
        <w:t>202</w:t>
      </w:r>
      <w:r w:rsidR="003500BE">
        <w:rPr>
          <w:b/>
          <w:sz w:val="24"/>
          <w:szCs w:val="24"/>
          <w:lang w:val="fr-FR"/>
        </w:rPr>
        <w:t>5</w:t>
      </w:r>
    </w:p>
    <w:p w14:paraId="7BA7609A" w14:textId="04A56047" w:rsidR="00AE7C04" w:rsidRPr="00842A13" w:rsidRDefault="004A0670" w:rsidP="00DB0349">
      <w:pPr>
        <w:spacing w:after="360"/>
        <w:rPr>
          <w:caps/>
          <w:sz w:val="24"/>
        </w:rPr>
      </w:pPr>
      <w:bookmarkStart w:id="3" w:name="TitleOfDoc"/>
      <w:r>
        <w:rPr>
          <w:caps/>
          <w:sz w:val="24"/>
        </w:rPr>
        <w:t>Procédure de prolongation de la nomination des administrations chargées de la recherche internationale et de l</w:t>
      </w:r>
      <w:r w:rsidR="00AD752E">
        <w:rPr>
          <w:caps/>
          <w:sz w:val="24"/>
        </w:rPr>
        <w:t>’</w:t>
      </w:r>
      <w:r>
        <w:rPr>
          <w:caps/>
          <w:sz w:val="24"/>
        </w:rPr>
        <w:t>examen préliminaire international</w:t>
      </w:r>
    </w:p>
    <w:p w14:paraId="5F31F98A" w14:textId="09ED3F48" w:rsidR="00525B63" w:rsidRPr="00A003A7" w:rsidRDefault="004A0670" w:rsidP="00DB0349">
      <w:pPr>
        <w:spacing w:after="960"/>
        <w:rPr>
          <w:i/>
        </w:rPr>
      </w:pPr>
      <w:bookmarkStart w:id="4" w:name="Prepared"/>
      <w:bookmarkEnd w:id="3"/>
      <w:r>
        <w:rPr>
          <w:i/>
        </w:rPr>
        <w:t>Document établi par le Bureau international</w:t>
      </w:r>
    </w:p>
    <w:bookmarkEnd w:id="4"/>
    <w:p w14:paraId="0135B077" w14:textId="77777777" w:rsidR="004A0670" w:rsidRDefault="004A0670" w:rsidP="004A0670">
      <w:pPr>
        <w:pStyle w:val="Heading1"/>
      </w:pPr>
      <w:r>
        <w:t>Résumé</w:t>
      </w:r>
    </w:p>
    <w:p w14:paraId="03BF703E" w14:textId="6CAB46C9" w:rsidR="004A0670" w:rsidRDefault="004A0670" w:rsidP="00AD752E">
      <w:pPr>
        <w:pStyle w:val="ONUMFS"/>
      </w:pPr>
      <w:r>
        <w:t>Ce document propose la procédure à suivre par l</w:t>
      </w:r>
      <w:r w:rsidR="00AD752E">
        <w:t>’</w:t>
      </w:r>
      <w:r>
        <w:t>Assemblée pour approuver la prolongation de la nomination des administrations chargées de la recherche internationale et de l</w:t>
      </w:r>
      <w:r w:rsidR="00AD752E">
        <w:t>’</w:t>
      </w:r>
      <w:r>
        <w:t>examen préliminaire international, ainsi que les nouveaux accords correspondants entre le Bureau international et chaque administration.</w:t>
      </w:r>
    </w:p>
    <w:p w14:paraId="6241B80A" w14:textId="77777777" w:rsidR="004A0670" w:rsidRDefault="004A0670" w:rsidP="004A0670">
      <w:pPr>
        <w:pStyle w:val="Heading1"/>
      </w:pPr>
      <w:r>
        <w:t>Rappel</w:t>
      </w:r>
    </w:p>
    <w:p w14:paraId="567FC642" w14:textId="41A34889" w:rsidR="00AD752E" w:rsidRDefault="004A0670" w:rsidP="00AD752E">
      <w:pPr>
        <w:pStyle w:val="ONUMFS"/>
      </w:pPr>
      <w:r>
        <w:t>L</w:t>
      </w:r>
      <w:r w:rsidR="00AD752E">
        <w:t>’</w:t>
      </w:r>
      <w:r>
        <w:t>Assemblée de l</w:t>
      </w:r>
      <w:r w:rsidR="00AD752E">
        <w:t>’</w:t>
      </w:r>
      <w:r>
        <w:t>Union</w:t>
      </w:r>
      <w:r w:rsidR="00AD752E">
        <w:t xml:space="preserve"> du PCT</w:t>
      </w:r>
      <w:r>
        <w:t xml:space="preserve"> (ci</w:t>
      </w:r>
      <w:r w:rsidR="003D20B5">
        <w:noBreakHyphen/>
      </w:r>
      <w:r>
        <w:t>après dénommée “Assemblée”) devra approuver la prolongation de la nomination de chaque office ou organisation souhaitant continuer d</w:t>
      </w:r>
      <w:r w:rsidR="00AD752E">
        <w:t>’</w:t>
      </w:r>
      <w:r>
        <w:t>agir en tant qu</w:t>
      </w:r>
      <w:r w:rsidR="00AD752E">
        <w:t>’</w:t>
      </w:r>
      <w:r>
        <w:t>administration chargée de la recherche internationale et de l</w:t>
      </w:r>
      <w:r w:rsidR="00AD752E">
        <w:t>’</w:t>
      </w:r>
      <w:r>
        <w:t>examen préliminaire international à compter du</w:t>
      </w:r>
      <w:r w:rsidR="00AD752E">
        <w:t xml:space="preserve"> 1</w:t>
      </w:r>
      <w:r w:rsidR="00AD752E" w:rsidRPr="00AD752E">
        <w:rPr>
          <w:vertAlign w:val="superscript"/>
        </w:rPr>
        <w:t>er</w:t>
      </w:r>
      <w:r w:rsidR="00AD752E">
        <w:t> </w:t>
      </w:r>
      <w:r>
        <w:t>janvier 2028.</w:t>
      </w:r>
    </w:p>
    <w:p w14:paraId="0570A668" w14:textId="07860A14" w:rsidR="004A0670" w:rsidRDefault="004A0670" w:rsidP="00AD752E">
      <w:pPr>
        <w:pStyle w:val="ONUMFS"/>
      </w:pPr>
      <w:r>
        <w:t>La procédure de nomination des administrations chargées de la recherche internationale est définie comme suit à l</w:t>
      </w:r>
      <w:r w:rsidR="00AD752E">
        <w:t>’</w:t>
      </w:r>
      <w:r>
        <w:t>article 16.3)</w:t>
      </w:r>
      <w:r w:rsidR="00AD752E">
        <w:t> :</w:t>
      </w:r>
    </w:p>
    <w:p w14:paraId="4DAC9A54" w14:textId="365F6A5B" w:rsidR="004A0670" w:rsidRDefault="004A0670" w:rsidP="00AD752E">
      <w:pPr>
        <w:pStyle w:val="ONUMFS"/>
        <w:numPr>
          <w:ilvl w:val="0"/>
          <w:numId w:val="0"/>
        </w:numPr>
        <w:tabs>
          <w:tab w:val="left" w:pos="1134"/>
        </w:tabs>
        <w:ind w:left="567"/>
      </w:pPr>
      <w:r>
        <w:t xml:space="preserve">3)a) </w:t>
      </w:r>
      <w:r w:rsidR="00AD752E">
        <w:tab/>
      </w:r>
      <w:r>
        <w:t>Les administrations chargées de la recherche internationale sont nommées par l</w:t>
      </w:r>
      <w:r w:rsidR="00AD752E">
        <w:t>’</w:t>
      </w:r>
      <w:r>
        <w:t>Assembl</w:t>
      </w:r>
      <w:r w:rsidR="003D20B5">
        <w:t>ée.  To</w:t>
      </w:r>
      <w:r>
        <w:t>ut office national et toute organisation intergouvernementale qui satisfont aux exigences visées au sous</w:t>
      </w:r>
      <w:r w:rsidR="003D20B5">
        <w:noBreakHyphen/>
      </w:r>
      <w:r w:rsidR="00AD752E">
        <w:t>alinéa c)</w:t>
      </w:r>
      <w:r>
        <w:t xml:space="preserve"> peuvent être nommés en qualité d</w:t>
      </w:r>
      <w:r w:rsidR="00AD752E">
        <w:t>’</w:t>
      </w:r>
      <w:r>
        <w:t>administration chargée de la recherche internationale.</w:t>
      </w:r>
    </w:p>
    <w:p w14:paraId="71A96B58" w14:textId="139BFA1D" w:rsidR="004A0670" w:rsidRDefault="004A0670" w:rsidP="00A7555A">
      <w:pPr>
        <w:pStyle w:val="ONUMFS"/>
        <w:keepLines/>
        <w:numPr>
          <w:ilvl w:val="0"/>
          <w:numId w:val="0"/>
        </w:numPr>
        <w:tabs>
          <w:tab w:val="left" w:pos="1134"/>
        </w:tabs>
        <w:ind w:left="567"/>
      </w:pPr>
      <w:r>
        <w:lastRenderedPageBreak/>
        <w:t xml:space="preserve">b) </w:t>
      </w:r>
      <w:r w:rsidR="00AD752E">
        <w:tab/>
      </w:r>
      <w:r>
        <w:t>La nomination dépend du consentement de l</w:t>
      </w:r>
      <w:r w:rsidR="00AD752E">
        <w:t>’</w:t>
      </w:r>
      <w:r>
        <w:t>office national ou de l</w:t>
      </w:r>
      <w:r w:rsidR="00AD752E">
        <w:t>’</w:t>
      </w:r>
      <w:r>
        <w:t>organisation intergouvernementale en cause et de la conclusion d</w:t>
      </w:r>
      <w:r w:rsidR="00AD752E">
        <w:t>’</w:t>
      </w:r>
      <w:r>
        <w:t>un accord, qui doit être approuvé par l</w:t>
      </w:r>
      <w:r w:rsidR="00AD752E">
        <w:t>’</w:t>
      </w:r>
      <w:r>
        <w:t>Assemblée, entre cet office ou cette organisation et le Bureau internation</w:t>
      </w:r>
      <w:r w:rsidR="003D20B5">
        <w:t>al.  Ce</w:t>
      </w:r>
      <w:r>
        <w:t>t accord spécifie les droits et obligations des parties et contient en particulier l</w:t>
      </w:r>
      <w:r w:rsidR="00AD752E">
        <w:t>’</w:t>
      </w:r>
      <w:r>
        <w:t>engagement formel dudit office ou de ladite organisation d</w:t>
      </w:r>
      <w:r w:rsidR="00AD752E">
        <w:t>’</w:t>
      </w:r>
      <w:r>
        <w:t>appliquer et d</w:t>
      </w:r>
      <w:r w:rsidR="00AD752E">
        <w:t>’</w:t>
      </w:r>
      <w:r>
        <w:t>observer toutes les règles communes de la recherche internationale.</w:t>
      </w:r>
    </w:p>
    <w:p w14:paraId="0B87FF37" w14:textId="742530A9" w:rsidR="004A0670" w:rsidRDefault="004A0670" w:rsidP="00AD752E">
      <w:pPr>
        <w:pStyle w:val="ONUMFS"/>
        <w:numPr>
          <w:ilvl w:val="0"/>
          <w:numId w:val="0"/>
        </w:numPr>
        <w:tabs>
          <w:tab w:val="left" w:pos="1134"/>
        </w:tabs>
        <w:ind w:left="567"/>
      </w:pPr>
      <w:r>
        <w:t xml:space="preserve">c) </w:t>
      </w:r>
      <w:r w:rsidR="00AD752E">
        <w:tab/>
      </w:r>
      <w:r>
        <w:t>Le règlement d</w:t>
      </w:r>
      <w:r w:rsidR="00AD752E">
        <w:t>’</w:t>
      </w:r>
      <w:r>
        <w:t>exécution prescrit les exigences minimales, particulièrement en ce qui concerne le personnel et la documentation, auxquelles chaque office ou organisation doit satisfaire avant qu</w:t>
      </w:r>
      <w:r w:rsidR="00AD752E">
        <w:t>’</w:t>
      </w:r>
      <w:r>
        <w:t>il puisse être nommé et auxquelles il doit continuer de satisfaire tant qu</w:t>
      </w:r>
      <w:r w:rsidR="00AD752E">
        <w:t>’</w:t>
      </w:r>
      <w:r>
        <w:t>il demeure nommé.</w:t>
      </w:r>
    </w:p>
    <w:p w14:paraId="7B569859" w14:textId="30549593" w:rsidR="004A0670" w:rsidRDefault="004A0670" w:rsidP="00AD752E">
      <w:pPr>
        <w:pStyle w:val="ONUMFS"/>
        <w:numPr>
          <w:ilvl w:val="0"/>
          <w:numId w:val="0"/>
        </w:numPr>
        <w:tabs>
          <w:tab w:val="left" w:pos="1134"/>
        </w:tabs>
        <w:ind w:left="567"/>
      </w:pPr>
      <w:r>
        <w:t xml:space="preserve">d) </w:t>
      </w:r>
      <w:r w:rsidR="00AD752E">
        <w:tab/>
      </w:r>
      <w:r>
        <w:t>La nomination est faite pour une période déterminée, qui est susceptible de prolongation.</w:t>
      </w:r>
    </w:p>
    <w:p w14:paraId="441F9773" w14:textId="233364B8" w:rsidR="004A0670" w:rsidRDefault="004A0670" w:rsidP="00AD752E">
      <w:pPr>
        <w:pStyle w:val="ONUMFS"/>
        <w:numPr>
          <w:ilvl w:val="0"/>
          <w:numId w:val="0"/>
        </w:numPr>
        <w:tabs>
          <w:tab w:val="left" w:pos="1134"/>
        </w:tabs>
        <w:ind w:left="567"/>
      </w:pPr>
      <w:r>
        <w:t xml:space="preserve">e) </w:t>
      </w:r>
      <w:r w:rsidR="00AD752E">
        <w:tab/>
      </w:r>
      <w:r>
        <w:t>Avant de prendre une décision quant à la nomination d</w:t>
      </w:r>
      <w:r w:rsidR="00AD752E">
        <w:t>’</w:t>
      </w:r>
      <w:r>
        <w:t>un office national ou d</w:t>
      </w:r>
      <w:r w:rsidR="00AD752E">
        <w:t>’</w:t>
      </w:r>
      <w:r>
        <w:t>une organisation intergouvernementale ou quant à la prolongation d</w:t>
      </w:r>
      <w:r w:rsidR="00AD752E">
        <w:t>’</w:t>
      </w:r>
      <w:r>
        <w:t>une telle nomination, de même qu</w:t>
      </w:r>
      <w:r w:rsidR="00AD752E">
        <w:t>’</w:t>
      </w:r>
      <w:r>
        <w:t>avant de laisser une telle nomination prendre fin, l</w:t>
      </w:r>
      <w:r w:rsidR="00AD752E">
        <w:t>’</w:t>
      </w:r>
      <w:r>
        <w:t>Assemblée entend l</w:t>
      </w:r>
      <w:r w:rsidR="00AD752E">
        <w:t>’</w:t>
      </w:r>
      <w:r>
        <w:t>office ou l</w:t>
      </w:r>
      <w:r w:rsidR="00AD752E">
        <w:t>’</w:t>
      </w:r>
      <w:r>
        <w:t>organisation en cause et prend l</w:t>
      </w:r>
      <w:r w:rsidR="00AD752E">
        <w:t>’</w:t>
      </w:r>
      <w:r>
        <w:t>avis du Comité de coopération technique visé à l</w:t>
      </w:r>
      <w:r w:rsidR="00AD752E">
        <w:t>’</w:t>
      </w:r>
      <w:r>
        <w:t xml:space="preserve">article 56, une fois ce </w:t>
      </w:r>
      <w:r w:rsidR="00F303EC">
        <w:t>comité</w:t>
      </w:r>
      <w:r>
        <w:t xml:space="preserve"> établi.</w:t>
      </w:r>
    </w:p>
    <w:p w14:paraId="2A3449CA" w14:textId="632A1975" w:rsidR="00AD752E" w:rsidRDefault="004A0670" w:rsidP="00AD752E">
      <w:pPr>
        <w:pStyle w:val="ONUMFS"/>
      </w:pPr>
      <w:r>
        <w:t>En vertu de l</w:t>
      </w:r>
      <w:r w:rsidR="00AD752E">
        <w:t>’</w:t>
      </w:r>
      <w:r>
        <w:t>article 32.3), les mêmes exigences s</w:t>
      </w:r>
      <w:r w:rsidR="00AD752E">
        <w:t>’</w:t>
      </w:r>
      <w:r>
        <w:t>appliquent,</w:t>
      </w:r>
      <w:r>
        <w:rPr>
          <w:i/>
          <w:iCs/>
        </w:rPr>
        <w:t xml:space="preserve"> mutatis mutandis</w:t>
      </w:r>
      <w:r>
        <w:t>, à la nomination des administrations chargées de l</w:t>
      </w:r>
      <w:r w:rsidR="00AD752E">
        <w:t>’</w:t>
      </w:r>
      <w:r>
        <w:t>examen préliminaire international.</w:t>
      </w:r>
    </w:p>
    <w:p w14:paraId="66CE942B" w14:textId="168D899B" w:rsidR="004A0670" w:rsidRDefault="004A0670" w:rsidP="00AD752E">
      <w:pPr>
        <w:pStyle w:val="ONUMFS"/>
      </w:pPr>
      <w:r>
        <w:t>Par conséquent, la prolongation de la nomination est régie par les règles suivantes</w:t>
      </w:r>
      <w:r w:rsidR="00AD752E">
        <w:t> :</w:t>
      </w:r>
    </w:p>
    <w:p w14:paraId="1E172830" w14:textId="5500DF18" w:rsidR="004A0670" w:rsidRDefault="004A0670" w:rsidP="00AD752E">
      <w:pPr>
        <w:pStyle w:val="ONUMFS"/>
        <w:numPr>
          <w:ilvl w:val="1"/>
          <w:numId w:val="6"/>
        </w:numPr>
      </w:pPr>
      <w:proofErr w:type="gramStart"/>
      <w:r>
        <w:t>le</w:t>
      </w:r>
      <w:proofErr w:type="gramEnd"/>
      <w:r>
        <w:t xml:space="preserve"> Comité de coopération technique</w:t>
      </w:r>
      <w:r w:rsidR="00AD752E">
        <w:t xml:space="preserve"> du PCT</w:t>
      </w:r>
      <w:r>
        <w:t xml:space="preserve"> donne son avis;</w:t>
      </w:r>
    </w:p>
    <w:p w14:paraId="796D88DC" w14:textId="307025F0" w:rsidR="004A0670" w:rsidRDefault="004A0670" w:rsidP="00AD752E">
      <w:pPr>
        <w:pStyle w:val="ONUMFS"/>
        <w:numPr>
          <w:ilvl w:val="1"/>
          <w:numId w:val="6"/>
        </w:numPr>
      </w:pPr>
      <w:proofErr w:type="gramStart"/>
      <w:r>
        <w:t>l</w:t>
      </w:r>
      <w:r w:rsidR="00AD752E">
        <w:t>’</w:t>
      </w:r>
      <w:r>
        <w:t>Assemblée</w:t>
      </w:r>
      <w:proofErr w:type="gramEnd"/>
      <w:r w:rsidR="00AD752E">
        <w:t xml:space="preserve"> du PCT</w:t>
      </w:r>
      <w:r>
        <w:t xml:space="preserve"> approuve les accords entre les offices et le Bureau international;</w:t>
      </w:r>
    </w:p>
    <w:p w14:paraId="7A284E70" w14:textId="6BD997A8" w:rsidR="004A0670" w:rsidRDefault="004A0670" w:rsidP="00AD752E">
      <w:pPr>
        <w:pStyle w:val="ONUMFS"/>
        <w:numPr>
          <w:ilvl w:val="1"/>
          <w:numId w:val="6"/>
        </w:numPr>
      </w:pPr>
      <w:proofErr w:type="gramStart"/>
      <w:r>
        <w:t>l</w:t>
      </w:r>
      <w:r w:rsidR="00AD752E">
        <w:t>’</w:t>
      </w:r>
      <w:r>
        <w:t>Assemblée</w:t>
      </w:r>
      <w:proofErr w:type="gramEnd"/>
      <w:r w:rsidR="00AD752E">
        <w:t xml:space="preserve"> du PCT</w:t>
      </w:r>
      <w:r>
        <w:t xml:space="preserve"> prolonge les nominations;  et</w:t>
      </w:r>
    </w:p>
    <w:p w14:paraId="77561BE4" w14:textId="24FC4A13" w:rsidR="004A0670" w:rsidRDefault="004A0670" w:rsidP="00AD752E">
      <w:pPr>
        <w:pStyle w:val="ONUMFS"/>
        <w:numPr>
          <w:ilvl w:val="1"/>
          <w:numId w:val="6"/>
        </w:numPr>
      </w:pPr>
      <w:proofErr w:type="gramStart"/>
      <w:r>
        <w:t>les</w:t>
      </w:r>
      <w:proofErr w:type="gramEnd"/>
      <w:r>
        <w:t xml:space="preserve"> offices accomplissent toutes les formalités nationales nécessaires à la signature de leurs nouveaux accords d</w:t>
      </w:r>
      <w:r w:rsidR="00AD752E">
        <w:t>’</w:t>
      </w:r>
      <w:r>
        <w:t>ici au 31 </w:t>
      </w:r>
      <w:r w:rsidR="00AD752E">
        <w:t>décembre 20</w:t>
      </w:r>
      <w:r>
        <w:t>27.</w:t>
      </w:r>
    </w:p>
    <w:p w14:paraId="3D78E7C0" w14:textId="69489128" w:rsidR="004A0670" w:rsidRDefault="004A0670" w:rsidP="004A0670">
      <w:pPr>
        <w:pStyle w:val="Heading2"/>
      </w:pPr>
      <w:r>
        <w:t>Discussions lors de la Réunion des administrations internationales instituées en vertu</w:t>
      </w:r>
      <w:r w:rsidR="00AD752E">
        <w:t xml:space="preserve"> du PCT</w:t>
      </w:r>
    </w:p>
    <w:p w14:paraId="4C2130F1" w14:textId="566FE750" w:rsidR="00AD752E" w:rsidRDefault="004A0670" w:rsidP="00AD752E">
      <w:pPr>
        <w:pStyle w:val="ONUMFS"/>
      </w:pPr>
      <w:r>
        <w:t>La Réunion des administrations internationales a examiné, à sa trente</w:t>
      </w:r>
      <w:r w:rsidR="00AD752E">
        <w:t> et unième session</w:t>
      </w:r>
      <w:r>
        <w:t xml:space="preserve"> tenue à Beijing les 16 et 17 </w:t>
      </w:r>
      <w:r w:rsidR="00AD752E">
        <w:t>octobre 20</w:t>
      </w:r>
      <w:r>
        <w:t>24, la prolongation des nominations (</w:t>
      </w:r>
      <w:r w:rsidR="00AD752E">
        <w:t>document PC</w:t>
      </w:r>
      <w:r>
        <w:t>T/MIA/31/8) et un modèle d</w:t>
      </w:r>
      <w:r w:rsidR="00AD752E">
        <w:t>’</w:t>
      </w:r>
      <w:r>
        <w:t>accord entre les offices et le Bureau international (</w:t>
      </w:r>
      <w:r w:rsidR="00AD752E">
        <w:t>document PC</w:t>
      </w:r>
      <w:r>
        <w:t>T/MIA/31/3).</w:t>
      </w:r>
    </w:p>
    <w:p w14:paraId="5A3E9445" w14:textId="25659547" w:rsidR="00AD752E" w:rsidRDefault="004A0670" w:rsidP="00AD752E">
      <w:pPr>
        <w:pStyle w:val="ONUMFS"/>
      </w:pPr>
      <w:r>
        <w:t xml:space="preserve">En ce qui concerne la procédure de prolongation des nominations, il a été proposé dans le </w:t>
      </w:r>
      <w:r w:rsidR="00AD752E">
        <w:t>document PC</w:t>
      </w:r>
      <w:r>
        <w:t>T/MIA/31/8 que l</w:t>
      </w:r>
      <w:r w:rsidR="00AD752E">
        <w:t>’</w:t>
      </w:r>
      <w:r>
        <w:t xml:space="preserve">Assemblée se prononce sur la prolongation des nominations à sa session de </w:t>
      </w:r>
      <w:r w:rsidR="00AD752E">
        <w:t>juillet 20</w:t>
      </w:r>
      <w:r>
        <w:t>26.  Les États et les organisations intergouvernementales disposeraient ainsi de 18 mois pour achever toutes les procédures nationales requises avant que les nouveaux accords puissent être signés avec le Bureau international, contrairement à ce qui s</w:t>
      </w:r>
      <w:r w:rsidR="00AD752E">
        <w:t>’</w:t>
      </w:r>
      <w:r>
        <w:t xml:space="preserve">est passé lors de la dernière prolongation des nominations </w:t>
      </w:r>
      <w:r w:rsidR="00AD752E">
        <w:t>en 2017</w:t>
      </w:r>
      <w:r>
        <w:t xml:space="preserve"> quand les administrations n</w:t>
      </w:r>
      <w:r w:rsidR="00AD752E">
        <w:t>’</w:t>
      </w:r>
      <w:r>
        <w:t>ont eu que de trois</w:t>
      </w:r>
      <w:r w:rsidR="00F303EC">
        <w:t> </w:t>
      </w:r>
      <w:r>
        <w:t>mois pour ratifier les nouveaux accor</w:t>
      </w:r>
      <w:r w:rsidR="003D20B5">
        <w:t>ds.  Co</w:t>
      </w:r>
      <w:r>
        <w:t>nsidérant l</w:t>
      </w:r>
      <w:r w:rsidR="00AD752E">
        <w:t>’</w:t>
      </w:r>
      <w:r>
        <w:t xml:space="preserve">accord de principe concernant les procédures de nomination des administrations internationales adopté </w:t>
      </w:r>
      <w:r w:rsidR="00AD752E">
        <w:t>en 2014</w:t>
      </w:r>
      <w:r>
        <w:t xml:space="preserve"> et modifié pour la dernière fois </w:t>
      </w:r>
      <w:r w:rsidR="00AD752E">
        <w:t>en 2018</w:t>
      </w:r>
      <w:r>
        <w:t xml:space="preserve"> (</w:t>
      </w:r>
      <w:r w:rsidR="00AD752E">
        <w:t>document PC</w:t>
      </w:r>
      <w:r>
        <w:t xml:space="preserve">T/A/50/3) et la procédure suivie pour la prolongation des nominations </w:t>
      </w:r>
      <w:r w:rsidR="00AD752E">
        <w:t>en 2017</w:t>
      </w:r>
      <w:r>
        <w:t xml:space="preserve">, il a été proposé dans le </w:t>
      </w:r>
      <w:r w:rsidR="00AD752E">
        <w:t>document PC</w:t>
      </w:r>
      <w:r>
        <w:t>T/MIA/31/8 que le Comité de coopération technique</w:t>
      </w:r>
      <w:r w:rsidR="00AD752E">
        <w:t xml:space="preserve"> du PCT</w:t>
      </w:r>
      <w:r>
        <w:t xml:space="preserve"> soit convoqué pour donner son avis sur la prolongation des nominations au moment de la session du Groupe de travail</w:t>
      </w:r>
      <w:r w:rsidR="00AD752E">
        <w:t xml:space="preserve"> du PCT</w:t>
      </w:r>
      <w:r>
        <w:t xml:space="preserve">, plus tôt </w:t>
      </w:r>
      <w:r w:rsidR="00AD752E">
        <w:t>en 2026</w:t>
      </w:r>
      <w:r>
        <w:t>.  Si le Groupe de travail</w:t>
      </w:r>
      <w:r w:rsidR="00AD752E">
        <w:t xml:space="preserve"> du PCT</w:t>
      </w:r>
      <w:r>
        <w:t xml:space="preserve"> se réunit en février, comme chaque année </w:t>
      </w:r>
      <w:r w:rsidR="00AD752E">
        <w:lastRenderedPageBreak/>
        <w:t>depuis 2023</w:t>
      </w:r>
      <w:r>
        <w:t>, les administrations internationales devront soumettre leur demande de prolongation de mandat et toute pièce requise de préférence avant le</w:t>
      </w:r>
      <w:r w:rsidR="00AD752E">
        <w:t xml:space="preserve"> 1</w:t>
      </w:r>
      <w:r w:rsidR="00AD752E" w:rsidRPr="00AD752E">
        <w:rPr>
          <w:vertAlign w:val="superscript"/>
        </w:rPr>
        <w:t>er</w:t>
      </w:r>
      <w:r w:rsidR="00AD752E">
        <w:t> </w:t>
      </w:r>
      <w:r>
        <w:t>décembre 2025 et, en tout état de cause, au plus tard deux</w:t>
      </w:r>
      <w:r w:rsidR="00F303EC">
        <w:t> </w:t>
      </w:r>
      <w:r>
        <w:t>mois avant la tenue de la réunion du Comité de coopération technique</w:t>
      </w:r>
      <w:r w:rsidR="00AD752E">
        <w:t xml:space="preserve"> du PCT</w:t>
      </w:r>
      <w:r>
        <w:t>.</w:t>
      </w:r>
    </w:p>
    <w:p w14:paraId="5B1E8CE0" w14:textId="04941BE9" w:rsidR="00AD752E" w:rsidRDefault="004A0670" w:rsidP="00AD752E">
      <w:pPr>
        <w:pStyle w:val="ONUMFS"/>
      </w:pPr>
      <w:bookmarkStart w:id="5" w:name="_Ref185502590"/>
      <w:r>
        <w:t xml:space="preserve">Le paragraphe 21 du </w:t>
      </w:r>
      <w:r w:rsidR="00AD752E">
        <w:t>document PC</w:t>
      </w:r>
      <w:r>
        <w:t>T/MIA/31/8 contient le calendrier proposé pour la procédure et le processus de demande suivant</w:t>
      </w:r>
      <w:r w:rsidR="00AD752E">
        <w:t> :</w:t>
      </w:r>
      <w:bookmarkEnd w:id="5"/>
    </w:p>
    <w:p w14:paraId="33B0B166" w14:textId="756BE51E" w:rsidR="004A0670" w:rsidRDefault="004A0670" w:rsidP="00AD752E">
      <w:pPr>
        <w:pStyle w:val="ONUMFS"/>
        <w:numPr>
          <w:ilvl w:val="1"/>
          <w:numId w:val="6"/>
        </w:numPr>
      </w:pPr>
      <w:r>
        <w:t xml:space="preserve">Octobre à </w:t>
      </w:r>
      <w:r w:rsidR="00AD752E">
        <w:t>décembre 20</w:t>
      </w:r>
      <w:r>
        <w:t>24 – Discussion sur le wiki du Sous</w:t>
      </w:r>
      <w:r w:rsidR="003D20B5">
        <w:noBreakHyphen/>
      </w:r>
      <w:r>
        <w:t>groupe chargé de la qualité</w:t>
      </w:r>
      <w:r w:rsidR="00AD752E">
        <w:t xml:space="preserve"> du PCT</w:t>
      </w:r>
      <w:r>
        <w:t xml:space="preserve"> concernant le formulaire de demande et d</w:t>
      </w:r>
      <w:r w:rsidR="00AD752E">
        <w:t>’</w:t>
      </w:r>
      <w:r>
        <w:t>autres éléments de la demande de prolongation de nomination.</w:t>
      </w:r>
    </w:p>
    <w:p w14:paraId="1C92779D" w14:textId="0213E029" w:rsidR="004A0670" w:rsidRDefault="004A0670" w:rsidP="00AD752E">
      <w:pPr>
        <w:pStyle w:val="ONUMFS"/>
        <w:numPr>
          <w:ilvl w:val="1"/>
          <w:numId w:val="6"/>
        </w:numPr>
      </w:pPr>
      <w:r>
        <w:t>Février 2025 – Le Groupe de travail</w:t>
      </w:r>
      <w:r w:rsidR="00AD752E">
        <w:t xml:space="preserve"> du PCT</w:t>
      </w:r>
      <w:r>
        <w:t xml:space="preserve"> approuve le calendrier des nominations et le format des demandes de prolongation.</w:t>
      </w:r>
    </w:p>
    <w:p w14:paraId="1320FDD5" w14:textId="1132AEF5" w:rsidR="00AD752E" w:rsidRDefault="004A0670" w:rsidP="00AD752E">
      <w:pPr>
        <w:pStyle w:val="ONUMFS"/>
        <w:numPr>
          <w:ilvl w:val="1"/>
          <w:numId w:val="6"/>
        </w:numPr>
      </w:pPr>
      <w:r>
        <w:t xml:space="preserve">Avant </w:t>
      </w:r>
      <w:r w:rsidR="00AD752E">
        <w:t>décembre 20</w:t>
      </w:r>
      <w:r>
        <w:t>25 – L</w:t>
      </w:r>
      <w:r w:rsidR="00AD752E">
        <w:t>’</w:t>
      </w:r>
      <w:r>
        <w:t>Équipe d</w:t>
      </w:r>
      <w:r w:rsidR="00AD752E">
        <w:t>’</w:t>
      </w:r>
      <w:r>
        <w:t>experts chargée de la documentation minimale</w:t>
      </w:r>
      <w:r w:rsidR="00AD752E">
        <w:t xml:space="preserve"> du PCT</w:t>
      </w:r>
      <w:r>
        <w:t xml:space="preserve"> collabore avec les administrations internationales pour veiller au respect des exigences en matière de documentation minimale à partir du</w:t>
      </w:r>
      <w:r w:rsidR="00AD752E">
        <w:t xml:space="preserve"> 1</w:t>
      </w:r>
      <w:r w:rsidR="00AD752E" w:rsidRPr="00AD752E">
        <w:rPr>
          <w:vertAlign w:val="superscript"/>
        </w:rPr>
        <w:t>er</w:t>
      </w:r>
      <w:r w:rsidR="00AD752E">
        <w:t> </w:t>
      </w:r>
      <w:r>
        <w:t>janvier 2026.</w:t>
      </w:r>
    </w:p>
    <w:p w14:paraId="349A136A" w14:textId="5C28F793" w:rsidR="004A0670" w:rsidRDefault="004A0670" w:rsidP="00AD752E">
      <w:pPr>
        <w:pStyle w:val="ONUMFS"/>
        <w:numPr>
          <w:ilvl w:val="1"/>
          <w:numId w:val="6"/>
        </w:numPr>
      </w:pPr>
      <w:r>
        <w:t>Décembre 2025 – Date limite pour le dépôt par les administrations chargées de la recherche internationale et de l</w:t>
      </w:r>
      <w:r w:rsidR="00AD752E">
        <w:t>’</w:t>
      </w:r>
      <w:r>
        <w:t>examen préliminaire international des demandes de prolongation de leur nomination auprès du Bureau international.</w:t>
      </w:r>
    </w:p>
    <w:p w14:paraId="15E797F6" w14:textId="0859695D" w:rsidR="004A0670" w:rsidRDefault="004A0670" w:rsidP="00AD752E">
      <w:pPr>
        <w:pStyle w:val="ONUMFS"/>
        <w:numPr>
          <w:ilvl w:val="1"/>
          <w:numId w:val="6"/>
        </w:numPr>
      </w:pPr>
      <w:r>
        <w:t xml:space="preserve">Décembre 2025 à </w:t>
      </w:r>
      <w:r w:rsidR="00AD752E">
        <w:t>février 20</w:t>
      </w:r>
      <w:r>
        <w:t>26 – Les membres du Comité de coopération technique</w:t>
      </w:r>
      <w:r w:rsidR="00AD752E">
        <w:t xml:space="preserve"> du PCT</w:t>
      </w:r>
      <w:r>
        <w:t xml:space="preserve"> examinent les demandes de prolongation de nomination lorsqu</w:t>
      </w:r>
      <w:r w:rsidR="00AD752E">
        <w:t>’</w:t>
      </w:r>
      <w:r>
        <w:t>elles sont publié</w:t>
      </w:r>
      <w:r w:rsidR="003D20B5">
        <w:t>es.  Le</w:t>
      </w:r>
      <w:r>
        <w:t>s membres doivent faire des observations et poser des questions à chaque administration internationale sur les parties des demandes qui pourraient susciter des préoccupations au sein du comité ou lorsqu</w:t>
      </w:r>
      <w:r w:rsidR="00AD752E">
        <w:t>’</w:t>
      </w:r>
      <w:r>
        <w:t>ils ont besoin d</w:t>
      </w:r>
      <w:r w:rsidR="00AD752E">
        <w:t>’</w:t>
      </w:r>
      <w:r>
        <w:t>informations complémentaires ou de précisions.</w:t>
      </w:r>
    </w:p>
    <w:p w14:paraId="70BD72A9" w14:textId="5D098B5B" w:rsidR="004A0670" w:rsidRDefault="004A0670" w:rsidP="00AD752E">
      <w:pPr>
        <w:pStyle w:val="ONUMFS"/>
        <w:numPr>
          <w:ilvl w:val="1"/>
          <w:numId w:val="6"/>
        </w:numPr>
      </w:pPr>
      <w:bookmarkStart w:id="6" w:name="_Ref185503630"/>
      <w:r>
        <w:t>1</w:t>
      </w:r>
      <w:r>
        <w:rPr>
          <w:vertAlign w:val="superscript"/>
        </w:rPr>
        <w:t>er</w:t>
      </w:r>
      <w:r>
        <w:t> janvier 2026 – Entrée en vigueur des modifications des règles 34, 36 et 63 relatives aux exigences pour la documentation minimale</w:t>
      </w:r>
      <w:r w:rsidR="00AD752E">
        <w:t xml:space="preserve"> du PCT</w:t>
      </w:r>
      <w:r>
        <w:t>.</w:t>
      </w:r>
      <w:bookmarkEnd w:id="6"/>
    </w:p>
    <w:p w14:paraId="2EE4A360" w14:textId="65302FCC" w:rsidR="004A0670" w:rsidRDefault="004A0670" w:rsidP="00AD752E">
      <w:pPr>
        <w:pStyle w:val="ONUMFS"/>
        <w:numPr>
          <w:ilvl w:val="1"/>
          <w:numId w:val="6"/>
        </w:numPr>
      </w:pPr>
      <w:r>
        <w:t>Février 2026 – Le Comité de coopération technique</w:t>
      </w:r>
      <w:r w:rsidR="00AD752E">
        <w:t xml:space="preserve"> du PCT</w:t>
      </w:r>
      <w:r>
        <w:t xml:space="preserve"> donne son avis sur les prolongations de nomination de chaque administration chargée de la recherche internationale et de l</w:t>
      </w:r>
      <w:r w:rsidR="00AD752E">
        <w:t>’</w:t>
      </w:r>
      <w:r>
        <w:t>examen préliminaire international et approuve un projet d</w:t>
      </w:r>
      <w:r w:rsidR="00AD752E">
        <w:t>’</w:t>
      </w:r>
      <w:r>
        <w:t>accord type entre le Bureau international et les administrations chargées de la recherche internationale et de l</w:t>
      </w:r>
      <w:r w:rsidR="00AD752E">
        <w:t>’</w:t>
      </w:r>
      <w:r>
        <w:t>examen préliminaire international, qui sera utilisé pour l</w:t>
      </w:r>
      <w:r w:rsidR="00AD752E">
        <w:t>’</w:t>
      </w:r>
      <w:r>
        <w:t>élaboration de chaque projet d</w:t>
      </w:r>
      <w:r w:rsidR="00AD752E">
        <w:t>’</w:t>
      </w:r>
      <w:r>
        <w:t>accord individuel.</w:t>
      </w:r>
    </w:p>
    <w:p w14:paraId="6E1A18E5" w14:textId="66570C76" w:rsidR="00AD752E" w:rsidRDefault="004A0670" w:rsidP="00AD752E">
      <w:pPr>
        <w:pStyle w:val="ONUMFS"/>
        <w:numPr>
          <w:ilvl w:val="1"/>
          <w:numId w:val="6"/>
        </w:numPr>
      </w:pPr>
      <w:r>
        <w:t>Février 2026 – Le Groupe de travail</w:t>
      </w:r>
      <w:r w:rsidR="00AD752E">
        <w:t xml:space="preserve"> du PCT</w:t>
      </w:r>
      <w:r>
        <w:t xml:space="preserve"> examine les modifications à apporter au règlement d</w:t>
      </w:r>
      <w:r w:rsidR="00AD752E">
        <w:t>’</w:t>
      </w:r>
      <w:r>
        <w:t>exécution</w:t>
      </w:r>
      <w:r w:rsidR="00AD752E">
        <w:t xml:space="preserve"> du PCT</w:t>
      </w:r>
      <w:r>
        <w:t xml:space="preserve"> pour toute modification du format du projet d</w:t>
      </w:r>
      <w:r w:rsidR="00AD752E">
        <w:t>’</w:t>
      </w:r>
      <w:r>
        <w:t>accord type entre le Bureau international et les administrations chargées de la recherche internationale et de l</w:t>
      </w:r>
      <w:r w:rsidR="00AD752E">
        <w:t>’</w:t>
      </w:r>
      <w:r>
        <w:t>examen préliminaire international approuvé par le Comité de coopération technique</w:t>
      </w:r>
      <w:r w:rsidR="00AD752E">
        <w:t xml:space="preserve"> du PCT</w:t>
      </w:r>
      <w:r>
        <w:t>.</w:t>
      </w:r>
    </w:p>
    <w:p w14:paraId="354C7924" w14:textId="4D4FEDA6" w:rsidR="004A0670" w:rsidRDefault="004A0670" w:rsidP="00AD752E">
      <w:pPr>
        <w:pStyle w:val="ONUMFS"/>
        <w:numPr>
          <w:ilvl w:val="1"/>
          <w:numId w:val="6"/>
        </w:numPr>
      </w:pPr>
      <w:r>
        <w:t>Juillet 2026 – L</w:t>
      </w:r>
      <w:r w:rsidR="00AD752E">
        <w:t>’</w:t>
      </w:r>
      <w:r>
        <w:t>Assemblée</w:t>
      </w:r>
      <w:r w:rsidR="00AD752E">
        <w:t xml:space="preserve"> du PCT</w:t>
      </w:r>
      <w:r>
        <w:t xml:space="preserve"> approuve la prolongation de la nomination des administrations chargées de la recherche internationale et de l</w:t>
      </w:r>
      <w:r w:rsidR="00AD752E">
        <w:t>’</w:t>
      </w:r>
      <w:r>
        <w:t>examen préliminaire international pour une nouvelle période de 10 ans à compter du</w:t>
      </w:r>
      <w:r w:rsidR="00AD752E">
        <w:t xml:space="preserve"> 1</w:t>
      </w:r>
      <w:r w:rsidR="00AD752E" w:rsidRPr="00AD752E">
        <w:rPr>
          <w:vertAlign w:val="superscript"/>
        </w:rPr>
        <w:t>er</w:t>
      </w:r>
      <w:r w:rsidR="00AD752E">
        <w:t> </w:t>
      </w:r>
      <w:r>
        <w:t>janvier 2028, les projets d</w:t>
      </w:r>
      <w:r w:rsidR="00AD752E">
        <w:t>’</w:t>
      </w:r>
      <w:r>
        <w:t>accord entre le Bureau international et chaque administration chargée de la recherche internationale et de l</w:t>
      </w:r>
      <w:r w:rsidR="00AD752E">
        <w:t>’</w:t>
      </w:r>
      <w:r>
        <w:t>examen préliminaire international, ainsi que toute modification du règlement d</w:t>
      </w:r>
      <w:r w:rsidR="00AD752E">
        <w:t>’</w:t>
      </w:r>
      <w:r>
        <w:t>exécution</w:t>
      </w:r>
      <w:r w:rsidR="00AD752E">
        <w:t xml:space="preserve"> du PCT</w:t>
      </w:r>
      <w:r>
        <w:t xml:space="preserve"> nécessaire pour le projet d</w:t>
      </w:r>
      <w:r w:rsidR="00AD752E">
        <w:t>’</w:t>
      </w:r>
      <w:r>
        <w:t>accord type.</w:t>
      </w:r>
    </w:p>
    <w:p w14:paraId="3D7263A0" w14:textId="48ACC989" w:rsidR="00AD752E" w:rsidRDefault="004A0670" w:rsidP="00AD752E">
      <w:pPr>
        <w:pStyle w:val="ONUMFS"/>
        <w:numPr>
          <w:ilvl w:val="1"/>
          <w:numId w:val="6"/>
        </w:numPr>
      </w:pPr>
      <w:r>
        <w:t xml:space="preserve">Juillet 2026 à </w:t>
      </w:r>
      <w:r w:rsidR="00AD752E">
        <w:t>décembre 20</w:t>
      </w:r>
      <w:r>
        <w:t>27 – Signature de chaque accord après toute ratification nationale requise pour la signature de l</w:t>
      </w:r>
      <w:r w:rsidR="00AD752E">
        <w:t>’</w:t>
      </w:r>
      <w:r>
        <w:t>accord.</w:t>
      </w:r>
    </w:p>
    <w:p w14:paraId="7ED3AB80" w14:textId="555571AF" w:rsidR="00AD752E" w:rsidRDefault="004A0670" w:rsidP="00AD752E">
      <w:pPr>
        <w:pStyle w:val="ONUMFS"/>
        <w:numPr>
          <w:ilvl w:val="1"/>
          <w:numId w:val="6"/>
        </w:numPr>
      </w:pPr>
      <w:r>
        <w:lastRenderedPageBreak/>
        <w:t>1</w:t>
      </w:r>
      <w:r>
        <w:rPr>
          <w:vertAlign w:val="superscript"/>
        </w:rPr>
        <w:t>er</w:t>
      </w:r>
      <w:r>
        <w:t> </w:t>
      </w:r>
      <w:r w:rsidR="00AD752E">
        <w:t>janvier 20</w:t>
      </w:r>
      <w:r>
        <w:t>28 – Entrée en vigueur de nouveaux accords entre le Bureau international et chaque administration chargée de la recherche internationale et de l</w:t>
      </w:r>
      <w:r w:rsidR="00AD752E">
        <w:t>’</w:t>
      </w:r>
      <w:r>
        <w:t>examen préliminaire international, avec expiration le 31 </w:t>
      </w:r>
      <w:r w:rsidR="00AD752E">
        <w:t>décembre 20</w:t>
      </w:r>
      <w:r>
        <w:t>37, et modifications du règlement d</w:t>
      </w:r>
      <w:r w:rsidR="00AD752E">
        <w:t>’</w:t>
      </w:r>
      <w:r>
        <w:t>exécution</w:t>
      </w:r>
      <w:r w:rsidR="00AD752E">
        <w:t xml:space="preserve"> du PCT</w:t>
      </w:r>
      <w:r>
        <w:t xml:space="preserve"> liées au format des accords.</w:t>
      </w:r>
    </w:p>
    <w:p w14:paraId="2BB7FD28" w14:textId="3A8804F8" w:rsidR="00AD752E" w:rsidRDefault="004A0670" w:rsidP="00AD752E">
      <w:pPr>
        <w:pStyle w:val="ONUMFS"/>
      </w:pPr>
      <w:r>
        <w:t>Les modifications des règles 34, 36 et 63 qui entreront en vigueur le</w:t>
      </w:r>
      <w:r w:rsidR="00AD752E">
        <w:t xml:space="preserve"> 1</w:t>
      </w:r>
      <w:r w:rsidR="00AD752E" w:rsidRPr="00AD752E">
        <w:rPr>
          <w:vertAlign w:val="superscript"/>
        </w:rPr>
        <w:t>er</w:t>
      </w:r>
      <w:r w:rsidR="00AD752E">
        <w:t> </w:t>
      </w:r>
      <w:r>
        <w:t>janvier 2026, visées au paragraphe </w:t>
      </w:r>
      <w:r>
        <w:fldChar w:fldCharType="begin"/>
      </w:r>
      <w:r>
        <w:instrText xml:space="preserve"> REF _Ref185503630 \w \h </w:instrText>
      </w:r>
      <w:r>
        <w:fldChar w:fldCharType="separate"/>
      </w:r>
      <w:r w:rsidR="009E0E06">
        <w:t>8.f)</w:t>
      </w:r>
      <w:r>
        <w:fldChar w:fldCharType="end"/>
      </w:r>
      <w:r>
        <w:t xml:space="preserve">, sont énoncées dans le </w:t>
      </w:r>
      <w:r w:rsidR="00AD752E">
        <w:t>document PC</w:t>
      </w:r>
      <w:r>
        <w:t xml:space="preserve">T/A/55/2.  Le </w:t>
      </w:r>
      <w:r w:rsidR="00AD752E">
        <w:t>document PC</w:t>
      </w:r>
      <w:r>
        <w:t>T/WG/18/6 fournit des informations supplémentaires sur le projet d</w:t>
      </w:r>
      <w:r w:rsidR="00AD752E">
        <w:t>’</w:t>
      </w:r>
      <w:r>
        <w:t>accord type entre le Bureau international et les administrations chargées de la recherche internationale et de l</w:t>
      </w:r>
      <w:r w:rsidR="00AD752E">
        <w:t>’</w:t>
      </w:r>
      <w:r>
        <w:t>examen préliminaire international.</w:t>
      </w:r>
    </w:p>
    <w:p w14:paraId="1F3F5CC0" w14:textId="2CE5DA4C" w:rsidR="00AD752E" w:rsidRDefault="004A0670" w:rsidP="00AD752E">
      <w:pPr>
        <w:pStyle w:val="ONUMFS"/>
      </w:pPr>
      <w:r>
        <w:t>Les discussions sur la prolongation de la nomination à la trente</w:t>
      </w:r>
      <w:r w:rsidR="00AD752E">
        <w:t> et unième session</w:t>
      </w:r>
      <w:r>
        <w:t xml:space="preserve"> de la Réunion des administrations internationales sont résumées aux paragraphes 34 à 37 du résumé présenté par le président (voir le </w:t>
      </w:r>
      <w:r w:rsidR="00AD752E">
        <w:t>document PC</w:t>
      </w:r>
      <w:r>
        <w:t>T/MIA/31/11, reproduit à l</w:t>
      </w:r>
      <w:r w:rsidR="00AD752E">
        <w:t>’</w:t>
      </w:r>
      <w:r>
        <w:t xml:space="preserve">annexe du </w:t>
      </w:r>
      <w:r w:rsidR="00AD752E">
        <w:t>document PC</w:t>
      </w:r>
      <w:r>
        <w:t xml:space="preserve">T/WG/18/2).  Concernant le calendrier proposé, les participants de la réunion sont convenus de soumettre le calendrier pour la prolongation de la nomination proposé dans le </w:t>
      </w:r>
      <w:r w:rsidR="00AD752E">
        <w:t>document PC</w:t>
      </w:r>
      <w:r>
        <w:t>T/MIA/31/8 pour examen par le Groupe de travail</w:t>
      </w:r>
      <w:r w:rsidR="00AD752E">
        <w:t xml:space="preserve"> du PCT</w:t>
      </w:r>
      <w:r>
        <w:t xml:space="preserve"> à sa prochaine session (voir le paragraphe 37 du </w:t>
      </w:r>
      <w:r w:rsidR="00AD752E">
        <w:t>document PC</w:t>
      </w:r>
      <w:r>
        <w:t>T/MIA/31/11).</w:t>
      </w:r>
    </w:p>
    <w:p w14:paraId="15013129" w14:textId="2711EDC8" w:rsidR="00AD752E" w:rsidRDefault="004A0670" w:rsidP="004A0670">
      <w:pPr>
        <w:pStyle w:val="Heading1"/>
      </w:pPr>
      <w:r>
        <w:t>Examen par le Groupe de travail</w:t>
      </w:r>
      <w:r w:rsidR="00AD752E">
        <w:t xml:space="preserve"> du PCT</w:t>
      </w:r>
    </w:p>
    <w:p w14:paraId="25A1B4F5" w14:textId="421D198F" w:rsidR="00AD752E" w:rsidRDefault="004A0670" w:rsidP="00AD752E">
      <w:pPr>
        <w:pStyle w:val="ONUMFS"/>
      </w:pPr>
      <w:r>
        <w:t>Le groupe de travail est invité à approuver la procédure et le calendrier proposés au paragraphe </w:t>
      </w:r>
      <w:r>
        <w:fldChar w:fldCharType="begin"/>
      </w:r>
      <w:r>
        <w:instrText xml:space="preserve"> REF _Ref185502590 \r \h </w:instrText>
      </w:r>
      <w:r>
        <w:fldChar w:fldCharType="separate"/>
      </w:r>
      <w:r w:rsidR="009E0E06">
        <w:t>8</w:t>
      </w:r>
      <w:r>
        <w:fldChar w:fldCharType="end"/>
      </w:r>
      <w:r>
        <w:t>, selon lesquels</w:t>
      </w:r>
      <w:r w:rsidR="00AD752E">
        <w:t xml:space="preserve"> le PCT</w:t>
      </w:r>
      <w:r>
        <w:t xml:space="preserve">/CTC donnerait son avis sur la prolongation de la nomination de chaque administration internationale au moment de la session du groupe de travail </w:t>
      </w:r>
      <w:r w:rsidR="00AD752E">
        <w:t>en 2026</w:t>
      </w:r>
      <w:r>
        <w:t>.  Cet avis serait ensuite communiqué à l</w:t>
      </w:r>
      <w:r w:rsidR="00AD752E">
        <w:t>’</w:t>
      </w:r>
      <w:r>
        <w:t xml:space="preserve">Assemblée en </w:t>
      </w:r>
      <w:r w:rsidR="00AD752E">
        <w:t>juillet 20</w:t>
      </w:r>
      <w:r>
        <w:t>26, qui se prononcerait sur la prolongation de la nomination et approuverait les projets d</w:t>
      </w:r>
      <w:r w:rsidR="00AD752E">
        <w:t>’</w:t>
      </w:r>
      <w:r>
        <w:t>accord entre le Bureau international et chaque administration chargée de la recherche internationale et de l</w:t>
      </w:r>
      <w:r w:rsidR="00AD752E">
        <w:t>’</w:t>
      </w:r>
      <w:r>
        <w:t xml:space="preserve">examen préliminaire international qui seraient signés avant la fin du mois de </w:t>
      </w:r>
      <w:r w:rsidR="00AD752E">
        <w:t>décembre 20</w:t>
      </w:r>
      <w:r>
        <w:t>27.</w:t>
      </w:r>
    </w:p>
    <w:p w14:paraId="0F9A08F7" w14:textId="165B4518" w:rsidR="00AD752E" w:rsidRDefault="004A0670" w:rsidP="00AD752E">
      <w:pPr>
        <w:pStyle w:val="ONUMFS"/>
        <w:ind w:left="5533"/>
        <w:rPr>
          <w:i/>
        </w:rPr>
      </w:pPr>
      <w:r w:rsidRPr="00AD752E">
        <w:rPr>
          <w:i/>
        </w:rPr>
        <w:t>Le groupe de travail est invité à approuver la procédure et le calendrier concernant la prolongation de la nomination des administrations chargées de la recherche internationale et de l</w:t>
      </w:r>
      <w:r w:rsidR="00AD752E">
        <w:rPr>
          <w:i/>
        </w:rPr>
        <w:t>’</w:t>
      </w:r>
      <w:r w:rsidRPr="00AD752E">
        <w:rPr>
          <w:i/>
        </w:rPr>
        <w:t>examen préliminaire international énoncée dans le présent document.</w:t>
      </w:r>
    </w:p>
    <w:p w14:paraId="35F325A9" w14:textId="47A7E8C8" w:rsidR="004A0670" w:rsidRPr="00AD752E" w:rsidRDefault="004A0670" w:rsidP="00AD752E">
      <w:pPr>
        <w:pStyle w:val="Endofdocument-Annex"/>
        <w:spacing w:before="720"/>
      </w:pPr>
      <w:r w:rsidRPr="00AD752E">
        <w:t>[Fin du document]</w:t>
      </w:r>
    </w:p>
    <w:sectPr w:rsidR="004A0670" w:rsidRPr="00AD752E" w:rsidSect="004A067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6EF66" w14:textId="77777777" w:rsidR="004A0670" w:rsidRDefault="004A0670">
      <w:r>
        <w:separator/>
      </w:r>
    </w:p>
  </w:endnote>
  <w:endnote w:type="continuationSeparator" w:id="0">
    <w:p w14:paraId="53B190CC" w14:textId="77777777" w:rsidR="004A0670" w:rsidRPr="009D30E6" w:rsidRDefault="004A0670" w:rsidP="00D45252">
      <w:pPr>
        <w:rPr>
          <w:sz w:val="17"/>
          <w:szCs w:val="17"/>
        </w:rPr>
      </w:pPr>
      <w:r w:rsidRPr="009D30E6">
        <w:rPr>
          <w:sz w:val="17"/>
          <w:szCs w:val="17"/>
        </w:rPr>
        <w:separator/>
      </w:r>
    </w:p>
    <w:p w14:paraId="5E0CC65D" w14:textId="77777777" w:rsidR="004A0670" w:rsidRPr="009D30E6" w:rsidRDefault="004A0670" w:rsidP="00D45252">
      <w:pPr>
        <w:spacing w:after="60"/>
        <w:rPr>
          <w:sz w:val="17"/>
          <w:szCs w:val="17"/>
        </w:rPr>
      </w:pPr>
      <w:r w:rsidRPr="009D30E6">
        <w:rPr>
          <w:sz w:val="17"/>
          <w:szCs w:val="17"/>
        </w:rPr>
        <w:t>[Suite de la note de la page précédente]</w:t>
      </w:r>
    </w:p>
  </w:endnote>
  <w:endnote w:type="continuationNotice" w:id="1">
    <w:p w14:paraId="6E1F0477" w14:textId="77777777" w:rsidR="004A0670" w:rsidRPr="009D30E6" w:rsidRDefault="004A067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21896" w14:textId="77777777" w:rsidR="004A0670" w:rsidRDefault="004A0670">
      <w:r>
        <w:separator/>
      </w:r>
    </w:p>
  </w:footnote>
  <w:footnote w:type="continuationSeparator" w:id="0">
    <w:p w14:paraId="245E2CB6" w14:textId="77777777" w:rsidR="004A0670" w:rsidRDefault="004A0670" w:rsidP="007461F1">
      <w:r>
        <w:separator/>
      </w:r>
    </w:p>
    <w:p w14:paraId="4BE6151A" w14:textId="77777777" w:rsidR="004A0670" w:rsidRPr="009D30E6" w:rsidRDefault="004A0670" w:rsidP="007461F1">
      <w:pPr>
        <w:spacing w:after="60"/>
        <w:rPr>
          <w:sz w:val="17"/>
          <w:szCs w:val="17"/>
        </w:rPr>
      </w:pPr>
      <w:r w:rsidRPr="009D30E6">
        <w:rPr>
          <w:sz w:val="17"/>
          <w:szCs w:val="17"/>
        </w:rPr>
        <w:t>[Suite de la note de la page précédente]</w:t>
      </w:r>
    </w:p>
  </w:footnote>
  <w:footnote w:type="continuationNotice" w:id="1">
    <w:p w14:paraId="0AC48848" w14:textId="77777777" w:rsidR="004A0670" w:rsidRPr="009D30E6" w:rsidRDefault="004A067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09256" w14:textId="63B450A2" w:rsidR="00F16975" w:rsidRDefault="004A0670" w:rsidP="00477D6B">
    <w:pPr>
      <w:jc w:val="right"/>
    </w:pPr>
    <w:bookmarkStart w:id="7" w:name="Code2"/>
    <w:bookmarkEnd w:id="7"/>
    <w:r>
      <w:t>PCT/WG/18/5</w:t>
    </w:r>
  </w:p>
  <w:p w14:paraId="284AC9DB" w14:textId="113D5B18" w:rsidR="00F16975" w:rsidRDefault="00F16975" w:rsidP="00AD752E">
    <w:pPr>
      <w:spacing w:after="480"/>
      <w:jc w:val="right"/>
    </w:pPr>
    <w:proofErr w:type="gramStart"/>
    <w:r>
      <w:t>page</w:t>
    </w:r>
    <w:proofErr w:type="gramEnd"/>
    <w:r w:rsidR="00AD752E">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 w:numId="7" w16cid:durableId="31896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70"/>
    <w:rsid w:val="00011B7D"/>
    <w:rsid w:val="00050E4E"/>
    <w:rsid w:val="00075432"/>
    <w:rsid w:val="00086359"/>
    <w:rsid w:val="000F3F68"/>
    <w:rsid w:val="000F5E56"/>
    <w:rsid w:val="001362EE"/>
    <w:rsid w:val="001832A6"/>
    <w:rsid w:val="00195C6E"/>
    <w:rsid w:val="001B266A"/>
    <w:rsid w:val="001D3D56"/>
    <w:rsid w:val="001D4860"/>
    <w:rsid w:val="00240654"/>
    <w:rsid w:val="002634C4"/>
    <w:rsid w:val="002D4918"/>
    <w:rsid w:val="002E4D1A"/>
    <w:rsid w:val="002F16BC"/>
    <w:rsid w:val="002F4E68"/>
    <w:rsid w:val="00315FCA"/>
    <w:rsid w:val="003500BE"/>
    <w:rsid w:val="003845C1"/>
    <w:rsid w:val="003A1BCD"/>
    <w:rsid w:val="003D20B5"/>
    <w:rsid w:val="004008A2"/>
    <w:rsid w:val="004010C2"/>
    <w:rsid w:val="004025DF"/>
    <w:rsid w:val="00423E3E"/>
    <w:rsid w:val="00427AF4"/>
    <w:rsid w:val="004647DA"/>
    <w:rsid w:val="00477D6B"/>
    <w:rsid w:val="004A0670"/>
    <w:rsid w:val="004D6471"/>
    <w:rsid w:val="004F4E31"/>
    <w:rsid w:val="00525B63"/>
    <w:rsid w:val="00547476"/>
    <w:rsid w:val="00561DB8"/>
    <w:rsid w:val="00567A4C"/>
    <w:rsid w:val="005E6516"/>
    <w:rsid w:val="00605827"/>
    <w:rsid w:val="00636CE5"/>
    <w:rsid w:val="00676936"/>
    <w:rsid w:val="006B0DB5"/>
    <w:rsid w:val="006D52CB"/>
    <w:rsid w:val="006E4243"/>
    <w:rsid w:val="00703D74"/>
    <w:rsid w:val="007461F1"/>
    <w:rsid w:val="0075224E"/>
    <w:rsid w:val="007D0CB1"/>
    <w:rsid w:val="007D6961"/>
    <w:rsid w:val="007F07CB"/>
    <w:rsid w:val="00810CEF"/>
    <w:rsid w:val="0081208D"/>
    <w:rsid w:val="00842A13"/>
    <w:rsid w:val="008775E8"/>
    <w:rsid w:val="00892E32"/>
    <w:rsid w:val="008B2CC1"/>
    <w:rsid w:val="008E7930"/>
    <w:rsid w:val="0090731E"/>
    <w:rsid w:val="00966A22"/>
    <w:rsid w:val="00972C4E"/>
    <w:rsid w:val="00974CD6"/>
    <w:rsid w:val="009D30E6"/>
    <w:rsid w:val="009E0E06"/>
    <w:rsid w:val="009E3F6F"/>
    <w:rsid w:val="009F499F"/>
    <w:rsid w:val="00A003A7"/>
    <w:rsid w:val="00A02BD3"/>
    <w:rsid w:val="00A16BD6"/>
    <w:rsid w:val="00A20056"/>
    <w:rsid w:val="00A7555A"/>
    <w:rsid w:val="00AA1F20"/>
    <w:rsid w:val="00AC0AE4"/>
    <w:rsid w:val="00AD61DB"/>
    <w:rsid w:val="00AD752E"/>
    <w:rsid w:val="00AE7C04"/>
    <w:rsid w:val="00B87BCF"/>
    <w:rsid w:val="00BA62D4"/>
    <w:rsid w:val="00BB16AB"/>
    <w:rsid w:val="00C05880"/>
    <w:rsid w:val="00C40E15"/>
    <w:rsid w:val="00C664C8"/>
    <w:rsid w:val="00C76A79"/>
    <w:rsid w:val="00CA15F5"/>
    <w:rsid w:val="00CF0460"/>
    <w:rsid w:val="00D04414"/>
    <w:rsid w:val="00D10920"/>
    <w:rsid w:val="00D274D1"/>
    <w:rsid w:val="00D45252"/>
    <w:rsid w:val="00D71B4D"/>
    <w:rsid w:val="00D75C1E"/>
    <w:rsid w:val="00D93D55"/>
    <w:rsid w:val="00DB0349"/>
    <w:rsid w:val="00DD6A16"/>
    <w:rsid w:val="00E0091A"/>
    <w:rsid w:val="00E203AA"/>
    <w:rsid w:val="00E527A5"/>
    <w:rsid w:val="00E76456"/>
    <w:rsid w:val="00EE71CB"/>
    <w:rsid w:val="00F16975"/>
    <w:rsid w:val="00F303EC"/>
    <w:rsid w:val="00F66152"/>
    <w:rsid w:val="00FA66A9"/>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FE566"/>
  <w15:docId w15:val="{119FF974-1D85-453A-B7F4-B1EEEB26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3D20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5C848-D79D-4794-B2A6-FB5BDE83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(F)</Template>
  <TotalTime>1</TotalTime>
  <Pages>4</Pages>
  <Words>1533</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PCT/WG/18/</vt:lpstr>
    </vt:vector>
  </TitlesOfParts>
  <Company>WIPO</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PCT/WG/18/5</dc:title>
  <dc:creator>LE GUEN Haude</dc:creator>
  <cp:keywords>FOR OFFICIAL USE ONLY</cp:keywords>
  <cp:lastModifiedBy>MARLOW Thomas</cp:lastModifiedBy>
  <cp:revision>3</cp:revision>
  <cp:lastPrinted>2011-05-19T12:37:00Z</cp:lastPrinted>
  <dcterms:created xsi:type="dcterms:W3CDTF">2024-12-23T22:39:00Z</dcterms:created>
  <dcterms:modified xsi:type="dcterms:W3CDTF">2024-12-23T22:40:00Z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