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D0135" w:rsidRPr="00804043" w:rsidTr="00AA62C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D0135" w:rsidRPr="00804043" w:rsidRDefault="007D0135" w:rsidP="00AA62CF">
            <w:pPr>
              <w:rPr>
                <w:noProof w:val="0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D0135" w:rsidRPr="00804043" w:rsidRDefault="007D0135" w:rsidP="00AA62CF">
            <w:pPr>
              <w:rPr>
                <w:noProof w:val="0"/>
              </w:rPr>
            </w:pPr>
            <w:r w:rsidRPr="00804043">
              <w:rPr>
                <w:lang w:val="en-US" w:eastAsia="en-US"/>
              </w:rPr>
              <w:drawing>
                <wp:inline distT="0" distB="0" distL="0" distR="0" wp14:anchorId="73C48216" wp14:editId="54BF75E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D0135" w:rsidRPr="00804043" w:rsidRDefault="007D0135" w:rsidP="00AA62CF">
            <w:pPr>
              <w:jc w:val="right"/>
              <w:rPr>
                <w:noProof w:val="0"/>
              </w:rPr>
            </w:pPr>
            <w:r w:rsidRPr="00804043">
              <w:rPr>
                <w:b/>
                <w:noProof w:val="0"/>
                <w:sz w:val="40"/>
                <w:szCs w:val="40"/>
              </w:rPr>
              <w:t>F</w:t>
            </w:r>
          </w:p>
        </w:tc>
      </w:tr>
      <w:tr w:rsidR="007D0135" w:rsidRPr="00804043" w:rsidTr="00AA62C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D0135" w:rsidRPr="00804043" w:rsidRDefault="007D0135" w:rsidP="007D0135">
            <w:pPr>
              <w:jc w:val="right"/>
              <w:rPr>
                <w:rFonts w:ascii="Arial Black" w:hAnsi="Arial Black"/>
                <w:caps/>
                <w:noProof w:val="0"/>
                <w:sz w:val="15"/>
              </w:rPr>
            </w:pPr>
            <w:r w:rsidRPr="00804043">
              <w:rPr>
                <w:rFonts w:ascii="Arial Black" w:hAnsi="Arial Black"/>
                <w:caps/>
                <w:noProof w:val="0"/>
                <w:sz w:val="15"/>
              </w:rPr>
              <w:t>PCT/WG/7/</w:t>
            </w:r>
            <w:bookmarkStart w:id="1" w:name="Code"/>
            <w:bookmarkEnd w:id="1"/>
            <w:r w:rsidRPr="00804043">
              <w:rPr>
                <w:rFonts w:ascii="Arial Black" w:hAnsi="Arial Black"/>
                <w:caps/>
                <w:noProof w:val="0"/>
                <w:sz w:val="15"/>
              </w:rPr>
              <w:t xml:space="preserve">13 </w:t>
            </w:r>
          </w:p>
        </w:tc>
      </w:tr>
      <w:tr w:rsidR="007D0135" w:rsidRPr="00804043" w:rsidTr="00AA62C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D0135" w:rsidRPr="00804043" w:rsidRDefault="007D0135" w:rsidP="00AA62CF">
            <w:pPr>
              <w:jc w:val="right"/>
              <w:rPr>
                <w:rFonts w:ascii="Arial Black" w:hAnsi="Arial Black"/>
                <w:caps/>
                <w:noProof w:val="0"/>
                <w:sz w:val="15"/>
              </w:rPr>
            </w:pPr>
            <w:r w:rsidRPr="00804043">
              <w:rPr>
                <w:rFonts w:ascii="Arial Black" w:hAnsi="Arial Black"/>
                <w:caps/>
                <w:noProof w:val="0"/>
                <w:sz w:val="15"/>
              </w:rPr>
              <w:t xml:space="preserve">ORIGINAL : </w:t>
            </w:r>
            <w:bookmarkStart w:id="2" w:name="Original"/>
            <w:bookmarkEnd w:id="2"/>
            <w:r w:rsidRPr="00804043">
              <w:rPr>
                <w:rFonts w:ascii="Arial Black" w:hAnsi="Arial Black"/>
                <w:caps/>
                <w:noProof w:val="0"/>
                <w:sz w:val="15"/>
              </w:rPr>
              <w:t>anglais</w:t>
            </w:r>
          </w:p>
        </w:tc>
      </w:tr>
      <w:tr w:rsidR="007D0135" w:rsidRPr="00804043" w:rsidTr="00AA62C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D0135" w:rsidRPr="00804043" w:rsidRDefault="007D0135" w:rsidP="00A82082">
            <w:pPr>
              <w:jc w:val="right"/>
              <w:rPr>
                <w:rFonts w:ascii="Arial Black" w:hAnsi="Arial Black"/>
                <w:caps/>
                <w:noProof w:val="0"/>
                <w:sz w:val="15"/>
              </w:rPr>
            </w:pPr>
            <w:r w:rsidRPr="00804043">
              <w:rPr>
                <w:rFonts w:ascii="Arial Black" w:hAnsi="Arial Black"/>
                <w:caps/>
                <w:noProof w:val="0"/>
                <w:sz w:val="15"/>
              </w:rPr>
              <w:t xml:space="preserve">DATE : </w:t>
            </w:r>
            <w:bookmarkStart w:id="3" w:name="Date"/>
            <w:bookmarkEnd w:id="3"/>
            <w:r w:rsidRPr="00804043">
              <w:rPr>
                <w:rFonts w:ascii="Arial Black" w:hAnsi="Arial Black"/>
                <w:caps/>
                <w:noProof w:val="0"/>
                <w:sz w:val="15"/>
              </w:rPr>
              <w:t>2</w:t>
            </w:r>
            <w:r w:rsidR="00A82082" w:rsidRPr="00804043">
              <w:rPr>
                <w:rFonts w:ascii="Arial Black" w:hAnsi="Arial Black"/>
                <w:caps/>
                <w:noProof w:val="0"/>
                <w:sz w:val="15"/>
              </w:rPr>
              <w:t>2</w:t>
            </w:r>
            <w:r w:rsidRPr="00804043">
              <w:rPr>
                <w:rFonts w:ascii="Arial Black" w:hAnsi="Arial Black"/>
                <w:caps/>
                <w:noProof w:val="0"/>
                <w:sz w:val="15"/>
              </w:rPr>
              <w:t> </w:t>
            </w:r>
            <w:r w:rsidR="00A82082" w:rsidRPr="00804043">
              <w:rPr>
                <w:rFonts w:ascii="Arial Black" w:hAnsi="Arial Black"/>
                <w:caps/>
                <w:noProof w:val="0"/>
                <w:sz w:val="15"/>
              </w:rPr>
              <w:t>avril</w:t>
            </w:r>
            <w:r w:rsidRPr="00804043">
              <w:rPr>
                <w:rFonts w:ascii="Arial Black" w:hAnsi="Arial Black"/>
                <w:caps/>
                <w:noProof w:val="0"/>
                <w:sz w:val="15"/>
              </w:rPr>
              <w:t> 2014</w:t>
            </w:r>
          </w:p>
        </w:tc>
      </w:tr>
    </w:tbl>
    <w:p w:rsidR="007D0135" w:rsidRPr="00804043" w:rsidRDefault="007D0135" w:rsidP="007D0135">
      <w:pPr>
        <w:rPr>
          <w:noProof w:val="0"/>
        </w:rPr>
      </w:pPr>
    </w:p>
    <w:p w:rsidR="007D0135" w:rsidRPr="00804043" w:rsidRDefault="007D0135" w:rsidP="007D0135">
      <w:pPr>
        <w:rPr>
          <w:noProof w:val="0"/>
        </w:rPr>
      </w:pPr>
    </w:p>
    <w:p w:rsidR="007D0135" w:rsidRPr="00804043" w:rsidRDefault="007D0135" w:rsidP="007D0135">
      <w:pPr>
        <w:rPr>
          <w:noProof w:val="0"/>
        </w:rPr>
      </w:pPr>
    </w:p>
    <w:p w:rsidR="007D0135" w:rsidRPr="00804043" w:rsidRDefault="007D0135" w:rsidP="007D0135">
      <w:pPr>
        <w:rPr>
          <w:noProof w:val="0"/>
        </w:rPr>
      </w:pPr>
    </w:p>
    <w:p w:rsidR="007D0135" w:rsidRPr="00804043" w:rsidRDefault="007D0135" w:rsidP="007D0135">
      <w:pPr>
        <w:rPr>
          <w:noProof w:val="0"/>
        </w:rPr>
      </w:pPr>
    </w:p>
    <w:p w:rsidR="007D0135" w:rsidRPr="00804043" w:rsidRDefault="007D0135" w:rsidP="007D0135">
      <w:pPr>
        <w:rPr>
          <w:b/>
          <w:noProof w:val="0"/>
          <w:sz w:val="28"/>
          <w:szCs w:val="28"/>
        </w:rPr>
      </w:pPr>
      <w:r w:rsidRPr="00804043">
        <w:rPr>
          <w:b/>
          <w:noProof w:val="0"/>
          <w:sz w:val="28"/>
          <w:szCs w:val="28"/>
        </w:rPr>
        <w:t>Groupe de travail du Traité de coopération en matière de brevets (PCT)</w:t>
      </w:r>
    </w:p>
    <w:p w:rsidR="007D0135" w:rsidRPr="00804043" w:rsidRDefault="007D0135" w:rsidP="007D0135">
      <w:pPr>
        <w:rPr>
          <w:noProof w:val="0"/>
        </w:rPr>
      </w:pPr>
    </w:p>
    <w:p w:rsidR="007D0135" w:rsidRPr="00804043" w:rsidRDefault="007D0135" w:rsidP="007D0135">
      <w:pPr>
        <w:rPr>
          <w:noProof w:val="0"/>
        </w:rPr>
      </w:pPr>
    </w:p>
    <w:p w:rsidR="007D0135" w:rsidRPr="00804043" w:rsidRDefault="007D0135" w:rsidP="007D0135">
      <w:pPr>
        <w:rPr>
          <w:b/>
          <w:noProof w:val="0"/>
          <w:sz w:val="24"/>
          <w:szCs w:val="24"/>
        </w:rPr>
      </w:pPr>
      <w:r w:rsidRPr="00804043">
        <w:rPr>
          <w:b/>
          <w:noProof w:val="0"/>
          <w:sz w:val="24"/>
          <w:szCs w:val="24"/>
        </w:rPr>
        <w:t>Septième session</w:t>
      </w:r>
    </w:p>
    <w:p w:rsidR="007D0135" w:rsidRPr="00804043" w:rsidRDefault="007D0135" w:rsidP="007D0135">
      <w:pPr>
        <w:rPr>
          <w:b/>
          <w:noProof w:val="0"/>
          <w:sz w:val="24"/>
          <w:szCs w:val="24"/>
        </w:rPr>
      </w:pPr>
      <w:r w:rsidRPr="00804043">
        <w:rPr>
          <w:b/>
          <w:noProof w:val="0"/>
          <w:sz w:val="24"/>
          <w:szCs w:val="24"/>
        </w:rPr>
        <w:t>Genève, 10 – 13 juin 2014</w:t>
      </w:r>
    </w:p>
    <w:p w:rsidR="007D0135" w:rsidRPr="00804043" w:rsidRDefault="007D0135" w:rsidP="007D0135">
      <w:pPr>
        <w:rPr>
          <w:noProof w:val="0"/>
        </w:rPr>
      </w:pPr>
    </w:p>
    <w:p w:rsidR="007D0135" w:rsidRPr="00804043" w:rsidRDefault="007D0135" w:rsidP="007D0135">
      <w:pPr>
        <w:rPr>
          <w:noProof w:val="0"/>
        </w:rPr>
      </w:pPr>
    </w:p>
    <w:p w:rsidR="007D0135" w:rsidRPr="00804043" w:rsidRDefault="007D0135" w:rsidP="007D0135">
      <w:pPr>
        <w:rPr>
          <w:noProof w:val="0"/>
        </w:rPr>
      </w:pPr>
    </w:p>
    <w:p w:rsidR="008B2CC1" w:rsidRPr="00804043" w:rsidRDefault="007F5D8D" w:rsidP="007F5D8D">
      <w:pPr>
        <w:rPr>
          <w:caps/>
          <w:noProof w:val="0"/>
          <w:sz w:val="24"/>
        </w:rPr>
      </w:pPr>
      <w:r w:rsidRPr="00804043">
        <w:rPr>
          <w:caps/>
          <w:noProof w:val="0"/>
          <w:sz w:val="24"/>
        </w:rPr>
        <w:t>Droit d</w:t>
      </w:r>
      <w:r w:rsidR="000964A9" w:rsidRPr="00804043">
        <w:rPr>
          <w:caps/>
          <w:noProof w:val="0"/>
          <w:sz w:val="24"/>
        </w:rPr>
        <w:t>’</w:t>
      </w:r>
      <w:r w:rsidRPr="00804043">
        <w:rPr>
          <w:caps/>
          <w:noProof w:val="0"/>
          <w:sz w:val="24"/>
        </w:rPr>
        <w:t>exercer auprès du Bureau international agissant en qualité d</w:t>
      </w:r>
      <w:r w:rsidR="000964A9" w:rsidRPr="00804043">
        <w:rPr>
          <w:caps/>
          <w:noProof w:val="0"/>
          <w:sz w:val="24"/>
        </w:rPr>
        <w:t>’</w:t>
      </w:r>
      <w:r w:rsidRPr="00804043">
        <w:rPr>
          <w:caps/>
          <w:noProof w:val="0"/>
          <w:sz w:val="24"/>
        </w:rPr>
        <w:t>office récepteur</w:t>
      </w:r>
    </w:p>
    <w:p w:rsidR="008B2CC1" w:rsidRPr="00804043" w:rsidRDefault="008B2CC1" w:rsidP="008B2CC1">
      <w:pPr>
        <w:rPr>
          <w:noProof w:val="0"/>
        </w:rPr>
      </w:pPr>
    </w:p>
    <w:p w:rsidR="008B2CC1" w:rsidRPr="00804043" w:rsidRDefault="00B24007" w:rsidP="008B2CC1">
      <w:pPr>
        <w:rPr>
          <w:i/>
          <w:noProof w:val="0"/>
        </w:rPr>
      </w:pPr>
      <w:bookmarkStart w:id="4" w:name="Prepared"/>
      <w:bookmarkEnd w:id="4"/>
      <w:r w:rsidRPr="00804043">
        <w:rPr>
          <w:i/>
          <w:noProof w:val="0"/>
        </w:rPr>
        <w:t xml:space="preserve">Document </w:t>
      </w:r>
      <w:r w:rsidR="0056604A" w:rsidRPr="00804043">
        <w:rPr>
          <w:i/>
          <w:noProof w:val="0"/>
        </w:rPr>
        <w:t>établi par le Bureau international</w:t>
      </w:r>
    </w:p>
    <w:p w:rsidR="00AC205C" w:rsidRPr="00804043" w:rsidRDefault="00AC205C">
      <w:pPr>
        <w:rPr>
          <w:noProof w:val="0"/>
        </w:rPr>
      </w:pPr>
    </w:p>
    <w:p w:rsidR="000F5E56" w:rsidRPr="00804043" w:rsidRDefault="000F5E56">
      <w:pPr>
        <w:rPr>
          <w:noProof w:val="0"/>
        </w:rPr>
      </w:pPr>
    </w:p>
    <w:p w:rsidR="002928D3" w:rsidRPr="00804043" w:rsidRDefault="002928D3" w:rsidP="0053057A">
      <w:pPr>
        <w:rPr>
          <w:noProof w:val="0"/>
        </w:rPr>
      </w:pPr>
    </w:p>
    <w:p w:rsidR="00595215" w:rsidRPr="00804043" w:rsidRDefault="007F5D8D" w:rsidP="007F5D8D">
      <w:pPr>
        <w:pStyle w:val="Heading1"/>
        <w:rPr>
          <w:noProof w:val="0"/>
        </w:rPr>
      </w:pPr>
      <w:r w:rsidRPr="00804043">
        <w:rPr>
          <w:noProof w:val="0"/>
        </w:rPr>
        <w:t>Résumé</w:t>
      </w:r>
    </w:p>
    <w:p w:rsidR="002C7529" w:rsidRPr="00804043" w:rsidRDefault="002C7529" w:rsidP="002C7529">
      <w:pPr>
        <w:rPr>
          <w:noProof w:val="0"/>
        </w:rPr>
      </w:pPr>
    </w:p>
    <w:p w:rsidR="00595215" w:rsidRPr="00804043" w:rsidRDefault="0056604A" w:rsidP="002C7529">
      <w:pPr>
        <w:pStyle w:val="ONUMFS"/>
        <w:rPr>
          <w:noProof w:val="0"/>
        </w:rPr>
      </w:pPr>
      <w:r w:rsidRPr="00804043">
        <w:rPr>
          <w:noProof w:val="0"/>
        </w:rPr>
        <w:t>Il est proposé que</w:t>
      </w:r>
      <w:r w:rsidR="0046359D" w:rsidRPr="00804043">
        <w:rPr>
          <w:noProof w:val="0"/>
        </w:rPr>
        <w:t xml:space="preserve"> toute personne ayant</w:t>
      </w:r>
      <w:r w:rsidRPr="00804043">
        <w:rPr>
          <w:noProof w:val="0"/>
        </w:rPr>
        <w:t xml:space="preserve"> le droit d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>exercer auprès de l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 xml:space="preserve">office national </w:t>
      </w:r>
      <w:r w:rsidR="008D48FB" w:rsidRPr="00804043">
        <w:rPr>
          <w:noProof w:val="0"/>
        </w:rPr>
        <w:t>de tout</w:t>
      </w:r>
      <w:r w:rsidRPr="00804043">
        <w:rPr>
          <w:noProof w:val="0"/>
        </w:rPr>
        <w:t xml:space="preserve"> État contractant du PCT </w:t>
      </w:r>
      <w:r w:rsidR="0046359D" w:rsidRPr="00804043">
        <w:rPr>
          <w:noProof w:val="0"/>
        </w:rPr>
        <w:t xml:space="preserve">ait </w:t>
      </w:r>
      <w:r w:rsidRPr="00804043">
        <w:rPr>
          <w:noProof w:val="0"/>
        </w:rPr>
        <w:t>le droit d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>exercer auprès du Bureau international agissant en qualité d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>office récepteur, quel</w:t>
      </w:r>
      <w:r w:rsidR="0046359D" w:rsidRPr="00804043">
        <w:rPr>
          <w:noProof w:val="0"/>
        </w:rPr>
        <w:t xml:space="preserve"> que</w:t>
      </w:r>
      <w:r w:rsidRPr="00804043">
        <w:rPr>
          <w:noProof w:val="0"/>
        </w:rPr>
        <w:t xml:space="preserve"> </w:t>
      </w:r>
      <w:r w:rsidR="0046359D" w:rsidRPr="00804043">
        <w:rPr>
          <w:noProof w:val="0"/>
        </w:rPr>
        <w:t xml:space="preserve">soit </w:t>
      </w:r>
      <w:r w:rsidR="0083198E" w:rsidRPr="00804043">
        <w:rPr>
          <w:noProof w:val="0"/>
        </w:rPr>
        <w:t>la nationalité ou le domicile</w:t>
      </w:r>
      <w:r w:rsidR="0046359D" w:rsidRPr="00804043">
        <w:rPr>
          <w:noProof w:val="0"/>
        </w:rPr>
        <w:t xml:space="preserve"> des déposants</w:t>
      </w:r>
      <w:r w:rsidR="00685AFE" w:rsidRPr="00804043">
        <w:rPr>
          <w:noProof w:val="0"/>
        </w:rPr>
        <w:t xml:space="preserve">.  </w:t>
      </w:r>
      <w:r w:rsidR="00A53839">
        <w:rPr>
          <w:noProof w:val="0"/>
        </w:rPr>
        <w:t>Cette </w:t>
      </w:r>
      <w:r w:rsidR="0046359D" w:rsidRPr="00804043">
        <w:rPr>
          <w:noProof w:val="0"/>
        </w:rPr>
        <w:t xml:space="preserve">personne, </w:t>
      </w:r>
      <w:r w:rsidR="005A469E" w:rsidRPr="00804043">
        <w:rPr>
          <w:noProof w:val="0"/>
        </w:rPr>
        <w:t>une fois</w:t>
      </w:r>
      <w:r w:rsidR="0046359D" w:rsidRPr="00804043">
        <w:rPr>
          <w:noProof w:val="0"/>
        </w:rPr>
        <w:t xml:space="preserve"> désignée, aurait </w:t>
      </w:r>
      <w:r w:rsidR="00036B20" w:rsidRPr="00804043">
        <w:rPr>
          <w:noProof w:val="0"/>
        </w:rPr>
        <w:t xml:space="preserve">également </w:t>
      </w:r>
      <w:r w:rsidR="0046359D" w:rsidRPr="00804043">
        <w:rPr>
          <w:noProof w:val="0"/>
        </w:rPr>
        <w:t>le droit d</w:t>
      </w:r>
      <w:r w:rsidR="000964A9" w:rsidRPr="00804043">
        <w:rPr>
          <w:noProof w:val="0"/>
        </w:rPr>
        <w:t>’</w:t>
      </w:r>
      <w:r w:rsidR="0046359D" w:rsidRPr="00804043">
        <w:rPr>
          <w:noProof w:val="0"/>
        </w:rPr>
        <w:t xml:space="preserve">exercer </w:t>
      </w:r>
      <w:r w:rsidR="00036B20" w:rsidRPr="00804043">
        <w:rPr>
          <w:noProof w:val="0"/>
        </w:rPr>
        <w:t xml:space="preserve">en cette qualité </w:t>
      </w:r>
      <w:r w:rsidR="00036B20">
        <w:rPr>
          <w:noProof w:val="0"/>
        </w:rPr>
        <w:t>auprès du Bureau international</w:t>
      </w:r>
      <w:r w:rsidR="005A469E" w:rsidRPr="00804043">
        <w:rPr>
          <w:noProof w:val="0"/>
        </w:rPr>
        <w:t>, auprès de l</w:t>
      </w:r>
      <w:r w:rsidR="000964A9" w:rsidRPr="00804043">
        <w:rPr>
          <w:noProof w:val="0"/>
        </w:rPr>
        <w:t>’</w:t>
      </w:r>
      <w:r w:rsidR="005A469E" w:rsidRPr="00804043">
        <w:rPr>
          <w:noProof w:val="0"/>
        </w:rPr>
        <w:t>administration chargée de la recherche internationale et, le cas échéant, auprès de l</w:t>
      </w:r>
      <w:r w:rsidR="000964A9" w:rsidRPr="00804043">
        <w:rPr>
          <w:noProof w:val="0"/>
        </w:rPr>
        <w:t>’</w:t>
      </w:r>
      <w:r w:rsidR="005A469E" w:rsidRPr="00804043">
        <w:rPr>
          <w:noProof w:val="0"/>
        </w:rPr>
        <w:t>administration chargée de l</w:t>
      </w:r>
      <w:r w:rsidR="000964A9" w:rsidRPr="00804043">
        <w:rPr>
          <w:noProof w:val="0"/>
        </w:rPr>
        <w:t>’</w:t>
      </w:r>
      <w:r w:rsidR="005A469E" w:rsidRPr="00804043">
        <w:rPr>
          <w:noProof w:val="0"/>
        </w:rPr>
        <w:t>examen préliminaire international et de toute administration indiquée pour la recherche supplémentaire</w:t>
      </w:r>
      <w:r w:rsidR="00685AFE" w:rsidRPr="00804043">
        <w:rPr>
          <w:noProof w:val="0"/>
        </w:rPr>
        <w:t>.</w:t>
      </w:r>
    </w:p>
    <w:p w:rsidR="00685AFE" w:rsidRPr="00804043" w:rsidRDefault="007F5D8D" w:rsidP="007F5D8D">
      <w:pPr>
        <w:pStyle w:val="Heading1"/>
        <w:rPr>
          <w:noProof w:val="0"/>
        </w:rPr>
      </w:pPr>
      <w:r w:rsidRPr="00804043">
        <w:rPr>
          <w:noProof w:val="0"/>
        </w:rPr>
        <w:t>Rappel</w:t>
      </w:r>
    </w:p>
    <w:p w:rsidR="002C7529" w:rsidRPr="00804043" w:rsidRDefault="002C7529" w:rsidP="002C7529">
      <w:pPr>
        <w:rPr>
          <w:noProof w:val="0"/>
        </w:rPr>
      </w:pPr>
    </w:p>
    <w:p w:rsidR="00F37BE6" w:rsidRPr="00804043" w:rsidRDefault="005A469E" w:rsidP="002C7529">
      <w:pPr>
        <w:pStyle w:val="ONUMFS"/>
        <w:rPr>
          <w:noProof w:val="0"/>
        </w:rPr>
      </w:pPr>
      <w:r w:rsidRPr="00804043">
        <w:rPr>
          <w:noProof w:val="0"/>
        </w:rPr>
        <w:t>En </w:t>
      </w:r>
      <w:r w:rsidR="00F37BE6" w:rsidRPr="00804043">
        <w:rPr>
          <w:noProof w:val="0"/>
        </w:rPr>
        <w:t xml:space="preserve">2013, </w:t>
      </w:r>
      <w:r w:rsidRPr="00804043">
        <w:rPr>
          <w:noProof w:val="0"/>
        </w:rPr>
        <w:t>le Bureau international</w:t>
      </w:r>
      <w:r w:rsidR="00036B20">
        <w:rPr>
          <w:noProof w:val="0"/>
        </w:rPr>
        <w:t xml:space="preserve"> agissant</w:t>
      </w:r>
      <w:r w:rsidRPr="00804043">
        <w:rPr>
          <w:noProof w:val="0"/>
        </w:rPr>
        <w:t xml:space="preserve"> en qualité d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>office récepteur a reçu quelque </w:t>
      </w:r>
      <w:r w:rsidR="00F37BE6" w:rsidRPr="00804043">
        <w:rPr>
          <w:noProof w:val="0"/>
        </w:rPr>
        <w:t>750</w:t>
      </w:r>
      <w:r w:rsidRPr="00804043">
        <w:rPr>
          <w:noProof w:val="0"/>
        </w:rPr>
        <w:t xml:space="preserve"> demandes internationales</w:t>
      </w:r>
      <w:r w:rsidR="00685AFE" w:rsidRPr="00804043">
        <w:rPr>
          <w:noProof w:val="0"/>
        </w:rPr>
        <w:t xml:space="preserve"> </w:t>
      </w:r>
      <w:r w:rsidR="00F37BE6" w:rsidRPr="00804043">
        <w:rPr>
          <w:noProof w:val="0"/>
        </w:rPr>
        <w:t>(7</w:t>
      </w:r>
      <w:r w:rsidRPr="00804043">
        <w:rPr>
          <w:noProof w:val="0"/>
        </w:rPr>
        <w:t>% du nombre total de demandes internationales reçues</w:t>
      </w:r>
      <w:r w:rsidR="00F37BE6" w:rsidRPr="00804043">
        <w:rPr>
          <w:noProof w:val="0"/>
        </w:rPr>
        <w:t xml:space="preserve">) </w:t>
      </w:r>
      <w:r w:rsidR="000A1009" w:rsidRPr="00804043">
        <w:rPr>
          <w:noProof w:val="0"/>
        </w:rPr>
        <w:t>pour lesquelles le déposant souhaitait désigner un mandataire qui n</w:t>
      </w:r>
      <w:r w:rsidR="000964A9" w:rsidRPr="00804043">
        <w:rPr>
          <w:noProof w:val="0"/>
        </w:rPr>
        <w:t>’</w:t>
      </w:r>
      <w:r w:rsidR="000A1009" w:rsidRPr="00804043">
        <w:rPr>
          <w:noProof w:val="0"/>
        </w:rPr>
        <w:t>était pas clairement compétent pour agir conformément aux règles 83 et 90</w:t>
      </w:r>
      <w:r w:rsidR="00F37BE6" w:rsidRPr="00804043">
        <w:rPr>
          <w:noProof w:val="0"/>
        </w:rPr>
        <w:t>.</w:t>
      </w:r>
    </w:p>
    <w:p w:rsidR="00685AFE" w:rsidRPr="00804043" w:rsidRDefault="000A1009" w:rsidP="002C7529">
      <w:pPr>
        <w:pStyle w:val="ONUMFS"/>
        <w:rPr>
          <w:noProof w:val="0"/>
        </w:rPr>
      </w:pPr>
      <w:r w:rsidRPr="00804043">
        <w:rPr>
          <w:noProof w:val="0"/>
        </w:rPr>
        <w:t>Dans pareil cas, le Bureau international</w:t>
      </w:r>
      <w:r w:rsidR="00036B20">
        <w:rPr>
          <w:noProof w:val="0"/>
        </w:rPr>
        <w:t xml:space="preserve"> agissant</w:t>
      </w:r>
      <w:r w:rsidRPr="00804043">
        <w:rPr>
          <w:noProof w:val="0"/>
        </w:rPr>
        <w:t xml:space="preserve"> en qualité d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 xml:space="preserve">office récepteur </w:t>
      </w:r>
      <w:r w:rsidR="00F21547">
        <w:rPr>
          <w:noProof w:val="0"/>
        </w:rPr>
        <w:t>doit</w:t>
      </w:r>
      <w:r w:rsidRPr="00804043">
        <w:rPr>
          <w:noProof w:val="0"/>
        </w:rPr>
        <w:t xml:space="preserve"> traiter le mandataire présumé comme une simple </w:t>
      </w:r>
      <w:r w:rsidR="005D6C61" w:rsidRPr="00804043">
        <w:rPr>
          <w:noProof w:val="0"/>
        </w:rPr>
        <w:t>“adress</w:t>
      </w:r>
      <w:r w:rsidRPr="00804043">
        <w:rPr>
          <w:noProof w:val="0"/>
        </w:rPr>
        <w:t xml:space="preserve">e pour la </w:t>
      </w:r>
      <w:r w:rsidR="00370559" w:rsidRPr="00804043">
        <w:rPr>
          <w:noProof w:val="0"/>
        </w:rPr>
        <w:t>correspond</w:t>
      </w:r>
      <w:r w:rsidRPr="00804043">
        <w:rPr>
          <w:noProof w:val="0"/>
        </w:rPr>
        <w:t>a</w:t>
      </w:r>
      <w:r w:rsidR="00370559" w:rsidRPr="00804043">
        <w:rPr>
          <w:noProof w:val="0"/>
        </w:rPr>
        <w:t>nce</w:t>
      </w:r>
      <w:r w:rsidR="005D6C61" w:rsidRPr="00804043">
        <w:rPr>
          <w:noProof w:val="0"/>
        </w:rPr>
        <w:t xml:space="preserve">” </w:t>
      </w:r>
      <w:r w:rsidRPr="00804043">
        <w:rPr>
          <w:noProof w:val="0"/>
        </w:rPr>
        <w:t xml:space="preserve">et ne peut accepter </w:t>
      </w:r>
      <w:r w:rsidR="008D26AF" w:rsidRPr="00804043">
        <w:rPr>
          <w:noProof w:val="0"/>
        </w:rPr>
        <w:t>sa</w:t>
      </w:r>
      <w:r w:rsidRPr="00804043">
        <w:rPr>
          <w:noProof w:val="0"/>
        </w:rPr>
        <w:t xml:space="preserve"> signature à la place de celle du déposant, même si un pouvoir a été </w:t>
      </w:r>
      <w:r w:rsidR="008D26AF" w:rsidRPr="00804043">
        <w:rPr>
          <w:noProof w:val="0"/>
        </w:rPr>
        <w:t>fourni</w:t>
      </w:r>
      <w:r w:rsidR="005D6C61" w:rsidRPr="00804043">
        <w:rPr>
          <w:noProof w:val="0"/>
        </w:rPr>
        <w:t xml:space="preserve">.  </w:t>
      </w:r>
      <w:r w:rsidR="008D26AF" w:rsidRPr="00804043">
        <w:rPr>
          <w:noProof w:val="0"/>
        </w:rPr>
        <w:t>Cela entraîne un surcroît de travail conséquent pour faire remplacer les signatures dans la demande internationale, les documents reçus avec la demande internationale et les autres documents reçus ultérieurement</w:t>
      </w:r>
      <w:r w:rsidR="005D6C61" w:rsidRPr="00804043">
        <w:rPr>
          <w:noProof w:val="0"/>
        </w:rPr>
        <w:t>.</w:t>
      </w:r>
    </w:p>
    <w:p w:rsidR="00F37BE6" w:rsidRPr="00804043" w:rsidRDefault="008D26AF" w:rsidP="002C7529">
      <w:pPr>
        <w:pStyle w:val="ONUMFS"/>
        <w:rPr>
          <w:noProof w:val="0"/>
        </w:rPr>
      </w:pPr>
      <w:r w:rsidRPr="00804043">
        <w:rPr>
          <w:noProof w:val="0"/>
        </w:rPr>
        <w:lastRenderedPageBreak/>
        <w:t xml:space="preserve">En général, le mandataire envisagé est </w:t>
      </w:r>
      <w:r w:rsidR="00F21547">
        <w:rPr>
          <w:noProof w:val="0"/>
        </w:rPr>
        <w:t>habilité à</w:t>
      </w:r>
      <w:r w:rsidR="00036B20">
        <w:rPr>
          <w:noProof w:val="0"/>
        </w:rPr>
        <w:t xml:space="preserve"> </w:t>
      </w:r>
      <w:r w:rsidRPr="00804043">
        <w:rPr>
          <w:noProof w:val="0"/>
        </w:rPr>
        <w:t>agir auprès de l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>office national d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 xml:space="preserve">un pays, mais ce pays diffère de celui </w:t>
      </w:r>
      <w:r w:rsidR="00652266" w:rsidRPr="00804043">
        <w:rPr>
          <w:noProof w:val="0"/>
        </w:rPr>
        <w:t>dont l</w:t>
      </w:r>
      <w:r w:rsidR="005A4D8B">
        <w:rPr>
          <w:noProof w:val="0"/>
        </w:rPr>
        <w:t>e déposant</w:t>
      </w:r>
      <w:r w:rsidR="00652266" w:rsidRPr="00804043">
        <w:rPr>
          <w:noProof w:val="0"/>
        </w:rPr>
        <w:t xml:space="preserve"> est ressortissant ou de celui où </w:t>
      </w:r>
      <w:r w:rsidR="005A4D8B">
        <w:rPr>
          <w:noProof w:val="0"/>
        </w:rPr>
        <w:t>ce dernier</w:t>
      </w:r>
      <w:r w:rsidR="00652266" w:rsidRPr="00804043">
        <w:rPr>
          <w:noProof w:val="0"/>
        </w:rPr>
        <w:t xml:space="preserve"> est domicilié.</w:t>
      </w:r>
      <w:r w:rsidR="00F37BE6" w:rsidRPr="00804043">
        <w:rPr>
          <w:noProof w:val="0"/>
        </w:rPr>
        <w:t xml:space="preserve">  </w:t>
      </w:r>
      <w:r w:rsidR="00652266" w:rsidRPr="00804043">
        <w:rPr>
          <w:noProof w:val="0"/>
        </w:rPr>
        <w:t xml:space="preserve">Dans la majorité des cas, </w:t>
      </w:r>
      <w:r w:rsidR="00DF1760">
        <w:rPr>
          <w:noProof w:val="0"/>
        </w:rPr>
        <w:t>les</w:t>
      </w:r>
      <w:r w:rsidR="00652266" w:rsidRPr="00804043">
        <w:rPr>
          <w:noProof w:val="0"/>
        </w:rPr>
        <w:t xml:space="preserve"> demandes internationales </w:t>
      </w:r>
      <w:r w:rsidR="003919AB">
        <w:rPr>
          <w:noProof w:val="0"/>
        </w:rPr>
        <w:t xml:space="preserve">ont été </w:t>
      </w:r>
      <w:r w:rsidR="00652266" w:rsidRPr="00804043">
        <w:rPr>
          <w:noProof w:val="0"/>
        </w:rPr>
        <w:t xml:space="preserve">transmises en vertu de la règle 19.4 au Bureau international par un office récepteur initial qui </w:t>
      </w:r>
      <w:r w:rsidR="00CC64D9">
        <w:rPr>
          <w:noProof w:val="0"/>
        </w:rPr>
        <w:t xml:space="preserve">estimait qu’il </w:t>
      </w:r>
      <w:r w:rsidR="00652266" w:rsidRPr="00804043">
        <w:rPr>
          <w:noProof w:val="0"/>
        </w:rPr>
        <w:t>n</w:t>
      </w:r>
      <w:r w:rsidR="000964A9" w:rsidRPr="00804043">
        <w:rPr>
          <w:noProof w:val="0"/>
        </w:rPr>
        <w:t>’</w:t>
      </w:r>
      <w:r w:rsidR="00DF1760">
        <w:rPr>
          <w:noProof w:val="0"/>
        </w:rPr>
        <w:t>était</w:t>
      </w:r>
      <w:r w:rsidR="00652266" w:rsidRPr="00804043">
        <w:rPr>
          <w:noProof w:val="0"/>
        </w:rPr>
        <w:t xml:space="preserve"> pas compétent pour agir, du fait par exemple que les déposants n</w:t>
      </w:r>
      <w:r w:rsidR="00DF1760">
        <w:rPr>
          <w:noProof w:val="0"/>
        </w:rPr>
        <w:t>’étaient</w:t>
      </w:r>
      <w:r w:rsidR="00652266" w:rsidRPr="00804043">
        <w:rPr>
          <w:noProof w:val="0"/>
        </w:rPr>
        <w:t xml:space="preserve"> ni ressortissants de l</w:t>
      </w:r>
      <w:r w:rsidR="000964A9" w:rsidRPr="00804043">
        <w:rPr>
          <w:noProof w:val="0"/>
        </w:rPr>
        <w:t>’</w:t>
      </w:r>
      <w:r w:rsidR="00652266" w:rsidRPr="00804043">
        <w:rPr>
          <w:noProof w:val="0"/>
        </w:rPr>
        <w:t>État</w:t>
      </w:r>
      <w:r w:rsidR="006670F2" w:rsidRPr="00804043">
        <w:rPr>
          <w:noProof w:val="0"/>
        </w:rPr>
        <w:t xml:space="preserve"> concerné, ni domiciliés dans celui</w:t>
      </w:r>
      <w:r w:rsidR="0048661F" w:rsidRPr="00804043">
        <w:rPr>
          <w:noProof w:val="0"/>
        </w:rPr>
        <w:noBreakHyphen/>
      </w:r>
      <w:r w:rsidR="006670F2" w:rsidRPr="00804043">
        <w:rPr>
          <w:noProof w:val="0"/>
        </w:rPr>
        <w:t>ci</w:t>
      </w:r>
      <w:r w:rsidR="00F37BE6" w:rsidRPr="00804043">
        <w:rPr>
          <w:noProof w:val="0"/>
        </w:rPr>
        <w:t xml:space="preserve">.  </w:t>
      </w:r>
      <w:r w:rsidR="006670F2" w:rsidRPr="00804043">
        <w:rPr>
          <w:noProof w:val="0"/>
        </w:rPr>
        <w:t xml:space="preserve">Dans 90% des cas, le mandataire </w:t>
      </w:r>
      <w:r w:rsidR="00CC64D9">
        <w:rPr>
          <w:noProof w:val="0"/>
        </w:rPr>
        <w:t>concerné</w:t>
      </w:r>
      <w:r w:rsidR="006670F2" w:rsidRPr="00804043">
        <w:rPr>
          <w:noProof w:val="0"/>
        </w:rPr>
        <w:t xml:space="preserve"> aurait été compétent pour agir auprès de l</w:t>
      </w:r>
      <w:r w:rsidR="000964A9" w:rsidRPr="00804043">
        <w:rPr>
          <w:noProof w:val="0"/>
        </w:rPr>
        <w:t>’</w:t>
      </w:r>
      <w:r w:rsidR="006670F2" w:rsidRPr="00804043">
        <w:rPr>
          <w:noProof w:val="0"/>
        </w:rPr>
        <w:t>office récepteur initial</w:t>
      </w:r>
      <w:r w:rsidR="00F37BE6" w:rsidRPr="00804043">
        <w:rPr>
          <w:noProof w:val="0"/>
        </w:rPr>
        <w:t>.</w:t>
      </w:r>
    </w:p>
    <w:p w:rsidR="00F37BE6" w:rsidRPr="00804043" w:rsidRDefault="00793A68" w:rsidP="002C7529">
      <w:pPr>
        <w:pStyle w:val="ONUMFS"/>
        <w:rPr>
          <w:noProof w:val="0"/>
        </w:rPr>
      </w:pPr>
      <w:r w:rsidRPr="00804043">
        <w:rPr>
          <w:noProof w:val="0"/>
        </w:rPr>
        <w:t>Le Bureau international reconnaît l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>importance des normes professionnelles, mais il agit régulièrement au nom de tous les États contractants du PCT</w:t>
      </w:r>
      <w:r w:rsidR="005D6C61" w:rsidRPr="00804043">
        <w:rPr>
          <w:noProof w:val="0"/>
        </w:rPr>
        <w:t xml:space="preserve">.  </w:t>
      </w:r>
      <w:r w:rsidRPr="00804043">
        <w:rPr>
          <w:noProof w:val="0"/>
        </w:rPr>
        <w:t>Aussi, il n</w:t>
      </w:r>
      <w:r w:rsidR="00F21547">
        <w:rPr>
          <w:noProof w:val="0"/>
        </w:rPr>
        <w:t>’a pas besoin d’un</w:t>
      </w:r>
      <w:r w:rsidRPr="00804043">
        <w:rPr>
          <w:noProof w:val="0"/>
        </w:rPr>
        <w:t xml:space="preserve">e adresse </w:t>
      </w:r>
      <w:r w:rsidR="005D6C61" w:rsidRPr="00804043">
        <w:rPr>
          <w:noProof w:val="0"/>
        </w:rPr>
        <w:t>“local</w:t>
      </w:r>
      <w:r w:rsidRPr="00804043">
        <w:rPr>
          <w:noProof w:val="0"/>
        </w:rPr>
        <w:t>e</w:t>
      </w:r>
      <w:r w:rsidR="005D6C61" w:rsidRPr="00804043">
        <w:rPr>
          <w:noProof w:val="0"/>
        </w:rPr>
        <w:t xml:space="preserve">” </w:t>
      </w:r>
      <w:r w:rsidRPr="00804043">
        <w:rPr>
          <w:noProof w:val="0"/>
        </w:rPr>
        <w:t>pour la correspondance</w:t>
      </w:r>
      <w:r w:rsidR="00DF1760">
        <w:rPr>
          <w:noProof w:val="0"/>
        </w:rPr>
        <w:t xml:space="preserve">, ni </w:t>
      </w:r>
      <w:r w:rsidR="00F21547">
        <w:rPr>
          <w:noProof w:val="0"/>
        </w:rPr>
        <w:t>d’un</w:t>
      </w:r>
      <w:r w:rsidRPr="00804043">
        <w:rPr>
          <w:noProof w:val="0"/>
        </w:rPr>
        <w:t xml:space="preserve"> mandataire poss</w:t>
      </w:r>
      <w:r w:rsidR="00F21547">
        <w:rPr>
          <w:noProof w:val="0"/>
        </w:rPr>
        <w:t>é</w:t>
      </w:r>
      <w:r w:rsidRPr="00804043">
        <w:rPr>
          <w:noProof w:val="0"/>
        </w:rPr>
        <w:t>d</w:t>
      </w:r>
      <w:r w:rsidR="00F21547">
        <w:rPr>
          <w:noProof w:val="0"/>
        </w:rPr>
        <w:t xml:space="preserve">ant </w:t>
      </w:r>
      <w:r w:rsidRPr="00804043">
        <w:rPr>
          <w:noProof w:val="0"/>
        </w:rPr>
        <w:t>des connaissances approfondies dans telle ou telle procédure nationale</w:t>
      </w:r>
      <w:r w:rsidR="00F37BE6" w:rsidRPr="00804043">
        <w:rPr>
          <w:noProof w:val="0"/>
        </w:rPr>
        <w:t>.</w:t>
      </w:r>
    </w:p>
    <w:p w:rsidR="005D6C61" w:rsidRPr="00804043" w:rsidRDefault="00793A68" w:rsidP="002C7529">
      <w:pPr>
        <w:pStyle w:val="ONUMFS"/>
        <w:rPr>
          <w:noProof w:val="0"/>
        </w:rPr>
      </w:pPr>
      <w:r w:rsidRPr="00804043">
        <w:rPr>
          <w:noProof w:val="0"/>
        </w:rPr>
        <w:t xml:space="preserve">Il semble </w:t>
      </w:r>
      <w:r w:rsidR="00CC64D9">
        <w:rPr>
          <w:noProof w:val="0"/>
        </w:rPr>
        <w:t>n’</w:t>
      </w:r>
      <w:r w:rsidRPr="00804043">
        <w:rPr>
          <w:noProof w:val="0"/>
        </w:rPr>
        <w:t xml:space="preserve">y avoir </w:t>
      </w:r>
      <w:r w:rsidR="00CC64D9">
        <w:rPr>
          <w:noProof w:val="0"/>
        </w:rPr>
        <w:t xml:space="preserve">aucune </w:t>
      </w:r>
      <w:r w:rsidRPr="00804043">
        <w:rPr>
          <w:noProof w:val="0"/>
        </w:rPr>
        <w:t xml:space="preserve">raison </w:t>
      </w:r>
      <w:r w:rsidR="00CC64D9">
        <w:rPr>
          <w:noProof w:val="0"/>
        </w:rPr>
        <w:t>pratique</w:t>
      </w:r>
      <w:r w:rsidRPr="00804043">
        <w:rPr>
          <w:noProof w:val="0"/>
        </w:rPr>
        <w:t xml:space="preserve"> d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 xml:space="preserve">empêcher un déposant de désigner une personne qualifiée en tant que mandataire simplement </w:t>
      </w:r>
      <w:r w:rsidR="00766C99" w:rsidRPr="00804043">
        <w:rPr>
          <w:noProof w:val="0"/>
        </w:rPr>
        <w:t>du fait que les qualifications de ce</w:t>
      </w:r>
      <w:r w:rsidR="00F21547">
        <w:rPr>
          <w:noProof w:val="0"/>
        </w:rPr>
        <w:t>lle</w:t>
      </w:r>
      <w:r w:rsidR="00F21547">
        <w:rPr>
          <w:noProof w:val="0"/>
        </w:rPr>
        <w:noBreakHyphen/>
        <w:t>ci</w:t>
      </w:r>
      <w:r w:rsidR="00766C99" w:rsidRPr="00804043">
        <w:rPr>
          <w:noProof w:val="0"/>
        </w:rPr>
        <w:t xml:space="preserve"> renvoient au </w:t>
      </w:r>
      <w:r w:rsidR="005D6C61" w:rsidRPr="00804043">
        <w:rPr>
          <w:noProof w:val="0"/>
        </w:rPr>
        <w:t>“</w:t>
      </w:r>
      <w:r w:rsidR="00766C99" w:rsidRPr="00804043">
        <w:rPr>
          <w:noProof w:val="0"/>
        </w:rPr>
        <w:t>mauvais</w:t>
      </w:r>
      <w:r w:rsidR="005D6C61" w:rsidRPr="00804043">
        <w:rPr>
          <w:noProof w:val="0"/>
        </w:rPr>
        <w:t xml:space="preserve">” </w:t>
      </w:r>
      <w:r w:rsidR="00766C99" w:rsidRPr="00804043">
        <w:rPr>
          <w:noProof w:val="0"/>
        </w:rPr>
        <w:t>office national</w:t>
      </w:r>
      <w:r w:rsidR="005D6C61" w:rsidRPr="00804043">
        <w:rPr>
          <w:noProof w:val="0"/>
        </w:rPr>
        <w:t xml:space="preserve">. </w:t>
      </w:r>
      <w:r w:rsidR="00F37BE6" w:rsidRPr="00804043">
        <w:rPr>
          <w:noProof w:val="0"/>
        </w:rPr>
        <w:t xml:space="preserve"> </w:t>
      </w:r>
      <w:r w:rsidR="00766C99" w:rsidRPr="00804043">
        <w:rPr>
          <w:noProof w:val="0"/>
        </w:rPr>
        <w:t xml:space="preserve">Le surcroît de travail à la fois pour les déposants et le Bureau international pour faire remplacer les signatures ne présente </w:t>
      </w:r>
      <w:r w:rsidR="007F2877">
        <w:rPr>
          <w:noProof w:val="0"/>
        </w:rPr>
        <w:t>un intérêt pratique</w:t>
      </w:r>
      <w:r w:rsidR="00766C99" w:rsidRPr="00804043">
        <w:rPr>
          <w:noProof w:val="0"/>
        </w:rPr>
        <w:t xml:space="preserve"> pour personne</w:t>
      </w:r>
      <w:r w:rsidR="00F37BE6" w:rsidRPr="00804043">
        <w:rPr>
          <w:noProof w:val="0"/>
        </w:rPr>
        <w:t>.</w:t>
      </w:r>
    </w:p>
    <w:p w:rsidR="005D6C61" w:rsidRPr="00804043" w:rsidRDefault="005D6C61" w:rsidP="007F5D8D">
      <w:pPr>
        <w:pStyle w:val="Heading1"/>
        <w:rPr>
          <w:noProof w:val="0"/>
        </w:rPr>
      </w:pPr>
      <w:r w:rsidRPr="00804043">
        <w:rPr>
          <w:noProof w:val="0"/>
        </w:rPr>
        <w:t>Propos</w:t>
      </w:r>
      <w:r w:rsidR="00766C99" w:rsidRPr="00804043">
        <w:rPr>
          <w:noProof w:val="0"/>
        </w:rPr>
        <w:t>ition</w:t>
      </w:r>
    </w:p>
    <w:p w:rsidR="002C7529" w:rsidRPr="00804043" w:rsidRDefault="002C7529" w:rsidP="002C7529">
      <w:pPr>
        <w:rPr>
          <w:noProof w:val="0"/>
        </w:rPr>
      </w:pPr>
    </w:p>
    <w:p w:rsidR="005D6C61" w:rsidRPr="00804043" w:rsidRDefault="00766C99" w:rsidP="002C7529">
      <w:pPr>
        <w:pStyle w:val="ONUMFS"/>
        <w:rPr>
          <w:noProof w:val="0"/>
        </w:rPr>
      </w:pPr>
      <w:r w:rsidRPr="00804043">
        <w:rPr>
          <w:noProof w:val="0"/>
        </w:rPr>
        <w:t>Il est proposé de modifier la règle</w:t>
      </w:r>
      <w:r w:rsidR="0082586C" w:rsidRPr="00804043">
        <w:rPr>
          <w:noProof w:val="0"/>
        </w:rPr>
        <w:t> </w:t>
      </w:r>
      <w:r w:rsidR="005D6C61" w:rsidRPr="00804043">
        <w:rPr>
          <w:noProof w:val="0"/>
        </w:rPr>
        <w:t>83.1</w:t>
      </w:r>
      <w:r w:rsidR="00E7268D" w:rsidRPr="00804043">
        <w:rPr>
          <w:i/>
          <w:noProof w:val="0"/>
        </w:rPr>
        <w:t>bis</w:t>
      </w:r>
      <w:r w:rsidR="0048661F" w:rsidRPr="00804043">
        <w:rPr>
          <w:noProof w:val="0"/>
        </w:rPr>
        <w:t>.</w:t>
      </w:r>
      <w:r w:rsidRPr="00804043">
        <w:rPr>
          <w:noProof w:val="0"/>
        </w:rPr>
        <w:t>a</w:t>
      </w:r>
      <w:r w:rsidR="005D6C61" w:rsidRPr="00804043">
        <w:rPr>
          <w:noProof w:val="0"/>
        </w:rPr>
        <w:t>)</w:t>
      </w:r>
      <w:r w:rsidRPr="00804043">
        <w:rPr>
          <w:noProof w:val="0"/>
        </w:rPr>
        <w:t xml:space="preserve"> comme indiqué à l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>annexe du présent document, afin que toute personne ayant le droit d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>exercer auprès de l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 xml:space="preserve">office national </w:t>
      </w:r>
      <w:r w:rsidR="008D48FB" w:rsidRPr="00804043">
        <w:rPr>
          <w:noProof w:val="0"/>
        </w:rPr>
        <w:t>de tout</w:t>
      </w:r>
      <w:r w:rsidRPr="00804043">
        <w:rPr>
          <w:noProof w:val="0"/>
        </w:rPr>
        <w:t xml:space="preserve"> État contractant du PCT (ou d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 xml:space="preserve">un office </w:t>
      </w:r>
      <w:r w:rsidR="008D48FB" w:rsidRPr="00804043">
        <w:rPr>
          <w:noProof w:val="0"/>
        </w:rPr>
        <w:t>régional</w:t>
      </w:r>
      <w:r w:rsidRPr="00804043">
        <w:rPr>
          <w:noProof w:val="0"/>
        </w:rPr>
        <w:t xml:space="preserve"> </w:t>
      </w:r>
      <w:r w:rsidR="0083198E" w:rsidRPr="00804043">
        <w:rPr>
          <w:noProof w:val="0"/>
        </w:rPr>
        <w:t xml:space="preserve">agissant pour </w:t>
      </w:r>
      <w:r w:rsidR="008D48FB" w:rsidRPr="00804043">
        <w:rPr>
          <w:noProof w:val="0"/>
        </w:rPr>
        <w:t>tout</w:t>
      </w:r>
      <w:r w:rsidR="0083198E" w:rsidRPr="00804043">
        <w:rPr>
          <w:noProof w:val="0"/>
        </w:rPr>
        <w:t xml:space="preserve"> État contractant du PCT) </w:t>
      </w:r>
      <w:r w:rsidRPr="00804043">
        <w:rPr>
          <w:noProof w:val="0"/>
        </w:rPr>
        <w:t>puisse avoir le droit d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>exercer auprès du Bureau international agissant en qualité d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 xml:space="preserve">office récepteur, quel que soit </w:t>
      </w:r>
      <w:r w:rsidR="0083198E" w:rsidRPr="00804043">
        <w:rPr>
          <w:noProof w:val="0"/>
        </w:rPr>
        <w:t>la nationalité ou le domicile</w:t>
      </w:r>
      <w:r w:rsidRPr="00804043">
        <w:rPr>
          <w:noProof w:val="0"/>
        </w:rPr>
        <w:t xml:space="preserve"> </w:t>
      </w:r>
      <w:r w:rsidR="0083198E" w:rsidRPr="00804043">
        <w:rPr>
          <w:noProof w:val="0"/>
        </w:rPr>
        <w:t>du</w:t>
      </w:r>
      <w:r w:rsidRPr="00804043">
        <w:rPr>
          <w:noProof w:val="0"/>
        </w:rPr>
        <w:t xml:space="preserve"> déposant</w:t>
      </w:r>
      <w:r w:rsidR="00E7268D" w:rsidRPr="00804043">
        <w:rPr>
          <w:noProof w:val="0"/>
        </w:rPr>
        <w:t>.</w:t>
      </w:r>
    </w:p>
    <w:p w:rsidR="00E7268D" w:rsidRPr="00804043" w:rsidRDefault="007F2877" w:rsidP="002C7529">
      <w:pPr>
        <w:pStyle w:val="ONUMFS"/>
        <w:rPr>
          <w:noProof w:val="0"/>
        </w:rPr>
      </w:pPr>
      <w:r>
        <w:rPr>
          <w:noProof w:val="0"/>
        </w:rPr>
        <w:t>C</w:t>
      </w:r>
      <w:r w:rsidRPr="00804043">
        <w:rPr>
          <w:noProof w:val="0"/>
        </w:rPr>
        <w:t>ette personne</w:t>
      </w:r>
      <w:r>
        <w:rPr>
          <w:noProof w:val="0"/>
        </w:rPr>
        <w:t>, s</w:t>
      </w:r>
      <w:r w:rsidR="0083198E" w:rsidRPr="00804043">
        <w:rPr>
          <w:noProof w:val="0"/>
        </w:rPr>
        <w:t>i elle était ainsi désignée</w:t>
      </w:r>
      <w:r w:rsidR="000475BC">
        <w:rPr>
          <w:noProof w:val="0"/>
        </w:rPr>
        <w:t>,</w:t>
      </w:r>
      <w:r w:rsidR="000475BC" w:rsidRPr="000475BC">
        <w:rPr>
          <w:noProof w:val="0"/>
        </w:rPr>
        <w:t xml:space="preserve"> </w:t>
      </w:r>
      <w:r w:rsidR="0083198E" w:rsidRPr="00804043">
        <w:rPr>
          <w:noProof w:val="0"/>
        </w:rPr>
        <w:t>aurait également</w:t>
      </w:r>
      <w:r w:rsidR="000475BC">
        <w:rPr>
          <w:noProof w:val="0"/>
        </w:rPr>
        <w:t xml:space="preserve"> le droit</w:t>
      </w:r>
      <w:r w:rsidR="0083198E" w:rsidRPr="00804043">
        <w:rPr>
          <w:noProof w:val="0"/>
        </w:rPr>
        <w:t>, comme c</w:t>
      </w:r>
      <w:r w:rsidR="000964A9" w:rsidRPr="00804043">
        <w:rPr>
          <w:noProof w:val="0"/>
        </w:rPr>
        <w:t>’</w:t>
      </w:r>
      <w:r w:rsidR="0083198E" w:rsidRPr="00804043">
        <w:rPr>
          <w:noProof w:val="0"/>
        </w:rPr>
        <w:t>est le cas actuellement, d</w:t>
      </w:r>
      <w:r w:rsidR="000964A9" w:rsidRPr="00804043">
        <w:rPr>
          <w:noProof w:val="0"/>
        </w:rPr>
        <w:t>’</w:t>
      </w:r>
      <w:r w:rsidR="0083198E" w:rsidRPr="00804043">
        <w:rPr>
          <w:noProof w:val="0"/>
        </w:rPr>
        <w:t>agir auprès de</w:t>
      </w:r>
      <w:r>
        <w:rPr>
          <w:noProof w:val="0"/>
        </w:rPr>
        <w:t xml:space="preserve"> tous les autre</w:t>
      </w:r>
      <w:r w:rsidR="0083198E" w:rsidRPr="00804043">
        <w:rPr>
          <w:noProof w:val="0"/>
        </w:rPr>
        <w:t>s offices exerçant des fonctions durant la phase internationale</w:t>
      </w:r>
      <w:r w:rsidR="00E7268D" w:rsidRPr="00804043">
        <w:rPr>
          <w:noProof w:val="0"/>
        </w:rPr>
        <w:t>.</w:t>
      </w:r>
    </w:p>
    <w:p w:rsidR="00F37BE6" w:rsidRPr="00804043" w:rsidRDefault="0083198E" w:rsidP="002C7529">
      <w:pPr>
        <w:pStyle w:val="ONUMFS"/>
        <w:rPr>
          <w:noProof w:val="0"/>
        </w:rPr>
      </w:pPr>
      <w:r w:rsidRPr="00804043">
        <w:rPr>
          <w:noProof w:val="0"/>
        </w:rPr>
        <w:t xml:space="preserve">En principe, il serait possible de limiter cette proposition aux cas </w:t>
      </w:r>
      <w:r w:rsidR="000475BC">
        <w:rPr>
          <w:noProof w:val="0"/>
        </w:rPr>
        <w:t>visés à</w:t>
      </w:r>
      <w:r w:rsidRPr="00804043">
        <w:rPr>
          <w:noProof w:val="0"/>
        </w:rPr>
        <w:t xml:space="preserve"> la </w:t>
      </w:r>
      <w:r w:rsidR="00F37BE6" w:rsidRPr="00804043">
        <w:rPr>
          <w:noProof w:val="0"/>
        </w:rPr>
        <w:t>“</w:t>
      </w:r>
      <w:r w:rsidRPr="00804043">
        <w:rPr>
          <w:noProof w:val="0"/>
        </w:rPr>
        <w:t>règle</w:t>
      </w:r>
      <w:r w:rsidR="00F37BE6" w:rsidRPr="00804043">
        <w:rPr>
          <w:noProof w:val="0"/>
        </w:rPr>
        <w:t xml:space="preserve"> 19.4” </w:t>
      </w:r>
      <w:r w:rsidR="007F2877">
        <w:rPr>
          <w:noProof w:val="0"/>
        </w:rPr>
        <w:t>lorsque</w:t>
      </w:r>
      <w:r w:rsidRPr="00804043">
        <w:rPr>
          <w:noProof w:val="0"/>
        </w:rPr>
        <w:t xml:space="preserve"> le mandataire aurait été compétent pour agir auprès de l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 xml:space="preserve">office où la demande internationale </w:t>
      </w:r>
      <w:r w:rsidR="005357F2" w:rsidRPr="00804043">
        <w:rPr>
          <w:noProof w:val="0"/>
        </w:rPr>
        <w:t>a été déposée initialement</w:t>
      </w:r>
      <w:r w:rsidR="00F37BE6" w:rsidRPr="00804043">
        <w:rPr>
          <w:noProof w:val="0"/>
        </w:rPr>
        <w:t xml:space="preserve">.  </w:t>
      </w:r>
      <w:r w:rsidR="005357F2" w:rsidRPr="00804043">
        <w:rPr>
          <w:noProof w:val="0"/>
        </w:rPr>
        <w:t xml:space="preserve">Toutefois, il y a un risque que des demandes internationales soient déposées </w:t>
      </w:r>
      <w:r w:rsidR="007F2877" w:rsidRPr="00804043">
        <w:rPr>
          <w:noProof w:val="0"/>
        </w:rPr>
        <w:t xml:space="preserve">délibérément </w:t>
      </w:r>
      <w:r w:rsidR="005357F2" w:rsidRPr="00804043">
        <w:rPr>
          <w:noProof w:val="0"/>
        </w:rPr>
        <w:t>auprès d</w:t>
      </w:r>
      <w:r w:rsidR="000964A9" w:rsidRPr="00804043">
        <w:rPr>
          <w:noProof w:val="0"/>
        </w:rPr>
        <w:t>’</w:t>
      </w:r>
      <w:r w:rsidR="005357F2" w:rsidRPr="00804043">
        <w:rPr>
          <w:noProof w:val="0"/>
        </w:rPr>
        <w:t>un office non compétent alors qu</w:t>
      </w:r>
      <w:r w:rsidR="000964A9" w:rsidRPr="00804043">
        <w:rPr>
          <w:noProof w:val="0"/>
        </w:rPr>
        <w:t>’</w:t>
      </w:r>
      <w:r w:rsidR="005357F2" w:rsidRPr="00804043">
        <w:rPr>
          <w:noProof w:val="0"/>
        </w:rPr>
        <w:t>elles auraient pu être transmises directement au Bureau international agissant en qualité d</w:t>
      </w:r>
      <w:r w:rsidR="000964A9" w:rsidRPr="00804043">
        <w:rPr>
          <w:noProof w:val="0"/>
        </w:rPr>
        <w:t>’</w:t>
      </w:r>
      <w:r w:rsidR="005357F2" w:rsidRPr="00804043">
        <w:rPr>
          <w:noProof w:val="0"/>
        </w:rPr>
        <w:t>office récepteur</w:t>
      </w:r>
      <w:r w:rsidR="00F37BE6" w:rsidRPr="00804043">
        <w:rPr>
          <w:noProof w:val="0"/>
        </w:rPr>
        <w:t xml:space="preserve">, </w:t>
      </w:r>
      <w:r w:rsidR="005357F2" w:rsidRPr="00804043">
        <w:rPr>
          <w:noProof w:val="0"/>
        </w:rPr>
        <w:t xml:space="preserve">simplement pour </w:t>
      </w:r>
      <w:r w:rsidR="000475BC">
        <w:rPr>
          <w:noProof w:val="0"/>
        </w:rPr>
        <w:t xml:space="preserve">pouvoir recourir à </w:t>
      </w:r>
      <w:r w:rsidR="005357F2" w:rsidRPr="00804043">
        <w:rPr>
          <w:noProof w:val="0"/>
        </w:rPr>
        <w:t>un mandataire préféré</w:t>
      </w:r>
      <w:r w:rsidR="00F37BE6" w:rsidRPr="00804043">
        <w:rPr>
          <w:noProof w:val="0"/>
        </w:rPr>
        <w:t xml:space="preserve">.  </w:t>
      </w:r>
      <w:r w:rsidR="005357F2" w:rsidRPr="00804043">
        <w:rPr>
          <w:noProof w:val="0"/>
        </w:rPr>
        <w:t>Cela pourrait entraîner un surcroît de travail pratiquement équivalent à la charge de travail que cette proposition vise à é</w:t>
      </w:r>
      <w:r w:rsidR="000475BC">
        <w:rPr>
          <w:noProof w:val="0"/>
        </w:rPr>
        <w:t>viter</w:t>
      </w:r>
      <w:r w:rsidR="00113688" w:rsidRPr="00804043">
        <w:rPr>
          <w:noProof w:val="0"/>
        </w:rPr>
        <w:t xml:space="preserve">.  </w:t>
      </w:r>
      <w:r w:rsidR="005357F2" w:rsidRPr="00804043">
        <w:rPr>
          <w:noProof w:val="0"/>
        </w:rPr>
        <w:t xml:space="preserve">Par conséquent, le Bureau international </w:t>
      </w:r>
      <w:r w:rsidR="00F11CE1" w:rsidRPr="00804043">
        <w:rPr>
          <w:noProof w:val="0"/>
        </w:rPr>
        <w:t xml:space="preserve">ne proposerait pas </w:t>
      </w:r>
      <w:r w:rsidR="007F2877">
        <w:rPr>
          <w:noProof w:val="0"/>
        </w:rPr>
        <w:t>de subordonner l’extension du droit d’exercer à une telle limitation</w:t>
      </w:r>
      <w:r w:rsidR="00113688" w:rsidRPr="00804043">
        <w:rPr>
          <w:noProof w:val="0"/>
        </w:rPr>
        <w:t>.</w:t>
      </w:r>
    </w:p>
    <w:p w:rsidR="00346E7B" w:rsidRPr="00804043" w:rsidRDefault="00F11CE1" w:rsidP="002C7529">
      <w:pPr>
        <w:pStyle w:val="ONUMFS"/>
        <w:ind w:left="5533"/>
        <w:rPr>
          <w:i/>
          <w:noProof w:val="0"/>
        </w:rPr>
      </w:pPr>
      <w:r w:rsidRPr="00804043">
        <w:rPr>
          <w:i/>
          <w:noProof w:val="0"/>
        </w:rPr>
        <w:t>Le groupe de travail est invité à examiner la proposition qui figure à l</w:t>
      </w:r>
      <w:r w:rsidR="000964A9" w:rsidRPr="00804043">
        <w:rPr>
          <w:i/>
          <w:noProof w:val="0"/>
        </w:rPr>
        <w:t>’</w:t>
      </w:r>
      <w:r w:rsidRPr="00804043">
        <w:rPr>
          <w:i/>
          <w:noProof w:val="0"/>
        </w:rPr>
        <w:t>annexe du présent document.</w:t>
      </w:r>
    </w:p>
    <w:p w:rsidR="00595215" w:rsidRPr="00804043" w:rsidRDefault="00595215" w:rsidP="00595215">
      <w:pPr>
        <w:pStyle w:val="Endofdocument-Annex"/>
        <w:rPr>
          <w:noProof w:val="0"/>
        </w:rPr>
      </w:pPr>
    </w:p>
    <w:p w:rsidR="00BC6CB2" w:rsidRPr="00804043" w:rsidRDefault="00BC6CB2" w:rsidP="00595215">
      <w:pPr>
        <w:pStyle w:val="Endofdocument-Annex"/>
        <w:rPr>
          <w:noProof w:val="0"/>
        </w:rPr>
      </w:pPr>
    </w:p>
    <w:p w:rsidR="00D4092A" w:rsidRPr="00804043" w:rsidRDefault="00595215" w:rsidP="00595215">
      <w:pPr>
        <w:pStyle w:val="Endofdocument-Annex"/>
        <w:rPr>
          <w:noProof w:val="0"/>
        </w:rPr>
      </w:pPr>
      <w:r w:rsidRPr="00804043">
        <w:rPr>
          <w:noProof w:val="0"/>
        </w:rPr>
        <w:t>[</w:t>
      </w:r>
      <w:r w:rsidR="00F11CE1" w:rsidRPr="00804043">
        <w:rPr>
          <w:noProof w:val="0"/>
        </w:rPr>
        <w:t>L</w:t>
      </w:r>
      <w:r w:rsidR="000964A9" w:rsidRPr="00804043">
        <w:rPr>
          <w:noProof w:val="0"/>
        </w:rPr>
        <w:t>’</w:t>
      </w:r>
      <w:r w:rsidR="00F11CE1" w:rsidRPr="00804043">
        <w:rPr>
          <w:noProof w:val="0"/>
        </w:rPr>
        <w:t>annexe suit</w:t>
      </w:r>
      <w:r w:rsidR="00D4092A" w:rsidRPr="00804043">
        <w:rPr>
          <w:noProof w:val="0"/>
        </w:rPr>
        <w:t>]</w:t>
      </w:r>
    </w:p>
    <w:p w:rsidR="00D4092A" w:rsidRPr="00804043" w:rsidRDefault="00D4092A">
      <w:pPr>
        <w:rPr>
          <w:noProof w:val="0"/>
        </w:rPr>
      </w:pPr>
    </w:p>
    <w:p w:rsidR="00BC6CB2" w:rsidRPr="00804043" w:rsidRDefault="00BC6CB2">
      <w:pPr>
        <w:rPr>
          <w:noProof w:val="0"/>
        </w:rPr>
        <w:sectPr w:rsidR="00BC6CB2" w:rsidRPr="00804043" w:rsidSect="007F5D8D">
          <w:head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7268D" w:rsidRPr="00804043" w:rsidRDefault="00E7268D" w:rsidP="00E7268D">
      <w:pPr>
        <w:jc w:val="center"/>
        <w:rPr>
          <w:noProof w:val="0"/>
        </w:rPr>
      </w:pPr>
      <w:r w:rsidRPr="00804043">
        <w:rPr>
          <w:noProof w:val="0"/>
        </w:rPr>
        <w:lastRenderedPageBreak/>
        <w:t>PROPOS</w:t>
      </w:r>
      <w:r w:rsidR="00566810" w:rsidRPr="00804043">
        <w:rPr>
          <w:noProof w:val="0"/>
        </w:rPr>
        <w:t>ITIONS DE MODIFICATION DU RÈGLEMENT D</w:t>
      </w:r>
      <w:r w:rsidR="000964A9" w:rsidRPr="00804043">
        <w:rPr>
          <w:noProof w:val="0"/>
        </w:rPr>
        <w:t>’</w:t>
      </w:r>
      <w:r w:rsidR="00566810" w:rsidRPr="00804043">
        <w:rPr>
          <w:noProof w:val="0"/>
        </w:rPr>
        <w:t>EXÉCUTION DU PCT</w:t>
      </w:r>
      <w:r w:rsidRPr="00804043">
        <w:rPr>
          <w:rStyle w:val="FootnoteReference"/>
          <w:noProof w:val="0"/>
        </w:rPr>
        <w:footnoteReference w:id="2"/>
      </w:r>
    </w:p>
    <w:p w:rsidR="00E7268D" w:rsidRPr="00804043" w:rsidRDefault="00E7268D" w:rsidP="00E7268D">
      <w:pPr>
        <w:jc w:val="center"/>
        <w:rPr>
          <w:noProof w:val="0"/>
        </w:rPr>
      </w:pPr>
    </w:p>
    <w:p w:rsidR="00E7268D" w:rsidRPr="00804043" w:rsidRDefault="00E7268D" w:rsidP="00E7268D">
      <w:pPr>
        <w:jc w:val="center"/>
        <w:rPr>
          <w:noProof w:val="0"/>
        </w:rPr>
      </w:pPr>
    </w:p>
    <w:p w:rsidR="00E7268D" w:rsidRPr="00804043" w:rsidRDefault="00E7268D" w:rsidP="00E7268D">
      <w:pPr>
        <w:jc w:val="center"/>
        <w:rPr>
          <w:noProof w:val="0"/>
        </w:rPr>
      </w:pPr>
      <w:r w:rsidRPr="00804043">
        <w:rPr>
          <w:noProof w:val="0"/>
        </w:rPr>
        <w:t xml:space="preserve">TABLE </w:t>
      </w:r>
      <w:r w:rsidR="00566810" w:rsidRPr="00804043">
        <w:rPr>
          <w:noProof w:val="0"/>
        </w:rPr>
        <w:t>DES MATIÈRES</w:t>
      </w:r>
    </w:p>
    <w:p w:rsidR="00E7268D" w:rsidRPr="00804043" w:rsidRDefault="00E7268D" w:rsidP="00E7268D">
      <w:pPr>
        <w:rPr>
          <w:noProof w:val="0"/>
        </w:rPr>
      </w:pPr>
    </w:p>
    <w:p w:rsidR="00BA1F5B" w:rsidRDefault="0011598B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eastAsia="fr-FR"/>
        </w:rPr>
      </w:pPr>
      <w:r w:rsidRPr="00804043">
        <w:rPr>
          <w:noProof w:val="0"/>
        </w:rPr>
        <w:fldChar w:fldCharType="begin"/>
      </w:r>
      <w:r w:rsidRPr="00804043">
        <w:rPr>
          <w:noProof w:val="0"/>
        </w:rPr>
        <w:instrText xml:space="preserve"> TOC \t "Leg # Title;1;Leg SubRule #;2" </w:instrText>
      </w:r>
      <w:r w:rsidRPr="00804043">
        <w:rPr>
          <w:noProof w:val="0"/>
        </w:rPr>
        <w:fldChar w:fldCharType="separate"/>
      </w:r>
      <w:r w:rsidR="00BA1F5B">
        <w:t>Règle 83  Droit d’exercer auprès d’administrations internationales</w:t>
      </w:r>
      <w:r w:rsidR="00BA1F5B">
        <w:tab/>
      </w:r>
      <w:r w:rsidR="00BA1F5B">
        <w:fldChar w:fldCharType="begin"/>
      </w:r>
      <w:r w:rsidR="00BA1F5B">
        <w:instrText xml:space="preserve"> PAGEREF _Toc386788724 \h </w:instrText>
      </w:r>
      <w:r w:rsidR="00BA1F5B">
        <w:fldChar w:fldCharType="separate"/>
      </w:r>
      <w:r w:rsidR="00AB4258">
        <w:t>2</w:t>
      </w:r>
      <w:r w:rsidR="00BA1F5B">
        <w:fldChar w:fldCharType="end"/>
      </w:r>
    </w:p>
    <w:p w:rsidR="00BA1F5B" w:rsidRDefault="00BA1F5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eastAsia="fr-FR"/>
        </w:rPr>
      </w:pPr>
      <w:r>
        <w:t xml:space="preserve">83.1  [Aucune modification]  </w:t>
      </w:r>
      <w:r w:rsidRPr="00204B68">
        <w:rPr>
          <w:iCs/>
        </w:rPr>
        <w:t>Preuve du droit</w:t>
      </w:r>
      <w:r>
        <w:tab/>
      </w:r>
      <w:r>
        <w:fldChar w:fldCharType="begin"/>
      </w:r>
      <w:r>
        <w:instrText xml:space="preserve"> PAGEREF _Toc386788725 \h </w:instrText>
      </w:r>
      <w:r>
        <w:fldChar w:fldCharType="separate"/>
      </w:r>
      <w:r w:rsidR="00AB4258">
        <w:t>2</w:t>
      </w:r>
      <w:r>
        <w:fldChar w:fldCharType="end"/>
      </w:r>
    </w:p>
    <w:p w:rsidR="00BA1F5B" w:rsidRDefault="00BA1F5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eastAsia="fr-FR"/>
        </w:rPr>
      </w:pPr>
      <w:r>
        <w:t>83.1</w:t>
      </w:r>
      <w:r w:rsidRPr="00BA1F5B">
        <w:rPr>
          <w:i/>
        </w:rPr>
        <w:t>bis</w:t>
      </w:r>
      <w:r>
        <w:t>  </w:t>
      </w:r>
      <w:r w:rsidRPr="00204B68">
        <w:rPr>
          <w:iCs/>
        </w:rPr>
        <w:t>Cas où le Bureau international est l’office récepteur</w:t>
      </w:r>
      <w:r>
        <w:tab/>
      </w:r>
      <w:r>
        <w:fldChar w:fldCharType="begin"/>
      </w:r>
      <w:r>
        <w:instrText xml:space="preserve"> PAGEREF _Toc386788726 \h </w:instrText>
      </w:r>
      <w:r>
        <w:fldChar w:fldCharType="separate"/>
      </w:r>
      <w:r w:rsidR="00AB4258">
        <w:t>2</w:t>
      </w:r>
      <w:r>
        <w:fldChar w:fldCharType="end"/>
      </w:r>
    </w:p>
    <w:p w:rsidR="00BA1F5B" w:rsidRDefault="00BA1F5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eastAsia="fr-FR"/>
        </w:rPr>
      </w:pPr>
      <w:r>
        <w:t>83.2  [Aucune modification]  Information</w:t>
      </w:r>
      <w:r>
        <w:tab/>
      </w:r>
      <w:r>
        <w:fldChar w:fldCharType="begin"/>
      </w:r>
      <w:r>
        <w:instrText xml:space="preserve"> PAGEREF _Toc386788727 \h </w:instrText>
      </w:r>
      <w:r>
        <w:fldChar w:fldCharType="separate"/>
      </w:r>
      <w:r w:rsidR="00AB4258">
        <w:t>2</w:t>
      </w:r>
      <w:r>
        <w:fldChar w:fldCharType="end"/>
      </w:r>
    </w:p>
    <w:p w:rsidR="00BA1F5B" w:rsidRDefault="00BA1F5B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eastAsia="fr-FR"/>
        </w:rPr>
      </w:pPr>
      <w:r w:rsidRPr="00204B68">
        <w:rPr>
          <w:bCs/>
        </w:rPr>
        <w:t xml:space="preserve">Règle 90 </w:t>
      </w:r>
      <w:r>
        <w:t xml:space="preserve"> [Aucune modification]  </w:t>
      </w:r>
      <w:r w:rsidRPr="00204B68">
        <w:rPr>
          <w:bCs/>
        </w:rPr>
        <w:t>Mandataires et représentants communs</w:t>
      </w:r>
      <w:r>
        <w:tab/>
      </w:r>
      <w:r>
        <w:fldChar w:fldCharType="begin"/>
      </w:r>
      <w:r>
        <w:instrText xml:space="preserve"> PAGEREF _Toc386788728 \h </w:instrText>
      </w:r>
      <w:r>
        <w:fldChar w:fldCharType="separate"/>
      </w:r>
      <w:r w:rsidR="00AB4258">
        <w:t>4</w:t>
      </w:r>
      <w:r>
        <w:fldChar w:fldCharType="end"/>
      </w:r>
    </w:p>
    <w:p w:rsidR="00BA1F5B" w:rsidRDefault="00BA1F5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eastAsia="fr-FR"/>
        </w:rPr>
      </w:pPr>
      <w:r>
        <w:t xml:space="preserve">90.1  [Aucune modification]  </w:t>
      </w:r>
      <w:r w:rsidRPr="00204B68">
        <w:rPr>
          <w:iCs/>
        </w:rPr>
        <w:t>Désignation d’un mandataire</w:t>
      </w:r>
      <w:r>
        <w:tab/>
      </w:r>
      <w:r>
        <w:fldChar w:fldCharType="begin"/>
      </w:r>
      <w:r>
        <w:instrText xml:space="preserve"> PAGEREF _Toc386788729 \h </w:instrText>
      </w:r>
      <w:r>
        <w:fldChar w:fldCharType="separate"/>
      </w:r>
      <w:r w:rsidR="00AB4258">
        <w:t>4</w:t>
      </w:r>
      <w:r>
        <w:fldChar w:fldCharType="end"/>
      </w:r>
    </w:p>
    <w:p w:rsidR="00BA1F5B" w:rsidRDefault="00BA1F5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eastAsia="fr-FR"/>
        </w:rPr>
      </w:pPr>
      <w:r>
        <w:t>90.2 à 90.6  [Aucune modification]</w:t>
      </w:r>
      <w:r>
        <w:tab/>
      </w:r>
      <w:r>
        <w:fldChar w:fldCharType="begin"/>
      </w:r>
      <w:r>
        <w:instrText xml:space="preserve"> PAGEREF _Toc386788730 \h </w:instrText>
      </w:r>
      <w:r>
        <w:fldChar w:fldCharType="separate"/>
      </w:r>
      <w:r w:rsidR="00AB4258">
        <w:t>5</w:t>
      </w:r>
      <w:r>
        <w:fldChar w:fldCharType="end"/>
      </w:r>
    </w:p>
    <w:p w:rsidR="00E7268D" w:rsidRPr="00804043" w:rsidRDefault="0011598B" w:rsidP="00E7268D">
      <w:pPr>
        <w:rPr>
          <w:noProof w:val="0"/>
        </w:rPr>
      </w:pPr>
      <w:r w:rsidRPr="00804043">
        <w:rPr>
          <w:noProof w:val="0"/>
        </w:rPr>
        <w:fldChar w:fldCharType="end"/>
      </w:r>
    </w:p>
    <w:p w:rsidR="00E7268D" w:rsidRPr="00804043" w:rsidRDefault="00E7268D" w:rsidP="00E7268D">
      <w:pPr>
        <w:rPr>
          <w:noProof w:val="0"/>
        </w:rPr>
      </w:pPr>
    </w:p>
    <w:p w:rsidR="00E75A26" w:rsidRPr="00804043" w:rsidRDefault="00566810" w:rsidP="006F0BD8">
      <w:pPr>
        <w:pStyle w:val="LegTitle"/>
        <w:rPr>
          <w:noProof w:val="0"/>
        </w:rPr>
      </w:pPr>
      <w:bookmarkStart w:id="6" w:name="_Toc386788724"/>
      <w:r w:rsidRPr="00804043">
        <w:rPr>
          <w:noProof w:val="0"/>
        </w:rPr>
        <w:lastRenderedPageBreak/>
        <w:t>Règle</w:t>
      </w:r>
      <w:r w:rsidR="0082586C" w:rsidRPr="00804043">
        <w:rPr>
          <w:noProof w:val="0"/>
        </w:rPr>
        <w:t> </w:t>
      </w:r>
      <w:r w:rsidRPr="00804043">
        <w:rPr>
          <w:noProof w:val="0"/>
        </w:rPr>
        <w:t>83</w:t>
      </w:r>
      <w:r w:rsidR="001F3E07">
        <w:rPr>
          <w:noProof w:val="0"/>
        </w:rPr>
        <w:t xml:space="preserve"> </w:t>
      </w:r>
      <w:r w:rsidR="00E75A26" w:rsidRPr="00804043">
        <w:rPr>
          <w:noProof w:val="0"/>
        </w:rPr>
        <w:br/>
      </w:r>
      <w:r w:rsidRPr="00804043">
        <w:rPr>
          <w:noProof w:val="0"/>
        </w:rPr>
        <w:t>Droit d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>exercer auprès d</w:t>
      </w:r>
      <w:r w:rsidR="000964A9" w:rsidRPr="00804043">
        <w:rPr>
          <w:noProof w:val="0"/>
        </w:rPr>
        <w:t>’</w:t>
      </w:r>
      <w:r w:rsidRPr="00804043">
        <w:rPr>
          <w:noProof w:val="0"/>
        </w:rPr>
        <w:t>administrations internationales</w:t>
      </w:r>
      <w:bookmarkEnd w:id="6"/>
    </w:p>
    <w:p w:rsidR="00E75A26" w:rsidRPr="00804043" w:rsidRDefault="00E75A26" w:rsidP="00E875D1">
      <w:pPr>
        <w:pStyle w:val="LegSubRule"/>
        <w:tabs>
          <w:tab w:val="clear" w:pos="510"/>
        </w:tabs>
        <w:ind w:left="567" w:hanging="567"/>
        <w:rPr>
          <w:noProof w:val="0"/>
        </w:rPr>
      </w:pPr>
      <w:bookmarkStart w:id="7" w:name="_Toc386788725"/>
      <w:r w:rsidRPr="00804043">
        <w:rPr>
          <w:noProof w:val="0"/>
        </w:rPr>
        <w:t>83.1</w:t>
      </w:r>
      <w:r w:rsidR="00E17880">
        <w:rPr>
          <w:noProof w:val="0"/>
        </w:rPr>
        <w:t>  </w:t>
      </w:r>
      <w:r w:rsidR="00113CE0" w:rsidRPr="00804043">
        <w:rPr>
          <w:noProof w:val="0"/>
        </w:rPr>
        <w:t>[</w:t>
      </w:r>
      <w:r w:rsidR="00566810" w:rsidRPr="00804043">
        <w:rPr>
          <w:noProof w:val="0"/>
        </w:rPr>
        <w:t>Aucune modification</w:t>
      </w:r>
      <w:r w:rsidR="00113CE0" w:rsidRPr="00804043">
        <w:rPr>
          <w:noProof w:val="0"/>
        </w:rPr>
        <w:t xml:space="preserve">]  </w:t>
      </w:r>
      <w:r w:rsidR="00566810" w:rsidRPr="00804043">
        <w:rPr>
          <w:iCs/>
          <w:noProof w:val="0"/>
        </w:rPr>
        <w:t>Preuve du droit</w:t>
      </w:r>
      <w:bookmarkEnd w:id="7"/>
    </w:p>
    <w:p w:rsidR="00E75A26" w:rsidRPr="00804043" w:rsidRDefault="00E75A26" w:rsidP="00E875D1">
      <w:pPr>
        <w:pStyle w:val="Lega"/>
        <w:tabs>
          <w:tab w:val="clear" w:pos="454"/>
        </w:tabs>
        <w:rPr>
          <w:noProof w:val="0"/>
        </w:rPr>
      </w:pPr>
      <w:r w:rsidRPr="00804043">
        <w:rPr>
          <w:noProof w:val="0"/>
        </w:rPr>
        <w:tab/>
      </w:r>
      <w:r w:rsidR="00566810" w:rsidRPr="00804043">
        <w:rPr>
          <w:noProof w:val="0"/>
        </w:rPr>
        <w:t>Le Bureau international, l</w:t>
      </w:r>
      <w:r w:rsidR="000964A9" w:rsidRPr="00804043">
        <w:rPr>
          <w:noProof w:val="0"/>
        </w:rPr>
        <w:t>’</w:t>
      </w:r>
      <w:r w:rsidR="00566810" w:rsidRPr="00804043">
        <w:rPr>
          <w:noProof w:val="0"/>
        </w:rPr>
        <w:t>administration compétente chargée de la recherche internationale et l</w:t>
      </w:r>
      <w:r w:rsidR="000964A9" w:rsidRPr="00804043">
        <w:rPr>
          <w:noProof w:val="0"/>
        </w:rPr>
        <w:t>’</w:t>
      </w:r>
      <w:r w:rsidR="00566810" w:rsidRPr="00804043">
        <w:rPr>
          <w:noProof w:val="0"/>
        </w:rPr>
        <w:t>administration compétente chargée de l</w:t>
      </w:r>
      <w:r w:rsidR="000964A9" w:rsidRPr="00804043">
        <w:rPr>
          <w:noProof w:val="0"/>
        </w:rPr>
        <w:t>’</w:t>
      </w:r>
      <w:r w:rsidR="00566810" w:rsidRPr="00804043">
        <w:rPr>
          <w:noProof w:val="0"/>
        </w:rPr>
        <w:t>examen préliminaire international peuvent exiger la preuve du droit d</w:t>
      </w:r>
      <w:r w:rsidR="000964A9" w:rsidRPr="00804043">
        <w:rPr>
          <w:noProof w:val="0"/>
        </w:rPr>
        <w:t>’</w:t>
      </w:r>
      <w:r w:rsidR="00566810" w:rsidRPr="00804043">
        <w:rPr>
          <w:noProof w:val="0"/>
        </w:rPr>
        <w:t>exercer visé à l</w:t>
      </w:r>
      <w:r w:rsidR="000964A9" w:rsidRPr="00804043">
        <w:rPr>
          <w:noProof w:val="0"/>
        </w:rPr>
        <w:t>’</w:t>
      </w:r>
      <w:r w:rsidR="00566810" w:rsidRPr="00804043">
        <w:rPr>
          <w:noProof w:val="0"/>
        </w:rPr>
        <w:t>article 49.</w:t>
      </w:r>
    </w:p>
    <w:p w:rsidR="00E75A26" w:rsidRPr="00804043" w:rsidRDefault="00E75A26" w:rsidP="001F3E07">
      <w:pPr>
        <w:pStyle w:val="LegSubRule"/>
        <w:tabs>
          <w:tab w:val="clear" w:pos="510"/>
          <w:tab w:val="left" w:pos="851"/>
        </w:tabs>
        <w:ind w:left="567" w:hanging="567"/>
        <w:rPr>
          <w:noProof w:val="0"/>
        </w:rPr>
      </w:pPr>
      <w:bookmarkStart w:id="8" w:name="_Toc386788726"/>
      <w:r w:rsidRPr="00804043">
        <w:rPr>
          <w:noProof w:val="0"/>
        </w:rPr>
        <w:t>83.1</w:t>
      </w:r>
      <w:r w:rsidRPr="00BA1F5B">
        <w:rPr>
          <w:noProof w:val="0"/>
        </w:rPr>
        <w:t>bis</w:t>
      </w:r>
      <w:r w:rsidR="00E17880">
        <w:rPr>
          <w:noProof w:val="0"/>
        </w:rPr>
        <w:t>  </w:t>
      </w:r>
      <w:r w:rsidR="00566810" w:rsidRPr="00804043">
        <w:rPr>
          <w:iCs/>
          <w:noProof w:val="0"/>
        </w:rPr>
        <w:t>Cas où le Bureau international est l</w:t>
      </w:r>
      <w:r w:rsidR="000964A9" w:rsidRPr="00804043">
        <w:rPr>
          <w:iCs/>
          <w:noProof w:val="0"/>
        </w:rPr>
        <w:t>’</w:t>
      </w:r>
      <w:r w:rsidR="00566810" w:rsidRPr="00804043">
        <w:rPr>
          <w:iCs/>
          <w:noProof w:val="0"/>
        </w:rPr>
        <w:t>office récepteur</w:t>
      </w:r>
      <w:bookmarkEnd w:id="8"/>
    </w:p>
    <w:p w:rsidR="00E75A26" w:rsidRPr="00804043" w:rsidRDefault="00E75A26" w:rsidP="00E875D1">
      <w:pPr>
        <w:pStyle w:val="Lega"/>
        <w:tabs>
          <w:tab w:val="clear" w:pos="454"/>
        </w:tabs>
        <w:rPr>
          <w:noProof w:val="0"/>
        </w:rPr>
      </w:pPr>
      <w:r w:rsidRPr="00804043">
        <w:rPr>
          <w:noProof w:val="0"/>
        </w:rPr>
        <w:tab/>
        <w:t>a)</w:t>
      </w:r>
      <w:r w:rsidR="00E875D1" w:rsidRPr="00804043">
        <w:rPr>
          <w:noProof w:val="0"/>
        </w:rPr>
        <w:tab/>
      </w:r>
      <w:r w:rsidR="00566810" w:rsidRPr="00804043">
        <w:rPr>
          <w:noProof w:val="0"/>
        </w:rPr>
        <w:t>Quiconque a le droit d</w:t>
      </w:r>
      <w:r w:rsidR="000964A9" w:rsidRPr="00804043">
        <w:rPr>
          <w:noProof w:val="0"/>
        </w:rPr>
        <w:t>’</w:t>
      </w:r>
      <w:r w:rsidR="00566810" w:rsidRPr="00804043">
        <w:rPr>
          <w:noProof w:val="0"/>
        </w:rPr>
        <w:t>exercer auprès de l</w:t>
      </w:r>
      <w:r w:rsidR="000964A9" w:rsidRPr="00804043">
        <w:rPr>
          <w:noProof w:val="0"/>
        </w:rPr>
        <w:t>’</w:t>
      </w:r>
      <w:r w:rsidR="00566810" w:rsidRPr="00804043">
        <w:rPr>
          <w:noProof w:val="0"/>
        </w:rPr>
        <w:t xml:space="preserve">office national </w:t>
      </w:r>
      <w:r w:rsidR="008D48FB" w:rsidRPr="00804043">
        <w:rPr>
          <w:rStyle w:val="DeletedText"/>
          <w:noProof w:val="0"/>
        </w:rPr>
        <w:t>d</w:t>
      </w:r>
      <w:r w:rsidR="000964A9" w:rsidRPr="00804043">
        <w:rPr>
          <w:rStyle w:val="DeletedText"/>
          <w:noProof w:val="0"/>
        </w:rPr>
        <w:t>’</w:t>
      </w:r>
      <w:r w:rsidR="008D48FB" w:rsidRPr="00804043">
        <w:rPr>
          <w:rStyle w:val="DeletedText"/>
          <w:noProof w:val="0"/>
        </w:rPr>
        <w:t>un</w:t>
      </w:r>
      <w:r w:rsidR="008D48FB" w:rsidRPr="00804043">
        <w:rPr>
          <w:noProof w:val="0"/>
        </w:rPr>
        <w:t xml:space="preserve"> </w:t>
      </w:r>
      <w:r w:rsidR="008D48FB" w:rsidRPr="00800E81">
        <w:rPr>
          <w:rStyle w:val="InsertedText"/>
          <w:noProof w:val="0"/>
          <w:color w:val="0070C0"/>
        </w:rPr>
        <w:t>de tout</w:t>
      </w:r>
      <w:r w:rsidR="008D48FB" w:rsidRPr="00800E81">
        <w:rPr>
          <w:noProof w:val="0"/>
          <w:color w:val="0070C0"/>
        </w:rPr>
        <w:t xml:space="preserve"> </w:t>
      </w:r>
      <w:r w:rsidR="00566810" w:rsidRPr="00804043">
        <w:rPr>
          <w:noProof w:val="0"/>
        </w:rPr>
        <w:t>État contractant</w:t>
      </w:r>
      <w:r w:rsidR="008D48FB" w:rsidRPr="00804043">
        <w:rPr>
          <w:noProof w:val="0"/>
        </w:rPr>
        <w:t>, ou de l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 xml:space="preserve">office agissant pour un tel État, </w:t>
      </w:r>
      <w:r w:rsidR="008D48FB" w:rsidRPr="00804043">
        <w:rPr>
          <w:rStyle w:val="DeletedText"/>
          <w:noProof w:val="0"/>
        </w:rPr>
        <w:t>dans lequel le déposant ou, s</w:t>
      </w:r>
      <w:r w:rsidR="000964A9" w:rsidRPr="00804043">
        <w:rPr>
          <w:rStyle w:val="DeletedText"/>
          <w:noProof w:val="0"/>
        </w:rPr>
        <w:t>’</w:t>
      </w:r>
      <w:r w:rsidR="008D48FB" w:rsidRPr="00804043">
        <w:rPr>
          <w:rStyle w:val="DeletedText"/>
          <w:noProof w:val="0"/>
        </w:rPr>
        <w:t>il y a plusieurs déposants, l</w:t>
      </w:r>
      <w:r w:rsidR="000964A9" w:rsidRPr="00804043">
        <w:rPr>
          <w:rStyle w:val="DeletedText"/>
          <w:noProof w:val="0"/>
        </w:rPr>
        <w:t>’</w:t>
      </w:r>
      <w:r w:rsidR="008D48FB" w:rsidRPr="00804043">
        <w:rPr>
          <w:rStyle w:val="DeletedText"/>
          <w:noProof w:val="0"/>
        </w:rPr>
        <w:t>un des déposants est domicilié, ou dont il est le national,</w:t>
      </w:r>
      <w:r w:rsidRPr="00804043">
        <w:rPr>
          <w:noProof w:val="0"/>
        </w:rPr>
        <w:t xml:space="preserve"> </w:t>
      </w:r>
      <w:r w:rsidR="008D48FB" w:rsidRPr="00804043">
        <w:rPr>
          <w:noProof w:val="0"/>
        </w:rPr>
        <w:t>a le droit, d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exercer, en ce qui concerne la demande internationale, auprès du Bureau international agissant en qualité d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office récepteur en vertu de la règle </w:t>
      </w:r>
      <w:r w:rsidRPr="00804043">
        <w:rPr>
          <w:noProof w:val="0"/>
        </w:rPr>
        <w:t>19.1</w:t>
      </w:r>
      <w:r w:rsidR="008D48FB" w:rsidRPr="00804043">
        <w:rPr>
          <w:noProof w:val="0"/>
        </w:rPr>
        <w:t>.a)</w:t>
      </w:r>
      <w:r w:rsidRPr="00804043">
        <w:rPr>
          <w:noProof w:val="0"/>
        </w:rPr>
        <w:t>iii).</w:t>
      </w:r>
    </w:p>
    <w:p w:rsidR="00E75A26" w:rsidRPr="00804043" w:rsidRDefault="00E75A26" w:rsidP="00962C40">
      <w:pPr>
        <w:pStyle w:val="Lega"/>
        <w:tabs>
          <w:tab w:val="clear" w:pos="454"/>
        </w:tabs>
        <w:rPr>
          <w:noProof w:val="0"/>
        </w:rPr>
      </w:pPr>
      <w:r w:rsidRPr="00804043">
        <w:rPr>
          <w:noProof w:val="0"/>
        </w:rPr>
        <w:tab/>
        <w:t>b)</w:t>
      </w:r>
      <w:r w:rsidR="00E875D1" w:rsidRPr="00804043">
        <w:rPr>
          <w:noProof w:val="0"/>
        </w:rPr>
        <w:tab/>
      </w:r>
      <w:r w:rsidR="007123D3" w:rsidRPr="00804043">
        <w:rPr>
          <w:noProof w:val="0"/>
        </w:rPr>
        <w:t>[</w:t>
      </w:r>
      <w:r w:rsidR="008D48FB" w:rsidRPr="00804043">
        <w:rPr>
          <w:noProof w:val="0"/>
        </w:rPr>
        <w:t>Aucune modification</w:t>
      </w:r>
      <w:r w:rsidR="007123D3" w:rsidRPr="00804043">
        <w:rPr>
          <w:noProof w:val="0"/>
        </w:rPr>
        <w:t xml:space="preserve">] </w:t>
      </w:r>
      <w:r w:rsidR="0048661F" w:rsidRPr="00804043">
        <w:rPr>
          <w:noProof w:val="0"/>
        </w:rPr>
        <w:t xml:space="preserve"> </w:t>
      </w:r>
      <w:r w:rsidR="008D48FB" w:rsidRPr="00804043">
        <w:rPr>
          <w:noProof w:val="0"/>
        </w:rPr>
        <w:t>Quiconque a le droit d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exercer auprès du Bureau international, agissant</w:t>
      </w:r>
      <w:r w:rsidR="00962C40">
        <w:rPr>
          <w:noProof w:val="0"/>
        </w:rPr>
        <w:t xml:space="preserve"> </w:t>
      </w:r>
      <w:r w:rsidR="008D48FB" w:rsidRPr="00804043">
        <w:rPr>
          <w:noProof w:val="0"/>
        </w:rPr>
        <w:t>en qualité d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office récepteur, en ce qui concerne une demande internationale a le droit d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exercer, en ce qui concerne cette demande, auprès du Bureau international, agissant en toute autre qualité, et auprès de l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administration compétente chargée de la recherche internationale et de l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administration compétente chargée de l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examen préliminaire international.</w:t>
      </w:r>
    </w:p>
    <w:p w:rsidR="00E75A26" w:rsidRPr="00804043" w:rsidRDefault="00E75A26" w:rsidP="00E875D1">
      <w:pPr>
        <w:pStyle w:val="LegSubRule"/>
        <w:tabs>
          <w:tab w:val="clear" w:pos="510"/>
        </w:tabs>
        <w:ind w:left="567" w:hanging="567"/>
        <w:rPr>
          <w:noProof w:val="0"/>
        </w:rPr>
      </w:pPr>
      <w:bookmarkStart w:id="9" w:name="_Toc386788727"/>
      <w:r w:rsidRPr="00804043">
        <w:rPr>
          <w:noProof w:val="0"/>
        </w:rPr>
        <w:t>83.2</w:t>
      </w:r>
      <w:r w:rsidR="00E17880">
        <w:rPr>
          <w:noProof w:val="0"/>
        </w:rPr>
        <w:t>  </w:t>
      </w:r>
      <w:r w:rsidR="008D48FB" w:rsidRPr="00804043">
        <w:rPr>
          <w:noProof w:val="0"/>
        </w:rPr>
        <w:t>[Aucune modification</w:t>
      </w:r>
      <w:r w:rsidR="00E17880">
        <w:rPr>
          <w:noProof w:val="0"/>
        </w:rPr>
        <w:t xml:space="preserve">]  </w:t>
      </w:r>
      <w:r w:rsidRPr="00804043">
        <w:rPr>
          <w:noProof w:val="0"/>
        </w:rPr>
        <w:t>Information</w:t>
      </w:r>
      <w:bookmarkEnd w:id="9"/>
    </w:p>
    <w:p w:rsidR="00E75A26" w:rsidRPr="00804043" w:rsidRDefault="00E75A26" w:rsidP="00E875D1">
      <w:pPr>
        <w:pStyle w:val="Lega"/>
        <w:tabs>
          <w:tab w:val="clear" w:pos="454"/>
        </w:tabs>
        <w:rPr>
          <w:noProof w:val="0"/>
        </w:rPr>
      </w:pPr>
      <w:r w:rsidRPr="00804043">
        <w:rPr>
          <w:noProof w:val="0"/>
        </w:rPr>
        <w:tab/>
        <w:t>a)</w:t>
      </w:r>
      <w:r w:rsidR="00E875D1" w:rsidRPr="00804043">
        <w:rPr>
          <w:noProof w:val="0"/>
        </w:rPr>
        <w:tab/>
      </w:r>
      <w:r w:rsidR="008D48FB" w:rsidRPr="00804043">
        <w:rPr>
          <w:noProof w:val="0"/>
        </w:rPr>
        <w:t>L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office national ou l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organisation intergouvernementale auprès duquel ou de laquelle il est prétendu que la personne intéressée a le droit d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exercer doit, sur requête, faire savoir au Bureau international, à l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administration compétente chargée de la recherche internationale ou à l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administration compétente chargée de l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examen préliminaire international, si cette personne a le droit d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exercer auprès d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elle.</w:t>
      </w:r>
    </w:p>
    <w:p w:rsidR="00E75A26" w:rsidRPr="00804043" w:rsidRDefault="00E75A26" w:rsidP="00E875D1">
      <w:pPr>
        <w:pStyle w:val="Lega"/>
        <w:tabs>
          <w:tab w:val="clear" w:pos="454"/>
        </w:tabs>
        <w:rPr>
          <w:noProof w:val="0"/>
        </w:rPr>
      </w:pPr>
      <w:r w:rsidRPr="00804043">
        <w:rPr>
          <w:noProof w:val="0"/>
        </w:rPr>
        <w:lastRenderedPageBreak/>
        <w:tab/>
        <w:t>b)</w:t>
      </w:r>
      <w:r w:rsidR="00E875D1" w:rsidRPr="00804043">
        <w:rPr>
          <w:noProof w:val="0"/>
        </w:rPr>
        <w:tab/>
      </w:r>
      <w:r w:rsidR="008D48FB" w:rsidRPr="00804043">
        <w:rPr>
          <w:noProof w:val="0"/>
        </w:rPr>
        <w:t>Une telle information lie le Bureau international, l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administration chargée de la recherche internationale ou l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administration chargée de l</w:t>
      </w:r>
      <w:r w:rsidR="000964A9" w:rsidRPr="00804043">
        <w:rPr>
          <w:noProof w:val="0"/>
        </w:rPr>
        <w:t>’</w:t>
      </w:r>
      <w:r w:rsidR="008D48FB" w:rsidRPr="00804043">
        <w:rPr>
          <w:noProof w:val="0"/>
        </w:rPr>
        <w:t>examen préliminaire international, selon le cas.</w:t>
      </w:r>
    </w:p>
    <w:p w:rsidR="00113CE0" w:rsidRPr="00804043" w:rsidRDefault="008E2F86" w:rsidP="00113CE0">
      <w:pPr>
        <w:pStyle w:val="LegTitle"/>
        <w:rPr>
          <w:noProof w:val="0"/>
        </w:rPr>
      </w:pPr>
      <w:bookmarkStart w:id="10" w:name="_Toc386788728"/>
      <w:r w:rsidRPr="00804043">
        <w:rPr>
          <w:bCs/>
          <w:noProof w:val="0"/>
        </w:rPr>
        <w:lastRenderedPageBreak/>
        <w:t>Règle</w:t>
      </w:r>
      <w:r w:rsidR="0082586C" w:rsidRPr="00804043">
        <w:rPr>
          <w:bCs/>
          <w:noProof w:val="0"/>
        </w:rPr>
        <w:t> </w:t>
      </w:r>
      <w:r w:rsidRPr="00804043">
        <w:rPr>
          <w:bCs/>
          <w:noProof w:val="0"/>
        </w:rPr>
        <w:t>90</w:t>
      </w:r>
      <w:r w:rsidR="00FE5422">
        <w:rPr>
          <w:bCs/>
          <w:noProof w:val="0"/>
        </w:rPr>
        <w:t xml:space="preserve"> </w:t>
      </w:r>
      <w:r w:rsidR="006D0C71" w:rsidRPr="00804043">
        <w:rPr>
          <w:noProof w:val="0"/>
        </w:rPr>
        <w:t xml:space="preserve"> [</w:t>
      </w:r>
      <w:r w:rsidRPr="00804043">
        <w:rPr>
          <w:noProof w:val="0"/>
        </w:rPr>
        <w:t>Aucune modification</w:t>
      </w:r>
      <w:r w:rsidR="006D0C71" w:rsidRPr="00804043">
        <w:rPr>
          <w:noProof w:val="0"/>
        </w:rPr>
        <w:t>]</w:t>
      </w:r>
      <w:r w:rsidR="00E17880">
        <w:rPr>
          <w:noProof w:val="0"/>
        </w:rPr>
        <w:t xml:space="preserve"> </w:t>
      </w:r>
      <w:r w:rsidR="00113CE0" w:rsidRPr="00804043">
        <w:rPr>
          <w:noProof w:val="0"/>
        </w:rPr>
        <w:br/>
      </w:r>
      <w:r w:rsidRPr="00804043">
        <w:rPr>
          <w:bCs/>
          <w:noProof w:val="0"/>
        </w:rPr>
        <w:t>Mandataires et représentants communs</w:t>
      </w:r>
      <w:bookmarkEnd w:id="10"/>
    </w:p>
    <w:p w:rsidR="00113CE0" w:rsidRPr="00804043" w:rsidRDefault="00113CE0" w:rsidP="00E875D1">
      <w:pPr>
        <w:pStyle w:val="LegSubRule"/>
        <w:tabs>
          <w:tab w:val="clear" w:pos="510"/>
        </w:tabs>
        <w:ind w:left="567" w:hanging="567"/>
        <w:rPr>
          <w:noProof w:val="0"/>
        </w:rPr>
      </w:pPr>
      <w:bookmarkStart w:id="11" w:name="_Toc386788729"/>
      <w:r w:rsidRPr="00804043">
        <w:rPr>
          <w:noProof w:val="0"/>
        </w:rPr>
        <w:t>90.1</w:t>
      </w:r>
      <w:r w:rsidR="00E17880">
        <w:rPr>
          <w:noProof w:val="0"/>
        </w:rPr>
        <w:t>  </w:t>
      </w:r>
      <w:r w:rsidR="007123D3" w:rsidRPr="00804043">
        <w:rPr>
          <w:noProof w:val="0"/>
        </w:rPr>
        <w:t>[</w:t>
      </w:r>
      <w:r w:rsidR="008E2F86" w:rsidRPr="00804043">
        <w:rPr>
          <w:noProof w:val="0"/>
        </w:rPr>
        <w:t>Aucune modification</w:t>
      </w:r>
      <w:r w:rsidR="007123D3" w:rsidRPr="00804043">
        <w:rPr>
          <w:noProof w:val="0"/>
        </w:rPr>
        <w:t xml:space="preserve">]  </w:t>
      </w:r>
      <w:r w:rsidR="008E2F86" w:rsidRPr="00804043">
        <w:rPr>
          <w:iCs/>
          <w:noProof w:val="0"/>
        </w:rPr>
        <w:t>Désignation d</w:t>
      </w:r>
      <w:r w:rsidR="000964A9" w:rsidRPr="00804043">
        <w:rPr>
          <w:iCs/>
          <w:noProof w:val="0"/>
        </w:rPr>
        <w:t>’</w:t>
      </w:r>
      <w:r w:rsidR="008E2F86" w:rsidRPr="00804043">
        <w:rPr>
          <w:iCs/>
          <w:noProof w:val="0"/>
        </w:rPr>
        <w:t>un mandataire</w:t>
      </w:r>
      <w:bookmarkEnd w:id="11"/>
    </w:p>
    <w:p w:rsidR="00113CE0" w:rsidRPr="00804043" w:rsidRDefault="00113CE0" w:rsidP="00E875D1">
      <w:pPr>
        <w:pStyle w:val="Lega"/>
        <w:tabs>
          <w:tab w:val="clear" w:pos="454"/>
        </w:tabs>
        <w:rPr>
          <w:noProof w:val="0"/>
        </w:rPr>
      </w:pPr>
      <w:r w:rsidRPr="00804043">
        <w:rPr>
          <w:noProof w:val="0"/>
        </w:rPr>
        <w:tab/>
        <w:t>a)</w:t>
      </w:r>
      <w:r w:rsidR="00E875D1" w:rsidRPr="00804043">
        <w:rPr>
          <w:noProof w:val="0"/>
        </w:rPr>
        <w:tab/>
      </w:r>
      <w:r w:rsidR="008E2F86" w:rsidRPr="00804043">
        <w:rPr>
          <w:noProof w:val="0"/>
        </w:rPr>
        <w:t>Le déposant peut désigner une personne qui a le droit d</w:t>
      </w:r>
      <w:r w:rsidR="000964A9" w:rsidRPr="00804043">
        <w:rPr>
          <w:noProof w:val="0"/>
        </w:rPr>
        <w:t>’</w:t>
      </w:r>
      <w:r w:rsidR="008E2F86" w:rsidRPr="00804043">
        <w:rPr>
          <w:noProof w:val="0"/>
        </w:rPr>
        <w:t>exercer auprès de l</w:t>
      </w:r>
      <w:r w:rsidR="000964A9" w:rsidRPr="00804043">
        <w:rPr>
          <w:noProof w:val="0"/>
        </w:rPr>
        <w:t>’</w:t>
      </w:r>
      <w:r w:rsidR="008E2F86" w:rsidRPr="00804043">
        <w:rPr>
          <w:noProof w:val="0"/>
        </w:rPr>
        <w:t>office national auprès duquel la demande internationale est déposée ou, si la demande internationale est déposée auprès du Bureau international, une personne qui a le droit d</w:t>
      </w:r>
      <w:r w:rsidR="000964A9" w:rsidRPr="00804043">
        <w:rPr>
          <w:noProof w:val="0"/>
        </w:rPr>
        <w:t>’</w:t>
      </w:r>
      <w:r w:rsidR="008E2F86" w:rsidRPr="00804043">
        <w:rPr>
          <w:noProof w:val="0"/>
        </w:rPr>
        <w:t>exercer, en ce qui concerne la demande internationale, auprès du Bureau international agissant en tant qu</w:t>
      </w:r>
      <w:r w:rsidR="000964A9" w:rsidRPr="00804043">
        <w:rPr>
          <w:noProof w:val="0"/>
        </w:rPr>
        <w:t>’</w:t>
      </w:r>
      <w:r w:rsidR="008E2F86" w:rsidRPr="00804043">
        <w:rPr>
          <w:noProof w:val="0"/>
        </w:rPr>
        <w:t>office récepteur, pour le représenter comme mandataire auprès de l</w:t>
      </w:r>
      <w:r w:rsidR="000964A9" w:rsidRPr="00804043">
        <w:rPr>
          <w:noProof w:val="0"/>
        </w:rPr>
        <w:t>’</w:t>
      </w:r>
      <w:r w:rsidR="008E2F86" w:rsidRPr="00804043">
        <w:rPr>
          <w:noProof w:val="0"/>
        </w:rPr>
        <w:t>office récepteur, du Bureau international, de l</w:t>
      </w:r>
      <w:r w:rsidR="000964A9" w:rsidRPr="00804043">
        <w:rPr>
          <w:noProof w:val="0"/>
        </w:rPr>
        <w:t>’</w:t>
      </w:r>
      <w:r w:rsidR="008E2F86" w:rsidRPr="00804043">
        <w:rPr>
          <w:noProof w:val="0"/>
        </w:rPr>
        <w:t>administration chargée de la recherche internationale, le cas</w:t>
      </w:r>
      <w:r w:rsidR="008E2F86" w:rsidRPr="00804043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8E2F86" w:rsidRPr="00804043">
        <w:rPr>
          <w:noProof w:val="0"/>
        </w:rPr>
        <w:t>échéant, de l</w:t>
      </w:r>
      <w:r w:rsidR="000964A9" w:rsidRPr="00804043">
        <w:rPr>
          <w:noProof w:val="0"/>
        </w:rPr>
        <w:t>’</w:t>
      </w:r>
      <w:r w:rsidR="008E2F86" w:rsidRPr="00804043">
        <w:rPr>
          <w:noProof w:val="0"/>
        </w:rPr>
        <w:t>administration indiquée pour la recherche supplémentaire et de l</w:t>
      </w:r>
      <w:r w:rsidR="000964A9" w:rsidRPr="00804043">
        <w:rPr>
          <w:noProof w:val="0"/>
        </w:rPr>
        <w:t>’</w:t>
      </w:r>
      <w:r w:rsidR="008E2F86" w:rsidRPr="00804043">
        <w:rPr>
          <w:noProof w:val="0"/>
        </w:rPr>
        <w:t>administration chargée de l</w:t>
      </w:r>
      <w:r w:rsidR="000964A9" w:rsidRPr="00804043">
        <w:rPr>
          <w:noProof w:val="0"/>
        </w:rPr>
        <w:t>’</w:t>
      </w:r>
      <w:r w:rsidR="008E2F86" w:rsidRPr="00804043">
        <w:rPr>
          <w:noProof w:val="0"/>
        </w:rPr>
        <w:t>examen préliminaire international.</w:t>
      </w:r>
    </w:p>
    <w:p w:rsidR="00113CE0" w:rsidRPr="00804043" w:rsidRDefault="00113CE0" w:rsidP="00E875D1">
      <w:pPr>
        <w:pStyle w:val="Lega"/>
        <w:tabs>
          <w:tab w:val="clear" w:pos="454"/>
        </w:tabs>
        <w:rPr>
          <w:noProof w:val="0"/>
        </w:rPr>
      </w:pPr>
      <w:r w:rsidRPr="00804043">
        <w:rPr>
          <w:noProof w:val="0"/>
        </w:rPr>
        <w:tab/>
        <w:t>b)</w:t>
      </w:r>
      <w:r w:rsidR="00E875D1" w:rsidRPr="00804043">
        <w:rPr>
          <w:noProof w:val="0"/>
        </w:rPr>
        <w:tab/>
      </w:r>
      <w:r w:rsidR="00763984" w:rsidRPr="00804043">
        <w:rPr>
          <w:noProof w:val="0"/>
        </w:rPr>
        <w:t>Le déposant peut désigner une personne qui a le droit d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exercer auprès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office national ou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organisation intergouvernementale agissant en qualité d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administration chargée de la recherche internationale pour le représenter comme mandataire spécialement auprès de cette administration.</w:t>
      </w:r>
    </w:p>
    <w:p w:rsidR="00113CE0" w:rsidRPr="00804043" w:rsidRDefault="003F7761" w:rsidP="003F7761">
      <w:pPr>
        <w:pStyle w:val="Lega"/>
        <w:tabs>
          <w:tab w:val="clear" w:pos="454"/>
          <w:tab w:val="left" w:pos="567"/>
          <w:tab w:val="left" w:pos="1276"/>
        </w:tabs>
        <w:rPr>
          <w:noProof w:val="0"/>
        </w:rPr>
      </w:pPr>
      <w:r>
        <w:rPr>
          <w:noProof w:val="0"/>
        </w:rPr>
        <w:tab/>
      </w:r>
      <w:proofErr w:type="spellStart"/>
      <w:r w:rsidR="00113CE0" w:rsidRPr="00804043">
        <w:rPr>
          <w:noProof w:val="0"/>
        </w:rPr>
        <w:t>b</w:t>
      </w:r>
      <w:r w:rsidR="0048661F" w:rsidRPr="00804043">
        <w:rPr>
          <w:noProof w:val="0"/>
        </w:rPr>
        <w:noBreakHyphen/>
      </w:r>
      <w:r w:rsidR="00113CE0" w:rsidRPr="00804043">
        <w:rPr>
          <w:i/>
          <w:noProof w:val="0"/>
        </w:rPr>
        <w:t>bis</w:t>
      </w:r>
      <w:proofErr w:type="spellEnd"/>
      <w:r w:rsidR="00113CE0" w:rsidRPr="00804043">
        <w:rPr>
          <w:noProof w:val="0"/>
        </w:rPr>
        <w:t>)</w:t>
      </w:r>
      <w:r w:rsidR="00E875D1" w:rsidRPr="00804043">
        <w:rPr>
          <w:noProof w:val="0"/>
        </w:rPr>
        <w:tab/>
      </w:r>
      <w:r w:rsidR="00763984" w:rsidRPr="00804043">
        <w:rPr>
          <w:noProof w:val="0"/>
        </w:rPr>
        <w:t>Le déposant peut désigner une personne qui a le droit d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exercer auprès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office national ou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organisation intergouvernementale agissant en qualité d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administration indiquée pour la recherche supplémentaire pour le représenter comme mandataire spécialement auprès de cette administration.</w:t>
      </w:r>
    </w:p>
    <w:p w:rsidR="00113CE0" w:rsidRPr="00804043" w:rsidRDefault="00113CE0" w:rsidP="00E875D1">
      <w:pPr>
        <w:pStyle w:val="Lega"/>
        <w:tabs>
          <w:tab w:val="clear" w:pos="454"/>
        </w:tabs>
        <w:rPr>
          <w:noProof w:val="0"/>
        </w:rPr>
      </w:pPr>
      <w:r w:rsidRPr="00804043">
        <w:rPr>
          <w:noProof w:val="0"/>
        </w:rPr>
        <w:tab/>
        <w:t>c)</w:t>
      </w:r>
      <w:r w:rsidR="00E875D1" w:rsidRPr="00804043">
        <w:rPr>
          <w:noProof w:val="0"/>
        </w:rPr>
        <w:tab/>
      </w:r>
      <w:r w:rsidR="00763984" w:rsidRPr="00804043">
        <w:rPr>
          <w:noProof w:val="0"/>
        </w:rPr>
        <w:t>Le déposant peut désigner une personne qui a le droit d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exercer auprès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office national ou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organisation intergouvernementale agissant en qualité d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administration chargée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examen préliminaire international pour le représenter comme mandataire spécialement auprès de cette administration.</w:t>
      </w:r>
    </w:p>
    <w:p w:rsidR="00113CE0" w:rsidRPr="00804043" w:rsidRDefault="00113CE0" w:rsidP="00E875D1">
      <w:pPr>
        <w:pStyle w:val="Lega"/>
        <w:tabs>
          <w:tab w:val="clear" w:pos="454"/>
        </w:tabs>
        <w:rPr>
          <w:noProof w:val="0"/>
        </w:rPr>
      </w:pPr>
      <w:r w:rsidRPr="00804043">
        <w:rPr>
          <w:noProof w:val="0"/>
        </w:rPr>
        <w:lastRenderedPageBreak/>
        <w:tab/>
        <w:t>d)</w:t>
      </w:r>
      <w:r w:rsidR="00E875D1" w:rsidRPr="00804043">
        <w:rPr>
          <w:noProof w:val="0"/>
        </w:rPr>
        <w:tab/>
      </w:r>
      <w:r w:rsidR="00763984" w:rsidRPr="00804043">
        <w:rPr>
          <w:noProof w:val="0"/>
        </w:rPr>
        <w:t>Un mandataire désigné en vertu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alinéa a) peut, sauf indication contraire consignée dans le document contenant sa désignation,</w:t>
      </w:r>
    </w:p>
    <w:p w:rsidR="00113CE0" w:rsidRPr="00804043" w:rsidRDefault="00113CE0" w:rsidP="0048661F">
      <w:pPr>
        <w:pStyle w:val="Legi"/>
        <w:tabs>
          <w:tab w:val="clear" w:pos="1020"/>
          <w:tab w:val="clear" w:pos="1191"/>
        </w:tabs>
        <w:rPr>
          <w:noProof w:val="0"/>
        </w:rPr>
      </w:pPr>
      <w:r w:rsidRPr="00804043">
        <w:rPr>
          <w:noProof w:val="0"/>
        </w:rPr>
        <w:tab/>
      </w:r>
      <w:r w:rsidR="00E875D1" w:rsidRPr="00804043">
        <w:rPr>
          <w:noProof w:val="0"/>
        </w:rPr>
        <w:tab/>
      </w:r>
      <w:r w:rsidRPr="00804043">
        <w:rPr>
          <w:noProof w:val="0"/>
        </w:rPr>
        <w:t>i)</w:t>
      </w:r>
      <w:r w:rsidRPr="00804043">
        <w:rPr>
          <w:noProof w:val="0"/>
        </w:rPr>
        <w:tab/>
      </w:r>
      <w:r w:rsidR="00763984" w:rsidRPr="00804043">
        <w:rPr>
          <w:noProof w:val="0"/>
        </w:rPr>
        <w:t>désigner un ou plusieurs mandataires secondaires pour représenter le déposant comme mandataires auprès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office récepteur, du Bureau international,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administration chargée de la recherche internationale, le cas échéant,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administration indiquée pour la recherche supplémentaire et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administration chargée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examen préliminaire international, à condition que toute personne ainsi désignée comme mandataire secondaire ait le droit d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exercer auprès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office national auprès duquel la demande internationale a été déposée ou d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exercer, en ce qui concerne la demande internationale, auprès du Bureau international agissant en tant qu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office récepteur, selon le cas;</w:t>
      </w:r>
    </w:p>
    <w:p w:rsidR="00113CE0" w:rsidRPr="00804043" w:rsidRDefault="00113CE0" w:rsidP="0048661F">
      <w:pPr>
        <w:pStyle w:val="Legi"/>
        <w:tabs>
          <w:tab w:val="clear" w:pos="1020"/>
          <w:tab w:val="clear" w:pos="1191"/>
        </w:tabs>
        <w:rPr>
          <w:noProof w:val="0"/>
        </w:rPr>
      </w:pPr>
      <w:r w:rsidRPr="00804043">
        <w:rPr>
          <w:noProof w:val="0"/>
        </w:rPr>
        <w:tab/>
      </w:r>
      <w:r w:rsidR="00E875D1" w:rsidRPr="00804043">
        <w:rPr>
          <w:noProof w:val="0"/>
        </w:rPr>
        <w:tab/>
      </w:r>
      <w:r w:rsidRPr="00804043">
        <w:rPr>
          <w:noProof w:val="0"/>
        </w:rPr>
        <w:t>ii)</w:t>
      </w:r>
      <w:r w:rsidRPr="00804043">
        <w:rPr>
          <w:noProof w:val="0"/>
        </w:rPr>
        <w:tab/>
      </w:r>
      <w:r w:rsidR="00763984" w:rsidRPr="00804043">
        <w:rPr>
          <w:noProof w:val="0"/>
        </w:rPr>
        <w:t>désigner un ou plusieurs mandataires secondaires pour représenter le déposant comme mandataires spécialement auprès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administration chargée de la recherche internationale, le cas échéant,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administration indiquée pour la recherche supplémentaire ou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administration chargée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examen préliminaire international, à condition que toute personne ainsi désignée comme mandataire secondaire ait le droit d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exercer auprès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office national ou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organisation intergouvernementale qui agit en qualité d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administration chargée de la recherche internationale, en qualité d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administration indiquée pour la recherche supplémentaire ou en qualité d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administration chargée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examen préliminaire international, selon le cas.</w:t>
      </w:r>
    </w:p>
    <w:p w:rsidR="00113CE0" w:rsidRPr="00804043" w:rsidRDefault="00113CE0" w:rsidP="00E17880">
      <w:pPr>
        <w:pStyle w:val="LegSubRule"/>
        <w:tabs>
          <w:tab w:val="clear" w:pos="510"/>
          <w:tab w:val="left" w:pos="1276"/>
        </w:tabs>
        <w:ind w:left="567" w:hanging="567"/>
        <w:rPr>
          <w:noProof w:val="0"/>
        </w:rPr>
      </w:pPr>
      <w:bookmarkStart w:id="12" w:name="_Toc386788730"/>
      <w:r w:rsidRPr="00804043">
        <w:rPr>
          <w:noProof w:val="0"/>
        </w:rPr>
        <w:t xml:space="preserve">90.2 </w:t>
      </w:r>
      <w:r w:rsidR="00763984" w:rsidRPr="00804043">
        <w:rPr>
          <w:noProof w:val="0"/>
        </w:rPr>
        <w:t>à</w:t>
      </w:r>
      <w:r w:rsidR="00E875D1" w:rsidRPr="00804043">
        <w:rPr>
          <w:noProof w:val="0"/>
        </w:rPr>
        <w:t> </w:t>
      </w:r>
      <w:r w:rsidR="00A53839">
        <w:rPr>
          <w:noProof w:val="0"/>
        </w:rPr>
        <w:t>90.6</w:t>
      </w:r>
      <w:r w:rsidR="00E17880">
        <w:rPr>
          <w:noProof w:val="0"/>
        </w:rPr>
        <w:t>  </w:t>
      </w:r>
      <w:r w:rsidRPr="00804043">
        <w:rPr>
          <w:noProof w:val="0"/>
        </w:rPr>
        <w:t>[</w:t>
      </w:r>
      <w:r w:rsidR="00763984" w:rsidRPr="00804043">
        <w:rPr>
          <w:noProof w:val="0"/>
        </w:rPr>
        <w:t>Aucune modification</w:t>
      </w:r>
      <w:r w:rsidRPr="00804043">
        <w:rPr>
          <w:noProof w:val="0"/>
        </w:rPr>
        <w:t>]</w:t>
      </w:r>
      <w:bookmarkEnd w:id="12"/>
    </w:p>
    <w:p w:rsidR="00E75A26" w:rsidRPr="00804043" w:rsidRDefault="00E75A26" w:rsidP="006F0BD8">
      <w:pPr>
        <w:pStyle w:val="Endofdocument-Annex"/>
        <w:rPr>
          <w:noProof w:val="0"/>
        </w:rPr>
      </w:pPr>
    </w:p>
    <w:p w:rsidR="00E7268D" w:rsidRPr="00804043" w:rsidRDefault="00E7268D" w:rsidP="006F0BD8">
      <w:pPr>
        <w:pStyle w:val="Endofdocument-Annex"/>
        <w:rPr>
          <w:noProof w:val="0"/>
        </w:rPr>
      </w:pPr>
    </w:p>
    <w:p w:rsidR="00D4092A" w:rsidRPr="00804043" w:rsidRDefault="00651267" w:rsidP="006F0BD8">
      <w:pPr>
        <w:pStyle w:val="Endofdocument-Annex"/>
        <w:rPr>
          <w:noProof w:val="0"/>
        </w:rPr>
      </w:pPr>
      <w:r w:rsidRPr="00804043">
        <w:rPr>
          <w:noProof w:val="0"/>
        </w:rPr>
        <w:t>[</w:t>
      </w:r>
      <w:r w:rsidR="00763984" w:rsidRPr="00804043">
        <w:rPr>
          <w:noProof w:val="0"/>
        </w:rPr>
        <w:t>Fin de l</w:t>
      </w:r>
      <w:r w:rsidR="000964A9" w:rsidRPr="00804043">
        <w:rPr>
          <w:noProof w:val="0"/>
        </w:rPr>
        <w:t>’</w:t>
      </w:r>
      <w:r w:rsidR="00763984" w:rsidRPr="00804043">
        <w:rPr>
          <w:noProof w:val="0"/>
        </w:rPr>
        <w:t>annexe et du document</w:t>
      </w:r>
      <w:r w:rsidRPr="00804043">
        <w:rPr>
          <w:noProof w:val="0"/>
        </w:rPr>
        <w:t>]</w:t>
      </w:r>
    </w:p>
    <w:sectPr w:rsidR="00D4092A" w:rsidRPr="00804043" w:rsidSect="007F5D8D">
      <w:head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07" w:rsidRDefault="00B24007">
      <w:r>
        <w:separator/>
      </w:r>
    </w:p>
  </w:endnote>
  <w:endnote w:type="continuationSeparator" w:id="0">
    <w:p w:rsidR="00B24007" w:rsidRDefault="00B24007" w:rsidP="003B38C1">
      <w:r>
        <w:separator/>
      </w:r>
    </w:p>
    <w:p w:rsidR="00B24007" w:rsidRPr="006A1C22" w:rsidRDefault="00B24007" w:rsidP="003B38C1">
      <w:pPr>
        <w:spacing w:after="60"/>
        <w:rPr>
          <w:sz w:val="17"/>
          <w:lang w:val="en-US"/>
        </w:rPr>
      </w:pPr>
      <w:r w:rsidRPr="006A1C22">
        <w:rPr>
          <w:sz w:val="17"/>
          <w:lang w:val="en-US"/>
        </w:rPr>
        <w:t>[Endnote continued from previous page]</w:t>
      </w:r>
    </w:p>
  </w:endnote>
  <w:endnote w:type="continuationNotice" w:id="1">
    <w:p w:rsidR="00B24007" w:rsidRPr="006A1C22" w:rsidRDefault="00B24007" w:rsidP="003B38C1">
      <w:pPr>
        <w:spacing w:before="60"/>
        <w:jc w:val="right"/>
        <w:rPr>
          <w:sz w:val="17"/>
          <w:szCs w:val="17"/>
          <w:lang w:val="en-US"/>
        </w:rPr>
      </w:pPr>
      <w:r w:rsidRPr="006A1C22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D8D" w:rsidRPr="00800E81" w:rsidRDefault="007F5D8D" w:rsidP="00800E81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CB2" w:rsidRPr="00BC6CB2" w:rsidRDefault="00BC6CB2" w:rsidP="00BC6C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07" w:rsidRDefault="00B24007">
      <w:r>
        <w:separator/>
      </w:r>
    </w:p>
  </w:footnote>
  <w:footnote w:type="continuationSeparator" w:id="0">
    <w:p w:rsidR="00B24007" w:rsidRDefault="00B24007" w:rsidP="008B60B2">
      <w:r>
        <w:separator/>
      </w:r>
    </w:p>
    <w:p w:rsidR="00B24007" w:rsidRPr="006A1C22" w:rsidRDefault="00B24007" w:rsidP="008B60B2">
      <w:pPr>
        <w:spacing w:after="60"/>
        <w:rPr>
          <w:sz w:val="17"/>
          <w:szCs w:val="17"/>
          <w:lang w:val="en-US"/>
        </w:rPr>
      </w:pPr>
      <w:r w:rsidRPr="006A1C2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B24007" w:rsidRPr="006A1C22" w:rsidRDefault="00B24007" w:rsidP="008B60B2">
      <w:pPr>
        <w:spacing w:before="60"/>
        <w:jc w:val="right"/>
        <w:rPr>
          <w:sz w:val="17"/>
          <w:szCs w:val="17"/>
          <w:lang w:val="en-US"/>
        </w:rPr>
      </w:pPr>
      <w:r w:rsidRPr="006A1C22">
        <w:rPr>
          <w:sz w:val="17"/>
          <w:szCs w:val="17"/>
          <w:lang w:val="en-US"/>
        </w:rPr>
        <w:t>[Footnote continued on next page]</w:t>
      </w:r>
    </w:p>
  </w:footnote>
  <w:footnote w:id="2">
    <w:p w:rsidR="00E7268D" w:rsidRPr="00DE7A0C" w:rsidRDefault="00E7268D" w:rsidP="00E7268D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>
        <w:tab/>
      </w:r>
      <w:r w:rsidR="00566810">
        <w:t>Le texte qu’il est proposé d’ajouter est souligné et le texte qu’il est proposé de supprimer est biffé</w:t>
      </w:r>
      <w:r w:rsidRPr="00DE7A0C">
        <w:t>.</w:t>
      </w:r>
      <w:r w:rsidR="004D64A7">
        <w:t xml:space="preserve">  </w:t>
      </w:r>
      <w:r w:rsidR="00566810">
        <w:t>C</w:t>
      </w:r>
      <w:r w:rsidR="004D64A7">
        <w:t>ertain</w:t>
      </w:r>
      <w:r w:rsidR="00566810">
        <w:t>es</w:t>
      </w:r>
      <w:r w:rsidR="004D64A7">
        <w:t xml:space="preserve"> </w:t>
      </w:r>
      <w:r w:rsidR="00566810">
        <w:t>dispositions pour lesquelles aucune modification n’est proposée ont été incluses, pour plus de commodité.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2A" w:rsidRPr="00D4092A" w:rsidRDefault="00D4092A" w:rsidP="00D4092A">
    <w:pPr>
      <w:jc w:val="right"/>
      <w:rPr>
        <w:lang w:val="fr-CH"/>
      </w:rPr>
    </w:pPr>
    <w:bookmarkStart w:id="5" w:name="Code2"/>
    <w:bookmarkEnd w:id="5"/>
    <w:r w:rsidRPr="00D4092A">
      <w:rPr>
        <w:lang w:val="fr-CH"/>
      </w:rPr>
      <w:t>P</w:t>
    </w:r>
    <w:r w:rsidR="0010230A">
      <w:rPr>
        <w:lang w:val="fr-CH"/>
      </w:rPr>
      <w:t>CT/WG/7/13</w:t>
    </w:r>
  </w:p>
  <w:p w:rsidR="00EC4E49" w:rsidRPr="00D4092A" w:rsidRDefault="00EC4E49" w:rsidP="00477D6B">
    <w:pPr>
      <w:jc w:val="right"/>
      <w:rPr>
        <w:lang w:val="fr-CH"/>
      </w:rPr>
    </w:pPr>
    <w:r w:rsidRPr="00D4092A">
      <w:rPr>
        <w:lang w:val="fr-CH"/>
      </w:rPr>
      <w:t xml:space="preserve">page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AB4258">
      <w:rPr>
        <w:lang w:val="fr-CH"/>
      </w:rPr>
      <w:t>2</w:t>
    </w:r>
    <w:r>
      <w:fldChar w:fldCharType="end"/>
    </w:r>
  </w:p>
  <w:p w:rsidR="00113CE0" w:rsidRPr="00D4092A" w:rsidRDefault="00113CE0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CB2" w:rsidRPr="00D4092A" w:rsidRDefault="00BC6CB2" w:rsidP="00D4092A">
    <w:pPr>
      <w:jc w:val="right"/>
      <w:rPr>
        <w:lang w:val="fr-CH"/>
      </w:rPr>
    </w:pPr>
    <w:r w:rsidRPr="00D4092A">
      <w:rPr>
        <w:lang w:val="fr-CH"/>
      </w:rPr>
      <w:t>P</w:t>
    </w:r>
    <w:r>
      <w:rPr>
        <w:lang w:val="fr-CH"/>
      </w:rPr>
      <w:t>CT/WG/7/13</w:t>
    </w:r>
  </w:p>
  <w:p w:rsidR="00BC6CB2" w:rsidRPr="00D4092A" w:rsidRDefault="00BC6CB2" w:rsidP="00477D6B">
    <w:pPr>
      <w:jc w:val="right"/>
      <w:rPr>
        <w:lang w:val="fr-CH"/>
      </w:rPr>
    </w:pPr>
    <w:r>
      <w:rPr>
        <w:lang w:val="fr-CH"/>
      </w:rPr>
      <w:t xml:space="preserve">Annexe, </w:t>
    </w:r>
    <w:r w:rsidRPr="00D4092A">
      <w:rPr>
        <w:lang w:val="fr-CH"/>
      </w:rPr>
      <w:t xml:space="preserve">page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AB4258">
      <w:rPr>
        <w:lang w:val="fr-CH"/>
      </w:rPr>
      <w:t>2</w:t>
    </w:r>
    <w:r>
      <w:fldChar w:fldCharType="end"/>
    </w:r>
  </w:p>
  <w:p w:rsidR="00BC6CB2" w:rsidRPr="00D4092A" w:rsidRDefault="00BC6CB2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CB2" w:rsidRPr="00953AA6" w:rsidRDefault="00BC6CB2" w:rsidP="00BC6CB2">
    <w:pPr>
      <w:jc w:val="right"/>
    </w:pPr>
    <w:r w:rsidRPr="00953AA6">
      <w:t>PCT/WG/7/13</w:t>
    </w:r>
  </w:p>
  <w:p w:rsidR="00BC6CB2" w:rsidRPr="00953AA6" w:rsidRDefault="00BC6CB2" w:rsidP="00BC6CB2">
    <w:pPr>
      <w:jc w:val="right"/>
    </w:pPr>
    <w:r w:rsidRPr="00953AA6">
      <w:t>ANNEX</w:t>
    </w:r>
    <w:r>
      <w:t>E</w:t>
    </w:r>
  </w:p>
  <w:p w:rsidR="00BC6CB2" w:rsidRPr="00953AA6" w:rsidRDefault="00BC6CB2" w:rsidP="00BC6CB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EC6B13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07"/>
    <w:rsid w:val="00023F27"/>
    <w:rsid w:val="00034DED"/>
    <w:rsid w:val="00036B20"/>
    <w:rsid w:val="00043CAA"/>
    <w:rsid w:val="000475BC"/>
    <w:rsid w:val="00050628"/>
    <w:rsid w:val="0005099A"/>
    <w:rsid w:val="00073911"/>
    <w:rsid w:val="00075432"/>
    <w:rsid w:val="00081E17"/>
    <w:rsid w:val="000820E3"/>
    <w:rsid w:val="000871C7"/>
    <w:rsid w:val="000964A9"/>
    <w:rsid w:val="000968ED"/>
    <w:rsid w:val="000A1009"/>
    <w:rsid w:val="000A591D"/>
    <w:rsid w:val="000E1783"/>
    <w:rsid w:val="000F5E56"/>
    <w:rsid w:val="0010230A"/>
    <w:rsid w:val="00113688"/>
    <w:rsid w:val="0011370E"/>
    <w:rsid w:val="00113CE0"/>
    <w:rsid w:val="0011598B"/>
    <w:rsid w:val="001223C2"/>
    <w:rsid w:val="00125C70"/>
    <w:rsid w:val="001362EE"/>
    <w:rsid w:val="0017668F"/>
    <w:rsid w:val="001832A6"/>
    <w:rsid w:val="001A4CBF"/>
    <w:rsid w:val="001E12F0"/>
    <w:rsid w:val="001F3E07"/>
    <w:rsid w:val="002312EC"/>
    <w:rsid w:val="002347D8"/>
    <w:rsid w:val="00242E6A"/>
    <w:rsid w:val="002634C4"/>
    <w:rsid w:val="002928D3"/>
    <w:rsid w:val="002958FD"/>
    <w:rsid w:val="002C7529"/>
    <w:rsid w:val="002F058A"/>
    <w:rsid w:val="002F1FE6"/>
    <w:rsid w:val="002F4E68"/>
    <w:rsid w:val="00312F7F"/>
    <w:rsid w:val="00325F9A"/>
    <w:rsid w:val="00346E7B"/>
    <w:rsid w:val="00361450"/>
    <w:rsid w:val="0036347E"/>
    <w:rsid w:val="003673CF"/>
    <w:rsid w:val="00370559"/>
    <w:rsid w:val="00373B4C"/>
    <w:rsid w:val="003845C1"/>
    <w:rsid w:val="00390F91"/>
    <w:rsid w:val="003919AB"/>
    <w:rsid w:val="003A6F89"/>
    <w:rsid w:val="003B38C1"/>
    <w:rsid w:val="003F72D5"/>
    <w:rsid w:val="003F7761"/>
    <w:rsid w:val="00423E3E"/>
    <w:rsid w:val="00427AF4"/>
    <w:rsid w:val="00446E0A"/>
    <w:rsid w:val="0046359D"/>
    <w:rsid w:val="004647DA"/>
    <w:rsid w:val="0046705F"/>
    <w:rsid w:val="00470616"/>
    <w:rsid w:val="00474062"/>
    <w:rsid w:val="00477D6B"/>
    <w:rsid w:val="0048661F"/>
    <w:rsid w:val="004D64A7"/>
    <w:rsid w:val="004E0F9C"/>
    <w:rsid w:val="005019FF"/>
    <w:rsid w:val="0050541C"/>
    <w:rsid w:val="0053057A"/>
    <w:rsid w:val="00530AB6"/>
    <w:rsid w:val="005339DF"/>
    <w:rsid w:val="005357F2"/>
    <w:rsid w:val="00560A29"/>
    <w:rsid w:val="0056604A"/>
    <w:rsid w:val="00566810"/>
    <w:rsid w:val="00580E30"/>
    <w:rsid w:val="00595215"/>
    <w:rsid w:val="005A469E"/>
    <w:rsid w:val="005A4D8B"/>
    <w:rsid w:val="005C6649"/>
    <w:rsid w:val="005D2958"/>
    <w:rsid w:val="005D6C61"/>
    <w:rsid w:val="00605827"/>
    <w:rsid w:val="00620F61"/>
    <w:rsid w:val="0064517A"/>
    <w:rsid w:val="00646050"/>
    <w:rsid w:val="006476DC"/>
    <w:rsid w:val="00651267"/>
    <w:rsid w:val="00651DB6"/>
    <w:rsid w:val="00652266"/>
    <w:rsid w:val="006670F2"/>
    <w:rsid w:val="006713CA"/>
    <w:rsid w:val="00676C5C"/>
    <w:rsid w:val="00676FF1"/>
    <w:rsid w:val="00685AFE"/>
    <w:rsid w:val="006A1C22"/>
    <w:rsid w:val="006D0C71"/>
    <w:rsid w:val="006F0BD8"/>
    <w:rsid w:val="007123D3"/>
    <w:rsid w:val="007376D7"/>
    <w:rsid w:val="00750CA4"/>
    <w:rsid w:val="00762678"/>
    <w:rsid w:val="00763984"/>
    <w:rsid w:val="00766C99"/>
    <w:rsid w:val="00787F6C"/>
    <w:rsid w:val="00793A68"/>
    <w:rsid w:val="007A2634"/>
    <w:rsid w:val="007B7A6E"/>
    <w:rsid w:val="007D0135"/>
    <w:rsid w:val="007D1613"/>
    <w:rsid w:val="007F2877"/>
    <w:rsid w:val="007F5D8D"/>
    <w:rsid w:val="007F775C"/>
    <w:rsid w:val="00800E81"/>
    <w:rsid w:val="00804043"/>
    <w:rsid w:val="0082586C"/>
    <w:rsid w:val="00826017"/>
    <w:rsid w:val="0083124D"/>
    <w:rsid w:val="0083198E"/>
    <w:rsid w:val="00871F72"/>
    <w:rsid w:val="0088449E"/>
    <w:rsid w:val="008B0A39"/>
    <w:rsid w:val="008B2CC1"/>
    <w:rsid w:val="008B60B2"/>
    <w:rsid w:val="008D26AF"/>
    <w:rsid w:val="008D48FB"/>
    <w:rsid w:val="008D4F0C"/>
    <w:rsid w:val="008E2F86"/>
    <w:rsid w:val="008F09AE"/>
    <w:rsid w:val="0090731E"/>
    <w:rsid w:val="00916EE2"/>
    <w:rsid w:val="00953AA6"/>
    <w:rsid w:val="00962C40"/>
    <w:rsid w:val="00966A22"/>
    <w:rsid w:val="0096722F"/>
    <w:rsid w:val="00980843"/>
    <w:rsid w:val="009C4D12"/>
    <w:rsid w:val="009E2791"/>
    <w:rsid w:val="009E3F6F"/>
    <w:rsid w:val="009F499F"/>
    <w:rsid w:val="00A02EF4"/>
    <w:rsid w:val="00A31F14"/>
    <w:rsid w:val="00A42DAF"/>
    <w:rsid w:val="00A45BD8"/>
    <w:rsid w:val="00A53839"/>
    <w:rsid w:val="00A54DFB"/>
    <w:rsid w:val="00A631EA"/>
    <w:rsid w:val="00A75869"/>
    <w:rsid w:val="00A82082"/>
    <w:rsid w:val="00A823E4"/>
    <w:rsid w:val="00A869B7"/>
    <w:rsid w:val="00AA5AD8"/>
    <w:rsid w:val="00AB4258"/>
    <w:rsid w:val="00AC205C"/>
    <w:rsid w:val="00AF0A6B"/>
    <w:rsid w:val="00AF5CB4"/>
    <w:rsid w:val="00B03E48"/>
    <w:rsid w:val="00B05A69"/>
    <w:rsid w:val="00B24007"/>
    <w:rsid w:val="00B73E1E"/>
    <w:rsid w:val="00B9734B"/>
    <w:rsid w:val="00BA1F5B"/>
    <w:rsid w:val="00BA50CB"/>
    <w:rsid w:val="00BC6CB2"/>
    <w:rsid w:val="00BE5A78"/>
    <w:rsid w:val="00BF5069"/>
    <w:rsid w:val="00BF7103"/>
    <w:rsid w:val="00C074EC"/>
    <w:rsid w:val="00C11BFE"/>
    <w:rsid w:val="00C24E07"/>
    <w:rsid w:val="00C27C65"/>
    <w:rsid w:val="00CB7BE4"/>
    <w:rsid w:val="00CC64D9"/>
    <w:rsid w:val="00D25401"/>
    <w:rsid w:val="00D4092A"/>
    <w:rsid w:val="00D45252"/>
    <w:rsid w:val="00D53A7D"/>
    <w:rsid w:val="00D57D97"/>
    <w:rsid w:val="00D71B4D"/>
    <w:rsid w:val="00D93D55"/>
    <w:rsid w:val="00DD2FD8"/>
    <w:rsid w:val="00DE0ABB"/>
    <w:rsid w:val="00DF1760"/>
    <w:rsid w:val="00DF233A"/>
    <w:rsid w:val="00E1630A"/>
    <w:rsid w:val="00E17880"/>
    <w:rsid w:val="00E335FE"/>
    <w:rsid w:val="00E7268D"/>
    <w:rsid w:val="00E75A26"/>
    <w:rsid w:val="00E875D1"/>
    <w:rsid w:val="00E979D1"/>
    <w:rsid w:val="00EC4E49"/>
    <w:rsid w:val="00ED77FB"/>
    <w:rsid w:val="00EE45FA"/>
    <w:rsid w:val="00EF346E"/>
    <w:rsid w:val="00EF7B61"/>
    <w:rsid w:val="00F1078D"/>
    <w:rsid w:val="00F11CE1"/>
    <w:rsid w:val="00F21547"/>
    <w:rsid w:val="00F323DE"/>
    <w:rsid w:val="00F37BE6"/>
    <w:rsid w:val="00F66152"/>
    <w:rsid w:val="00F9195C"/>
    <w:rsid w:val="00FB0F46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noProof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113CE0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113CE0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113CE0"/>
    <w:rPr>
      <w:color w:val="1F497D" w:themeColor="text2"/>
      <w:u w:val="single"/>
    </w:rPr>
  </w:style>
  <w:style w:type="paragraph" w:styleId="TOC8">
    <w:name w:val="toc 8"/>
    <w:basedOn w:val="Normal"/>
    <w:next w:val="Normal"/>
    <w:autoRedefine/>
    <w:rsid w:val="006F0BD8"/>
    <w:pPr>
      <w:spacing w:after="100"/>
      <w:ind w:left="15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noProof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113CE0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113CE0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113CE0"/>
    <w:rPr>
      <w:color w:val="1F497D" w:themeColor="text2"/>
      <w:u w:val="single"/>
    </w:rPr>
  </w:style>
  <w:style w:type="paragraph" w:styleId="TOC8">
    <w:name w:val="toc 8"/>
    <w:basedOn w:val="Normal"/>
    <w:next w:val="Normal"/>
    <w:autoRedefine/>
    <w:rsid w:val="006F0BD8"/>
    <w:pPr>
      <w:spacing w:after="100"/>
      <w:ind w:left="1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70BB9-3A4F-4208-B400-023F7B7FF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BBD41D-865F-46CC-8B26-A7880D8A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1</TotalTime>
  <Pages>7</Pages>
  <Words>1470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</vt:lpstr>
    </vt:vector>
  </TitlesOfParts>
  <Company>WIPO</Company>
  <LinksUpToDate>false</LinksUpToDate>
  <CharactersWithSpaces>10641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Right to Practice Before the Receiving Office of the International Bureau</dc:subject>
  <dc:creator>MATTHES Claus</dc:creator>
  <cp:keywords>MP/ko</cp:keywords>
  <cp:lastModifiedBy>MARLOW Thomas</cp:lastModifiedBy>
  <cp:revision>4</cp:revision>
  <cp:lastPrinted>2014-05-01T09:25:00Z</cp:lastPrinted>
  <dcterms:created xsi:type="dcterms:W3CDTF">2014-05-02T15:06:00Z</dcterms:created>
  <dcterms:modified xsi:type="dcterms:W3CDTF">2014-05-02T15:41:00Z</dcterms:modified>
</cp:coreProperties>
</file>