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A5CD2" w:rsidRPr="00CA6E79" w:rsidTr="005B5280">
        <w:tc>
          <w:tcPr>
            <w:tcW w:w="4513" w:type="dxa"/>
            <w:tcBorders>
              <w:bottom w:val="single" w:sz="4" w:space="0" w:color="auto"/>
            </w:tcBorders>
            <w:tcMar>
              <w:bottom w:w="170" w:type="dxa"/>
            </w:tcMar>
          </w:tcPr>
          <w:p w:rsidR="000A5CD2" w:rsidRPr="00CA6E79" w:rsidRDefault="000A5CD2" w:rsidP="005B5280">
            <w:pPr>
              <w:rPr>
                <w:lang w:val="fr-FR"/>
              </w:rPr>
            </w:pPr>
          </w:p>
        </w:tc>
        <w:tc>
          <w:tcPr>
            <w:tcW w:w="4337" w:type="dxa"/>
            <w:tcBorders>
              <w:bottom w:val="single" w:sz="4" w:space="0" w:color="auto"/>
            </w:tcBorders>
            <w:tcMar>
              <w:left w:w="0" w:type="dxa"/>
              <w:right w:w="0" w:type="dxa"/>
            </w:tcMar>
          </w:tcPr>
          <w:p w:rsidR="000A5CD2" w:rsidRPr="00CA6E79" w:rsidRDefault="000A5CD2" w:rsidP="005B5280">
            <w:pPr>
              <w:rPr>
                <w:lang w:val="fr-FR"/>
              </w:rPr>
            </w:pPr>
            <w:r w:rsidRPr="00CA6E79">
              <w:rPr>
                <w:noProof/>
                <w:lang w:eastAsia="en-US"/>
              </w:rPr>
              <w:drawing>
                <wp:inline distT="0" distB="0" distL="0" distR="0" wp14:anchorId="7035DE96" wp14:editId="5DA91873">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0A5CD2" w:rsidRPr="00CA6E79" w:rsidRDefault="000A5CD2" w:rsidP="005B5280">
            <w:pPr>
              <w:jc w:val="right"/>
              <w:rPr>
                <w:lang w:val="fr-FR"/>
              </w:rPr>
            </w:pPr>
            <w:r w:rsidRPr="00CA6E79">
              <w:rPr>
                <w:b/>
                <w:sz w:val="40"/>
                <w:szCs w:val="40"/>
                <w:lang w:val="fr-FR"/>
              </w:rPr>
              <w:t>F</w:t>
            </w:r>
          </w:p>
        </w:tc>
      </w:tr>
      <w:tr w:rsidR="000A5CD2" w:rsidRPr="00CA6E79" w:rsidTr="005B5280">
        <w:trPr>
          <w:trHeight w:hRule="exact" w:val="340"/>
        </w:trPr>
        <w:tc>
          <w:tcPr>
            <w:tcW w:w="9356" w:type="dxa"/>
            <w:gridSpan w:val="3"/>
            <w:tcBorders>
              <w:top w:val="single" w:sz="4" w:space="0" w:color="auto"/>
            </w:tcBorders>
            <w:tcMar>
              <w:top w:w="170" w:type="dxa"/>
              <w:left w:w="0" w:type="dxa"/>
              <w:right w:w="0" w:type="dxa"/>
            </w:tcMar>
            <w:vAlign w:val="bottom"/>
          </w:tcPr>
          <w:p w:rsidR="000A5CD2" w:rsidRPr="00CA6E79" w:rsidRDefault="000A5CD2" w:rsidP="000A5CD2">
            <w:pPr>
              <w:jc w:val="right"/>
              <w:rPr>
                <w:rFonts w:ascii="Arial Black" w:hAnsi="Arial Black"/>
                <w:caps/>
                <w:sz w:val="15"/>
                <w:lang w:val="fr-FR"/>
              </w:rPr>
            </w:pPr>
            <w:r w:rsidRPr="00CA6E79">
              <w:rPr>
                <w:rFonts w:ascii="Arial Black" w:hAnsi="Arial Black"/>
                <w:caps/>
                <w:sz w:val="15"/>
                <w:lang w:val="fr-FR"/>
              </w:rPr>
              <w:t>PCT/WG/7/</w:t>
            </w:r>
            <w:bookmarkStart w:id="0" w:name="Code"/>
            <w:bookmarkEnd w:id="0"/>
            <w:r w:rsidRPr="00CA6E79">
              <w:rPr>
                <w:rFonts w:ascii="Arial Black" w:hAnsi="Arial Black"/>
                <w:caps/>
                <w:sz w:val="15"/>
                <w:lang w:val="fr-FR"/>
              </w:rPr>
              <w:t xml:space="preserve">15 </w:t>
            </w:r>
          </w:p>
        </w:tc>
      </w:tr>
      <w:tr w:rsidR="000A5CD2" w:rsidRPr="00CA6E79" w:rsidTr="005B5280">
        <w:trPr>
          <w:trHeight w:hRule="exact" w:val="170"/>
        </w:trPr>
        <w:tc>
          <w:tcPr>
            <w:tcW w:w="9356" w:type="dxa"/>
            <w:gridSpan w:val="3"/>
            <w:noWrap/>
            <w:tcMar>
              <w:left w:w="0" w:type="dxa"/>
              <w:right w:w="0" w:type="dxa"/>
            </w:tcMar>
            <w:vAlign w:val="bottom"/>
          </w:tcPr>
          <w:p w:rsidR="000A5CD2" w:rsidRPr="00CA6E79" w:rsidRDefault="000A5CD2" w:rsidP="005B5280">
            <w:pPr>
              <w:jc w:val="right"/>
              <w:rPr>
                <w:rFonts w:ascii="Arial Black" w:hAnsi="Arial Black"/>
                <w:caps/>
                <w:sz w:val="15"/>
                <w:lang w:val="fr-FR"/>
              </w:rPr>
            </w:pPr>
            <w:r w:rsidRPr="00CA6E79">
              <w:rPr>
                <w:rFonts w:ascii="Arial Black" w:hAnsi="Arial Black"/>
                <w:caps/>
                <w:sz w:val="15"/>
                <w:lang w:val="fr-FR"/>
              </w:rPr>
              <w:t xml:space="preserve">ORIGINAL : </w:t>
            </w:r>
            <w:bookmarkStart w:id="1" w:name="Original"/>
            <w:bookmarkEnd w:id="1"/>
            <w:r w:rsidRPr="00CA6E79">
              <w:rPr>
                <w:rFonts w:ascii="Arial Black" w:hAnsi="Arial Black"/>
                <w:caps/>
                <w:sz w:val="15"/>
                <w:lang w:val="fr-FR"/>
              </w:rPr>
              <w:t>anglais</w:t>
            </w:r>
          </w:p>
        </w:tc>
      </w:tr>
      <w:tr w:rsidR="000A5CD2" w:rsidRPr="00CA6E79" w:rsidTr="005B5280">
        <w:trPr>
          <w:trHeight w:hRule="exact" w:val="198"/>
        </w:trPr>
        <w:tc>
          <w:tcPr>
            <w:tcW w:w="9356" w:type="dxa"/>
            <w:gridSpan w:val="3"/>
            <w:tcMar>
              <w:left w:w="0" w:type="dxa"/>
              <w:right w:w="0" w:type="dxa"/>
            </w:tcMar>
            <w:vAlign w:val="bottom"/>
          </w:tcPr>
          <w:p w:rsidR="000A5CD2" w:rsidRPr="00CA6E79" w:rsidRDefault="000A5CD2" w:rsidP="000A5CD2">
            <w:pPr>
              <w:jc w:val="right"/>
              <w:rPr>
                <w:rFonts w:ascii="Arial Black" w:hAnsi="Arial Black"/>
                <w:caps/>
                <w:sz w:val="15"/>
                <w:lang w:val="fr-FR"/>
              </w:rPr>
            </w:pPr>
            <w:r w:rsidRPr="00CA6E79">
              <w:rPr>
                <w:rFonts w:ascii="Arial Black" w:hAnsi="Arial Black"/>
                <w:caps/>
                <w:sz w:val="15"/>
                <w:lang w:val="fr-FR"/>
              </w:rPr>
              <w:t xml:space="preserve">DATE : </w:t>
            </w:r>
            <w:bookmarkStart w:id="2" w:name="Date"/>
            <w:bookmarkEnd w:id="2"/>
            <w:r w:rsidRPr="00CA6E79">
              <w:rPr>
                <w:rFonts w:ascii="Arial Black" w:hAnsi="Arial Black"/>
                <w:caps/>
                <w:sz w:val="15"/>
                <w:lang w:val="fr-FR"/>
              </w:rPr>
              <w:t>29 avril 2014</w:t>
            </w:r>
          </w:p>
        </w:tc>
      </w:tr>
    </w:tbl>
    <w:p w:rsidR="000A5CD2" w:rsidRPr="00CA6E79" w:rsidRDefault="000A5CD2" w:rsidP="000A5CD2">
      <w:pPr>
        <w:rPr>
          <w:lang w:val="fr-FR"/>
        </w:rPr>
      </w:pPr>
    </w:p>
    <w:p w:rsidR="000A5CD2" w:rsidRPr="00CA6E79" w:rsidRDefault="000A5CD2" w:rsidP="000A5CD2">
      <w:pPr>
        <w:rPr>
          <w:lang w:val="fr-FR"/>
        </w:rPr>
      </w:pPr>
    </w:p>
    <w:p w:rsidR="000A5CD2" w:rsidRPr="00CA6E79" w:rsidRDefault="000A5CD2" w:rsidP="000A5CD2">
      <w:pPr>
        <w:rPr>
          <w:lang w:val="fr-FR"/>
        </w:rPr>
      </w:pPr>
    </w:p>
    <w:p w:rsidR="000A5CD2" w:rsidRPr="00CA6E79" w:rsidRDefault="000A5CD2" w:rsidP="000A5CD2">
      <w:pPr>
        <w:rPr>
          <w:lang w:val="fr-FR"/>
        </w:rPr>
      </w:pPr>
    </w:p>
    <w:p w:rsidR="000A5CD2" w:rsidRPr="00CA6E79" w:rsidRDefault="000A5CD2" w:rsidP="000A5CD2">
      <w:pPr>
        <w:rPr>
          <w:lang w:val="fr-FR"/>
        </w:rPr>
      </w:pPr>
    </w:p>
    <w:p w:rsidR="000A5CD2" w:rsidRPr="00CA6E79" w:rsidRDefault="000A5CD2" w:rsidP="000A5CD2">
      <w:pPr>
        <w:rPr>
          <w:b/>
          <w:sz w:val="28"/>
          <w:szCs w:val="28"/>
          <w:lang w:val="fr-FR"/>
        </w:rPr>
      </w:pPr>
      <w:r w:rsidRPr="00CA6E79">
        <w:rPr>
          <w:b/>
          <w:sz w:val="28"/>
          <w:szCs w:val="28"/>
          <w:lang w:val="fr-FR"/>
        </w:rPr>
        <w:t>Groupe de travail du Traité de coopération en matière de brevets (PCT)</w:t>
      </w:r>
    </w:p>
    <w:p w:rsidR="000A5CD2" w:rsidRPr="00CA6E79" w:rsidRDefault="000A5CD2" w:rsidP="000A5CD2">
      <w:pPr>
        <w:rPr>
          <w:lang w:val="fr-FR"/>
        </w:rPr>
      </w:pPr>
    </w:p>
    <w:p w:rsidR="000A5CD2" w:rsidRPr="00CA6E79" w:rsidRDefault="000A5CD2" w:rsidP="000A5CD2">
      <w:pPr>
        <w:rPr>
          <w:lang w:val="fr-FR"/>
        </w:rPr>
      </w:pPr>
    </w:p>
    <w:p w:rsidR="000A5CD2" w:rsidRPr="00CA6E79" w:rsidRDefault="000A5CD2" w:rsidP="000A5CD2">
      <w:pPr>
        <w:rPr>
          <w:b/>
          <w:sz w:val="24"/>
          <w:szCs w:val="24"/>
          <w:lang w:val="fr-FR"/>
        </w:rPr>
      </w:pPr>
      <w:r w:rsidRPr="00CA6E79">
        <w:rPr>
          <w:b/>
          <w:sz w:val="24"/>
          <w:szCs w:val="24"/>
          <w:lang w:val="fr-FR"/>
        </w:rPr>
        <w:t>Septième session</w:t>
      </w:r>
    </w:p>
    <w:p w:rsidR="000A5CD2" w:rsidRPr="00CA6E79" w:rsidRDefault="000A5CD2" w:rsidP="000A5CD2">
      <w:pPr>
        <w:rPr>
          <w:b/>
          <w:sz w:val="24"/>
          <w:szCs w:val="24"/>
          <w:lang w:val="fr-FR"/>
        </w:rPr>
      </w:pPr>
      <w:r w:rsidRPr="00CA6E79">
        <w:rPr>
          <w:b/>
          <w:sz w:val="24"/>
          <w:szCs w:val="24"/>
          <w:lang w:val="fr-FR"/>
        </w:rPr>
        <w:t>Genève, 10 – 13 juin 2014</w:t>
      </w:r>
    </w:p>
    <w:p w:rsidR="000A5CD2" w:rsidRPr="00CA6E79" w:rsidRDefault="000A5CD2" w:rsidP="000A5CD2">
      <w:pPr>
        <w:rPr>
          <w:lang w:val="fr-FR"/>
        </w:rPr>
      </w:pPr>
    </w:p>
    <w:p w:rsidR="000A5CD2" w:rsidRPr="00CA6E79" w:rsidRDefault="000A5CD2" w:rsidP="000A5CD2">
      <w:pPr>
        <w:rPr>
          <w:lang w:val="fr-FR"/>
        </w:rPr>
      </w:pPr>
    </w:p>
    <w:p w:rsidR="000A5CD2" w:rsidRPr="00CA6E79" w:rsidRDefault="000A5CD2" w:rsidP="000A5CD2">
      <w:pPr>
        <w:rPr>
          <w:lang w:val="fr-FR"/>
        </w:rPr>
      </w:pPr>
    </w:p>
    <w:p w:rsidR="006C7B53" w:rsidRPr="00CA6E79" w:rsidRDefault="00D47A16" w:rsidP="00D47A16">
      <w:pPr>
        <w:rPr>
          <w:caps/>
          <w:sz w:val="24"/>
          <w:lang w:val="fr-FR"/>
        </w:rPr>
      </w:pPr>
      <w:r w:rsidRPr="00CA6E79">
        <w:rPr>
          <w:sz w:val="24"/>
          <w:lang w:val="fr-FR"/>
        </w:rPr>
        <w:t>DIVERSES PROPOSITIONS DE MODIFICATION DU RÈGLEMENT D</w:t>
      </w:r>
      <w:r w:rsidR="00892E0E" w:rsidRPr="00CA6E79">
        <w:rPr>
          <w:sz w:val="24"/>
          <w:lang w:val="fr-FR"/>
        </w:rPr>
        <w:t>’</w:t>
      </w:r>
      <w:r w:rsidRPr="00CA6E79">
        <w:rPr>
          <w:sz w:val="24"/>
          <w:lang w:val="fr-FR"/>
        </w:rPr>
        <w:t>EXÉCUTION DU PCT</w:t>
      </w:r>
    </w:p>
    <w:p w:rsidR="006C7B53" w:rsidRPr="00CA6E79" w:rsidRDefault="006C7B53" w:rsidP="008B2CC1">
      <w:pPr>
        <w:rPr>
          <w:lang w:val="fr-FR"/>
        </w:rPr>
      </w:pPr>
    </w:p>
    <w:p w:rsidR="006C7B53" w:rsidRPr="00CA6E79" w:rsidRDefault="00D47A16" w:rsidP="00D47A16">
      <w:pPr>
        <w:rPr>
          <w:i/>
          <w:lang w:val="fr-FR"/>
        </w:rPr>
      </w:pPr>
      <w:bookmarkStart w:id="3" w:name="Prepared"/>
      <w:bookmarkEnd w:id="3"/>
      <w:r w:rsidRPr="00CA6E79">
        <w:rPr>
          <w:i/>
          <w:lang w:val="fr-FR"/>
        </w:rPr>
        <w:t>Document établi par le Bureau international</w:t>
      </w:r>
    </w:p>
    <w:p w:rsidR="006C7B53" w:rsidRPr="00CA6E79" w:rsidRDefault="006C7B53">
      <w:pPr>
        <w:rPr>
          <w:lang w:val="fr-FR"/>
        </w:rPr>
      </w:pPr>
    </w:p>
    <w:p w:rsidR="006C7B53" w:rsidRPr="00CA6E79" w:rsidRDefault="006C7B53">
      <w:pPr>
        <w:rPr>
          <w:lang w:val="fr-FR"/>
        </w:rPr>
      </w:pPr>
    </w:p>
    <w:p w:rsidR="006C7B53" w:rsidRPr="00CA6E79" w:rsidRDefault="006C7B53">
      <w:pPr>
        <w:rPr>
          <w:lang w:val="fr-FR"/>
        </w:rPr>
      </w:pPr>
    </w:p>
    <w:p w:rsidR="006C7B53" w:rsidRPr="00CA6E79" w:rsidRDefault="006C7B53" w:rsidP="0053057A">
      <w:pPr>
        <w:rPr>
          <w:lang w:val="fr-FR"/>
        </w:rPr>
      </w:pPr>
    </w:p>
    <w:p w:rsidR="006C7B53" w:rsidRPr="00CA6E79" w:rsidRDefault="004D4165" w:rsidP="004D4165">
      <w:pPr>
        <w:pStyle w:val="Heading1"/>
        <w:rPr>
          <w:lang w:val="fr-FR"/>
        </w:rPr>
      </w:pPr>
      <w:r w:rsidRPr="00CA6E79">
        <w:rPr>
          <w:lang w:val="fr-FR"/>
        </w:rPr>
        <w:t>Résumé</w:t>
      </w:r>
    </w:p>
    <w:p w:rsidR="004D4165" w:rsidRPr="00CA6E79" w:rsidRDefault="004D4165" w:rsidP="004D4165">
      <w:pPr>
        <w:rPr>
          <w:lang w:val="fr-FR"/>
        </w:rPr>
      </w:pPr>
    </w:p>
    <w:p w:rsidR="006C7B53" w:rsidRPr="00CA6E79" w:rsidRDefault="00D47A16" w:rsidP="004D4165">
      <w:pPr>
        <w:pStyle w:val="ONUMFS"/>
        <w:rPr>
          <w:lang w:val="fr-FR"/>
        </w:rPr>
      </w:pPr>
      <w:r w:rsidRPr="00CA6E79">
        <w:rPr>
          <w:lang w:val="fr-FR"/>
        </w:rPr>
        <w:t>Le présent document contient les modifications qu</w:t>
      </w:r>
      <w:r w:rsidR="00892E0E" w:rsidRPr="00CA6E79">
        <w:rPr>
          <w:lang w:val="fr-FR"/>
        </w:rPr>
        <w:t>’</w:t>
      </w:r>
      <w:r w:rsidRPr="00CA6E79">
        <w:rPr>
          <w:lang w:val="fr-FR"/>
        </w:rPr>
        <w:t>il est proposé d</w:t>
      </w:r>
      <w:r w:rsidR="00892E0E" w:rsidRPr="00CA6E79">
        <w:rPr>
          <w:lang w:val="fr-FR"/>
        </w:rPr>
        <w:t>’</w:t>
      </w:r>
      <w:r w:rsidRPr="00CA6E79">
        <w:rPr>
          <w:lang w:val="fr-FR"/>
        </w:rPr>
        <w:t xml:space="preserve">apporter au </w:t>
      </w:r>
      <w:r w:rsidR="002D07DA" w:rsidRPr="00CA6E79">
        <w:rPr>
          <w:lang w:val="fr-FR"/>
        </w:rPr>
        <w:t>règle</w:t>
      </w:r>
      <w:r w:rsidRPr="00CA6E79">
        <w:rPr>
          <w:lang w:val="fr-FR"/>
        </w:rPr>
        <w:t>ment d</w:t>
      </w:r>
      <w:r w:rsidR="00892E0E" w:rsidRPr="00CA6E79">
        <w:rPr>
          <w:lang w:val="fr-FR"/>
        </w:rPr>
        <w:t>’</w:t>
      </w:r>
      <w:r w:rsidRPr="00CA6E79">
        <w:rPr>
          <w:lang w:val="fr-FR"/>
        </w:rPr>
        <w:t>exécution</w:t>
      </w:r>
      <w:r w:rsidR="00892E0E" w:rsidRPr="00CA6E79">
        <w:rPr>
          <w:lang w:val="fr-FR"/>
        </w:rPr>
        <w:t xml:space="preserve"> du PCT</w:t>
      </w:r>
      <w:r w:rsidRPr="00CA6E79">
        <w:rPr>
          <w:lang w:val="fr-FR"/>
        </w:rPr>
        <w:t xml:space="preserve"> dans trois</w:t>
      </w:r>
      <w:r w:rsidR="002D07DA" w:rsidRPr="00CA6E79">
        <w:rPr>
          <w:lang w:val="fr-FR"/>
        </w:rPr>
        <w:t> </w:t>
      </w:r>
      <w:r w:rsidRPr="00CA6E79">
        <w:rPr>
          <w:lang w:val="fr-FR"/>
        </w:rPr>
        <w:t>domaines</w:t>
      </w:r>
      <w:r w:rsidR="002D07DA" w:rsidRPr="00CA6E79">
        <w:rPr>
          <w:lang w:val="fr-FR"/>
        </w:rPr>
        <w:t> </w:t>
      </w:r>
      <w:r w:rsidRPr="00CA6E79">
        <w:rPr>
          <w:lang w:val="fr-FR"/>
        </w:rPr>
        <w:t>:</w:t>
      </w:r>
    </w:p>
    <w:p w:rsidR="006C7B53" w:rsidRPr="00CA6E79" w:rsidRDefault="00D47A16" w:rsidP="004D4165">
      <w:pPr>
        <w:pStyle w:val="ONUMFS"/>
        <w:numPr>
          <w:ilvl w:val="1"/>
          <w:numId w:val="6"/>
        </w:numPr>
        <w:rPr>
          <w:lang w:val="fr-FR"/>
        </w:rPr>
      </w:pPr>
      <w:r w:rsidRPr="00CA6E79">
        <w:rPr>
          <w:lang w:val="fr-FR"/>
        </w:rPr>
        <w:t>à la suite des consultations formelles tenues avec l</w:t>
      </w:r>
      <w:r w:rsidR="00892E0E" w:rsidRPr="00CA6E79">
        <w:rPr>
          <w:lang w:val="fr-FR"/>
        </w:rPr>
        <w:t>’</w:t>
      </w:r>
      <w:r w:rsidRPr="00CA6E79">
        <w:rPr>
          <w:lang w:val="fr-FR"/>
        </w:rPr>
        <w:t>ensemble des États membres et de l</w:t>
      </w:r>
      <w:r w:rsidR="00892E0E" w:rsidRPr="00CA6E79">
        <w:rPr>
          <w:lang w:val="fr-FR"/>
        </w:rPr>
        <w:t>’</w:t>
      </w:r>
      <w:r w:rsidRPr="00CA6E79">
        <w:rPr>
          <w:lang w:val="fr-FR"/>
        </w:rPr>
        <w:t>accord de principe concernant la mise hors service du logiciel PCT</w:t>
      </w:r>
      <w:r w:rsidR="000C2438" w:rsidRPr="00CA6E79">
        <w:rPr>
          <w:lang w:val="fr-FR"/>
        </w:rPr>
        <w:noBreakHyphen/>
      </w:r>
      <w:r w:rsidRPr="00CA6E79">
        <w:rPr>
          <w:lang w:val="fr-FR"/>
        </w:rPr>
        <w:t xml:space="preserve">EASY à compter du </w:t>
      </w:r>
      <w:r w:rsidR="00892E0E" w:rsidRPr="00CA6E79">
        <w:rPr>
          <w:lang w:val="fr-FR"/>
        </w:rPr>
        <w:t>1</w:t>
      </w:r>
      <w:r w:rsidR="00892E0E" w:rsidRPr="00CA6E79">
        <w:rPr>
          <w:vertAlign w:val="superscript"/>
          <w:lang w:val="fr-FR"/>
        </w:rPr>
        <w:t>er</w:t>
      </w:r>
      <w:r w:rsidR="00892E0E" w:rsidRPr="00CA6E79">
        <w:rPr>
          <w:lang w:val="fr-FR"/>
        </w:rPr>
        <w:t> juillet 20</w:t>
      </w:r>
      <w:r w:rsidRPr="00CA6E79">
        <w:rPr>
          <w:lang w:val="fr-FR"/>
        </w:rPr>
        <w:t>15, il est proposé de supprimer du barème de taxes la réduction de taxes prévue pour les dépôts par l</w:t>
      </w:r>
      <w:r w:rsidR="00892E0E" w:rsidRPr="00CA6E79">
        <w:rPr>
          <w:lang w:val="fr-FR"/>
        </w:rPr>
        <w:t>’</w:t>
      </w:r>
      <w:r w:rsidRPr="00CA6E79">
        <w:rPr>
          <w:lang w:val="fr-FR"/>
        </w:rPr>
        <w:t>intermédiaire du système PCT</w:t>
      </w:r>
      <w:r w:rsidR="000C2438" w:rsidRPr="00CA6E79">
        <w:rPr>
          <w:lang w:val="fr-FR"/>
        </w:rPr>
        <w:noBreakHyphen/>
      </w:r>
      <w:r w:rsidR="004D4165" w:rsidRPr="00CA6E79">
        <w:rPr>
          <w:lang w:val="fr-FR"/>
        </w:rPr>
        <w:t>EASY;</w:t>
      </w:r>
    </w:p>
    <w:p w:rsidR="006C7B53" w:rsidRPr="00CA6E79" w:rsidRDefault="004D4165" w:rsidP="004D4165">
      <w:pPr>
        <w:pStyle w:val="ONUMFS"/>
        <w:numPr>
          <w:ilvl w:val="1"/>
          <w:numId w:val="6"/>
        </w:numPr>
        <w:rPr>
          <w:lang w:val="fr-FR"/>
        </w:rPr>
      </w:pPr>
      <w:r w:rsidRPr="00CA6E79">
        <w:rPr>
          <w:lang w:val="fr-FR"/>
        </w:rPr>
        <w:t>i</w:t>
      </w:r>
      <w:r w:rsidR="00D74AD4" w:rsidRPr="00CA6E79">
        <w:rPr>
          <w:lang w:val="fr-FR"/>
        </w:rPr>
        <w:t xml:space="preserve">l est proposé </w:t>
      </w:r>
      <w:r w:rsidR="000A2EB8" w:rsidRPr="00CA6E79">
        <w:rPr>
          <w:lang w:val="fr-FR"/>
        </w:rPr>
        <w:t>de demander</w:t>
      </w:r>
      <w:r w:rsidR="00D74AD4" w:rsidRPr="00CA6E79">
        <w:rPr>
          <w:lang w:val="fr-FR"/>
        </w:rPr>
        <w:t xml:space="preserve"> aux déposants qui </w:t>
      </w:r>
      <w:r w:rsidR="000A2EB8" w:rsidRPr="00CA6E79">
        <w:rPr>
          <w:lang w:val="fr-FR"/>
        </w:rPr>
        <w:t>adressent</w:t>
      </w:r>
      <w:r w:rsidR="00D74AD4" w:rsidRPr="00CA6E79">
        <w:rPr>
          <w:lang w:val="fr-FR"/>
        </w:rPr>
        <w:t xml:space="preserve"> </w:t>
      </w:r>
      <w:r w:rsidR="000A2EB8" w:rsidRPr="00CA6E79">
        <w:rPr>
          <w:lang w:val="fr-FR"/>
        </w:rPr>
        <w:t xml:space="preserve">une requête </w:t>
      </w:r>
      <w:r w:rsidR="00D74AD4" w:rsidRPr="00CA6E79">
        <w:rPr>
          <w:lang w:val="fr-FR"/>
        </w:rPr>
        <w:t>express</w:t>
      </w:r>
      <w:r w:rsidR="000A2EB8" w:rsidRPr="00CA6E79">
        <w:rPr>
          <w:lang w:val="fr-FR"/>
        </w:rPr>
        <w:t>e d</w:t>
      </w:r>
      <w:r w:rsidR="00892E0E" w:rsidRPr="00CA6E79">
        <w:rPr>
          <w:lang w:val="fr-FR"/>
        </w:rPr>
        <w:t>’</w:t>
      </w:r>
      <w:r w:rsidR="00D74AD4" w:rsidRPr="00CA6E79">
        <w:rPr>
          <w:lang w:val="fr-FR"/>
        </w:rPr>
        <w:t>ouverture</w:t>
      </w:r>
      <w:r w:rsidR="001C2231" w:rsidRPr="00CA6E79">
        <w:rPr>
          <w:lang w:val="fr-FR"/>
        </w:rPr>
        <w:t xml:space="preserve"> anticipée</w:t>
      </w:r>
      <w:r w:rsidR="00D74AD4" w:rsidRPr="00CA6E79">
        <w:rPr>
          <w:lang w:val="fr-FR"/>
        </w:rPr>
        <w:t xml:space="preserve"> de la phase nationale de </w:t>
      </w:r>
      <w:r w:rsidR="004A2657" w:rsidRPr="00CA6E79">
        <w:rPr>
          <w:lang w:val="fr-FR"/>
        </w:rPr>
        <w:t>présenter</w:t>
      </w:r>
      <w:r w:rsidR="00D74AD4" w:rsidRPr="00CA6E79">
        <w:rPr>
          <w:lang w:val="fr-FR"/>
        </w:rPr>
        <w:t xml:space="preserve"> leur requête en restauration </w:t>
      </w:r>
      <w:r w:rsidR="001C2231" w:rsidRPr="00CA6E79">
        <w:rPr>
          <w:lang w:val="fr-FR"/>
        </w:rPr>
        <w:t>du</w:t>
      </w:r>
      <w:r w:rsidR="00D74AD4" w:rsidRPr="00CA6E79">
        <w:rPr>
          <w:lang w:val="fr-FR"/>
        </w:rPr>
        <w:t xml:space="preserve"> </w:t>
      </w:r>
      <w:r w:rsidR="001C2231" w:rsidRPr="00CA6E79">
        <w:rPr>
          <w:lang w:val="fr-FR"/>
        </w:rPr>
        <w:t>droit</w:t>
      </w:r>
      <w:r w:rsidR="00D74AD4" w:rsidRPr="00CA6E79">
        <w:rPr>
          <w:lang w:val="fr-FR"/>
        </w:rPr>
        <w:t xml:space="preserve"> de priorité auprès de l</w:t>
      </w:r>
      <w:r w:rsidR="00892E0E" w:rsidRPr="00CA6E79">
        <w:rPr>
          <w:lang w:val="fr-FR"/>
        </w:rPr>
        <w:t>’</w:t>
      </w:r>
      <w:r w:rsidR="00D74AD4" w:rsidRPr="00CA6E79">
        <w:rPr>
          <w:lang w:val="fr-FR"/>
        </w:rPr>
        <w:t>office désigné ou élu dans un délai d</w:t>
      </w:r>
      <w:r w:rsidR="00892E0E" w:rsidRPr="00CA6E79">
        <w:rPr>
          <w:lang w:val="fr-FR"/>
        </w:rPr>
        <w:t>’</w:t>
      </w:r>
      <w:r w:rsidR="00D74AD4" w:rsidRPr="00CA6E79">
        <w:rPr>
          <w:lang w:val="fr-FR"/>
        </w:rPr>
        <w:t xml:space="preserve">un mois à compter de la date de réception de la </w:t>
      </w:r>
      <w:r w:rsidR="000A2EB8" w:rsidRPr="00CA6E79">
        <w:rPr>
          <w:lang w:val="fr-FR"/>
        </w:rPr>
        <w:t>requête</w:t>
      </w:r>
      <w:r w:rsidR="00D74AD4" w:rsidRPr="00CA6E79">
        <w:rPr>
          <w:lang w:val="fr-FR"/>
        </w:rPr>
        <w:t xml:space="preserve"> expresse d</w:t>
      </w:r>
      <w:r w:rsidR="00892E0E" w:rsidRPr="00CA6E79">
        <w:rPr>
          <w:lang w:val="fr-FR"/>
        </w:rPr>
        <w:t>’</w:t>
      </w:r>
      <w:r w:rsidR="00D74AD4" w:rsidRPr="00CA6E79">
        <w:rPr>
          <w:lang w:val="fr-FR"/>
        </w:rPr>
        <w:t xml:space="preserve">ouverture </w:t>
      </w:r>
      <w:r w:rsidR="001C2231" w:rsidRPr="00CA6E79">
        <w:rPr>
          <w:lang w:val="fr-FR"/>
        </w:rPr>
        <w:t xml:space="preserve">anticipée </w:t>
      </w:r>
      <w:r w:rsidRPr="00CA6E79">
        <w:rPr>
          <w:lang w:val="fr-FR"/>
        </w:rPr>
        <w:t>de la phase nationale;</w:t>
      </w:r>
    </w:p>
    <w:p w:rsidR="006C7B53" w:rsidRPr="00CA6E79" w:rsidRDefault="00D74AD4" w:rsidP="004D4165">
      <w:pPr>
        <w:pStyle w:val="ONUMFS"/>
        <w:numPr>
          <w:ilvl w:val="1"/>
          <w:numId w:val="6"/>
        </w:numPr>
        <w:rPr>
          <w:lang w:val="fr-FR"/>
        </w:rPr>
      </w:pPr>
      <w:r w:rsidRPr="00CA6E79">
        <w:rPr>
          <w:lang w:val="fr-FR"/>
        </w:rPr>
        <w:t>il est proposé de modifier la règle 90.3 en supprimant la référence à la règle</w:t>
      </w:r>
      <w:r w:rsidR="002D07DA" w:rsidRPr="00CA6E79">
        <w:rPr>
          <w:lang w:val="fr-FR"/>
        </w:rPr>
        <w:t> </w:t>
      </w:r>
      <w:r w:rsidRPr="00CA6E79">
        <w:rPr>
          <w:lang w:val="fr-FR"/>
        </w:rPr>
        <w:t>90</w:t>
      </w:r>
      <w:r w:rsidRPr="00CA6E79">
        <w:rPr>
          <w:i/>
          <w:lang w:val="fr-FR"/>
        </w:rPr>
        <w:t>bis</w:t>
      </w:r>
      <w:r w:rsidRPr="00CA6E79">
        <w:rPr>
          <w:lang w:val="fr-FR"/>
        </w:rPr>
        <w:t>.5.a) à la suite de la modification d</w:t>
      </w:r>
      <w:r w:rsidR="00E4173D" w:rsidRPr="00CA6E79">
        <w:rPr>
          <w:lang w:val="fr-FR"/>
        </w:rPr>
        <w:t>e la règle</w:t>
      </w:r>
      <w:r w:rsidR="002D07DA" w:rsidRPr="00CA6E79">
        <w:rPr>
          <w:lang w:val="fr-FR"/>
        </w:rPr>
        <w:t> </w:t>
      </w:r>
      <w:r w:rsidR="00E4173D" w:rsidRPr="00CA6E79">
        <w:rPr>
          <w:lang w:val="fr-FR"/>
        </w:rPr>
        <w:t>90</w:t>
      </w:r>
      <w:r w:rsidR="00E4173D" w:rsidRPr="00CA6E79">
        <w:rPr>
          <w:i/>
          <w:lang w:val="fr-FR"/>
        </w:rPr>
        <w:t>bis</w:t>
      </w:r>
      <w:r w:rsidR="00E4173D" w:rsidRPr="00CA6E79">
        <w:rPr>
          <w:lang w:val="fr-FR"/>
        </w:rPr>
        <w:t xml:space="preserve">.5 adoptée par </w:t>
      </w:r>
      <w:r w:rsidRPr="00CA6E79">
        <w:rPr>
          <w:lang w:val="fr-FR"/>
        </w:rPr>
        <w:t>l</w:t>
      </w:r>
      <w:r w:rsidR="00892E0E" w:rsidRPr="00CA6E79">
        <w:rPr>
          <w:lang w:val="fr-FR"/>
        </w:rPr>
        <w:t>’</w:t>
      </w:r>
      <w:r w:rsidRPr="00CA6E79">
        <w:rPr>
          <w:lang w:val="fr-FR"/>
        </w:rPr>
        <w:t>Assemblée de l</w:t>
      </w:r>
      <w:r w:rsidR="00892E0E" w:rsidRPr="00CA6E79">
        <w:rPr>
          <w:lang w:val="fr-FR"/>
        </w:rPr>
        <w:t>’</w:t>
      </w:r>
      <w:r w:rsidRPr="00CA6E79">
        <w:rPr>
          <w:lang w:val="fr-FR"/>
        </w:rPr>
        <w:t>Union</w:t>
      </w:r>
      <w:r w:rsidR="00892E0E" w:rsidRPr="00CA6E79">
        <w:rPr>
          <w:lang w:val="fr-FR"/>
        </w:rPr>
        <w:t xml:space="preserve"> du PCT</w:t>
      </w:r>
      <w:r w:rsidRPr="00CA6E79">
        <w:rPr>
          <w:lang w:val="fr-FR"/>
        </w:rPr>
        <w:t xml:space="preserve"> en octobre 2012.</w:t>
      </w:r>
    </w:p>
    <w:p w:rsidR="006C7B53" w:rsidRPr="00CA6E79" w:rsidRDefault="00D74AD4" w:rsidP="004D4165">
      <w:pPr>
        <w:pStyle w:val="Heading1"/>
        <w:keepLines/>
        <w:rPr>
          <w:lang w:val="fr-FR"/>
        </w:rPr>
      </w:pPr>
      <w:r w:rsidRPr="00CA6E79">
        <w:rPr>
          <w:lang w:val="fr-FR"/>
        </w:rPr>
        <w:lastRenderedPageBreak/>
        <w:t>Mise hors service de PCT</w:t>
      </w:r>
      <w:r w:rsidR="000C2438" w:rsidRPr="00CA6E79">
        <w:rPr>
          <w:lang w:val="fr-FR"/>
        </w:rPr>
        <w:noBreakHyphen/>
      </w:r>
      <w:r w:rsidRPr="00CA6E79">
        <w:rPr>
          <w:lang w:val="fr-FR"/>
        </w:rPr>
        <w:t>EASY</w:t>
      </w:r>
    </w:p>
    <w:p w:rsidR="006C7B53" w:rsidRPr="00CA6E79" w:rsidRDefault="00D74AD4" w:rsidP="004D4165">
      <w:pPr>
        <w:pStyle w:val="Heading2"/>
        <w:keepLines/>
        <w:rPr>
          <w:lang w:val="fr-FR"/>
        </w:rPr>
      </w:pPr>
      <w:r w:rsidRPr="00CA6E79">
        <w:rPr>
          <w:lang w:val="fr-FR"/>
        </w:rPr>
        <w:t>Rappel</w:t>
      </w:r>
    </w:p>
    <w:p w:rsidR="006C7B53" w:rsidRPr="00CA6E79" w:rsidRDefault="00446643" w:rsidP="004D4165">
      <w:pPr>
        <w:pStyle w:val="ONUMFS"/>
        <w:rPr>
          <w:lang w:val="fr-FR"/>
        </w:rPr>
      </w:pPr>
      <w:r w:rsidRPr="00CA6E79">
        <w:rPr>
          <w:lang w:val="fr-FR"/>
        </w:rPr>
        <w:t>Le service PCT</w:t>
      </w:r>
      <w:r w:rsidR="000C2438" w:rsidRPr="00CA6E79">
        <w:rPr>
          <w:lang w:val="fr-FR"/>
        </w:rPr>
        <w:noBreakHyphen/>
      </w:r>
      <w:r w:rsidRPr="00CA6E79">
        <w:rPr>
          <w:lang w:val="fr-FR"/>
        </w:rPr>
        <w:t>EASY, mis en place en</w:t>
      </w:r>
      <w:r w:rsidR="002D07DA" w:rsidRPr="00CA6E79">
        <w:rPr>
          <w:lang w:val="fr-FR"/>
        </w:rPr>
        <w:t> </w:t>
      </w:r>
      <w:r w:rsidRPr="00CA6E79">
        <w:rPr>
          <w:lang w:val="fr-FR"/>
        </w:rPr>
        <w:t>1998, était une première étape vers un futur système</w:t>
      </w:r>
      <w:r w:rsidR="000A2EB8" w:rsidRPr="00CA6E79">
        <w:rPr>
          <w:lang w:val="fr-FR"/>
        </w:rPr>
        <w:t xml:space="preserve"> </w:t>
      </w:r>
      <w:r w:rsidRPr="00CA6E79">
        <w:rPr>
          <w:lang w:val="fr-FR"/>
        </w:rPr>
        <w:t>de dépôt destiné à permettre aux déposants de créer et de déposer des demandes de brevet</w:t>
      </w:r>
      <w:r w:rsidR="000A2EB8" w:rsidRPr="00CA6E79">
        <w:rPr>
          <w:lang w:val="fr-FR"/>
        </w:rPr>
        <w:t xml:space="preserve"> </w:t>
      </w:r>
      <w:r w:rsidRPr="00CA6E79">
        <w:rPr>
          <w:lang w:val="fr-FR"/>
        </w:rPr>
        <w:t>sous forme électronique (Gazette</w:t>
      </w:r>
      <w:r w:rsidR="00892E0E" w:rsidRPr="00CA6E79">
        <w:rPr>
          <w:lang w:val="fr-FR"/>
        </w:rPr>
        <w:t xml:space="preserve"> du PCT</w:t>
      </w:r>
      <w:r w:rsidRPr="00CA6E79">
        <w:rPr>
          <w:lang w:val="fr-FR"/>
        </w:rPr>
        <w:t xml:space="preserve"> 8/1998).</w:t>
      </w:r>
      <w:r w:rsidR="006A5FBA" w:rsidRPr="00CA6E79">
        <w:rPr>
          <w:lang w:val="fr-FR"/>
        </w:rPr>
        <w:t xml:space="preserve">  </w:t>
      </w:r>
      <w:r w:rsidRPr="00CA6E79">
        <w:rPr>
          <w:lang w:val="fr-FR"/>
        </w:rPr>
        <w:t>Ce service permettait de fournir une disquette (ou actuellement un CD</w:t>
      </w:r>
      <w:r w:rsidR="000C2438" w:rsidRPr="00CA6E79">
        <w:rPr>
          <w:lang w:val="fr-FR"/>
        </w:rPr>
        <w:noBreakHyphen/>
      </w:r>
      <w:r w:rsidRPr="00CA6E79">
        <w:rPr>
          <w:lang w:val="fr-FR"/>
        </w:rPr>
        <w:t>R) contenant les données bibliographiques conjointement avec une version papier du formulaire de requête et le corps de la demande sur papier à une époque où il n</w:t>
      </w:r>
      <w:r w:rsidR="00892E0E" w:rsidRPr="00CA6E79">
        <w:rPr>
          <w:lang w:val="fr-FR"/>
        </w:rPr>
        <w:t>’</w:t>
      </w:r>
      <w:r w:rsidRPr="00CA6E79">
        <w:rPr>
          <w:lang w:val="fr-FR"/>
        </w:rPr>
        <w:t>était pas encore possible de soumettre le formulaire de requête et le corps de la demande sous forme électronique.</w:t>
      </w:r>
      <w:r w:rsidR="006A5FBA" w:rsidRPr="00CA6E79">
        <w:rPr>
          <w:lang w:val="fr-FR"/>
        </w:rPr>
        <w:t xml:space="preserve">  </w:t>
      </w:r>
      <w:r w:rsidRPr="00CA6E79">
        <w:rPr>
          <w:lang w:val="fr-FR"/>
        </w:rPr>
        <w:t>Une réduction de taxes était également accordée pour les dépôts effectués par PCT</w:t>
      </w:r>
      <w:r w:rsidR="000C2438" w:rsidRPr="00CA6E79">
        <w:rPr>
          <w:lang w:val="fr-FR"/>
        </w:rPr>
        <w:noBreakHyphen/>
      </w:r>
      <w:r w:rsidRPr="00CA6E79">
        <w:rPr>
          <w:lang w:val="fr-FR"/>
        </w:rPr>
        <w:t>EASY afin d</w:t>
      </w:r>
      <w:r w:rsidR="00892E0E" w:rsidRPr="00CA6E79">
        <w:rPr>
          <w:lang w:val="fr-FR"/>
        </w:rPr>
        <w:t>’</w:t>
      </w:r>
      <w:r w:rsidRPr="00CA6E79">
        <w:rPr>
          <w:lang w:val="fr-FR"/>
        </w:rPr>
        <w:t>inciter les utilisateurs à transmettre au Bureau international des données bibliographiques sous forme électronique.</w:t>
      </w:r>
    </w:p>
    <w:p w:rsidR="00892E0E" w:rsidRPr="00CA6E79" w:rsidRDefault="00446643" w:rsidP="004D4165">
      <w:pPr>
        <w:pStyle w:val="ONUMFS"/>
        <w:rPr>
          <w:lang w:val="fr-FR"/>
        </w:rPr>
      </w:pPr>
      <w:r w:rsidRPr="00CA6E79">
        <w:rPr>
          <w:lang w:val="fr-FR"/>
        </w:rPr>
        <w:t>Le service a rapidement connu un succès considérable et</w:t>
      </w:r>
      <w:r w:rsidR="00DE73B7" w:rsidRPr="00CA6E79">
        <w:rPr>
          <w:lang w:val="fr-FR"/>
        </w:rPr>
        <w:t xml:space="preserve"> en</w:t>
      </w:r>
      <w:r w:rsidR="002D07DA" w:rsidRPr="00CA6E79">
        <w:rPr>
          <w:lang w:val="fr-FR"/>
        </w:rPr>
        <w:t> </w:t>
      </w:r>
      <w:r w:rsidR="00DE73B7" w:rsidRPr="00CA6E79">
        <w:rPr>
          <w:lang w:val="fr-FR"/>
        </w:rPr>
        <w:t>2003, il était utilisé pour </w:t>
      </w:r>
      <w:r w:rsidRPr="00CA6E79">
        <w:rPr>
          <w:lang w:val="fr-FR"/>
        </w:rPr>
        <w:t>45% de toutes les demandes internationales.</w:t>
      </w:r>
      <w:r w:rsidR="00D212CD" w:rsidRPr="00CA6E79">
        <w:rPr>
          <w:lang w:val="fr-FR"/>
        </w:rPr>
        <w:t xml:space="preserve">  </w:t>
      </w:r>
      <w:r w:rsidR="00DE73B7" w:rsidRPr="00CA6E79">
        <w:rPr>
          <w:lang w:val="fr-FR"/>
        </w:rPr>
        <w:t>Toutefois, il est devenu possible cette année</w:t>
      </w:r>
      <w:r w:rsidR="000C2438" w:rsidRPr="00CA6E79">
        <w:rPr>
          <w:lang w:val="fr-FR"/>
        </w:rPr>
        <w:noBreakHyphen/>
      </w:r>
      <w:r w:rsidR="00DE73B7" w:rsidRPr="00CA6E79">
        <w:rPr>
          <w:lang w:val="fr-FR"/>
        </w:rPr>
        <w:t>là de présenter</w:t>
      </w:r>
      <w:r w:rsidRPr="00CA6E79">
        <w:rPr>
          <w:lang w:val="fr-FR"/>
        </w:rPr>
        <w:t xml:space="preserve"> des demandes entièrement électroniques auprès de plusieurs offices récepteurs et l</w:t>
      </w:r>
      <w:r w:rsidR="00892E0E" w:rsidRPr="00CA6E79">
        <w:rPr>
          <w:lang w:val="fr-FR"/>
        </w:rPr>
        <w:t>’</w:t>
      </w:r>
      <w:r w:rsidRPr="00CA6E79">
        <w:rPr>
          <w:lang w:val="fr-FR"/>
        </w:rPr>
        <w:t>utilisation de PCT</w:t>
      </w:r>
      <w:r w:rsidR="000C2438" w:rsidRPr="00CA6E79">
        <w:rPr>
          <w:lang w:val="fr-FR"/>
        </w:rPr>
        <w:noBreakHyphen/>
      </w:r>
      <w:r w:rsidRPr="00CA6E79">
        <w:rPr>
          <w:lang w:val="fr-FR"/>
        </w:rPr>
        <w:t>EASY a commencé à décliner</w:t>
      </w:r>
      <w:r w:rsidR="00DE73B7" w:rsidRPr="00CA6E79">
        <w:rPr>
          <w:lang w:val="fr-FR"/>
        </w:rPr>
        <w:t>,</w:t>
      </w:r>
      <w:r w:rsidRPr="00CA6E79">
        <w:rPr>
          <w:lang w:val="fr-FR"/>
        </w:rPr>
        <w:t xml:space="preserve"> de sorte que ce s</w:t>
      </w:r>
      <w:r w:rsidR="00DE73B7" w:rsidRPr="00CA6E79">
        <w:rPr>
          <w:lang w:val="fr-FR"/>
        </w:rPr>
        <w:t>ervice est actuellement utilisé pour moins de</w:t>
      </w:r>
      <w:r w:rsidR="00FF5C07">
        <w:rPr>
          <w:lang w:val="fr-FR"/>
        </w:rPr>
        <w:t> </w:t>
      </w:r>
      <w:r w:rsidRPr="00CA6E79">
        <w:rPr>
          <w:lang w:val="fr-FR"/>
        </w:rPr>
        <w:t>2,5% de toutes les demandes internationales</w:t>
      </w:r>
      <w:r w:rsidR="00DE73B7" w:rsidRPr="00CA6E79">
        <w:rPr>
          <w:lang w:val="fr-FR"/>
        </w:rPr>
        <w:t xml:space="preserve">, par rapport à un taux de </w:t>
      </w:r>
      <w:r w:rsidRPr="00CA6E79">
        <w:rPr>
          <w:lang w:val="fr-FR"/>
        </w:rPr>
        <w:t>presque</w:t>
      </w:r>
      <w:r w:rsidR="00FF5C07">
        <w:rPr>
          <w:lang w:val="fr-FR"/>
        </w:rPr>
        <w:t> </w:t>
      </w:r>
      <w:r w:rsidRPr="00CA6E79">
        <w:rPr>
          <w:lang w:val="fr-FR"/>
        </w:rPr>
        <w:t>90% de dépôts sous forme entièrement électronique.</w:t>
      </w:r>
      <w:r w:rsidR="006A5FBA" w:rsidRPr="00CA6E79">
        <w:rPr>
          <w:lang w:val="fr-FR"/>
        </w:rPr>
        <w:t xml:space="preserve">  </w:t>
      </w:r>
      <w:r w:rsidR="00F12305" w:rsidRPr="00CA6E79">
        <w:rPr>
          <w:lang w:val="fr-FR"/>
        </w:rPr>
        <w:t xml:space="preserve">En outre, le Bureau international peut désormais offrir un service </w:t>
      </w:r>
      <w:proofErr w:type="spellStart"/>
      <w:r w:rsidR="00F12305" w:rsidRPr="00CA6E79">
        <w:rPr>
          <w:lang w:val="fr-FR"/>
        </w:rPr>
        <w:t>ePCT</w:t>
      </w:r>
      <w:proofErr w:type="spellEnd"/>
      <w:r w:rsidR="00F12305" w:rsidRPr="00CA6E79">
        <w:rPr>
          <w:lang w:val="fr-FR"/>
        </w:rPr>
        <w:t xml:space="preserve"> hébergé de dépôt électronique à tous les offices récepteurs qui souhaitent offrir à leur</w:t>
      </w:r>
      <w:r w:rsidR="00DE73B7" w:rsidRPr="00CA6E79">
        <w:rPr>
          <w:lang w:val="fr-FR"/>
        </w:rPr>
        <w:t>s</w:t>
      </w:r>
      <w:r w:rsidR="00F12305" w:rsidRPr="00CA6E79">
        <w:rPr>
          <w:lang w:val="fr-FR"/>
        </w:rPr>
        <w:t xml:space="preserve"> déposants la possibilité de f</w:t>
      </w:r>
      <w:r w:rsidR="00DE73B7" w:rsidRPr="00CA6E79">
        <w:rPr>
          <w:lang w:val="fr-FR"/>
        </w:rPr>
        <w:t>aire des dépôts électroniques mais qui ne peuvent pas</w:t>
      </w:r>
      <w:r w:rsidR="00F12305" w:rsidRPr="00CA6E79">
        <w:rPr>
          <w:lang w:val="fr-FR"/>
        </w:rPr>
        <w:t>, ou ne souhaite</w:t>
      </w:r>
      <w:r w:rsidR="00DE73B7" w:rsidRPr="00CA6E79">
        <w:rPr>
          <w:lang w:val="fr-FR"/>
        </w:rPr>
        <w:t>nt</w:t>
      </w:r>
      <w:r w:rsidR="00F12305" w:rsidRPr="00CA6E79">
        <w:rPr>
          <w:lang w:val="fr-FR"/>
        </w:rPr>
        <w:t xml:space="preserve"> pas, maintenir</w:t>
      </w:r>
      <w:r w:rsidR="00DE73B7" w:rsidRPr="00CA6E79">
        <w:rPr>
          <w:lang w:val="fr-FR"/>
        </w:rPr>
        <w:t xml:space="preserve"> eux</w:t>
      </w:r>
      <w:r w:rsidR="000C2438" w:rsidRPr="00CA6E79">
        <w:rPr>
          <w:lang w:val="fr-FR"/>
        </w:rPr>
        <w:noBreakHyphen/>
      </w:r>
      <w:r w:rsidR="00DE73B7" w:rsidRPr="00CA6E79">
        <w:rPr>
          <w:lang w:val="fr-FR"/>
        </w:rPr>
        <w:t>mêmes</w:t>
      </w:r>
      <w:r w:rsidR="00F12305" w:rsidRPr="00CA6E79">
        <w:rPr>
          <w:lang w:val="fr-FR"/>
        </w:rPr>
        <w:t xml:space="preserve"> l</w:t>
      </w:r>
      <w:r w:rsidR="00892E0E" w:rsidRPr="00CA6E79">
        <w:rPr>
          <w:lang w:val="fr-FR"/>
        </w:rPr>
        <w:t>’</w:t>
      </w:r>
      <w:r w:rsidR="00F12305" w:rsidRPr="00CA6E79">
        <w:rPr>
          <w:lang w:val="fr-FR"/>
        </w:rPr>
        <w:t>infrastructure informatique nécessaire</w:t>
      </w:r>
      <w:r w:rsidR="00DE73B7" w:rsidRPr="00CA6E79">
        <w:rPr>
          <w:lang w:val="fr-FR"/>
        </w:rPr>
        <w:t xml:space="preserve"> pour des raisons de coûts</w:t>
      </w:r>
      <w:r w:rsidR="00F12305" w:rsidRPr="00CA6E79">
        <w:rPr>
          <w:lang w:val="fr-FR"/>
        </w:rPr>
        <w:t>.</w:t>
      </w:r>
    </w:p>
    <w:p w:rsidR="006C7B53" w:rsidRPr="00CA6E79" w:rsidRDefault="00F12305" w:rsidP="004D4165">
      <w:pPr>
        <w:pStyle w:val="ONUMFS"/>
        <w:rPr>
          <w:lang w:val="fr-FR" w:eastAsia="en-US"/>
        </w:rPr>
      </w:pPr>
      <w:r w:rsidRPr="00CA6E79">
        <w:rPr>
          <w:lang w:val="fr-FR" w:eastAsia="en-US"/>
        </w:rPr>
        <w:t>Par conséquent, par voie de la circulaire C. </w:t>
      </w:r>
      <w:r w:rsidR="00777329">
        <w:rPr>
          <w:lang w:val="fr-FR" w:eastAsia="en-US"/>
        </w:rPr>
        <w:t>PCT </w:t>
      </w:r>
      <w:r w:rsidRPr="00CA6E79">
        <w:rPr>
          <w:lang w:val="fr-FR" w:eastAsia="en-US"/>
        </w:rPr>
        <w:t>1376 datée du 5 avril 2013, le Bureau international a consulté les offices récepteurs et les organisations non gouvernementales représentant les utilisateurs du système du PCT au sujet de la mise hors service de PCT</w:t>
      </w:r>
      <w:r w:rsidR="000C2438" w:rsidRPr="00CA6E79">
        <w:rPr>
          <w:lang w:val="fr-FR" w:eastAsia="en-US"/>
        </w:rPr>
        <w:noBreakHyphen/>
      </w:r>
      <w:r w:rsidRPr="00CA6E79">
        <w:rPr>
          <w:lang w:val="fr-FR" w:eastAsia="en-US"/>
        </w:rPr>
        <w:t>EASY.  Il était proposé dans cette circulaire que PCT</w:t>
      </w:r>
      <w:r w:rsidR="000C2438" w:rsidRPr="00CA6E79">
        <w:rPr>
          <w:lang w:val="fr-FR" w:eastAsia="en-US"/>
        </w:rPr>
        <w:noBreakHyphen/>
      </w:r>
      <w:r w:rsidRPr="00CA6E79">
        <w:rPr>
          <w:lang w:val="fr-FR" w:eastAsia="en-US"/>
        </w:rPr>
        <w:t>EASY cesse d</w:t>
      </w:r>
      <w:r w:rsidR="00892E0E" w:rsidRPr="00CA6E79">
        <w:rPr>
          <w:lang w:val="fr-FR" w:eastAsia="en-US"/>
        </w:rPr>
        <w:t>’</w:t>
      </w:r>
      <w:r w:rsidRPr="00CA6E79">
        <w:rPr>
          <w:lang w:val="fr-FR" w:eastAsia="en-US"/>
        </w:rPr>
        <w:t>être reconnu comme mode de dépôt des demandes internationales selon le PCT à compter du 1</w:t>
      </w:r>
      <w:r w:rsidRPr="00CA6E79">
        <w:rPr>
          <w:vertAlign w:val="superscript"/>
          <w:lang w:val="fr-FR" w:eastAsia="en-US"/>
        </w:rPr>
        <w:t>er</w:t>
      </w:r>
      <w:r w:rsidRPr="00CA6E79">
        <w:rPr>
          <w:lang w:val="fr-FR" w:eastAsia="en-US"/>
        </w:rPr>
        <w:t> juillet 2015.  Les réponses reçues par le Bureau international à la circulaire C. </w:t>
      </w:r>
      <w:r w:rsidR="00777329">
        <w:rPr>
          <w:lang w:val="fr-FR" w:eastAsia="en-US"/>
        </w:rPr>
        <w:t>PCT </w:t>
      </w:r>
      <w:r w:rsidRPr="00CA6E79">
        <w:rPr>
          <w:lang w:val="fr-FR" w:eastAsia="en-US"/>
        </w:rPr>
        <w:t>1376 indiquaient un accord de principe à la proposition de mise hors service de PCT</w:t>
      </w:r>
      <w:r w:rsidR="000C2438" w:rsidRPr="00CA6E79">
        <w:rPr>
          <w:lang w:val="fr-FR" w:eastAsia="en-US"/>
        </w:rPr>
        <w:noBreakHyphen/>
      </w:r>
      <w:r w:rsidRPr="00CA6E79">
        <w:rPr>
          <w:lang w:val="fr-FR" w:eastAsia="en-US"/>
        </w:rPr>
        <w:t>EASY à compter du 1</w:t>
      </w:r>
      <w:r w:rsidRPr="00CA6E79">
        <w:rPr>
          <w:vertAlign w:val="superscript"/>
          <w:lang w:val="fr-FR" w:eastAsia="en-US"/>
        </w:rPr>
        <w:t>er</w:t>
      </w:r>
      <w:r w:rsidRPr="00CA6E79">
        <w:rPr>
          <w:lang w:val="fr-FR" w:eastAsia="en-US"/>
        </w:rPr>
        <w:t> juillet 2015.</w:t>
      </w:r>
      <w:r w:rsidR="00003728" w:rsidRPr="00CA6E79">
        <w:rPr>
          <w:lang w:val="fr-FR" w:eastAsia="en-US"/>
        </w:rPr>
        <w:t xml:space="preserve"> </w:t>
      </w:r>
      <w:r w:rsidR="00810E8A" w:rsidRPr="00CA6E79">
        <w:rPr>
          <w:lang w:val="fr-FR" w:eastAsia="en-US"/>
        </w:rPr>
        <w:t xml:space="preserve"> </w:t>
      </w:r>
      <w:r w:rsidRPr="00CA6E79">
        <w:rPr>
          <w:lang w:val="fr-FR" w:eastAsia="en-US"/>
        </w:rPr>
        <w:t>Les États membres ont ensuite été informés, par voie de la circulaire C.</w:t>
      </w:r>
      <w:r w:rsidR="002D07DA" w:rsidRPr="00CA6E79">
        <w:rPr>
          <w:lang w:val="fr-FR" w:eastAsia="en-US"/>
        </w:rPr>
        <w:t> </w:t>
      </w:r>
      <w:r w:rsidR="00777329">
        <w:rPr>
          <w:lang w:val="fr-FR" w:eastAsia="en-US"/>
        </w:rPr>
        <w:t>PCT </w:t>
      </w:r>
      <w:r w:rsidRPr="00CA6E79">
        <w:rPr>
          <w:lang w:val="fr-FR" w:eastAsia="en-US"/>
        </w:rPr>
        <w:t>1408 datée du 1</w:t>
      </w:r>
      <w:r w:rsidR="00892E0E" w:rsidRPr="00CA6E79">
        <w:rPr>
          <w:lang w:val="fr-FR" w:eastAsia="en-US"/>
        </w:rPr>
        <w:t>3 mars 20</w:t>
      </w:r>
      <w:r w:rsidRPr="00CA6E79">
        <w:rPr>
          <w:lang w:val="fr-FR" w:eastAsia="en-US"/>
        </w:rPr>
        <w:t>14, que le Bureau international prendrait les mesures nécessaires pour mettre en œuvre cet accord de principe concernant la mise hors service de PCT</w:t>
      </w:r>
      <w:r w:rsidR="000C2438" w:rsidRPr="00CA6E79">
        <w:rPr>
          <w:lang w:val="fr-FR" w:eastAsia="en-US"/>
        </w:rPr>
        <w:noBreakHyphen/>
      </w:r>
      <w:r w:rsidRPr="00CA6E79">
        <w:rPr>
          <w:lang w:val="fr-FR" w:eastAsia="en-US"/>
        </w:rPr>
        <w:t>EASY à compter de la date susmentionnée.</w:t>
      </w:r>
    </w:p>
    <w:p w:rsidR="006C7B53" w:rsidRPr="00CA6E79" w:rsidRDefault="00F12305" w:rsidP="004D4165">
      <w:pPr>
        <w:pStyle w:val="Heading2"/>
        <w:rPr>
          <w:lang w:val="fr-FR"/>
        </w:rPr>
      </w:pPr>
      <w:r w:rsidRPr="00CA6E79">
        <w:rPr>
          <w:lang w:val="fr-FR"/>
        </w:rPr>
        <w:t>Proposition</w:t>
      </w:r>
    </w:p>
    <w:p w:rsidR="006C7B53" w:rsidRPr="00CA6E79" w:rsidRDefault="00DE73B7" w:rsidP="004D4165">
      <w:pPr>
        <w:pStyle w:val="ONUMFS"/>
        <w:rPr>
          <w:lang w:val="fr-FR"/>
        </w:rPr>
      </w:pPr>
      <w:r w:rsidRPr="00CA6E79">
        <w:rPr>
          <w:lang w:val="fr-FR" w:eastAsia="en-US"/>
        </w:rPr>
        <w:t xml:space="preserve">Il est donc proposé de supprimer la réduction </w:t>
      </w:r>
      <w:r w:rsidR="00631E21" w:rsidRPr="00CA6E79">
        <w:rPr>
          <w:lang w:val="fr-FR" w:eastAsia="en-US"/>
        </w:rPr>
        <w:t>applicable aux</w:t>
      </w:r>
      <w:r w:rsidRPr="00CA6E79">
        <w:rPr>
          <w:lang w:val="fr-FR" w:eastAsia="en-US"/>
        </w:rPr>
        <w:t xml:space="preserve"> dépôts par PCT</w:t>
      </w:r>
      <w:r w:rsidR="000C2438" w:rsidRPr="00CA6E79">
        <w:rPr>
          <w:lang w:val="fr-FR" w:eastAsia="en-US"/>
        </w:rPr>
        <w:noBreakHyphen/>
      </w:r>
      <w:r w:rsidRPr="00CA6E79">
        <w:rPr>
          <w:lang w:val="fr-FR" w:eastAsia="en-US"/>
        </w:rPr>
        <w:t xml:space="preserve">EASY du barème de taxes relevant du </w:t>
      </w:r>
      <w:r w:rsidR="002D07DA" w:rsidRPr="00CA6E79">
        <w:rPr>
          <w:lang w:val="fr-FR" w:eastAsia="en-US"/>
        </w:rPr>
        <w:t>règle</w:t>
      </w:r>
      <w:r w:rsidRPr="00CA6E79">
        <w:rPr>
          <w:lang w:val="fr-FR" w:eastAsia="en-US"/>
        </w:rPr>
        <w:t>ment d</w:t>
      </w:r>
      <w:r w:rsidR="00892E0E" w:rsidRPr="00CA6E79">
        <w:rPr>
          <w:lang w:val="fr-FR" w:eastAsia="en-US"/>
        </w:rPr>
        <w:t>’</w:t>
      </w:r>
      <w:r w:rsidRPr="00CA6E79">
        <w:rPr>
          <w:lang w:val="fr-FR" w:eastAsia="en-US"/>
        </w:rPr>
        <w:t>exécution du PCT, avec effet au 1</w:t>
      </w:r>
      <w:r w:rsidRPr="00CA6E79">
        <w:rPr>
          <w:vertAlign w:val="superscript"/>
          <w:lang w:val="fr-FR" w:eastAsia="en-US"/>
        </w:rPr>
        <w:t>er</w:t>
      </w:r>
      <w:r w:rsidRPr="00CA6E79">
        <w:rPr>
          <w:lang w:val="fr-FR" w:eastAsia="en-US"/>
        </w:rPr>
        <w:t> juillet 2015, et de modifier le barème de taxes comme indiqué dans l</w:t>
      </w:r>
      <w:r w:rsidR="00892E0E" w:rsidRPr="00CA6E79">
        <w:rPr>
          <w:lang w:val="fr-FR" w:eastAsia="en-US"/>
        </w:rPr>
        <w:t>’</w:t>
      </w:r>
      <w:r w:rsidRPr="00CA6E79">
        <w:rPr>
          <w:lang w:val="fr-FR" w:eastAsia="en-US"/>
        </w:rPr>
        <w:t>annexe du présent document.</w:t>
      </w:r>
      <w:r w:rsidR="009C17C0" w:rsidRPr="00CA6E79">
        <w:rPr>
          <w:lang w:val="fr-FR"/>
        </w:rPr>
        <w:t xml:space="preserve">  </w:t>
      </w:r>
      <w:r w:rsidR="00631E21" w:rsidRPr="00CA6E79">
        <w:rPr>
          <w:lang w:val="fr-FR"/>
        </w:rPr>
        <w:t xml:space="preserve">Il est en outre proposé que ces modifications du barème de taxes entrent en vigueur le </w:t>
      </w:r>
      <w:r w:rsidR="00631E21" w:rsidRPr="00CA6E79">
        <w:rPr>
          <w:lang w:val="fr-FR" w:eastAsia="en-US"/>
        </w:rPr>
        <w:t>1</w:t>
      </w:r>
      <w:r w:rsidR="00631E21" w:rsidRPr="00CA6E79">
        <w:rPr>
          <w:vertAlign w:val="superscript"/>
          <w:lang w:val="fr-FR" w:eastAsia="en-US"/>
        </w:rPr>
        <w:t>er</w:t>
      </w:r>
      <w:r w:rsidR="00631E21" w:rsidRPr="00CA6E79">
        <w:rPr>
          <w:lang w:val="fr-FR" w:eastAsia="en-US"/>
        </w:rPr>
        <w:t> </w:t>
      </w:r>
      <w:r w:rsidR="00892E0E" w:rsidRPr="00CA6E79">
        <w:rPr>
          <w:lang w:val="fr-FR"/>
        </w:rPr>
        <w:t>juillet 20</w:t>
      </w:r>
      <w:r w:rsidR="00631E21" w:rsidRPr="00CA6E79">
        <w:rPr>
          <w:lang w:val="fr-FR"/>
        </w:rPr>
        <w:t>15 et s</w:t>
      </w:r>
      <w:r w:rsidR="00892E0E" w:rsidRPr="00CA6E79">
        <w:rPr>
          <w:lang w:val="fr-FR"/>
        </w:rPr>
        <w:t>’</w:t>
      </w:r>
      <w:r w:rsidR="00631E21" w:rsidRPr="00CA6E79">
        <w:rPr>
          <w:lang w:val="fr-FR"/>
        </w:rPr>
        <w:t>appliquent à toutes les demandes internationales déposées à cette date ou à une date postérieure.</w:t>
      </w:r>
    </w:p>
    <w:p w:rsidR="006C7B53" w:rsidRPr="00CA6E79" w:rsidRDefault="00631E21" w:rsidP="004D4165">
      <w:pPr>
        <w:pStyle w:val="ONUMFS"/>
        <w:rPr>
          <w:lang w:val="fr-FR"/>
        </w:rPr>
      </w:pPr>
      <w:r w:rsidRPr="00CA6E79">
        <w:rPr>
          <w:lang w:val="fr-FR"/>
        </w:rPr>
        <w:t>Le Bureau international, par voie de circulaires</w:t>
      </w:r>
      <w:r w:rsidR="00892E0E" w:rsidRPr="00CA6E79">
        <w:rPr>
          <w:lang w:val="fr-FR"/>
        </w:rPr>
        <w:t xml:space="preserve"> du PCT</w:t>
      </w:r>
      <w:r w:rsidRPr="00CA6E79">
        <w:rPr>
          <w:lang w:val="fr-FR"/>
        </w:rPr>
        <w:t>, consultera les offices sur les modifications des instructions administratives et des directives à l</w:t>
      </w:r>
      <w:r w:rsidR="00892E0E" w:rsidRPr="00CA6E79">
        <w:rPr>
          <w:lang w:val="fr-FR"/>
        </w:rPr>
        <w:t>’</w:t>
      </w:r>
      <w:r w:rsidRPr="00CA6E79">
        <w:rPr>
          <w:lang w:val="fr-FR"/>
        </w:rPr>
        <w:t>usage des offices récepteurs</w:t>
      </w:r>
      <w:r w:rsidR="00892E0E" w:rsidRPr="00CA6E79">
        <w:rPr>
          <w:lang w:val="fr-FR"/>
        </w:rPr>
        <w:t xml:space="preserve"> du PCT</w:t>
      </w:r>
      <w:r w:rsidRPr="00CA6E79">
        <w:rPr>
          <w:lang w:val="fr-FR"/>
        </w:rPr>
        <w:t xml:space="preserve"> qui </w:t>
      </w:r>
      <w:r w:rsidRPr="00CA6E79">
        <w:rPr>
          <w:szCs w:val="22"/>
          <w:lang w:val="fr-FR"/>
        </w:rPr>
        <w:t>découleront de l</w:t>
      </w:r>
      <w:r w:rsidR="00892E0E" w:rsidRPr="00CA6E79">
        <w:rPr>
          <w:szCs w:val="22"/>
          <w:lang w:val="fr-FR"/>
        </w:rPr>
        <w:t>’</w:t>
      </w:r>
      <w:r w:rsidRPr="00CA6E79">
        <w:rPr>
          <w:szCs w:val="22"/>
          <w:lang w:val="fr-FR"/>
        </w:rPr>
        <w:t>adoption des modifications proposées.</w:t>
      </w:r>
      <w:r w:rsidR="00003728" w:rsidRPr="00CA6E79">
        <w:rPr>
          <w:szCs w:val="22"/>
          <w:lang w:val="fr-FR"/>
        </w:rPr>
        <w:t xml:space="preserve">  </w:t>
      </w:r>
      <w:r w:rsidRPr="00CA6E79">
        <w:rPr>
          <w:rFonts w:eastAsia="Times New Roman"/>
          <w:szCs w:val="22"/>
          <w:lang w:val="fr-FR" w:eastAsia="en-US"/>
        </w:rPr>
        <w:t>Bien que la fonctionnalité PCT</w:t>
      </w:r>
      <w:r w:rsidR="000C2438" w:rsidRPr="00CA6E79">
        <w:rPr>
          <w:rFonts w:eastAsia="Times New Roman"/>
          <w:szCs w:val="22"/>
          <w:lang w:val="fr-FR" w:eastAsia="en-US"/>
        </w:rPr>
        <w:noBreakHyphen/>
      </w:r>
      <w:r w:rsidRPr="00CA6E79">
        <w:rPr>
          <w:rFonts w:eastAsia="Times New Roman"/>
          <w:szCs w:val="22"/>
          <w:lang w:val="fr-FR" w:eastAsia="en-US"/>
        </w:rPr>
        <w:t>EASY soit ainsi officiellement retirée du logiciel de dépôt électronique PCT</w:t>
      </w:r>
      <w:r w:rsidR="000C2438" w:rsidRPr="00CA6E79">
        <w:rPr>
          <w:rFonts w:eastAsia="Times New Roman"/>
          <w:szCs w:val="22"/>
          <w:lang w:val="fr-FR" w:eastAsia="en-US"/>
        </w:rPr>
        <w:noBreakHyphen/>
      </w:r>
      <w:r w:rsidRPr="00CA6E79">
        <w:rPr>
          <w:rFonts w:eastAsia="Times New Roman"/>
          <w:szCs w:val="22"/>
          <w:lang w:val="fr-FR" w:eastAsia="en-US"/>
        </w:rPr>
        <w:t>SAFE à compter du 1</w:t>
      </w:r>
      <w:r w:rsidRPr="00CA6E79">
        <w:rPr>
          <w:rFonts w:eastAsia="Times New Roman"/>
          <w:szCs w:val="22"/>
          <w:vertAlign w:val="superscript"/>
          <w:lang w:val="fr-FR" w:eastAsia="en-US"/>
        </w:rPr>
        <w:t>er</w:t>
      </w:r>
      <w:r w:rsidRPr="00CA6E79">
        <w:rPr>
          <w:rFonts w:eastAsia="Times New Roman"/>
          <w:szCs w:val="22"/>
          <w:lang w:val="fr-FR" w:eastAsia="en-US"/>
        </w:rPr>
        <w:t> juillet 2015, il convient de noter que les offices peuvent bien évidemment choisir de cesser d</w:t>
      </w:r>
      <w:r w:rsidR="00892E0E" w:rsidRPr="00CA6E79">
        <w:rPr>
          <w:rFonts w:eastAsia="Times New Roman"/>
          <w:szCs w:val="22"/>
          <w:lang w:val="fr-FR" w:eastAsia="en-US"/>
        </w:rPr>
        <w:t>’</w:t>
      </w:r>
      <w:r w:rsidRPr="00CA6E79">
        <w:rPr>
          <w:rFonts w:eastAsia="Times New Roman"/>
          <w:szCs w:val="22"/>
          <w:lang w:val="fr-FR" w:eastAsia="en-US"/>
        </w:rPr>
        <w:t>accepter les dépôts de demandes internationales par PCT</w:t>
      </w:r>
      <w:r w:rsidR="000C2438" w:rsidRPr="00CA6E79">
        <w:rPr>
          <w:rFonts w:eastAsia="Times New Roman"/>
          <w:szCs w:val="22"/>
          <w:lang w:val="fr-FR" w:eastAsia="en-US"/>
        </w:rPr>
        <w:noBreakHyphen/>
      </w:r>
      <w:r w:rsidRPr="00CA6E79">
        <w:rPr>
          <w:rFonts w:eastAsia="Times New Roman"/>
          <w:szCs w:val="22"/>
          <w:lang w:val="fr-FR" w:eastAsia="en-US"/>
        </w:rPr>
        <w:t xml:space="preserve">EASY à tout moment avant la date officielle de mise hors service.  </w:t>
      </w:r>
      <w:r w:rsidR="005E21D3" w:rsidRPr="00CA6E79">
        <w:rPr>
          <w:rFonts w:eastAsia="Times New Roman"/>
          <w:szCs w:val="22"/>
          <w:lang w:val="fr-FR" w:eastAsia="en-US"/>
        </w:rPr>
        <w:t>Si des disquettes PCT</w:t>
      </w:r>
      <w:r w:rsidR="000C2438" w:rsidRPr="00CA6E79">
        <w:rPr>
          <w:rFonts w:eastAsia="Times New Roman"/>
          <w:szCs w:val="22"/>
          <w:lang w:val="fr-FR" w:eastAsia="en-US"/>
        </w:rPr>
        <w:noBreakHyphen/>
      </w:r>
      <w:r w:rsidR="005E21D3" w:rsidRPr="00CA6E79">
        <w:rPr>
          <w:rFonts w:eastAsia="Times New Roman"/>
          <w:szCs w:val="22"/>
          <w:lang w:val="fr-FR" w:eastAsia="en-US"/>
        </w:rPr>
        <w:t>EASY étaient reçues après cette date (créées par une version de PCT</w:t>
      </w:r>
      <w:r w:rsidR="000C2438" w:rsidRPr="00CA6E79">
        <w:rPr>
          <w:rFonts w:eastAsia="Times New Roman"/>
          <w:szCs w:val="22"/>
          <w:lang w:val="fr-FR" w:eastAsia="en-US"/>
        </w:rPr>
        <w:noBreakHyphen/>
      </w:r>
      <w:r w:rsidR="005E21D3" w:rsidRPr="00CA6E79">
        <w:rPr>
          <w:rFonts w:eastAsia="Times New Roman"/>
          <w:szCs w:val="22"/>
          <w:lang w:val="fr-FR" w:eastAsia="en-US"/>
        </w:rPr>
        <w:t>SAFE avant le changement), la demande internationale continuerait d</w:t>
      </w:r>
      <w:r w:rsidR="00892E0E" w:rsidRPr="00CA6E79">
        <w:rPr>
          <w:rFonts w:eastAsia="Times New Roman"/>
          <w:szCs w:val="22"/>
          <w:lang w:val="fr-FR" w:eastAsia="en-US"/>
        </w:rPr>
        <w:t>’</w:t>
      </w:r>
      <w:r w:rsidR="005E21D3" w:rsidRPr="00CA6E79">
        <w:rPr>
          <w:rFonts w:eastAsia="Times New Roman"/>
          <w:szCs w:val="22"/>
          <w:lang w:val="fr-FR" w:eastAsia="en-US"/>
        </w:rPr>
        <w:t>être acceptée et la disquette pourrait être transmise au Bureau international, mais la demande internationale serait considérée comme une demande sur papier et aucune réduction de taxes ne serait accordée.</w:t>
      </w:r>
    </w:p>
    <w:p w:rsidR="006C7B53" w:rsidRPr="00CA6E79" w:rsidRDefault="005E21D3" w:rsidP="004D4165">
      <w:pPr>
        <w:pStyle w:val="Heading1"/>
        <w:rPr>
          <w:lang w:val="fr-FR"/>
        </w:rPr>
      </w:pPr>
      <w:r w:rsidRPr="00CA6E79">
        <w:rPr>
          <w:lang w:val="fr-FR"/>
        </w:rPr>
        <w:lastRenderedPageBreak/>
        <w:t>Restauration du droit de priorité par les offices désignés après l</w:t>
      </w:r>
      <w:r w:rsidR="00892E0E" w:rsidRPr="00CA6E79">
        <w:rPr>
          <w:lang w:val="fr-FR"/>
        </w:rPr>
        <w:t>’</w:t>
      </w:r>
      <w:r w:rsidRPr="00CA6E79">
        <w:rPr>
          <w:lang w:val="fr-FR"/>
        </w:rPr>
        <w:t>ouverture anticipée de la phase nationale</w:t>
      </w:r>
    </w:p>
    <w:p w:rsidR="006C7B53" w:rsidRPr="00CA6E79" w:rsidRDefault="005E21D3" w:rsidP="004D4165">
      <w:pPr>
        <w:pStyle w:val="Heading2"/>
        <w:rPr>
          <w:lang w:val="fr-FR"/>
        </w:rPr>
      </w:pPr>
      <w:r w:rsidRPr="00CA6E79">
        <w:rPr>
          <w:lang w:val="fr-FR"/>
        </w:rPr>
        <w:t>Rappel</w:t>
      </w:r>
    </w:p>
    <w:p w:rsidR="006C7B53" w:rsidRPr="00CA6E79" w:rsidRDefault="005E21D3" w:rsidP="004D4165">
      <w:pPr>
        <w:pStyle w:val="ONUMFS"/>
        <w:rPr>
          <w:lang w:val="fr-FR"/>
        </w:rPr>
      </w:pPr>
      <w:r w:rsidRPr="00CA6E79">
        <w:rPr>
          <w:lang w:val="fr-FR"/>
        </w:rPr>
        <w:t xml:space="preserve">Depuis le </w:t>
      </w:r>
      <w:r w:rsidR="00892E0E" w:rsidRPr="00CA6E79">
        <w:rPr>
          <w:lang w:val="fr-FR"/>
        </w:rPr>
        <w:t>1</w:t>
      </w:r>
      <w:r w:rsidR="00892E0E" w:rsidRPr="00CA6E79">
        <w:rPr>
          <w:vertAlign w:val="superscript"/>
          <w:lang w:val="fr-FR"/>
        </w:rPr>
        <w:t>er</w:t>
      </w:r>
      <w:r w:rsidR="00892E0E" w:rsidRPr="00CA6E79">
        <w:rPr>
          <w:lang w:val="fr-FR"/>
        </w:rPr>
        <w:t> avril 20</w:t>
      </w:r>
      <w:r w:rsidRPr="00CA6E79">
        <w:rPr>
          <w:lang w:val="fr-FR"/>
        </w:rPr>
        <w:t>07, les déposants peuvent demander la restauration du droit de priorité lorsqu</w:t>
      </w:r>
      <w:r w:rsidR="00892E0E" w:rsidRPr="00CA6E79">
        <w:rPr>
          <w:lang w:val="fr-FR"/>
        </w:rPr>
        <w:t>’</w:t>
      </w:r>
      <w:r w:rsidRPr="00CA6E79">
        <w:rPr>
          <w:lang w:val="fr-FR"/>
        </w:rPr>
        <w:t>une demande internationale a une date de dépôt international qui est postérieure à la date d</w:t>
      </w:r>
      <w:r w:rsidR="00892E0E" w:rsidRPr="00CA6E79">
        <w:rPr>
          <w:lang w:val="fr-FR"/>
        </w:rPr>
        <w:t>’</w:t>
      </w:r>
      <w:r w:rsidRPr="00CA6E79">
        <w:rPr>
          <w:lang w:val="fr-FR"/>
        </w:rPr>
        <w:t>expiration du délai de priorité mais qui s</w:t>
      </w:r>
      <w:r w:rsidR="00892E0E" w:rsidRPr="00CA6E79">
        <w:rPr>
          <w:lang w:val="fr-FR"/>
        </w:rPr>
        <w:t>’</w:t>
      </w:r>
      <w:r w:rsidRPr="00CA6E79">
        <w:rPr>
          <w:lang w:val="fr-FR"/>
        </w:rPr>
        <w:t>inscrit dans le délai de deux mois à compter de cette date, en accord avec les dispositions correspondantes du Traité sur le droit des brevets.</w:t>
      </w:r>
      <w:r w:rsidR="0091080F" w:rsidRPr="00CA6E79">
        <w:rPr>
          <w:lang w:val="fr-FR"/>
        </w:rPr>
        <w:t xml:space="preserve">  </w:t>
      </w:r>
      <w:r w:rsidRPr="00CA6E79">
        <w:rPr>
          <w:lang w:val="fr-FR"/>
        </w:rPr>
        <w:t>Une requête en restauration du droit de priorité peut être présentée à l</w:t>
      </w:r>
      <w:r w:rsidR="00892E0E" w:rsidRPr="00CA6E79">
        <w:rPr>
          <w:lang w:val="fr-FR"/>
        </w:rPr>
        <w:t>’</w:t>
      </w:r>
      <w:r w:rsidRPr="00CA6E79">
        <w:rPr>
          <w:lang w:val="fr-FR"/>
        </w:rPr>
        <w:t>office récepteur (règle</w:t>
      </w:r>
      <w:r w:rsidR="002D07DA" w:rsidRPr="00CA6E79">
        <w:rPr>
          <w:lang w:val="fr-FR"/>
        </w:rPr>
        <w:t> </w:t>
      </w:r>
      <w:r w:rsidR="00143ABF" w:rsidRPr="00CA6E79">
        <w:rPr>
          <w:lang w:val="fr-FR"/>
        </w:rPr>
        <w:t>26</w:t>
      </w:r>
      <w:r w:rsidR="00143ABF" w:rsidRPr="00CA6E79">
        <w:rPr>
          <w:i/>
          <w:lang w:val="fr-FR"/>
        </w:rPr>
        <w:t>bis</w:t>
      </w:r>
      <w:r w:rsidR="00143ABF" w:rsidRPr="00CA6E79">
        <w:rPr>
          <w:lang w:val="fr-FR"/>
        </w:rPr>
        <w:t>.3) ou à un office désigné</w:t>
      </w:r>
      <w:r w:rsidR="003C4DBB" w:rsidRPr="00CA6E79">
        <w:rPr>
          <w:lang w:val="fr-FR"/>
        </w:rPr>
        <w:t xml:space="preserve"> </w:t>
      </w:r>
      <w:r w:rsidR="00143ABF" w:rsidRPr="00CA6E79">
        <w:rPr>
          <w:lang w:val="fr-FR"/>
        </w:rPr>
        <w:t xml:space="preserve">ou </w:t>
      </w:r>
      <w:r w:rsidRPr="00CA6E79">
        <w:rPr>
          <w:lang w:val="fr-FR"/>
        </w:rPr>
        <w:t>élu (règles</w:t>
      </w:r>
      <w:r w:rsidR="002D07DA" w:rsidRPr="00CA6E79">
        <w:rPr>
          <w:lang w:val="fr-FR"/>
        </w:rPr>
        <w:t> </w:t>
      </w:r>
      <w:r w:rsidRPr="00CA6E79">
        <w:rPr>
          <w:lang w:val="fr-FR"/>
        </w:rPr>
        <w:t>49</w:t>
      </w:r>
      <w:r w:rsidRPr="00CA6E79">
        <w:rPr>
          <w:i/>
          <w:lang w:val="fr-FR"/>
        </w:rPr>
        <w:t>ter</w:t>
      </w:r>
      <w:r w:rsidRPr="00CA6E79">
        <w:rPr>
          <w:lang w:val="fr-FR"/>
        </w:rPr>
        <w:t>.2 et 76.5).</w:t>
      </w:r>
    </w:p>
    <w:p w:rsidR="00892E0E" w:rsidRPr="00CA6E79" w:rsidRDefault="003C4DBB" w:rsidP="004D4165">
      <w:pPr>
        <w:pStyle w:val="ONUMFS"/>
        <w:rPr>
          <w:lang w:val="fr-FR"/>
        </w:rPr>
      </w:pPr>
      <w:r w:rsidRPr="00CA6E79">
        <w:rPr>
          <w:lang w:val="fr-FR"/>
        </w:rPr>
        <w:t>Le délai visé à la règle</w:t>
      </w:r>
      <w:r w:rsidR="002D07DA" w:rsidRPr="00CA6E79">
        <w:rPr>
          <w:lang w:val="fr-FR"/>
        </w:rPr>
        <w:t> </w:t>
      </w:r>
      <w:r w:rsidRPr="00CA6E79">
        <w:rPr>
          <w:lang w:val="fr-FR"/>
        </w:rPr>
        <w:t>49</w:t>
      </w:r>
      <w:r w:rsidRPr="00CA6E79">
        <w:rPr>
          <w:i/>
          <w:lang w:val="fr-FR"/>
        </w:rPr>
        <w:t>ter</w:t>
      </w:r>
      <w:r w:rsidRPr="00CA6E79">
        <w:rPr>
          <w:lang w:val="fr-FR"/>
        </w:rPr>
        <w:t>.2.b)i) pour la présentation d</w:t>
      </w:r>
      <w:r w:rsidR="00892E0E" w:rsidRPr="00CA6E79">
        <w:rPr>
          <w:lang w:val="fr-FR"/>
        </w:rPr>
        <w:t>’</w:t>
      </w:r>
      <w:r w:rsidRPr="00CA6E79">
        <w:rPr>
          <w:lang w:val="fr-FR"/>
        </w:rPr>
        <w:t>une requête en restauration du droit de priorité auprès d</w:t>
      </w:r>
      <w:r w:rsidR="00892E0E" w:rsidRPr="00CA6E79">
        <w:rPr>
          <w:lang w:val="fr-FR"/>
        </w:rPr>
        <w:t>’</w:t>
      </w:r>
      <w:r w:rsidRPr="00CA6E79">
        <w:rPr>
          <w:lang w:val="fr-FR"/>
        </w:rPr>
        <w:t>un office désigné correspond à un délai d</w:t>
      </w:r>
      <w:r w:rsidR="00892E0E" w:rsidRPr="00CA6E79">
        <w:rPr>
          <w:lang w:val="fr-FR"/>
        </w:rPr>
        <w:t>’</w:t>
      </w:r>
      <w:r w:rsidRPr="00CA6E79">
        <w:rPr>
          <w:lang w:val="fr-FR"/>
        </w:rPr>
        <w:t>un mois à compter du délai applicable selon l</w:t>
      </w:r>
      <w:r w:rsidR="00892E0E" w:rsidRPr="00CA6E79">
        <w:rPr>
          <w:lang w:val="fr-FR"/>
        </w:rPr>
        <w:t>’</w:t>
      </w:r>
      <w:r w:rsidRPr="00CA6E79">
        <w:rPr>
          <w:lang w:val="fr-FR"/>
        </w:rPr>
        <w:t>article 22, car il a été jugé raisonnable de donner au déposant au moins un mois à compter du délai applicable à l</w:t>
      </w:r>
      <w:r w:rsidR="00892E0E" w:rsidRPr="00CA6E79">
        <w:rPr>
          <w:lang w:val="fr-FR"/>
        </w:rPr>
        <w:t>’</w:t>
      </w:r>
      <w:r w:rsidRPr="00CA6E79">
        <w:rPr>
          <w:lang w:val="fr-FR"/>
        </w:rPr>
        <w:t>ouverture de la phase nationale pour présenter une requête en restauration auprès de l</w:t>
      </w:r>
      <w:r w:rsidR="00892E0E" w:rsidRPr="00CA6E79">
        <w:rPr>
          <w:lang w:val="fr-FR"/>
        </w:rPr>
        <w:t>’</w:t>
      </w:r>
      <w:r w:rsidRPr="00CA6E79">
        <w:rPr>
          <w:lang w:val="fr-FR"/>
        </w:rPr>
        <w:t>office désigné (voir la page</w:t>
      </w:r>
      <w:r w:rsidR="002D07DA" w:rsidRPr="00CA6E79">
        <w:rPr>
          <w:lang w:val="fr-FR"/>
        </w:rPr>
        <w:t> </w:t>
      </w:r>
      <w:r w:rsidRPr="00CA6E79">
        <w:rPr>
          <w:lang w:val="fr-FR"/>
        </w:rPr>
        <w:t>15 de l</w:t>
      </w:r>
      <w:r w:rsidR="00892E0E" w:rsidRPr="00CA6E79">
        <w:rPr>
          <w:lang w:val="fr-FR"/>
        </w:rPr>
        <w:t>’</w:t>
      </w:r>
      <w:r w:rsidRPr="00CA6E79">
        <w:rPr>
          <w:lang w:val="fr-FR"/>
        </w:rPr>
        <w:t>annexe</w:t>
      </w:r>
      <w:r w:rsidR="000C2438" w:rsidRPr="00CA6E79">
        <w:rPr>
          <w:lang w:val="fr-FR"/>
        </w:rPr>
        <w:t> </w:t>
      </w:r>
      <w:r w:rsidRPr="00CA6E79">
        <w:rPr>
          <w:lang w:val="fr-FR"/>
        </w:rPr>
        <w:t>I du document PCT/R/WG/5/7).</w:t>
      </w:r>
    </w:p>
    <w:p w:rsidR="006C7B53" w:rsidRPr="00CA6E79" w:rsidRDefault="00170103" w:rsidP="004D4165">
      <w:pPr>
        <w:pStyle w:val="ONUMFS"/>
        <w:rPr>
          <w:lang w:val="fr-FR"/>
        </w:rPr>
      </w:pPr>
      <w:r w:rsidRPr="00CA6E79">
        <w:rPr>
          <w:lang w:val="fr-FR"/>
        </w:rPr>
        <w:t>Toutefois, en cas d</w:t>
      </w:r>
      <w:r w:rsidR="00892E0E" w:rsidRPr="00CA6E79">
        <w:rPr>
          <w:lang w:val="fr-FR"/>
        </w:rPr>
        <w:t>’</w:t>
      </w:r>
      <w:r w:rsidRPr="00CA6E79">
        <w:rPr>
          <w:lang w:val="fr-FR"/>
        </w:rPr>
        <w:t xml:space="preserve">ouverture anticipée de la phase nationale, le délai </w:t>
      </w:r>
      <w:r w:rsidR="00035F9D" w:rsidRPr="00CA6E79">
        <w:rPr>
          <w:lang w:val="fr-FR"/>
        </w:rPr>
        <w:t>visé à</w:t>
      </w:r>
      <w:r w:rsidRPr="00CA6E79">
        <w:rPr>
          <w:lang w:val="fr-FR"/>
        </w:rPr>
        <w:t xml:space="preserve"> la règle</w:t>
      </w:r>
      <w:r w:rsidR="002D07DA" w:rsidRPr="00CA6E79">
        <w:rPr>
          <w:lang w:val="fr-FR"/>
        </w:rPr>
        <w:t> </w:t>
      </w:r>
      <w:r w:rsidRPr="00CA6E79">
        <w:rPr>
          <w:lang w:val="fr-FR"/>
        </w:rPr>
        <w:t>49</w:t>
      </w:r>
      <w:r w:rsidRPr="00CA6E79">
        <w:rPr>
          <w:i/>
          <w:lang w:val="fr-FR"/>
        </w:rPr>
        <w:t>ter</w:t>
      </w:r>
      <w:r w:rsidRPr="00CA6E79">
        <w:rPr>
          <w:lang w:val="fr-FR"/>
        </w:rPr>
        <w:t xml:space="preserve">.2.b)i) pour </w:t>
      </w:r>
      <w:r w:rsidR="00035F9D" w:rsidRPr="00CA6E79">
        <w:rPr>
          <w:lang w:val="fr-FR"/>
        </w:rPr>
        <w:t xml:space="preserve">la présentation </w:t>
      </w:r>
      <w:r w:rsidRPr="00CA6E79">
        <w:rPr>
          <w:lang w:val="fr-FR"/>
        </w:rPr>
        <w:t>d</w:t>
      </w:r>
      <w:r w:rsidR="00892E0E" w:rsidRPr="00CA6E79">
        <w:rPr>
          <w:lang w:val="fr-FR"/>
        </w:rPr>
        <w:t>’</w:t>
      </w:r>
      <w:r w:rsidRPr="00CA6E79">
        <w:rPr>
          <w:lang w:val="fr-FR"/>
        </w:rPr>
        <w:t>une requête en restauration du droit de priorité auprès d</w:t>
      </w:r>
      <w:r w:rsidR="00892E0E" w:rsidRPr="00CA6E79">
        <w:rPr>
          <w:lang w:val="fr-FR"/>
        </w:rPr>
        <w:t>’</w:t>
      </w:r>
      <w:r w:rsidRPr="00CA6E79">
        <w:rPr>
          <w:lang w:val="fr-FR"/>
        </w:rPr>
        <w:t xml:space="preserve">un office désigné pourrait être de plusieurs mois après </w:t>
      </w:r>
      <w:r w:rsidR="004A2657" w:rsidRPr="00CA6E79">
        <w:rPr>
          <w:lang w:val="fr-FR"/>
        </w:rPr>
        <w:t>le début du traitement</w:t>
      </w:r>
      <w:r w:rsidRPr="00CA6E79">
        <w:rPr>
          <w:lang w:val="fr-FR"/>
        </w:rPr>
        <w:t xml:space="preserve"> d</w:t>
      </w:r>
      <w:r w:rsidR="004A2657" w:rsidRPr="00CA6E79">
        <w:rPr>
          <w:lang w:val="fr-FR"/>
        </w:rPr>
        <w:t>ans</w:t>
      </w:r>
      <w:r w:rsidRPr="00CA6E79">
        <w:rPr>
          <w:lang w:val="fr-FR"/>
        </w:rPr>
        <w:t xml:space="preserve"> la phase nationale.</w:t>
      </w:r>
      <w:r w:rsidR="004E50AA" w:rsidRPr="00CA6E79">
        <w:rPr>
          <w:lang w:val="fr-FR"/>
        </w:rPr>
        <w:t xml:space="preserve">  </w:t>
      </w:r>
      <w:r w:rsidRPr="00CA6E79">
        <w:rPr>
          <w:lang w:val="fr-FR"/>
        </w:rPr>
        <w:t>Exemple</w:t>
      </w:r>
      <w:r w:rsidR="002D07DA" w:rsidRPr="00CA6E79">
        <w:rPr>
          <w:lang w:val="fr-FR"/>
        </w:rPr>
        <w:t> </w:t>
      </w:r>
      <w:r w:rsidRPr="00CA6E79">
        <w:rPr>
          <w:lang w:val="fr-FR"/>
        </w:rPr>
        <w:t xml:space="preserve">: le délai </w:t>
      </w:r>
      <w:r w:rsidR="00FB6A38" w:rsidRPr="00CA6E79">
        <w:rPr>
          <w:lang w:val="fr-FR"/>
        </w:rPr>
        <w:t>applicable</w:t>
      </w:r>
      <w:r w:rsidR="00035F9D" w:rsidRPr="00CA6E79">
        <w:rPr>
          <w:lang w:val="fr-FR"/>
        </w:rPr>
        <w:t>,</w:t>
      </w:r>
      <w:r w:rsidR="00FB6A38" w:rsidRPr="00CA6E79">
        <w:rPr>
          <w:lang w:val="fr-FR"/>
        </w:rPr>
        <w:t xml:space="preserve"> </w:t>
      </w:r>
      <w:r w:rsidR="00035F9D" w:rsidRPr="00CA6E79">
        <w:rPr>
          <w:lang w:val="fr-FR"/>
        </w:rPr>
        <w:t>selon</w:t>
      </w:r>
      <w:r w:rsidRPr="00CA6E79">
        <w:rPr>
          <w:lang w:val="fr-FR"/>
        </w:rPr>
        <w:t xml:space="preserve"> l</w:t>
      </w:r>
      <w:r w:rsidR="00892E0E" w:rsidRPr="00CA6E79">
        <w:rPr>
          <w:lang w:val="fr-FR"/>
        </w:rPr>
        <w:t>’</w:t>
      </w:r>
      <w:r w:rsidRPr="00CA6E79">
        <w:rPr>
          <w:lang w:val="fr-FR"/>
        </w:rPr>
        <w:t>article</w:t>
      </w:r>
      <w:r w:rsidR="002D07DA" w:rsidRPr="00CA6E79">
        <w:rPr>
          <w:lang w:val="fr-FR"/>
        </w:rPr>
        <w:t> </w:t>
      </w:r>
      <w:r w:rsidRPr="00CA6E79">
        <w:rPr>
          <w:lang w:val="fr-FR"/>
        </w:rPr>
        <w:t>22</w:t>
      </w:r>
      <w:r w:rsidR="00035F9D" w:rsidRPr="00CA6E79">
        <w:rPr>
          <w:lang w:val="fr-FR"/>
        </w:rPr>
        <w:t>,</w:t>
      </w:r>
      <w:r w:rsidRPr="00CA6E79">
        <w:rPr>
          <w:lang w:val="fr-FR"/>
        </w:rPr>
        <w:t xml:space="preserve"> pour l</w:t>
      </w:r>
      <w:r w:rsidR="00892E0E" w:rsidRPr="00CA6E79">
        <w:rPr>
          <w:lang w:val="fr-FR"/>
        </w:rPr>
        <w:t>’</w:t>
      </w:r>
      <w:r w:rsidRPr="00CA6E79">
        <w:rPr>
          <w:lang w:val="fr-FR"/>
        </w:rPr>
        <w:t>ouverture de la phase nationale auprès de l</w:t>
      </w:r>
      <w:r w:rsidR="00892E0E" w:rsidRPr="00CA6E79">
        <w:rPr>
          <w:lang w:val="fr-FR"/>
        </w:rPr>
        <w:t>’</w:t>
      </w:r>
      <w:r w:rsidRPr="00CA6E79">
        <w:rPr>
          <w:lang w:val="fr-FR"/>
        </w:rPr>
        <w:t>office</w:t>
      </w:r>
      <w:r w:rsidR="00FF5C07">
        <w:rPr>
          <w:lang w:val="fr-FR"/>
        </w:rPr>
        <w:t> </w:t>
      </w:r>
      <w:r w:rsidRPr="00CA6E79">
        <w:rPr>
          <w:lang w:val="fr-FR"/>
        </w:rPr>
        <w:t xml:space="preserve">X est de </w:t>
      </w:r>
      <w:r w:rsidR="00777329">
        <w:rPr>
          <w:lang w:val="fr-FR"/>
        </w:rPr>
        <w:t>30 </w:t>
      </w:r>
      <w:r w:rsidRPr="00CA6E79">
        <w:rPr>
          <w:lang w:val="fr-FR"/>
        </w:rPr>
        <w:t>mois à compter de la date de priorité</w:t>
      </w:r>
      <w:r w:rsidR="00A83000" w:rsidRPr="00CA6E79">
        <w:rPr>
          <w:lang w:val="fr-FR"/>
        </w:rPr>
        <w:t>.</w:t>
      </w:r>
      <w:r w:rsidRPr="00CA6E79">
        <w:rPr>
          <w:lang w:val="fr-FR"/>
        </w:rPr>
        <w:t xml:space="preserve">  </w:t>
      </w:r>
      <w:r w:rsidR="00A83000" w:rsidRPr="00CA6E79">
        <w:rPr>
          <w:lang w:val="fr-FR"/>
        </w:rPr>
        <w:t>U</w:t>
      </w:r>
      <w:r w:rsidRPr="00CA6E79">
        <w:rPr>
          <w:lang w:val="fr-FR"/>
        </w:rPr>
        <w:t xml:space="preserve">n déposant </w:t>
      </w:r>
      <w:r w:rsidR="00FB6A38" w:rsidRPr="00CA6E79">
        <w:rPr>
          <w:lang w:val="fr-FR"/>
        </w:rPr>
        <w:t>entre dans</w:t>
      </w:r>
      <w:r w:rsidRPr="00CA6E79">
        <w:rPr>
          <w:lang w:val="fr-FR"/>
        </w:rPr>
        <w:t xml:space="preserve"> la phase nationale </w:t>
      </w:r>
      <w:r w:rsidR="00035F9D" w:rsidRPr="00CA6E79">
        <w:rPr>
          <w:lang w:val="fr-FR"/>
        </w:rPr>
        <w:t>auprès</w:t>
      </w:r>
      <w:r w:rsidR="00FB6A38" w:rsidRPr="00CA6E79">
        <w:rPr>
          <w:lang w:val="fr-FR"/>
        </w:rPr>
        <w:t xml:space="preserve"> de</w:t>
      </w:r>
      <w:r w:rsidRPr="00CA6E79">
        <w:rPr>
          <w:lang w:val="fr-FR"/>
        </w:rPr>
        <w:t xml:space="preserve"> cet office</w:t>
      </w:r>
      <w:r w:rsidR="00FB6A38" w:rsidRPr="00CA6E79">
        <w:rPr>
          <w:lang w:val="fr-FR"/>
        </w:rPr>
        <w:t xml:space="preserve"> de façon anticipée</w:t>
      </w:r>
      <w:r w:rsidRPr="00CA6E79">
        <w:rPr>
          <w:lang w:val="fr-FR"/>
        </w:rPr>
        <w:t>, disons après 21</w:t>
      </w:r>
      <w:r w:rsidR="000C2438" w:rsidRPr="00CA6E79">
        <w:rPr>
          <w:lang w:val="fr-FR"/>
        </w:rPr>
        <w:t> </w:t>
      </w:r>
      <w:r w:rsidRPr="00CA6E79">
        <w:rPr>
          <w:lang w:val="fr-FR"/>
        </w:rPr>
        <w:t xml:space="preserve">mois, et demande </w:t>
      </w:r>
      <w:r w:rsidR="00A83000" w:rsidRPr="00CA6E79">
        <w:rPr>
          <w:lang w:val="fr-FR"/>
        </w:rPr>
        <w:t>le début</w:t>
      </w:r>
      <w:r w:rsidRPr="00CA6E79">
        <w:rPr>
          <w:lang w:val="fr-FR"/>
        </w:rPr>
        <w:t xml:space="preserve"> d</w:t>
      </w:r>
      <w:r w:rsidR="00A83000" w:rsidRPr="00CA6E79">
        <w:rPr>
          <w:lang w:val="fr-FR"/>
        </w:rPr>
        <w:t>u traitement dans la</w:t>
      </w:r>
      <w:r w:rsidRPr="00CA6E79">
        <w:rPr>
          <w:lang w:val="fr-FR"/>
        </w:rPr>
        <w:t xml:space="preserve"> phase nationale </w:t>
      </w:r>
      <w:r w:rsidR="00FB6A38" w:rsidRPr="00CA6E79">
        <w:rPr>
          <w:lang w:val="fr-FR"/>
        </w:rPr>
        <w:t xml:space="preserve">auprès de </w:t>
      </w:r>
      <w:r w:rsidRPr="00CA6E79">
        <w:rPr>
          <w:lang w:val="fr-FR"/>
        </w:rPr>
        <w:t>cet office;  en vertu de l</w:t>
      </w:r>
      <w:r w:rsidR="00892E0E" w:rsidRPr="00CA6E79">
        <w:rPr>
          <w:lang w:val="fr-FR"/>
        </w:rPr>
        <w:t>’</w:t>
      </w:r>
      <w:r w:rsidR="00035F9D" w:rsidRPr="00CA6E79">
        <w:rPr>
          <w:lang w:val="fr-FR"/>
        </w:rPr>
        <w:t>actuelle</w:t>
      </w:r>
      <w:r w:rsidRPr="00CA6E79">
        <w:rPr>
          <w:lang w:val="fr-FR"/>
        </w:rPr>
        <w:t xml:space="preserve"> règle</w:t>
      </w:r>
      <w:r w:rsidR="002D07DA" w:rsidRPr="00CA6E79">
        <w:rPr>
          <w:lang w:val="fr-FR"/>
        </w:rPr>
        <w:t> </w:t>
      </w:r>
      <w:r w:rsidRPr="00CA6E79">
        <w:rPr>
          <w:lang w:val="fr-FR"/>
        </w:rPr>
        <w:t>49</w:t>
      </w:r>
      <w:r w:rsidRPr="00CA6E79">
        <w:rPr>
          <w:i/>
          <w:lang w:val="fr-FR"/>
        </w:rPr>
        <w:t>ter</w:t>
      </w:r>
      <w:r w:rsidRPr="00CA6E79">
        <w:rPr>
          <w:lang w:val="fr-FR"/>
        </w:rPr>
        <w:t xml:space="preserve">.2.b)i), le délai pour la </w:t>
      </w:r>
      <w:r w:rsidR="00035F9D" w:rsidRPr="00CA6E79">
        <w:rPr>
          <w:lang w:val="fr-FR"/>
        </w:rPr>
        <w:t xml:space="preserve">présentation de la </w:t>
      </w:r>
      <w:r w:rsidRPr="00CA6E79">
        <w:rPr>
          <w:lang w:val="fr-FR"/>
        </w:rPr>
        <w:t>requête en restauration du droit de priorité </w:t>
      </w:r>
      <w:r w:rsidR="00FB6A38" w:rsidRPr="00CA6E79">
        <w:rPr>
          <w:lang w:val="fr-FR"/>
        </w:rPr>
        <w:t>auprès de</w:t>
      </w:r>
      <w:r w:rsidRPr="00CA6E79">
        <w:rPr>
          <w:lang w:val="fr-FR"/>
        </w:rPr>
        <w:t xml:space="preserve"> l</w:t>
      </w:r>
      <w:r w:rsidR="00892E0E" w:rsidRPr="00CA6E79">
        <w:rPr>
          <w:lang w:val="fr-FR"/>
        </w:rPr>
        <w:t>’</w:t>
      </w:r>
      <w:r w:rsidRPr="00CA6E79">
        <w:rPr>
          <w:lang w:val="fr-FR"/>
        </w:rPr>
        <w:t>office</w:t>
      </w:r>
      <w:r w:rsidR="00FF5C07">
        <w:rPr>
          <w:lang w:val="fr-FR"/>
        </w:rPr>
        <w:t> </w:t>
      </w:r>
      <w:r w:rsidRPr="00CA6E79">
        <w:rPr>
          <w:lang w:val="fr-FR"/>
        </w:rPr>
        <w:t>X expire seulement 31</w:t>
      </w:r>
      <w:r w:rsidR="000C2438" w:rsidRPr="00CA6E79">
        <w:rPr>
          <w:lang w:val="fr-FR"/>
        </w:rPr>
        <w:t> </w:t>
      </w:r>
      <w:r w:rsidRPr="00CA6E79">
        <w:rPr>
          <w:lang w:val="fr-FR"/>
        </w:rPr>
        <w:t>mois après la date de priorité, c</w:t>
      </w:r>
      <w:r w:rsidR="00892E0E" w:rsidRPr="00CA6E79">
        <w:rPr>
          <w:lang w:val="fr-FR"/>
        </w:rPr>
        <w:t>’</w:t>
      </w:r>
      <w:r w:rsidRPr="00CA6E79">
        <w:rPr>
          <w:lang w:val="fr-FR"/>
        </w:rPr>
        <w:t>est</w:t>
      </w:r>
      <w:r w:rsidR="000C2438" w:rsidRPr="00CA6E79">
        <w:rPr>
          <w:lang w:val="fr-FR"/>
        </w:rPr>
        <w:noBreakHyphen/>
      </w:r>
      <w:r w:rsidRPr="00CA6E79">
        <w:rPr>
          <w:lang w:val="fr-FR"/>
        </w:rPr>
        <w:t>à</w:t>
      </w:r>
      <w:r w:rsidR="000C2438" w:rsidRPr="00CA6E79">
        <w:rPr>
          <w:lang w:val="fr-FR"/>
        </w:rPr>
        <w:noBreakHyphen/>
      </w:r>
      <w:r w:rsidRPr="00CA6E79">
        <w:rPr>
          <w:lang w:val="fr-FR"/>
        </w:rPr>
        <w:t>dire 8</w:t>
      </w:r>
      <w:r w:rsidR="000C2438" w:rsidRPr="00CA6E79">
        <w:rPr>
          <w:lang w:val="fr-FR"/>
        </w:rPr>
        <w:t> </w:t>
      </w:r>
      <w:r w:rsidRPr="00CA6E79">
        <w:rPr>
          <w:lang w:val="fr-FR"/>
        </w:rPr>
        <w:t xml:space="preserve">mois après </w:t>
      </w:r>
      <w:r w:rsidR="00A83000" w:rsidRPr="00CA6E79">
        <w:rPr>
          <w:lang w:val="fr-FR"/>
        </w:rPr>
        <w:t>le début du traitement</w:t>
      </w:r>
      <w:r w:rsidR="004A2657" w:rsidRPr="00CA6E79">
        <w:rPr>
          <w:lang w:val="fr-FR"/>
        </w:rPr>
        <w:t xml:space="preserve"> dans la phase nationale.</w:t>
      </w:r>
      <w:r w:rsidR="00A83000" w:rsidRPr="00CA6E79">
        <w:rPr>
          <w:lang w:val="fr-FR"/>
        </w:rPr>
        <w:t xml:space="preserve">  Il est donc possible pour un office désigné ou un office élu de recevoir une requête en restauration à un stade très tar</w:t>
      </w:r>
      <w:r w:rsidR="004A2657" w:rsidRPr="00CA6E79">
        <w:rPr>
          <w:lang w:val="fr-FR"/>
        </w:rPr>
        <w:t xml:space="preserve">dif du traitement dans </w:t>
      </w:r>
      <w:r w:rsidR="00A83000" w:rsidRPr="00CA6E79">
        <w:rPr>
          <w:lang w:val="fr-FR"/>
        </w:rPr>
        <w:t>la phase nationale.</w:t>
      </w:r>
      <w:r w:rsidR="00320C01" w:rsidRPr="00CA6E79">
        <w:rPr>
          <w:lang w:val="fr-FR"/>
        </w:rPr>
        <w:t xml:space="preserve">  </w:t>
      </w:r>
      <w:r w:rsidR="004A2657" w:rsidRPr="00CA6E79">
        <w:rPr>
          <w:lang w:val="fr-FR"/>
        </w:rPr>
        <w:t xml:space="preserve">Cependant, en cas de </w:t>
      </w:r>
      <w:r w:rsidR="000A2EB8" w:rsidRPr="00CA6E79">
        <w:rPr>
          <w:lang w:val="fr-FR"/>
        </w:rPr>
        <w:t>requête</w:t>
      </w:r>
      <w:r w:rsidR="004A2657" w:rsidRPr="00CA6E79">
        <w:rPr>
          <w:lang w:val="fr-FR"/>
        </w:rPr>
        <w:t xml:space="preserve"> expresse d</w:t>
      </w:r>
      <w:r w:rsidR="00892E0E" w:rsidRPr="00CA6E79">
        <w:rPr>
          <w:lang w:val="fr-FR"/>
        </w:rPr>
        <w:t>’</w:t>
      </w:r>
      <w:r w:rsidR="004A2657" w:rsidRPr="00CA6E79">
        <w:rPr>
          <w:lang w:val="fr-FR"/>
        </w:rPr>
        <w:t>ouverture anticipée de la phase nationale, il</w:t>
      </w:r>
      <w:r w:rsidR="00A83000" w:rsidRPr="00CA6E79">
        <w:rPr>
          <w:lang w:val="fr-FR"/>
        </w:rPr>
        <w:t xml:space="preserve"> semble n</w:t>
      </w:r>
      <w:r w:rsidR="00892E0E" w:rsidRPr="00CA6E79">
        <w:rPr>
          <w:lang w:val="fr-FR"/>
        </w:rPr>
        <w:t>’</w:t>
      </w:r>
      <w:r w:rsidR="00A83000" w:rsidRPr="00CA6E79">
        <w:rPr>
          <w:lang w:val="fr-FR"/>
        </w:rPr>
        <w:t xml:space="preserve">y avoir </w:t>
      </w:r>
      <w:r w:rsidR="00777329">
        <w:rPr>
          <w:lang w:val="fr-FR"/>
        </w:rPr>
        <w:t>aucune</w:t>
      </w:r>
      <w:r w:rsidR="00A83000" w:rsidRPr="00CA6E79">
        <w:rPr>
          <w:lang w:val="fr-FR"/>
        </w:rPr>
        <w:t xml:space="preserve"> raison, pour le déposant, de ne pas présenter la requête en restauration au début du traitement dans </w:t>
      </w:r>
      <w:r w:rsidR="004A2657" w:rsidRPr="00CA6E79">
        <w:rPr>
          <w:lang w:val="fr-FR"/>
        </w:rPr>
        <w:t>la phase nationale.</w:t>
      </w:r>
    </w:p>
    <w:p w:rsidR="006C7B53" w:rsidRPr="00CA6E79" w:rsidRDefault="00A83000" w:rsidP="004D4165">
      <w:pPr>
        <w:pStyle w:val="Heading2"/>
        <w:rPr>
          <w:lang w:val="fr-FR"/>
        </w:rPr>
      </w:pPr>
      <w:r w:rsidRPr="00CA6E79">
        <w:rPr>
          <w:lang w:val="fr-FR"/>
        </w:rPr>
        <w:t>Proposition</w:t>
      </w:r>
    </w:p>
    <w:p w:rsidR="006C7B53" w:rsidRPr="00CA6E79" w:rsidRDefault="00A83000" w:rsidP="00FF5C07">
      <w:pPr>
        <w:pStyle w:val="ONUMFS"/>
        <w:rPr>
          <w:lang w:val="fr-FR"/>
        </w:rPr>
      </w:pPr>
      <w:r w:rsidRPr="00CA6E79">
        <w:rPr>
          <w:lang w:val="fr-FR"/>
        </w:rPr>
        <w:t xml:space="preserve">Il est donc </w:t>
      </w:r>
      <w:r w:rsidRPr="00CA6E79">
        <w:rPr>
          <w:szCs w:val="22"/>
          <w:lang w:val="fr-FR"/>
        </w:rPr>
        <w:t>proposé de modifier la</w:t>
      </w:r>
      <w:r w:rsidR="00056780" w:rsidRPr="00CA6E79">
        <w:rPr>
          <w:szCs w:val="22"/>
          <w:lang w:val="fr-FR"/>
        </w:rPr>
        <w:t xml:space="preserve"> </w:t>
      </w:r>
      <w:r w:rsidR="00056780" w:rsidRPr="00CA6E79">
        <w:rPr>
          <w:lang w:val="fr-FR"/>
        </w:rPr>
        <w:t>règle</w:t>
      </w:r>
      <w:r w:rsidR="002D07DA" w:rsidRPr="00CA6E79">
        <w:rPr>
          <w:lang w:val="fr-FR"/>
        </w:rPr>
        <w:t> </w:t>
      </w:r>
      <w:r w:rsidR="00056780" w:rsidRPr="00CA6E79">
        <w:rPr>
          <w:lang w:val="fr-FR"/>
        </w:rPr>
        <w:t>49</w:t>
      </w:r>
      <w:r w:rsidR="00056780" w:rsidRPr="00CA6E79">
        <w:rPr>
          <w:i/>
          <w:lang w:val="fr-FR"/>
        </w:rPr>
        <w:t>ter</w:t>
      </w:r>
      <w:r w:rsidR="00056780" w:rsidRPr="00CA6E79">
        <w:rPr>
          <w:lang w:val="fr-FR"/>
        </w:rPr>
        <w:t xml:space="preserve">.2.b)i) </w:t>
      </w:r>
      <w:r w:rsidR="00056780" w:rsidRPr="00CA6E79">
        <w:rPr>
          <w:szCs w:val="22"/>
          <w:lang w:val="fr-FR"/>
        </w:rPr>
        <w:t>comme indiqué dans l</w:t>
      </w:r>
      <w:r w:rsidR="00892E0E" w:rsidRPr="00CA6E79">
        <w:rPr>
          <w:szCs w:val="22"/>
          <w:lang w:val="fr-FR"/>
        </w:rPr>
        <w:t>’</w:t>
      </w:r>
      <w:r w:rsidR="00056780" w:rsidRPr="00CA6E79">
        <w:rPr>
          <w:szCs w:val="22"/>
          <w:lang w:val="fr-FR"/>
        </w:rPr>
        <w:t xml:space="preserve">annexe </w:t>
      </w:r>
      <w:r w:rsidR="00B73A8D" w:rsidRPr="00CA6E79">
        <w:rPr>
          <w:szCs w:val="22"/>
          <w:lang w:val="fr-FR"/>
        </w:rPr>
        <w:t>de sorte</w:t>
      </w:r>
      <w:r w:rsidR="00056780" w:rsidRPr="00CA6E79">
        <w:rPr>
          <w:szCs w:val="22"/>
          <w:lang w:val="fr-FR"/>
        </w:rPr>
        <w:t xml:space="preserve"> que, </w:t>
      </w:r>
      <w:r w:rsidR="00B73A8D" w:rsidRPr="00CA6E79">
        <w:rPr>
          <w:szCs w:val="22"/>
          <w:lang w:val="fr-FR"/>
        </w:rPr>
        <w:t>en cas de</w:t>
      </w:r>
      <w:r w:rsidR="00056780" w:rsidRPr="00CA6E79">
        <w:rPr>
          <w:szCs w:val="22"/>
          <w:lang w:val="fr-FR"/>
        </w:rPr>
        <w:t xml:space="preserve"> </w:t>
      </w:r>
      <w:r w:rsidR="000A2EB8" w:rsidRPr="00CA6E79">
        <w:rPr>
          <w:szCs w:val="22"/>
          <w:lang w:val="fr-FR"/>
        </w:rPr>
        <w:t>requête</w:t>
      </w:r>
      <w:r w:rsidR="00056780" w:rsidRPr="00CA6E79">
        <w:rPr>
          <w:szCs w:val="22"/>
          <w:lang w:val="fr-FR"/>
        </w:rPr>
        <w:t xml:space="preserve"> expresse </w:t>
      </w:r>
      <w:r w:rsidR="00056780" w:rsidRPr="00CA6E79">
        <w:rPr>
          <w:lang w:val="fr-FR"/>
        </w:rPr>
        <w:t>d</w:t>
      </w:r>
      <w:r w:rsidR="00892E0E" w:rsidRPr="00CA6E79">
        <w:rPr>
          <w:lang w:val="fr-FR"/>
        </w:rPr>
        <w:t>’</w:t>
      </w:r>
      <w:r w:rsidR="00056780" w:rsidRPr="00CA6E79">
        <w:rPr>
          <w:lang w:val="fr-FR"/>
        </w:rPr>
        <w:t>ouverture anticipée de la phase nationale auprès d</w:t>
      </w:r>
      <w:r w:rsidR="00892E0E" w:rsidRPr="00CA6E79">
        <w:rPr>
          <w:lang w:val="fr-FR"/>
        </w:rPr>
        <w:t>’</w:t>
      </w:r>
      <w:r w:rsidR="00056780" w:rsidRPr="00CA6E79">
        <w:rPr>
          <w:lang w:val="fr-FR"/>
        </w:rPr>
        <w:t>un office désigné selon l</w:t>
      </w:r>
      <w:r w:rsidR="00892E0E" w:rsidRPr="00CA6E79">
        <w:rPr>
          <w:lang w:val="fr-FR"/>
        </w:rPr>
        <w:t>’</w:t>
      </w:r>
      <w:r w:rsidR="00056780" w:rsidRPr="00CA6E79">
        <w:rPr>
          <w:lang w:val="fr-FR"/>
        </w:rPr>
        <w:t>a</w:t>
      </w:r>
      <w:r w:rsidR="00056780" w:rsidRPr="00CA6E79">
        <w:rPr>
          <w:szCs w:val="22"/>
          <w:lang w:val="fr-FR"/>
        </w:rPr>
        <w:t>rticle</w:t>
      </w:r>
      <w:r w:rsidR="002D07DA" w:rsidRPr="00CA6E79">
        <w:rPr>
          <w:lang w:val="fr-FR"/>
        </w:rPr>
        <w:t> </w:t>
      </w:r>
      <w:r w:rsidR="00056780" w:rsidRPr="00CA6E79">
        <w:rPr>
          <w:szCs w:val="22"/>
          <w:lang w:val="fr-FR"/>
        </w:rPr>
        <w:t>23.2</w:t>
      </w:r>
      <w:r w:rsidR="00B73A8D" w:rsidRPr="00CA6E79">
        <w:rPr>
          <w:szCs w:val="22"/>
          <w:lang w:val="fr-FR"/>
        </w:rPr>
        <w:t>)</w:t>
      </w:r>
      <w:r w:rsidR="00056780" w:rsidRPr="00CA6E79">
        <w:rPr>
          <w:szCs w:val="22"/>
          <w:lang w:val="fr-FR"/>
        </w:rPr>
        <w:t>, toute requête en restauration du droit de priorité soit présentée dans un délai d</w:t>
      </w:r>
      <w:r w:rsidR="00892E0E" w:rsidRPr="00CA6E79">
        <w:rPr>
          <w:szCs w:val="22"/>
          <w:lang w:val="fr-FR"/>
        </w:rPr>
        <w:t>’</w:t>
      </w:r>
      <w:r w:rsidR="00056780" w:rsidRPr="00CA6E79">
        <w:rPr>
          <w:szCs w:val="22"/>
          <w:lang w:val="fr-FR"/>
        </w:rPr>
        <w:t xml:space="preserve">un mois à compter de la date de réception de la </w:t>
      </w:r>
      <w:r w:rsidR="000A2EB8" w:rsidRPr="00CA6E79">
        <w:rPr>
          <w:szCs w:val="22"/>
          <w:lang w:val="fr-FR"/>
        </w:rPr>
        <w:t xml:space="preserve">requête </w:t>
      </w:r>
      <w:r w:rsidR="00056780" w:rsidRPr="00CA6E79">
        <w:rPr>
          <w:rFonts w:eastAsia="Times New Roman"/>
          <w:szCs w:val="22"/>
          <w:lang w:val="fr-FR" w:eastAsia="en-US"/>
        </w:rPr>
        <w:t>expresse par l</w:t>
      </w:r>
      <w:r w:rsidR="00892E0E" w:rsidRPr="00CA6E79">
        <w:rPr>
          <w:rFonts w:eastAsia="Times New Roman"/>
          <w:szCs w:val="22"/>
          <w:lang w:val="fr-FR" w:eastAsia="en-US"/>
        </w:rPr>
        <w:t>’</w:t>
      </w:r>
      <w:r w:rsidR="00056780" w:rsidRPr="00CA6E79">
        <w:rPr>
          <w:szCs w:val="22"/>
          <w:lang w:val="fr-FR"/>
        </w:rPr>
        <w:t>office désigné</w:t>
      </w:r>
      <w:r w:rsidR="00056780" w:rsidRPr="00FF5C07">
        <w:rPr>
          <w:szCs w:val="22"/>
          <w:lang w:val="fr-FR"/>
        </w:rPr>
        <w:t xml:space="preserve"> (bien que les offices désignés restent libres de proposer des délais plus longs s</w:t>
      </w:r>
      <w:r w:rsidR="00892E0E" w:rsidRPr="00FF5C07">
        <w:rPr>
          <w:szCs w:val="22"/>
          <w:lang w:val="fr-FR"/>
        </w:rPr>
        <w:t>’</w:t>
      </w:r>
      <w:r w:rsidR="00056780" w:rsidRPr="00FF5C07">
        <w:rPr>
          <w:szCs w:val="22"/>
          <w:lang w:val="fr-FR"/>
        </w:rPr>
        <w:t xml:space="preserve">ils le souhaitent).  </w:t>
      </w:r>
      <w:r w:rsidR="00056780" w:rsidRPr="00CA6E79">
        <w:rPr>
          <w:szCs w:val="22"/>
          <w:lang w:val="fr-FR"/>
        </w:rPr>
        <w:t>Il est également proposé de modifier la règle 76.5</w:t>
      </w:r>
      <w:r w:rsidR="00B73A8D" w:rsidRPr="00CA6E79">
        <w:rPr>
          <w:szCs w:val="22"/>
          <w:lang w:val="fr-FR"/>
        </w:rPr>
        <w:t>)</w:t>
      </w:r>
      <w:r w:rsidR="00056780" w:rsidRPr="00CA6E79">
        <w:rPr>
          <w:szCs w:val="22"/>
          <w:lang w:val="fr-FR"/>
        </w:rPr>
        <w:t xml:space="preserve"> comme indiqué dans l</w:t>
      </w:r>
      <w:r w:rsidR="00892E0E" w:rsidRPr="00CA6E79">
        <w:rPr>
          <w:szCs w:val="22"/>
          <w:lang w:val="fr-FR"/>
        </w:rPr>
        <w:t>’</w:t>
      </w:r>
      <w:r w:rsidR="00056780" w:rsidRPr="00CA6E79">
        <w:rPr>
          <w:szCs w:val="22"/>
          <w:lang w:val="fr-FR"/>
        </w:rPr>
        <w:t>annexe, de sorte que cette exigence s</w:t>
      </w:r>
      <w:r w:rsidR="00892E0E" w:rsidRPr="00CA6E79">
        <w:rPr>
          <w:szCs w:val="22"/>
          <w:lang w:val="fr-FR"/>
        </w:rPr>
        <w:t>’</w:t>
      </w:r>
      <w:r w:rsidR="00056780" w:rsidRPr="00CA6E79">
        <w:rPr>
          <w:szCs w:val="22"/>
          <w:lang w:val="fr-FR"/>
        </w:rPr>
        <w:t>applique aussi à l</w:t>
      </w:r>
      <w:r w:rsidR="00892E0E" w:rsidRPr="00CA6E79">
        <w:rPr>
          <w:szCs w:val="22"/>
          <w:lang w:val="fr-FR"/>
        </w:rPr>
        <w:t>’</w:t>
      </w:r>
      <w:r w:rsidR="00056780" w:rsidRPr="00CA6E79">
        <w:rPr>
          <w:szCs w:val="22"/>
          <w:lang w:val="fr-FR"/>
        </w:rPr>
        <w:t>ouverture anticipée de la phase nationale auprès d</w:t>
      </w:r>
      <w:r w:rsidR="00892E0E" w:rsidRPr="00CA6E79">
        <w:rPr>
          <w:szCs w:val="22"/>
          <w:lang w:val="fr-FR"/>
        </w:rPr>
        <w:t>’</w:t>
      </w:r>
      <w:r w:rsidR="00056780" w:rsidRPr="00CA6E79">
        <w:rPr>
          <w:szCs w:val="22"/>
          <w:lang w:val="fr-FR"/>
        </w:rPr>
        <w:t xml:space="preserve">un office élu </w:t>
      </w:r>
      <w:r w:rsidR="00B73A8D" w:rsidRPr="00CA6E79">
        <w:rPr>
          <w:szCs w:val="22"/>
          <w:lang w:val="fr-FR"/>
        </w:rPr>
        <w:t>en cas de</w:t>
      </w:r>
      <w:r w:rsidR="00056780" w:rsidRPr="00CA6E79">
        <w:rPr>
          <w:szCs w:val="22"/>
          <w:lang w:val="fr-FR"/>
        </w:rPr>
        <w:t xml:space="preserve"> présentation d</w:t>
      </w:r>
      <w:r w:rsidR="00892E0E" w:rsidRPr="00CA6E79">
        <w:rPr>
          <w:szCs w:val="22"/>
          <w:lang w:val="fr-FR"/>
        </w:rPr>
        <w:t>’</w:t>
      </w:r>
      <w:r w:rsidR="00056780" w:rsidRPr="00CA6E79">
        <w:rPr>
          <w:szCs w:val="22"/>
          <w:lang w:val="fr-FR"/>
        </w:rPr>
        <w:t xml:space="preserve">une </w:t>
      </w:r>
      <w:r w:rsidR="000A2EB8" w:rsidRPr="00CA6E79">
        <w:rPr>
          <w:szCs w:val="22"/>
          <w:lang w:val="fr-FR"/>
        </w:rPr>
        <w:t xml:space="preserve">requête </w:t>
      </w:r>
      <w:r w:rsidR="00056780" w:rsidRPr="00CA6E79">
        <w:rPr>
          <w:szCs w:val="22"/>
          <w:lang w:val="fr-FR"/>
        </w:rPr>
        <w:t>expresse selon l</w:t>
      </w:r>
      <w:r w:rsidR="00892E0E" w:rsidRPr="00CA6E79">
        <w:rPr>
          <w:szCs w:val="22"/>
          <w:lang w:val="fr-FR"/>
        </w:rPr>
        <w:t>’</w:t>
      </w:r>
      <w:r w:rsidR="00056780" w:rsidRPr="00CA6E79">
        <w:rPr>
          <w:szCs w:val="22"/>
          <w:lang w:val="fr-FR"/>
        </w:rPr>
        <w:t>article</w:t>
      </w:r>
      <w:r w:rsidR="002D07DA" w:rsidRPr="00CA6E79">
        <w:rPr>
          <w:szCs w:val="22"/>
          <w:lang w:val="fr-FR"/>
        </w:rPr>
        <w:t> </w:t>
      </w:r>
      <w:r w:rsidR="00056780" w:rsidRPr="00CA6E79">
        <w:rPr>
          <w:szCs w:val="22"/>
          <w:lang w:val="fr-FR"/>
        </w:rPr>
        <w:t>40.2)</w:t>
      </w:r>
      <w:r w:rsidR="00325469" w:rsidRPr="00CA6E79">
        <w:rPr>
          <w:lang w:val="fr-FR"/>
        </w:rPr>
        <w:t xml:space="preserve">.  </w:t>
      </w:r>
      <w:r w:rsidR="00056780" w:rsidRPr="00CA6E79">
        <w:rPr>
          <w:lang w:val="fr-FR"/>
        </w:rPr>
        <w:t>Il est enfin proposé que ces modifications s</w:t>
      </w:r>
      <w:r w:rsidR="00892E0E" w:rsidRPr="00CA6E79">
        <w:rPr>
          <w:lang w:val="fr-FR"/>
        </w:rPr>
        <w:t>’</w:t>
      </w:r>
      <w:r w:rsidR="00056780" w:rsidRPr="00CA6E79">
        <w:rPr>
          <w:lang w:val="fr-FR"/>
        </w:rPr>
        <w:t xml:space="preserve">appliquent à toute </w:t>
      </w:r>
      <w:r w:rsidR="000A2EB8" w:rsidRPr="00CA6E79">
        <w:rPr>
          <w:szCs w:val="22"/>
          <w:lang w:val="fr-FR"/>
        </w:rPr>
        <w:t>requête</w:t>
      </w:r>
      <w:r w:rsidR="00B73A8D" w:rsidRPr="00CA6E79">
        <w:rPr>
          <w:szCs w:val="22"/>
          <w:lang w:val="fr-FR"/>
        </w:rPr>
        <w:t xml:space="preserve"> </w:t>
      </w:r>
      <w:r w:rsidR="00056780" w:rsidRPr="00CA6E79">
        <w:rPr>
          <w:lang w:val="fr-FR"/>
        </w:rPr>
        <w:t>expresse selon l</w:t>
      </w:r>
      <w:r w:rsidR="00B73A8D" w:rsidRPr="00CA6E79">
        <w:rPr>
          <w:lang w:val="fr-FR"/>
        </w:rPr>
        <w:t xml:space="preserve">es </w:t>
      </w:r>
      <w:r w:rsidR="00056780" w:rsidRPr="00CA6E79">
        <w:rPr>
          <w:lang w:val="fr-FR"/>
        </w:rPr>
        <w:t>article</w:t>
      </w:r>
      <w:r w:rsidR="00B73A8D" w:rsidRPr="00CA6E79">
        <w:rPr>
          <w:lang w:val="fr-FR"/>
        </w:rPr>
        <w:t>s</w:t>
      </w:r>
      <w:r w:rsidR="002D07DA" w:rsidRPr="00CA6E79">
        <w:rPr>
          <w:lang w:val="fr-FR"/>
        </w:rPr>
        <w:t> </w:t>
      </w:r>
      <w:r w:rsidR="00DF67D8">
        <w:rPr>
          <w:lang w:val="fr-FR"/>
        </w:rPr>
        <w:t>23.2) ou </w:t>
      </w:r>
      <w:r w:rsidR="00056780" w:rsidRPr="00CA6E79">
        <w:rPr>
          <w:lang w:val="fr-FR"/>
        </w:rPr>
        <w:t>40.2)</w:t>
      </w:r>
      <w:r w:rsidR="00B73A8D" w:rsidRPr="00CA6E79">
        <w:rPr>
          <w:lang w:val="fr-FR"/>
        </w:rPr>
        <w:t xml:space="preserve"> qui serait</w:t>
      </w:r>
      <w:r w:rsidR="00056780" w:rsidRPr="00CA6E79">
        <w:rPr>
          <w:lang w:val="fr-FR"/>
        </w:rPr>
        <w:t xml:space="preserve"> reçue au </w:t>
      </w:r>
      <w:r w:rsidR="00892E0E" w:rsidRPr="00CA6E79">
        <w:rPr>
          <w:lang w:val="fr-FR"/>
        </w:rPr>
        <w:t>1</w:t>
      </w:r>
      <w:r w:rsidR="00892E0E" w:rsidRPr="00CA6E79">
        <w:rPr>
          <w:vertAlign w:val="superscript"/>
          <w:lang w:val="fr-FR"/>
        </w:rPr>
        <w:t>er</w:t>
      </w:r>
      <w:r w:rsidR="00892E0E" w:rsidRPr="00CA6E79">
        <w:rPr>
          <w:lang w:val="fr-FR"/>
        </w:rPr>
        <w:t> juillet 20</w:t>
      </w:r>
      <w:r w:rsidR="00056780" w:rsidRPr="00CA6E79">
        <w:rPr>
          <w:lang w:val="fr-FR"/>
        </w:rPr>
        <w:t>15 ou après cette date.</w:t>
      </w:r>
    </w:p>
    <w:p w:rsidR="006C7B53" w:rsidRPr="00CA6E79" w:rsidRDefault="00056780" w:rsidP="00B8622D">
      <w:pPr>
        <w:pStyle w:val="Heading1"/>
        <w:keepNext w:val="0"/>
        <w:rPr>
          <w:lang w:val="fr-FR"/>
        </w:rPr>
      </w:pPr>
      <w:r w:rsidRPr="00CA6E79">
        <w:rPr>
          <w:lang w:val="fr-FR"/>
        </w:rPr>
        <w:t>Propo</w:t>
      </w:r>
      <w:r w:rsidR="004D4165" w:rsidRPr="00CA6E79">
        <w:rPr>
          <w:lang w:val="fr-FR"/>
        </w:rPr>
        <w:t>sition</w:t>
      </w:r>
      <w:r w:rsidRPr="00CA6E79">
        <w:rPr>
          <w:lang w:val="fr-FR"/>
        </w:rPr>
        <w:t xml:space="preserve"> de modification de la r</w:t>
      </w:r>
      <w:r w:rsidR="004D4165" w:rsidRPr="00CA6E79">
        <w:rPr>
          <w:lang w:val="fr-FR"/>
        </w:rPr>
        <w:t>è</w:t>
      </w:r>
      <w:r w:rsidRPr="00CA6E79">
        <w:rPr>
          <w:lang w:val="fr-FR"/>
        </w:rPr>
        <w:t>gle</w:t>
      </w:r>
      <w:r w:rsidR="004D4165" w:rsidRPr="00CA6E79">
        <w:rPr>
          <w:lang w:val="fr-FR"/>
        </w:rPr>
        <w:t> </w:t>
      </w:r>
      <w:r w:rsidRPr="00CA6E79">
        <w:rPr>
          <w:lang w:val="fr-FR"/>
        </w:rPr>
        <w:t>90.3</w:t>
      </w:r>
    </w:p>
    <w:p w:rsidR="006C7B53" w:rsidRPr="00CA6E79" w:rsidRDefault="00056780" w:rsidP="00B8622D">
      <w:pPr>
        <w:pStyle w:val="Heading2"/>
        <w:keepNext w:val="0"/>
        <w:rPr>
          <w:lang w:val="fr-FR"/>
        </w:rPr>
      </w:pPr>
      <w:r w:rsidRPr="00CA6E79">
        <w:rPr>
          <w:lang w:val="fr-FR"/>
        </w:rPr>
        <w:t>Rappel</w:t>
      </w:r>
    </w:p>
    <w:p w:rsidR="00892E0E" w:rsidRPr="00CA6E79" w:rsidRDefault="00B73A8D" w:rsidP="00B8622D">
      <w:pPr>
        <w:pStyle w:val="ONUMFS"/>
        <w:rPr>
          <w:lang w:val="fr-FR"/>
        </w:rPr>
      </w:pPr>
      <w:r w:rsidRPr="00CA6E79">
        <w:rPr>
          <w:lang w:val="fr-FR"/>
        </w:rPr>
        <w:t>L</w:t>
      </w:r>
      <w:r w:rsidR="00892E0E" w:rsidRPr="00CA6E79">
        <w:rPr>
          <w:lang w:val="fr-FR"/>
        </w:rPr>
        <w:t>’</w:t>
      </w:r>
      <w:r w:rsidRPr="00CA6E79">
        <w:rPr>
          <w:lang w:val="fr-FR"/>
        </w:rPr>
        <w:t>Assemblée de l</w:t>
      </w:r>
      <w:r w:rsidR="00892E0E" w:rsidRPr="00CA6E79">
        <w:rPr>
          <w:lang w:val="fr-FR"/>
        </w:rPr>
        <w:t>’</w:t>
      </w:r>
      <w:r w:rsidRPr="00CA6E79">
        <w:rPr>
          <w:lang w:val="fr-FR"/>
        </w:rPr>
        <w:t>Union du PCT, à sa quarante</w:t>
      </w:r>
      <w:r w:rsidR="000C2438" w:rsidRPr="00CA6E79">
        <w:rPr>
          <w:lang w:val="fr-FR"/>
        </w:rPr>
        <w:noBreakHyphen/>
      </w:r>
      <w:r w:rsidRPr="00CA6E79">
        <w:rPr>
          <w:lang w:val="fr-FR"/>
        </w:rPr>
        <w:t xml:space="preserve">troisième session tenue en </w:t>
      </w:r>
      <w:r w:rsidR="00892E0E" w:rsidRPr="00CA6E79">
        <w:rPr>
          <w:lang w:val="fr-FR"/>
        </w:rPr>
        <w:t>octobre 20</w:t>
      </w:r>
      <w:r w:rsidRPr="00CA6E79">
        <w:rPr>
          <w:lang w:val="fr-FR"/>
        </w:rPr>
        <w:t xml:space="preserve">12, a adopté une série de modifications du </w:t>
      </w:r>
      <w:r w:rsidR="002D07DA" w:rsidRPr="00CA6E79">
        <w:rPr>
          <w:lang w:val="fr-FR"/>
        </w:rPr>
        <w:t>règle</w:t>
      </w:r>
      <w:r w:rsidRPr="00CA6E79">
        <w:rPr>
          <w:lang w:val="fr-FR"/>
        </w:rPr>
        <w:t>ment d</w:t>
      </w:r>
      <w:r w:rsidR="00892E0E" w:rsidRPr="00CA6E79">
        <w:rPr>
          <w:lang w:val="fr-FR"/>
        </w:rPr>
        <w:t>’</w:t>
      </w:r>
      <w:r w:rsidRPr="00CA6E79">
        <w:rPr>
          <w:lang w:val="fr-FR"/>
        </w:rPr>
        <w:t>exécution afin de simplifier les procédures pour les déposants à la suite de la promulgation de l</w:t>
      </w:r>
      <w:r w:rsidR="00892E0E" w:rsidRPr="00CA6E79">
        <w:rPr>
          <w:lang w:val="fr-FR"/>
        </w:rPr>
        <w:t>’</w:t>
      </w:r>
      <w:proofErr w:type="spellStart"/>
      <w:r w:rsidRPr="00CA6E79">
        <w:rPr>
          <w:lang w:val="fr-FR"/>
        </w:rPr>
        <w:t>America</w:t>
      </w:r>
      <w:proofErr w:type="spellEnd"/>
      <w:r w:rsidRPr="00CA6E79">
        <w:rPr>
          <w:lang w:val="fr-FR"/>
        </w:rPr>
        <w:t xml:space="preserve"> </w:t>
      </w:r>
      <w:proofErr w:type="spellStart"/>
      <w:r w:rsidRPr="00CA6E79">
        <w:rPr>
          <w:lang w:val="fr-FR"/>
        </w:rPr>
        <w:t>Invents</w:t>
      </w:r>
      <w:proofErr w:type="spellEnd"/>
      <w:r w:rsidRPr="00CA6E79">
        <w:rPr>
          <w:lang w:val="fr-FR"/>
        </w:rPr>
        <w:t xml:space="preserve"> </w:t>
      </w:r>
      <w:proofErr w:type="spellStart"/>
      <w:r w:rsidRPr="00CA6E79">
        <w:rPr>
          <w:lang w:val="fr-FR"/>
        </w:rPr>
        <w:t>Act</w:t>
      </w:r>
      <w:proofErr w:type="spellEnd"/>
      <w:r w:rsidRPr="00CA6E79">
        <w:rPr>
          <w:lang w:val="fr-FR"/>
        </w:rPr>
        <w:t xml:space="preserve"> (voir le document PCT/A/43/4 et les paragraphes</w:t>
      </w:r>
      <w:r w:rsidR="002D07DA" w:rsidRPr="00CA6E79">
        <w:rPr>
          <w:lang w:val="fr-FR"/>
        </w:rPr>
        <w:t> </w:t>
      </w:r>
      <w:r w:rsidRPr="00CA6E79">
        <w:rPr>
          <w:lang w:val="fr-FR"/>
        </w:rPr>
        <w:t>28 à</w:t>
      </w:r>
      <w:r w:rsidR="00A30BE9" w:rsidRPr="00CA6E79">
        <w:rPr>
          <w:lang w:val="fr-FR"/>
        </w:rPr>
        <w:t> </w:t>
      </w:r>
      <w:r w:rsidRPr="00CA6E79">
        <w:rPr>
          <w:lang w:val="fr-FR"/>
        </w:rPr>
        <w:t>33 du document PCT/A/43/7).</w:t>
      </w:r>
    </w:p>
    <w:p w:rsidR="006C7B53" w:rsidRPr="00CA6E79" w:rsidRDefault="00B73A8D" w:rsidP="00B8622D">
      <w:pPr>
        <w:pStyle w:val="ONUMFS"/>
        <w:keepLines/>
        <w:rPr>
          <w:lang w:val="fr-FR"/>
        </w:rPr>
      </w:pPr>
      <w:r w:rsidRPr="00CA6E79">
        <w:rPr>
          <w:lang w:val="fr-FR"/>
        </w:rPr>
        <w:lastRenderedPageBreak/>
        <w:t>L</w:t>
      </w:r>
      <w:r w:rsidR="00892E0E" w:rsidRPr="00CA6E79">
        <w:rPr>
          <w:lang w:val="fr-FR"/>
        </w:rPr>
        <w:t>’</w:t>
      </w:r>
      <w:r w:rsidRPr="00CA6E79">
        <w:rPr>
          <w:lang w:val="fr-FR"/>
        </w:rPr>
        <w:t>une de ces modifications concernait la suppression de la procédure spéciale qui était appliquée dans les cas où il n</w:t>
      </w:r>
      <w:r w:rsidR="00892E0E" w:rsidRPr="00CA6E79">
        <w:rPr>
          <w:lang w:val="fr-FR"/>
        </w:rPr>
        <w:t>’</w:t>
      </w:r>
      <w:r w:rsidRPr="00CA6E79">
        <w:rPr>
          <w:lang w:val="fr-FR"/>
        </w:rPr>
        <w:t>est pas possible d</w:t>
      </w:r>
      <w:r w:rsidR="00892E0E" w:rsidRPr="00CA6E79">
        <w:rPr>
          <w:lang w:val="fr-FR"/>
        </w:rPr>
        <w:t>’</w:t>
      </w:r>
      <w:r w:rsidRPr="00CA6E79">
        <w:rPr>
          <w:lang w:val="fr-FR"/>
        </w:rPr>
        <w:t>obtenir la signature d</w:t>
      </w:r>
      <w:r w:rsidR="00892E0E" w:rsidRPr="00CA6E79">
        <w:rPr>
          <w:lang w:val="fr-FR"/>
        </w:rPr>
        <w:t>’</w:t>
      </w:r>
      <w:r w:rsidRPr="00CA6E79">
        <w:rPr>
          <w:lang w:val="fr-FR"/>
        </w:rPr>
        <w:t xml:space="preserve">un inventeur indiqué comme étant le déposant </w:t>
      </w:r>
      <w:r w:rsidR="00777329">
        <w:rPr>
          <w:lang w:val="fr-FR"/>
        </w:rPr>
        <w:t>aux seules fins</w:t>
      </w:r>
      <w:r w:rsidRPr="00CA6E79">
        <w:rPr>
          <w:lang w:val="fr-FR"/>
        </w:rPr>
        <w:t xml:space="preserve"> de la désignation des États</w:t>
      </w:r>
      <w:r w:rsidR="000C2438" w:rsidRPr="00CA6E79">
        <w:rPr>
          <w:lang w:val="fr-FR"/>
        </w:rPr>
        <w:noBreakHyphen/>
      </w:r>
      <w:r w:rsidRPr="00CA6E79">
        <w:rPr>
          <w:lang w:val="fr-FR"/>
        </w:rPr>
        <w:t>Unis d</w:t>
      </w:r>
      <w:r w:rsidR="00892E0E" w:rsidRPr="00CA6E79">
        <w:rPr>
          <w:lang w:val="fr-FR"/>
        </w:rPr>
        <w:t>’</w:t>
      </w:r>
      <w:r w:rsidRPr="00CA6E79">
        <w:rPr>
          <w:lang w:val="fr-FR"/>
        </w:rPr>
        <w:t>Amérique.</w:t>
      </w:r>
      <w:r w:rsidR="00647DD8" w:rsidRPr="00CA6E79">
        <w:rPr>
          <w:lang w:val="fr-FR"/>
        </w:rPr>
        <w:t xml:space="preserve">  </w:t>
      </w:r>
      <w:r w:rsidRPr="00CA6E79">
        <w:rPr>
          <w:lang w:val="fr-FR"/>
        </w:rPr>
        <w:t>Entre autres, dans le cas des retraits selon la règle</w:t>
      </w:r>
      <w:r w:rsidR="002D07DA" w:rsidRPr="00CA6E79">
        <w:rPr>
          <w:lang w:val="fr-FR"/>
        </w:rPr>
        <w:t> </w:t>
      </w:r>
      <w:r w:rsidRPr="00CA6E79">
        <w:rPr>
          <w:lang w:val="fr-FR"/>
        </w:rPr>
        <w:t>90</w:t>
      </w:r>
      <w:r w:rsidRPr="00CA6E79">
        <w:rPr>
          <w:i/>
          <w:lang w:val="fr-FR"/>
        </w:rPr>
        <w:t>bis</w:t>
      </w:r>
      <w:r w:rsidRPr="00CA6E79">
        <w:rPr>
          <w:lang w:val="fr-FR"/>
        </w:rPr>
        <w:t>, l</w:t>
      </w:r>
      <w:r w:rsidR="00892E0E" w:rsidRPr="00CA6E79">
        <w:rPr>
          <w:lang w:val="fr-FR"/>
        </w:rPr>
        <w:t>’</w:t>
      </w:r>
      <w:r w:rsidRPr="00CA6E79">
        <w:rPr>
          <w:lang w:val="fr-FR"/>
        </w:rPr>
        <w:t>alinéa</w:t>
      </w:r>
      <w:r w:rsidR="002D07DA" w:rsidRPr="00CA6E79">
        <w:rPr>
          <w:lang w:val="fr-FR"/>
        </w:rPr>
        <w:t> </w:t>
      </w:r>
      <w:r w:rsidRPr="00CA6E79">
        <w:rPr>
          <w:lang w:val="fr-FR"/>
        </w:rPr>
        <w:t>b) a été supprimé de la règle</w:t>
      </w:r>
      <w:r w:rsidR="002D07DA" w:rsidRPr="00CA6E79">
        <w:rPr>
          <w:lang w:val="fr-FR"/>
        </w:rPr>
        <w:t> </w:t>
      </w:r>
      <w:r w:rsidRPr="00CA6E79">
        <w:rPr>
          <w:lang w:val="fr-FR"/>
        </w:rPr>
        <w:t>90</w:t>
      </w:r>
      <w:r w:rsidRPr="00CA6E79">
        <w:rPr>
          <w:i/>
          <w:lang w:val="fr-FR"/>
        </w:rPr>
        <w:t>bis</w:t>
      </w:r>
      <w:r w:rsidRPr="00CA6E79">
        <w:rPr>
          <w:lang w:val="fr-FR"/>
        </w:rPr>
        <w:t>.5) et la numérotation des paragraphes a été supprimée de l</w:t>
      </w:r>
      <w:r w:rsidR="00892E0E" w:rsidRPr="00CA6E79">
        <w:rPr>
          <w:lang w:val="fr-FR"/>
        </w:rPr>
        <w:t>’</w:t>
      </w:r>
      <w:r w:rsidRPr="00CA6E79">
        <w:rPr>
          <w:lang w:val="fr-FR"/>
        </w:rPr>
        <w:t>alinéa</w:t>
      </w:r>
      <w:r w:rsidR="002D07DA" w:rsidRPr="00CA6E79">
        <w:rPr>
          <w:lang w:val="fr-FR"/>
        </w:rPr>
        <w:t> </w:t>
      </w:r>
      <w:r w:rsidRPr="00CA6E79">
        <w:rPr>
          <w:lang w:val="fr-FR"/>
        </w:rPr>
        <w:t>a).</w:t>
      </w:r>
      <w:r w:rsidR="00565045" w:rsidRPr="00CA6E79">
        <w:rPr>
          <w:lang w:val="fr-FR"/>
        </w:rPr>
        <w:t xml:space="preserve">  </w:t>
      </w:r>
      <w:r w:rsidR="00275DD0" w:rsidRPr="00CA6E79">
        <w:rPr>
          <w:lang w:val="fr-FR"/>
        </w:rPr>
        <w:t>Cependant, à l</w:t>
      </w:r>
      <w:r w:rsidR="00892E0E" w:rsidRPr="00CA6E79">
        <w:rPr>
          <w:lang w:val="fr-FR"/>
        </w:rPr>
        <w:t>’</w:t>
      </w:r>
      <w:r w:rsidR="00275DD0" w:rsidRPr="00CA6E79">
        <w:rPr>
          <w:lang w:val="fr-FR"/>
        </w:rPr>
        <w:t>époque, la nécessité de modifier la règle</w:t>
      </w:r>
      <w:r w:rsidR="002D07DA" w:rsidRPr="00CA6E79">
        <w:rPr>
          <w:lang w:val="fr-FR"/>
        </w:rPr>
        <w:t> </w:t>
      </w:r>
      <w:r w:rsidR="00275DD0" w:rsidRPr="00CA6E79">
        <w:rPr>
          <w:lang w:val="fr-FR"/>
        </w:rPr>
        <w:t>90.3) en conséquence (suppression de la référence à l</w:t>
      </w:r>
      <w:r w:rsidR="00892E0E" w:rsidRPr="00CA6E79">
        <w:rPr>
          <w:lang w:val="fr-FR"/>
        </w:rPr>
        <w:t>’</w:t>
      </w:r>
      <w:r w:rsidR="00275DD0" w:rsidRPr="00CA6E79">
        <w:rPr>
          <w:lang w:val="fr-FR"/>
        </w:rPr>
        <w:t>alinéa</w:t>
      </w:r>
      <w:r w:rsidR="002D07DA" w:rsidRPr="00CA6E79">
        <w:rPr>
          <w:lang w:val="fr-FR"/>
        </w:rPr>
        <w:t> </w:t>
      </w:r>
      <w:r w:rsidR="00275DD0" w:rsidRPr="00CA6E79">
        <w:rPr>
          <w:lang w:val="fr-FR"/>
        </w:rPr>
        <w:t>a) de la règle</w:t>
      </w:r>
      <w:r w:rsidR="002D07DA" w:rsidRPr="00CA6E79">
        <w:rPr>
          <w:lang w:val="fr-FR"/>
        </w:rPr>
        <w:t> </w:t>
      </w:r>
      <w:r w:rsidR="00275DD0" w:rsidRPr="00CA6E79">
        <w:rPr>
          <w:lang w:val="fr-FR"/>
        </w:rPr>
        <w:t>90</w:t>
      </w:r>
      <w:r w:rsidR="00275DD0" w:rsidRPr="00CA6E79">
        <w:rPr>
          <w:i/>
          <w:lang w:val="fr-FR"/>
        </w:rPr>
        <w:t>bis</w:t>
      </w:r>
      <w:r w:rsidR="00275DD0" w:rsidRPr="00CA6E79">
        <w:rPr>
          <w:lang w:val="fr-FR"/>
        </w:rPr>
        <w:t>.5)) n</w:t>
      </w:r>
      <w:r w:rsidR="00892E0E" w:rsidRPr="00CA6E79">
        <w:rPr>
          <w:lang w:val="fr-FR"/>
        </w:rPr>
        <w:t>’</w:t>
      </w:r>
      <w:r w:rsidR="00275DD0" w:rsidRPr="00CA6E79">
        <w:rPr>
          <w:lang w:val="fr-FR"/>
        </w:rPr>
        <w:t>a pas été relevée.</w:t>
      </w:r>
    </w:p>
    <w:p w:rsidR="006C7B53" w:rsidRPr="00CA6E79" w:rsidRDefault="00275DD0" w:rsidP="00C82AA9">
      <w:pPr>
        <w:pStyle w:val="Heading2"/>
        <w:rPr>
          <w:lang w:val="fr-FR"/>
        </w:rPr>
      </w:pPr>
      <w:r w:rsidRPr="00CA6E79">
        <w:rPr>
          <w:lang w:val="fr-FR"/>
        </w:rPr>
        <w:t>Proposition</w:t>
      </w:r>
    </w:p>
    <w:p w:rsidR="006C7B53" w:rsidRPr="00CA6E79" w:rsidRDefault="00275DD0" w:rsidP="004D4165">
      <w:pPr>
        <w:pStyle w:val="ONUMFS"/>
        <w:rPr>
          <w:lang w:val="fr-FR"/>
        </w:rPr>
      </w:pPr>
      <w:r w:rsidRPr="00CA6E79">
        <w:rPr>
          <w:lang w:val="fr-FR"/>
        </w:rPr>
        <w:t>Il est donc proposé de modifier la règle</w:t>
      </w:r>
      <w:r w:rsidR="002D07DA" w:rsidRPr="00CA6E79">
        <w:rPr>
          <w:lang w:val="fr-FR"/>
        </w:rPr>
        <w:t> </w:t>
      </w:r>
      <w:r w:rsidRPr="00CA6E79">
        <w:rPr>
          <w:lang w:val="fr-FR"/>
        </w:rPr>
        <w:t>90.3) en supprimant la référence à l</w:t>
      </w:r>
      <w:r w:rsidR="00892E0E" w:rsidRPr="00CA6E79">
        <w:rPr>
          <w:lang w:val="fr-FR"/>
        </w:rPr>
        <w:t>’</w:t>
      </w:r>
      <w:r w:rsidRPr="00CA6E79">
        <w:rPr>
          <w:lang w:val="fr-FR"/>
        </w:rPr>
        <w:t>alinéa</w:t>
      </w:r>
      <w:r w:rsidR="002D07DA" w:rsidRPr="00CA6E79">
        <w:rPr>
          <w:lang w:val="fr-FR"/>
        </w:rPr>
        <w:t> </w:t>
      </w:r>
      <w:r w:rsidRPr="00CA6E79">
        <w:rPr>
          <w:lang w:val="fr-FR"/>
        </w:rPr>
        <w:t>a) de la règle</w:t>
      </w:r>
      <w:r w:rsidR="002D07DA" w:rsidRPr="00CA6E79">
        <w:rPr>
          <w:lang w:val="fr-FR"/>
        </w:rPr>
        <w:t> </w:t>
      </w:r>
      <w:r w:rsidRPr="00CA6E79">
        <w:rPr>
          <w:lang w:val="fr-FR"/>
        </w:rPr>
        <w:t>90</w:t>
      </w:r>
      <w:r w:rsidRPr="00CA6E79">
        <w:rPr>
          <w:i/>
          <w:lang w:val="fr-FR"/>
        </w:rPr>
        <w:t>bis</w:t>
      </w:r>
      <w:r w:rsidRPr="00CA6E79">
        <w:rPr>
          <w:lang w:val="fr-FR"/>
        </w:rPr>
        <w:t>.5), comme indiqué dans l</w:t>
      </w:r>
      <w:r w:rsidR="00892E0E" w:rsidRPr="00CA6E79">
        <w:rPr>
          <w:lang w:val="fr-FR"/>
        </w:rPr>
        <w:t>’</w:t>
      </w:r>
      <w:r w:rsidRPr="00CA6E79">
        <w:rPr>
          <w:lang w:val="fr-FR"/>
        </w:rPr>
        <w:t xml:space="preserve">annexe du présent document, pour une entrée en vigueur au </w:t>
      </w:r>
      <w:r w:rsidR="00892E0E" w:rsidRPr="00CA6E79">
        <w:rPr>
          <w:lang w:val="fr-FR"/>
        </w:rPr>
        <w:t>1</w:t>
      </w:r>
      <w:r w:rsidR="00892E0E" w:rsidRPr="00CA6E79">
        <w:rPr>
          <w:vertAlign w:val="superscript"/>
          <w:lang w:val="fr-FR"/>
        </w:rPr>
        <w:t>er</w:t>
      </w:r>
      <w:r w:rsidR="00892E0E" w:rsidRPr="00CA6E79">
        <w:rPr>
          <w:lang w:val="fr-FR"/>
        </w:rPr>
        <w:t> juillet 20</w:t>
      </w:r>
      <w:r w:rsidRPr="00CA6E79">
        <w:rPr>
          <w:lang w:val="fr-FR"/>
        </w:rPr>
        <w:t>15.</w:t>
      </w:r>
    </w:p>
    <w:p w:rsidR="006C7B53" w:rsidRPr="00CA6E79" w:rsidRDefault="00275DD0" w:rsidP="00C82AA9">
      <w:pPr>
        <w:pStyle w:val="ONUMFS"/>
        <w:ind w:left="5533"/>
        <w:rPr>
          <w:i/>
          <w:lang w:val="fr-FR"/>
        </w:rPr>
      </w:pPr>
      <w:r w:rsidRPr="00CA6E79">
        <w:rPr>
          <w:i/>
          <w:lang w:val="fr-FR"/>
        </w:rPr>
        <w:t xml:space="preserve">Le groupe de travail est invité à examiner les propositions de modification du </w:t>
      </w:r>
      <w:r w:rsidR="002D07DA" w:rsidRPr="00CA6E79">
        <w:rPr>
          <w:i/>
          <w:lang w:val="fr-FR"/>
        </w:rPr>
        <w:t>règle</w:t>
      </w:r>
      <w:r w:rsidRPr="00CA6E79">
        <w:rPr>
          <w:i/>
          <w:lang w:val="fr-FR"/>
        </w:rPr>
        <w:t>ment d</w:t>
      </w:r>
      <w:r w:rsidR="00892E0E" w:rsidRPr="00CA6E79">
        <w:rPr>
          <w:i/>
          <w:lang w:val="fr-FR"/>
        </w:rPr>
        <w:t>’</w:t>
      </w:r>
      <w:r w:rsidRPr="00CA6E79">
        <w:rPr>
          <w:i/>
          <w:lang w:val="fr-FR"/>
        </w:rPr>
        <w:t>exécution figurant dans l</w:t>
      </w:r>
      <w:r w:rsidR="00892E0E" w:rsidRPr="00CA6E79">
        <w:rPr>
          <w:i/>
          <w:lang w:val="fr-FR"/>
        </w:rPr>
        <w:t>’</w:t>
      </w:r>
      <w:r w:rsidRPr="00CA6E79">
        <w:rPr>
          <w:i/>
          <w:lang w:val="fr-FR"/>
        </w:rPr>
        <w:t>annexe du présent document.</w:t>
      </w:r>
    </w:p>
    <w:p w:rsidR="006C7B53" w:rsidRPr="00CA6E79" w:rsidRDefault="006C7B53" w:rsidP="00C82AA9">
      <w:pPr>
        <w:pStyle w:val="Endofdocument-Annex"/>
        <w:rPr>
          <w:lang w:val="fr-FR"/>
        </w:rPr>
      </w:pPr>
    </w:p>
    <w:p w:rsidR="00C82AA9" w:rsidRPr="00CA6E79" w:rsidRDefault="00C82AA9" w:rsidP="00C82AA9">
      <w:pPr>
        <w:pStyle w:val="Endofdocument-Annex"/>
        <w:rPr>
          <w:lang w:val="fr-FR"/>
        </w:rPr>
      </w:pPr>
    </w:p>
    <w:p w:rsidR="00C616F3" w:rsidRPr="00CA6E79" w:rsidRDefault="00B64025" w:rsidP="00C82AA9">
      <w:pPr>
        <w:pStyle w:val="Endofdocument-Annex"/>
        <w:rPr>
          <w:lang w:val="fr-FR"/>
        </w:rPr>
      </w:pPr>
      <w:r w:rsidRPr="00CA6E79">
        <w:rPr>
          <w:lang w:val="fr-FR"/>
        </w:rPr>
        <w:t>[L</w:t>
      </w:r>
      <w:r w:rsidR="00892E0E" w:rsidRPr="00CA6E79">
        <w:rPr>
          <w:lang w:val="fr-FR"/>
        </w:rPr>
        <w:t>’</w:t>
      </w:r>
      <w:r w:rsidRPr="00CA6E79">
        <w:rPr>
          <w:lang w:val="fr-FR"/>
        </w:rPr>
        <w:t>annexe suit]</w:t>
      </w:r>
    </w:p>
    <w:p w:rsidR="00C82AA9" w:rsidRPr="00CA6E79" w:rsidRDefault="00C82AA9" w:rsidP="00C82AA9">
      <w:pPr>
        <w:pStyle w:val="Endofdocument-Annex"/>
        <w:rPr>
          <w:lang w:val="fr-FR"/>
        </w:rPr>
      </w:pPr>
    </w:p>
    <w:p w:rsidR="00C82AA9" w:rsidRPr="00CA6E79" w:rsidRDefault="00C82AA9" w:rsidP="00C82AA9">
      <w:pPr>
        <w:rPr>
          <w:lang w:val="fr-FR"/>
        </w:rPr>
      </w:pPr>
    </w:p>
    <w:p w:rsidR="00C82AA9" w:rsidRPr="00CA6E79" w:rsidRDefault="00C82AA9" w:rsidP="00C82AA9">
      <w:pPr>
        <w:rPr>
          <w:lang w:val="fr-FR"/>
        </w:rPr>
        <w:sectPr w:rsidR="00C82AA9" w:rsidRPr="00CA6E79" w:rsidSect="002011C3">
          <w:headerReference w:type="default" r:id="rId11"/>
          <w:footerReference w:type="first" r:id="rId12"/>
          <w:endnotePr>
            <w:numFmt w:val="decimal"/>
          </w:endnotePr>
          <w:pgSz w:w="11907" w:h="16840" w:code="9"/>
          <w:pgMar w:top="567" w:right="1134" w:bottom="1418" w:left="1418" w:header="510" w:footer="1021" w:gutter="0"/>
          <w:cols w:space="720"/>
          <w:titlePg/>
          <w:docGrid w:linePitch="299"/>
        </w:sectPr>
      </w:pPr>
    </w:p>
    <w:p w:rsidR="006C7B53" w:rsidRPr="00CA6E79" w:rsidRDefault="00B64025" w:rsidP="00B64025">
      <w:pPr>
        <w:jc w:val="center"/>
        <w:rPr>
          <w:lang w:val="fr-FR"/>
        </w:rPr>
      </w:pPr>
      <w:r w:rsidRPr="00CA6E79">
        <w:rPr>
          <w:lang w:val="fr-FR"/>
        </w:rPr>
        <w:lastRenderedPageBreak/>
        <w:t>PROPOSITIONS DE MODIFICATION DU RÈGLEMENT D</w:t>
      </w:r>
      <w:r w:rsidR="00892E0E" w:rsidRPr="00CA6E79">
        <w:rPr>
          <w:lang w:val="fr-FR"/>
        </w:rPr>
        <w:t>’</w:t>
      </w:r>
      <w:r w:rsidRPr="00CA6E79">
        <w:rPr>
          <w:lang w:val="fr-FR"/>
        </w:rPr>
        <w:t>EXÉCUTION DU PCT</w:t>
      </w:r>
      <w:r w:rsidRPr="00CA6E79">
        <w:rPr>
          <w:rStyle w:val="FootnoteReference"/>
          <w:lang w:val="fr-FR"/>
        </w:rPr>
        <w:footnoteReference w:id="2"/>
      </w:r>
    </w:p>
    <w:p w:rsidR="006C7B53" w:rsidRPr="00CA6E79" w:rsidRDefault="006C7B53" w:rsidP="002607E3">
      <w:pPr>
        <w:jc w:val="center"/>
        <w:rPr>
          <w:lang w:val="fr-FR"/>
        </w:rPr>
      </w:pPr>
    </w:p>
    <w:p w:rsidR="006C7B53" w:rsidRPr="00CA6E79" w:rsidRDefault="006C7B53" w:rsidP="002607E3">
      <w:pPr>
        <w:jc w:val="center"/>
        <w:rPr>
          <w:lang w:val="fr-FR"/>
        </w:rPr>
      </w:pPr>
    </w:p>
    <w:p w:rsidR="006C7B53" w:rsidRPr="00CA6E79" w:rsidRDefault="00B64025" w:rsidP="00B64025">
      <w:pPr>
        <w:jc w:val="center"/>
        <w:rPr>
          <w:lang w:val="fr-FR"/>
        </w:rPr>
      </w:pPr>
      <w:r w:rsidRPr="00CA6E79">
        <w:rPr>
          <w:lang w:val="fr-FR"/>
        </w:rPr>
        <w:t>TABLE DES MATIÈRES</w:t>
      </w:r>
    </w:p>
    <w:p w:rsidR="006C7B53" w:rsidRPr="00CA6E79" w:rsidRDefault="006C7B53" w:rsidP="002607E3">
      <w:pPr>
        <w:pStyle w:val="Endofdocument-Annex"/>
        <w:ind w:left="0"/>
        <w:rPr>
          <w:lang w:val="fr-FR"/>
        </w:rPr>
      </w:pPr>
    </w:p>
    <w:p w:rsidR="006C7B53" w:rsidRPr="00CA6E79" w:rsidRDefault="006C7B53" w:rsidP="002A1BB2">
      <w:pPr>
        <w:rPr>
          <w:lang w:val="fr-FR"/>
        </w:rPr>
      </w:pPr>
    </w:p>
    <w:p w:rsidR="00AE2167" w:rsidRDefault="000A6D13">
      <w:pPr>
        <w:pStyle w:val="TOC1"/>
        <w:tabs>
          <w:tab w:val="right" w:leader="dot" w:pos="9345"/>
        </w:tabs>
        <w:rPr>
          <w:rFonts w:asciiTheme="minorHAnsi" w:eastAsiaTheme="minorEastAsia" w:hAnsiTheme="minorHAnsi" w:cstheme="minorBidi"/>
          <w:noProof/>
          <w:szCs w:val="22"/>
          <w:lang w:val="fr-FR" w:eastAsia="fr-FR"/>
        </w:rPr>
      </w:pPr>
      <w:r w:rsidRPr="00CA6E79">
        <w:rPr>
          <w:lang w:val="fr-FR"/>
        </w:rPr>
        <w:fldChar w:fldCharType="begin"/>
      </w:r>
      <w:r w:rsidRPr="00CA6E79">
        <w:rPr>
          <w:lang w:val="fr-FR"/>
        </w:rPr>
        <w:instrText xml:space="preserve"> TOC \t "Leg # Title;1;Leg SubRule #;2" </w:instrText>
      </w:r>
      <w:r w:rsidRPr="00CA6E79">
        <w:rPr>
          <w:lang w:val="fr-FR"/>
        </w:rPr>
        <w:fldChar w:fldCharType="separate"/>
      </w:r>
      <w:r w:rsidR="00AE2167" w:rsidRPr="003356C3">
        <w:rPr>
          <w:noProof/>
          <w:lang w:val="fr-FR"/>
        </w:rPr>
        <w:t>Règle 49</w:t>
      </w:r>
      <w:r w:rsidR="00AE2167" w:rsidRPr="003356C3">
        <w:rPr>
          <w:i/>
          <w:noProof/>
          <w:lang w:val="fr-FR"/>
        </w:rPr>
        <w:t>ter</w:t>
      </w:r>
      <w:r w:rsidR="00AE2167" w:rsidRPr="003356C3">
        <w:rPr>
          <w:noProof/>
          <w:lang w:val="fr-FR"/>
        </w:rPr>
        <w:t xml:space="preserve">   Effet de la restauration du droit de priorité par l’office récepteur;   restauration du droit de priorité par l’office désigné</w:t>
      </w:r>
      <w:r w:rsidR="00AE2167" w:rsidRPr="001A609C">
        <w:rPr>
          <w:noProof/>
          <w:lang w:val="fr-FR"/>
        </w:rPr>
        <w:tab/>
      </w:r>
      <w:r w:rsidR="00AE2167">
        <w:rPr>
          <w:noProof/>
        </w:rPr>
        <w:fldChar w:fldCharType="begin"/>
      </w:r>
      <w:r w:rsidR="00AE2167" w:rsidRPr="001A609C">
        <w:rPr>
          <w:noProof/>
          <w:lang w:val="fr-FR"/>
        </w:rPr>
        <w:instrText xml:space="preserve"> PAGEREF _Toc387312019 \h </w:instrText>
      </w:r>
      <w:r w:rsidR="00AE2167">
        <w:rPr>
          <w:noProof/>
        </w:rPr>
      </w:r>
      <w:r w:rsidR="00AE2167">
        <w:rPr>
          <w:noProof/>
        </w:rPr>
        <w:fldChar w:fldCharType="separate"/>
      </w:r>
      <w:r w:rsidR="001A609C" w:rsidRPr="001A609C">
        <w:rPr>
          <w:noProof/>
          <w:lang w:val="fr-FR"/>
        </w:rPr>
        <w:t>2</w:t>
      </w:r>
      <w:r w:rsidR="00AE2167">
        <w:rPr>
          <w:noProof/>
        </w:rPr>
        <w:fldChar w:fldCharType="end"/>
      </w:r>
    </w:p>
    <w:p w:rsidR="00AE2167" w:rsidRDefault="00AE2167">
      <w:pPr>
        <w:pStyle w:val="TOC2"/>
        <w:tabs>
          <w:tab w:val="right" w:leader="dot" w:pos="9345"/>
        </w:tabs>
        <w:rPr>
          <w:rFonts w:asciiTheme="minorHAnsi" w:eastAsiaTheme="minorEastAsia" w:hAnsiTheme="minorHAnsi" w:cstheme="minorBidi"/>
          <w:noProof/>
          <w:szCs w:val="22"/>
          <w:lang w:val="fr-FR" w:eastAsia="fr-FR"/>
        </w:rPr>
      </w:pPr>
      <w:r w:rsidRPr="003356C3">
        <w:rPr>
          <w:noProof/>
          <w:lang w:val="fr-FR"/>
        </w:rPr>
        <w:t>49</w:t>
      </w:r>
      <w:r w:rsidRPr="003356C3">
        <w:rPr>
          <w:i/>
          <w:noProof/>
          <w:lang w:val="fr-FR"/>
        </w:rPr>
        <w:t>ter</w:t>
      </w:r>
      <w:r w:rsidRPr="003356C3">
        <w:rPr>
          <w:noProof/>
          <w:lang w:val="fr-FR"/>
        </w:rPr>
        <w:t>.1   </w:t>
      </w:r>
      <w:r w:rsidRPr="003356C3">
        <w:rPr>
          <w:i/>
          <w:noProof/>
          <w:lang w:val="fr-FR"/>
        </w:rPr>
        <w:t>[Sans changement]</w:t>
      </w:r>
      <w:r w:rsidRPr="001A609C">
        <w:rPr>
          <w:noProof/>
          <w:lang w:val="fr-FR"/>
        </w:rPr>
        <w:tab/>
      </w:r>
      <w:r>
        <w:rPr>
          <w:noProof/>
        </w:rPr>
        <w:fldChar w:fldCharType="begin"/>
      </w:r>
      <w:r w:rsidRPr="001A609C">
        <w:rPr>
          <w:noProof/>
          <w:lang w:val="fr-FR"/>
        </w:rPr>
        <w:instrText xml:space="preserve"> PAGEREF _Toc387312020 \h </w:instrText>
      </w:r>
      <w:r>
        <w:rPr>
          <w:noProof/>
        </w:rPr>
      </w:r>
      <w:r>
        <w:rPr>
          <w:noProof/>
        </w:rPr>
        <w:fldChar w:fldCharType="separate"/>
      </w:r>
      <w:r w:rsidR="001A609C" w:rsidRPr="001A609C">
        <w:rPr>
          <w:noProof/>
          <w:lang w:val="fr-FR"/>
        </w:rPr>
        <w:t>2</w:t>
      </w:r>
      <w:r>
        <w:rPr>
          <w:noProof/>
        </w:rPr>
        <w:fldChar w:fldCharType="end"/>
      </w:r>
    </w:p>
    <w:p w:rsidR="00AE2167" w:rsidRDefault="00AE2167">
      <w:pPr>
        <w:pStyle w:val="TOC2"/>
        <w:tabs>
          <w:tab w:val="right" w:leader="dot" w:pos="9345"/>
        </w:tabs>
        <w:rPr>
          <w:rFonts w:asciiTheme="minorHAnsi" w:eastAsiaTheme="minorEastAsia" w:hAnsiTheme="minorHAnsi" w:cstheme="minorBidi"/>
          <w:noProof/>
          <w:szCs w:val="22"/>
          <w:lang w:val="fr-FR" w:eastAsia="fr-FR"/>
        </w:rPr>
      </w:pPr>
      <w:r w:rsidRPr="003356C3">
        <w:rPr>
          <w:noProof/>
          <w:lang w:val="fr-FR"/>
        </w:rPr>
        <w:t>49</w:t>
      </w:r>
      <w:r w:rsidRPr="003356C3">
        <w:rPr>
          <w:i/>
          <w:noProof/>
          <w:lang w:val="fr-FR"/>
        </w:rPr>
        <w:t>ter</w:t>
      </w:r>
      <w:r w:rsidRPr="003356C3">
        <w:rPr>
          <w:noProof/>
          <w:lang w:val="fr-FR"/>
        </w:rPr>
        <w:t>.2   </w:t>
      </w:r>
      <w:r w:rsidRPr="003356C3">
        <w:rPr>
          <w:i/>
          <w:noProof/>
          <w:lang w:val="fr-FR"/>
        </w:rPr>
        <w:t>Restauration du droit de priorité par l’office désigné</w:t>
      </w:r>
      <w:r w:rsidRPr="001A609C">
        <w:rPr>
          <w:noProof/>
          <w:lang w:val="fr-FR"/>
        </w:rPr>
        <w:tab/>
      </w:r>
      <w:r>
        <w:rPr>
          <w:noProof/>
        </w:rPr>
        <w:fldChar w:fldCharType="begin"/>
      </w:r>
      <w:r w:rsidRPr="001A609C">
        <w:rPr>
          <w:noProof/>
          <w:lang w:val="fr-FR"/>
        </w:rPr>
        <w:instrText xml:space="preserve"> PAGEREF _Toc387312021 \h </w:instrText>
      </w:r>
      <w:r>
        <w:rPr>
          <w:noProof/>
        </w:rPr>
      </w:r>
      <w:r>
        <w:rPr>
          <w:noProof/>
        </w:rPr>
        <w:fldChar w:fldCharType="separate"/>
      </w:r>
      <w:r w:rsidR="001A609C" w:rsidRPr="001A609C">
        <w:rPr>
          <w:noProof/>
          <w:lang w:val="fr-FR"/>
        </w:rPr>
        <w:t>2</w:t>
      </w:r>
      <w:r>
        <w:rPr>
          <w:noProof/>
        </w:rPr>
        <w:fldChar w:fldCharType="end"/>
      </w:r>
    </w:p>
    <w:p w:rsidR="00AE2167" w:rsidRDefault="00AE2167">
      <w:pPr>
        <w:pStyle w:val="TOC1"/>
        <w:tabs>
          <w:tab w:val="right" w:leader="dot" w:pos="9345"/>
        </w:tabs>
        <w:rPr>
          <w:rFonts w:asciiTheme="minorHAnsi" w:eastAsiaTheme="minorEastAsia" w:hAnsiTheme="minorHAnsi" w:cstheme="minorBidi"/>
          <w:noProof/>
          <w:szCs w:val="22"/>
          <w:lang w:val="fr-FR" w:eastAsia="fr-FR"/>
        </w:rPr>
      </w:pPr>
      <w:r w:rsidRPr="003356C3">
        <w:rPr>
          <w:noProof/>
          <w:lang w:val="fr-FR"/>
        </w:rPr>
        <w:t>Règle 76   Traduction du document de priorité;   application de certaines règles aux procédures au sein des offices élus</w:t>
      </w:r>
      <w:r w:rsidRPr="001A609C">
        <w:rPr>
          <w:noProof/>
          <w:lang w:val="fr-FR"/>
        </w:rPr>
        <w:tab/>
      </w:r>
      <w:r>
        <w:rPr>
          <w:noProof/>
        </w:rPr>
        <w:fldChar w:fldCharType="begin"/>
      </w:r>
      <w:r w:rsidRPr="001A609C">
        <w:rPr>
          <w:noProof/>
          <w:lang w:val="fr-FR"/>
        </w:rPr>
        <w:instrText xml:space="preserve"> PAGEREF _Toc387312022 \h </w:instrText>
      </w:r>
      <w:r>
        <w:rPr>
          <w:noProof/>
        </w:rPr>
      </w:r>
      <w:r>
        <w:rPr>
          <w:noProof/>
        </w:rPr>
        <w:fldChar w:fldCharType="separate"/>
      </w:r>
      <w:r w:rsidR="001A609C" w:rsidRPr="001A609C">
        <w:rPr>
          <w:noProof/>
          <w:lang w:val="fr-FR"/>
        </w:rPr>
        <w:t>3</w:t>
      </w:r>
      <w:r>
        <w:rPr>
          <w:noProof/>
        </w:rPr>
        <w:fldChar w:fldCharType="end"/>
      </w:r>
    </w:p>
    <w:p w:rsidR="00AE2167" w:rsidRDefault="00AE2167">
      <w:pPr>
        <w:pStyle w:val="TOC2"/>
        <w:tabs>
          <w:tab w:val="right" w:leader="dot" w:pos="9345"/>
        </w:tabs>
        <w:rPr>
          <w:rFonts w:asciiTheme="minorHAnsi" w:eastAsiaTheme="minorEastAsia" w:hAnsiTheme="minorHAnsi" w:cstheme="minorBidi"/>
          <w:noProof/>
          <w:szCs w:val="22"/>
          <w:lang w:val="fr-FR" w:eastAsia="fr-FR"/>
        </w:rPr>
      </w:pPr>
      <w:r w:rsidRPr="003356C3">
        <w:rPr>
          <w:noProof/>
          <w:lang w:val="fr-FR"/>
        </w:rPr>
        <w:t>76.1 à 76.4   </w:t>
      </w:r>
      <w:r w:rsidRPr="003356C3">
        <w:rPr>
          <w:i/>
          <w:noProof/>
          <w:lang w:val="fr-FR"/>
        </w:rPr>
        <w:t>[Sans changement]</w:t>
      </w:r>
      <w:r w:rsidRPr="001A609C">
        <w:rPr>
          <w:noProof/>
          <w:lang w:val="fr-FR"/>
        </w:rPr>
        <w:tab/>
      </w:r>
      <w:r>
        <w:rPr>
          <w:noProof/>
        </w:rPr>
        <w:fldChar w:fldCharType="begin"/>
      </w:r>
      <w:r w:rsidRPr="001A609C">
        <w:rPr>
          <w:noProof/>
          <w:lang w:val="fr-FR"/>
        </w:rPr>
        <w:instrText xml:space="preserve"> PAGEREF _Toc387312023 \h </w:instrText>
      </w:r>
      <w:r>
        <w:rPr>
          <w:noProof/>
        </w:rPr>
      </w:r>
      <w:r>
        <w:rPr>
          <w:noProof/>
        </w:rPr>
        <w:fldChar w:fldCharType="separate"/>
      </w:r>
      <w:r w:rsidR="001A609C" w:rsidRPr="001A609C">
        <w:rPr>
          <w:noProof/>
          <w:lang w:val="fr-FR"/>
        </w:rPr>
        <w:t>3</w:t>
      </w:r>
      <w:r>
        <w:rPr>
          <w:noProof/>
        </w:rPr>
        <w:fldChar w:fldCharType="end"/>
      </w:r>
    </w:p>
    <w:p w:rsidR="00AE2167" w:rsidRDefault="00AE2167">
      <w:pPr>
        <w:pStyle w:val="TOC2"/>
        <w:tabs>
          <w:tab w:val="right" w:leader="dot" w:pos="9345"/>
        </w:tabs>
        <w:rPr>
          <w:rFonts w:asciiTheme="minorHAnsi" w:eastAsiaTheme="minorEastAsia" w:hAnsiTheme="minorHAnsi" w:cstheme="minorBidi"/>
          <w:noProof/>
          <w:szCs w:val="22"/>
          <w:lang w:val="fr-FR" w:eastAsia="fr-FR"/>
        </w:rPr>
      </w:pPr>
      <w:r w:rsidRPr="003356C3">
        <w:rPr>
          <w:noProof/>
          <w:lang w:val="fr-FR"/>
        </w:rPr>
        <w:t>76.5   </w:t>
      </w:r>
      <w:r w:rsidRPr="003356C3">
        <w:rPr>
          <w:i/>
          <w:noProof/>
          <w:lang w:val="fr-FR"/>
        </w:rPr>
        <w:t>Application de certaines règles aux procédures au sein des offices élus</w:t>
      </w:r>
      <w:r w:rsidRPr="001A609C">
        <w:rPr>
          <w:noProof/>
          <w:lang w:val="fr-FR"/>
        </w:rPr>
        <w:tab/>
      </w:r>
      <w:r>
        <w:rPr>
          <w:noProof/>
        </w:rPr>
        <w:fldChar w:fldCharType="begin"/>
      </w:r>
      <w:r w:rsidRPr="001A609C">
        <w:rPr>
          <w:noProof/>
          <w:lang w:val="fr-FR"/>
        </w:rPr>
        <w:instrText xml:space="preserve"> PAGEREF _Toc387312024 \h </w:instrText>
      </w:r>
      <w:r>
        <w:rPr>
          <w:noProof/>
        </w:rPr>
      </w:r>
      <w:r>
        <w:rPr>
          <w:noProof/>
        </w:rPr>
        <w:fldChar w:fldCharType="separate"/>
      </w:r>
      <w:r w:rsidR="001A609C" w:rsidRPr="001A609C">
        <w:rPr>
          <w:noProof/>
          <w:lang w:val="fr-FR"/>
        </w:rPr>
        <w:t>3</w:t>
      </w:r>
      <w:r>
        <w:rPr>
          <w:noProof/>
        </w:rPr>
        <w:fldChar w:fldCharType="end"/>
      </w:r>
    </w:p>
    <w:p w:rsidR="00AE2167" w:rsidRDefault="00AE2167">
      <w:pPr>
        <w:pStyle w:val="TOC1"/>
        <w:tabs>
          <w:tab w:val="right" w:leader="dot" w:pos="9345"/>
        </w:tabs>
        <w:rPr>
          <w:rFonts w:asciiTheme="minorHAnsi" w:eastAsiaTheme="minorEastAsia" w:hAnsiTheme="minorHAnsi" w:cstheme="minorBidi"/>
          <w:noProof/>
          <w:szCs w:val="22"/>
          <w:lang w:val="fr-FR" w:eastAsia="fr-FR"/>
        </w:rPr>
      </w:pPr>
      <w:r w:rsidRPr="003356C3">
        <w:rPr>
          <w:noProof/>
          <w:lang w:val="fr-FR"/>
        </w:rPr>
        <w:t>Règle 90   Mandataires et représentants communs</w:t>
      </w:r>
      <w:r w:rsidRPr="001A609C">
        <w:rPr>
          <w:noProof/>
          <w:lang w:val="fr-FR"/>
        </w:rPr>
        <w:tab/>
      </w:r>
      <w:r>
        <w:rPr>
          <w:noProof/>
        </w:rPr>
        <w:fldChar w:fldCharType="begin"/>
      </w:r>
      <w:r w:rsidRPr="001A609C">
        <w:rPr>
          <w:noProof/>
          <w:lang w:val="fr-FR"/>
        </w:rPr>
        <w:instrText xml:space="preserve"> PAGEREF _Toc387312025 \h </w:instrText>
      </w:r>
      <w:r>
        <w:rPr>
          <w:noProof/>
        </w:rPr>
      </w:r>
      <w:r>
        <w:rPr>
          <w:noProof/>
        </w:rPr>
        <w:fldChar w:fldCharType="separate"/>
      </w:r>
      <w:r w:rsidR="001A609C" w:rsidRPr="001A609C">
        <w:rPr>
          <w:noProof/>
          <w:lang w:val="fr-FR"/>
        </w:rPr>
        <w:t>4</w:t>
      </w:r>
      <w:r>
        <w:rPr>
          <w:noProof/>
        </w:rPr>
        <w:fldChar w:fldCharType="end"/>
      </w:r>
    </w:p>
    <w:p w:rsidR="00AE2167" w:rsidRDefault="00AE2167">
      <w:pPr>
        <w:pStyle w:val="TOC2"/>
        <w:tabs>
          <w:tab w:val="right" w:leader="dot" w:pos="9345"/>
        </w:tabs>
        <w:rPr>
          <w:rFonts w:asciiTheme="minorHAnsi" w:eastAsiaTheme="minorEastAsia" w:hAnsiTheme="minorHAnsi" w:cstheme="minorBidi"/>
          <w:noProof/>
          <w:szCs w:val="22"/>
          <w:lang w:val="fr-FR" w:eastAsia="fr-FR"/>
        </w:rPr>
      </w:pPr>
      <w:r w:rsidRPr="003356C3">
        <w:rPr>
          <w:noProof/>
          <w:lang w:val="fr-FR"/>
        </w:rPr>
        <w:t>90.1 et 90.2   </w:t>
      </w:r>
      <w:r w:rsidRPr="003356C3">
        <w:rPr>
          <w:i/>
          <w:noProof/>
          <w:lang w:val="fr-FR"/>
        </w:rPr>
        <w:t>[Sans changement]</w:t>
      </w:r>
      <w:r w:rsidRPr="001A609C">
        <w:rPr>
          <w:noProof/>
          <w:lang w:val="fr-FR"/>
        </w:rPr>
        <w:tab/>
      </w:r>
      <w:r>
        <w:rPr>
          <w:noProof/>
        </w:rPr>
        <w:fldChar w:fldCharType="begin"/>
      </w:r>
      <w:r w:rsidRPr="001A609C">
        <w:rPr>
          <w:noProof/>
          <w:lang w:val="fr-FR"/>
        </w:rPr>
        <w:instrText xml:space="preserve"> PAGEREF _Toc387312026 \h </w:instrText>
      </w:r>
      <w:r>
        <w:rPr>
          <w:noProof/>
        </w:rPr>
      </w:r>
      <w:r>
        <w:rPr>
          <w:noProof/>
        </w:rPr>
        <w:fldChar w:fldCharType="separate"/>
      </w:r>
      <w:r w:rsidR="001A609C" w:rsidRPr="001A609C">
        <w:rPr>
          <w:noProof/>
          <w:lang w:val="fr-FR"/>
        </w:rPr>
        <w:t>4</w:t>
      </w:r>
      <w:r>
        <w:rPr>
          <w:noProof/>
        </w:rPr>
        <w:fldChar w:fldCharType="end"/>
      </w:r>
    </w:p>
    <w:p w:rsidR="00AE2167" w:rsidRDefault="00AE2167">
      <w:pPr>
        <w:pStyle w:val="TOC2"/>
        <w:tabs>
          <w:tab w:val="right" w:leader="dot" w:pos="9345"/>
        </w:tabs>
        <w:rPr>
          <w:rFonts w:asciiTheme="minorHAnsi" w:eastAsiaTheme="minorEastAsia" w:hAnsiTheme="minorHAnsi" w:cstheme="minorBidi"/>
          <w:noProof/>
          <w:szCs w:val="22"/>
          <w:lang w:val="fr-FR" w:eastAsia="fr-FR"/>
        </w:rPr>
      </w:pPr>
      <w:r w:rsidRPr="003356C3">
        <w:rPr>
          <w:noProof/>
          <w:lang w:val="fr-FR"/>
        </w:rPr>
        <w:t>90.3   </w:t>
      </w:r>
      <w:r w:rsidRPr="003356C3">
        <w:rPr>
          <w:i/>
          <w:noProof/>
          <w:lang w:val="fr-FR"/>
        </w:rPr>
        <w:t>Effets des actes effectués par les mandataires et les représentants communs ou à leur intention</w:t>
      </w:r>
      <w:r w:rsidRPr="001A609C">
        <w:rPr>
          <w:noProof/>
          <w:lang w:val="fr-FR"/>
        </w:rPr>
        <w:tab/>
      </w:r>
      <w:r>
        <w:rPr>
          <w:noProof/>
        </w:rPr>
        <w:fldChar w:fldCharType="begin"/>
      </w:r>
      <w:r w:rsidRPr="001A609C">
        <w:rPr>
          <w:noProof/>
          <w:lang w:val="fr-FR"/>
        </w:rPr>
        <w:instrText xml:space="preserve"> PAGEREF _Toc387312027 \h </w:instrText>
      </w:r>
      <w:r>
        <w:rPr>
          <w:noProof/>
        </w:rPr>
      </w:r>
      <w:r>
        <w:rPr>
          <w:noProof/>
        </w:rPr>
        <w:fldChar w:fldCharType="separate"/>
      </w:r>
      <w:r w:rsidR="001A609C" w:rsidRPr="001A609C">
        <w:rPr>
          <w:noProof/>
          <w:lang w:val="fr-FR"/>
        </w:rPr>
        <w:t>4</w:t>
      </w:r>
      <w:r>
        <w:rPr>
          <w:noProof/>
        </w:rPr>
        <w:fldChar w:fldCharType="end"/>
      </w:r>
    </w:p>
    <w:p w:rsidR="00AE2167" w:rsidRDefault="00AE2167">
      <w:pPr>
        <w:pStyle w:val="TOC2"/>
        <w:tabs>
          <w:tab w:val="right" w:leader="dot" w:pos="9345"/>
        </w:tabs>
        <w:rPr>
          <w:rFonts w:asciiTheme="minorHAnsi" w:eastAsiaTheme="minorEastAsia" w:hAnsiTheme="minorHAnsi" w:cstheme="minorBidi"/>
          <w:noProof/>
          <w:szCs w:val="22"/>
          <w:lang w:val="fr-FR" w:eastAsia="fr-FR"/>
        </w:rPr>
      </w:pPr>
      <w:r w:rsidRPr="003356C3">
        <w:rPr>
          <w:noProof/>
          <w:lang w:val="fr-FR"/>
        </w:rPr>
        <w:t>90.4 à 90.6   </w:t>
      </w:r>
      <w:r w:rsidRPr="003356C3">
        <w:rPr>
          <w:i/>
          <w:noProof/>
          <w:lang w:val="fr-FR"/>
        </w:rPr>
        <w:t>[Sans changement]</w:t>
      </w:r>
      <w:r w:rsidRPr="001A609C">
        <w:rPr>
          <w:noProof/>
          <w:lang w:val="fr-FR"/>
        </w:rPr>
        <w:tab/>
      </w:r>
      <w:r>
        <w:rPr>
          <w:noProof/>
        </w:rPr>
        <w:fldChar w:fldCharType="begin"/>
      </w:r>
      <w:r w:rsidRPr="001A609C">
        <w:rPr>
          <w:noProof/>
          <w:lang w:val="fr-FR"/>
        </w:rPr>
        <w:instrText xml:space="preserve"> PAGEREF _Toc387312028 \h </w:instrText>
      </w:r>
      <w:r>
        <w:rPr>
          <w:noProof/>
        </w:rPr>
      </w:r>
      <w:r>
        <w:rPr>
          <w:noProof/>
        </w:rPr>
        <w:fldChar w:fldCharType="separate"/>
      </w:r>
      <w:r w:rsidR="001A609C" w:rsidRPr="001A609C">
        <w:rPr>
          <w:noProof/>
          <w:lang w:val="fr-FR"/>
        </w:rPr>
        <w:t>4</w:t>
      </w:r>
      <w:r>
        <w:rPr>
          <w:noProof/>
        </w:rPr>
        <w:fldChar w:fldCharType="end"/>
      </w:r>
    </w:p>
    <w:p w:rsidR="00AE2167" w:rsidRDefault="00AE2167">
      <w:pPr>
        <w:pStyle w:val="TOC1"/>
        <w:tabs>
          <w:tab w:val="right" w:leader="dot" w:pos="9345"/>
        </w:tabs>
        <w:rPr>
          <w:rFonts w:asciiTheme="minorHAnsi" w:eastAsiaTheme="minorEastAsia" w:hAnsiTheme="minorHAnsi" w:cstheme="minorBidi"/>
          <w:noProof/>
          <w:szCs w:val="22"/>
          <w:lang w:val="fr-FR" w:eastAsia="fr-FR"/>
        </w:rPr>
      </w:pPr>
      <w:r w:rsidRPr="003356C3">
        <w:rPr>
          <w:noProof/>
          <w:lang w:val="fr-FR"/>
        </w:rPr>
        <w:t>BARÈME DES TAXES</w:t>
      </w:r>
      <w:r w:rsidRPr="001A609C">
        <w:rPr>
          <w:noProof/>
          <w:lang w:val="fr-FR"/>
        </w:rPr>
        <w:tab/>
      </w:r>
      <w:r>
        <w:rPr>
          <w:noProof/>
        </w:rPr>
        <w:fldChar w:fldCharType="begin"/>
      </w:r>
      <w:r w:rsidRPr="001A609C">
        <w:rPr>
          <w:noProof/>
          <w:lang w:val="fr-FR"/>
        </w:rPr>
        <w:instrText xml:space="preserve"> PAGEREF _Toc387312029 \h </w:instrText>
      </w:r>
      <w:r>
        <w:rPr>
          <w:noProof/>
        </w:rPr>
      </w:r>
      <w:r>
        <w:rPr>
          <w:noProof/>
        </w:rPr>
        <w:fldChar w:fldCharType="separate"/>
      </w:r>
      <w:r w:rsidR="001A609C" w:rsidRPr="001A609C">
        <w:rPr>
          <w:noProof/>
          <w:lang w:val="fr-FR"/>
        </w:rPr>
        <w:t>5</w:t>
      </w:r>
      <w:r>
        <w:rPr>
          <w:noProof/>
        </w:rPr>
        <w:fldChar w:fldCharType="end"/>
      </w:r>
    </w:p>
    <w:p w:rsidR="006C7B53" w:rsidRPr="00CA6E79" w:rsidRDefault="000A6D13" w:rsidP="002A1BB2">
      <w:pPr>
        <w:pStyle w:val="Endofdocument-Annex"/>
        <w:ind w:left="0"/>
        <w:rPr>
          <w:lang w:val="fr-FR"/>
        </w:rPr>
      </w:pPr>
      <w:r w:rsidRPr="00CA6E79">
        <w:rPr>
          <w:lang w:val="fr-FR"/>
        </w:rPr>
        <w:fldChar w:fldCharType="end"/>
      </w:r>
    </w:p>
    <w:p w:rsidR="006C7B53" w:rsidRPr="00CA6E79" w:rsidRDefault="00B64025" w:rsidP="000A6D13">
      <w:pPr>
        <w:pStyle w:val="LegTitle"/>
        <w:rPr>
          <w:lang w:val="fr-FR"/>
        </w:rPr>
      </w:pPr>
      <w:bookmarkStart w:id="5" w:name="_Toc387312019"/>
      <w:bookmarkStart w:id="6" w:name="_Toc358360712"/>
      <w:r w:rsidRPr="00CA6E79">
        <w:rPr>
          <w:lang w:val="fr-FR"/>
        </w:rPr>
        <w:lastRenderedPageBreak/>
        <w:t>Règle</w:t>
      </w:r>
      <w:r w:rsidR="002D07DA" w:rsidRPr="00CA6E79">
        <w:rPr>
          <w:lang w:val="fr-FR"/>
        </w:rPr>
        <w:t> </w:t>
      </w:r>
      <w:r w:rsidRPr="00CA6E79">
        <w:rPr>
          <w:lang w:val="fr-FR"/>
        </w:rPr>
        <w:t>49</w:t>
      </w:r>
      <w:r w:rsidRPr="00CA6E79">
        <w:rPr>
          <w:i/>
          <w:lang w:val="fr-FR"/>
        </w:rPr>
        <w:t>ter</w:t>
      </w:r>
      <w:r w:rsidR="00C74C19" w:rsidRPr="00CA6E79">
        <w:rPr>
          <w:lang w:val="fr-FR"/>
        </w:rPr>
        <w:t xml:space="preserve"> </w:t>
      </w:r>
      <w:r w:rsidRPr="00CA6E79">
        <w:rPr>
          <w:lang w:val="fr-FR"/>
        </w:rPr>
        <w:t xml:space="preserve"> </w:t>
      </w:r>
      <w:r w:rsidR="002164E3" w:rsidRPr="00CA6E79">
        <w:rPr>
          <w:lang w:val="fr-FR"/>
        </w:rPr>
        <w:br/>
      </w:r>
      <w:r w:rsidRPr="00CA6E79">
        <w:rPr>
          <w:lang w:val="fr-FR"/>
        </w:rPr>
        <w:t>Effet de la restauration du droit de priorité par l</w:t>
      </w:r>
      <w:r w:rsidR="00892E0E" w:rsidRPr="00CA6E79">
        <w:rPr>
          <w:lang w:val="fr-FR"/>
        </w:rPr>
        <w:t>’</w:t>
      </w:r>
      <w:r w:rsidRPr="00CA6E79">
        <w:rPr>
          <w:lang w:val="fr-FR"/>
        </w:rPr>
        <w:t xml:space="preserve">office récepteur; </w:t>
      </w:r>
      <w:r w:rsidR="002D07DA" w:rsidRPr="00CA6E79">
        <w:rPr>
          <w:lang w:val="fr-FR"/>
        </w:rPr>
        <w:t xml:space="preserve"> </w:t>
      </w:r>
      <w:r w:rsidR="002164E3" w:rsidRPr="00CA6E79">
        <w:rPr>
          <w:lang w:val="fr-FR"/>
        </w:rPr>
        <w:br/>
      </w:r>
      <w:r w:rsidRPr="00CA6E79">
        <w:rPr>
          <w:lang w:val="fr-FR"/>
        </w:rPr>
        <w:t>restauration du droit de priorité par l</w:t>
      </w:r>
      <w:r w:rsidR="00892E0E" w:rsidRPr="00CA6E79">
        <w:rPr>
          <w:lang w:val="fr-FR"/>
        </w:rPr>
        <w:t>’</w:t>
      </w:r>
      <w:r w:rsidRPr="00CA6E79">
        <w:rPr>
          <w:lang w:val="fr-FR"/>
        </w:rPr>
        <w:t>office désigné</w:t>
      </w:r>
      <w:bookmarkEnd w:id="5"/>
    </w:p>
    <w:p w:rsidR="006C7B53" w:rsidRPr="00CA6E79" w:rsidRDefault="00B64025" w:rsidP="00B64025">
      <w:pPr>
        <w:pStyle w:val="LegSubRule"/>
        <w:rPr>
          <w:lang w:val="fr-FR"/>
        </w:rPr>
      </w:pPr>
      <w:bookmarkStart w:id="7" w:name="_Toc387312020"/>
      <w:bookmarkStart w:id="8" w:name="_Toc100481229"/>
      <w:bookmarkStart w:id="9" w:name="_Toc105480536"/>
      <w:bookmarkStart w:id="10" w:name="_Toc116097074"/>
      <w:r w:rsidRPr="00CA6E79">
        <w:rPr>
          <w:lang w:val="fr-FR"/>
        </w:rPr>
        <w:t>49</w:t>
      </w:r>
      <w:r w:rsidRPr="00CA6E79">
        <w:rPr>
          <w:i/>
          <w:lang w:val="fr-FR"/>
        </w:rPr>
        <w:t>ter</w:t>
      </w:r>
      <w:r w:rsidRPr="00CA6E79">
        <w:rPr>
          <w:lang w:val="fr-FR"/>
        </w:rPr>
        <w:t>.1 </w:t>
      </w:r>
      <w:r w:rsidR="00734E6A" w:rsidRPr="00CA6E79">
        <w:rPr>
          <w:lang w:val="fr-FR"/>
        </w:rPr>
        <w:t> </w:t>
      </w:r>
      <w:r w:rsidRPr="00CA6E79">
        <w:rPr>
          <w:lang w:val="fr-FR"/>
        </w:rPr>
        <w:t> </w:t>
      </w:r>
      <w:r w:rsidRPr="00CA6E79">
        <w:rPr>
          <w:i/>
          <w:lang w:val="fr-FR"/>
        </w:rPr>
        <w:t>[Sans changement]</w:t>
      </w:r>
      <w:bookmarkEnd w:id="7"/>
    </w:p>
    <w:p w:rsidR="006C7B53" w:rsidRPr="00CA6E79" w:rsidRDefault="00B64025" w:rsidP="00B64025">
      <w:pPr>
        <w:pStyle w:val="LegSubRule"/>
        <w:rPr>
          <w:lang w:val="fr-FR"/>
        </w:rPr>
      </w:pPr>
      <w:bookmarkStart w:id="11" w:name="_Toc387312021"/>
      <w:bookmarkEnd w:id="8"/>
      <w:bookmarkEnd w:id="9"/>
      <w:bookmarkEnd w:id="10"/>
      <w:r w:rsidRPr="00CA6E79">
        <w:rPr>
          <w:lang w:val="fr-FR"/>
        </w:rPr>
        <w:t>49</w:t>
      </w:r>
      <w:r w:rsidRPr="00CA6E79">
        <w:rPr>
          <w:i/>
          <w:lang w:val="fr-FR"/>
        </w:rPr>
        <w:t>ter</w:t>
      </w:r>
      <w:r w:rsidRPr="00CA6E79">
        <w:rPr>
          <w:lang w:val="fr-FR"/>
        </w:rPr>
        <w:t>.2 </w:t>
      </w:r>
      <w:r w:rsidR="00734E6A" w:rsidRPr="00CA6E79">
        <w:rPr>
          <w:lang w:val="fr-FR"/>
        </w:rPr>
        <w:t> </w:t>
      </w:r>
      <w:r w:rsidRPr="00CA6E79">
        <w:rPr>
          <w:lang w:val="fr-FR"/>
        </w:rPr>
        <w:t> </w:t>
      </w:r>
      <w:r w:rsidRPr="00CA6E79">
        <w:rPr>
          <w:i/>
          <w:lang w:val="fr-FR"/>
        </w:rPr>
        <w:t>Restauration du droit de priorité par l</w:t>
      </w:r>
      <w:r w:rsidR="00892E0E" w:rsidRPr="00CA6E79">
        <w:rPr>
          <w:i/>
          <w:lang w:val="fr-FR"/>
        </w:rPr>
        <w:t>’</w:t>
      </w:r>
      <w:r w:rsidRPr="00CA6E79">
        <w:rPr>
          <w:i/>
          <w:lang w:val="fr-FR"/>
        </w:rPr>
        <w:t>office désigné</w:t>
      </w:r>
      <w:bookmarkEnd w:id="11"/>
    </w:p>
    <w:p w:rsidR="006C7B53" w:rsidRPr="00CA6E79" w:rsidRDefault="000D1EBC" w:rsidP="00CF4BBD">
      <w:pPr>
        <w:pStyle w:val="Lega"/>
        <w:tabs>
          <w:tab w:val="clear" w:pos="454"/>
        </w:tabs>
        <w:jc w:val="left"/>
        <w:rPr>
          <w:lang w:val="fr-FR"/>
        </w:rPr>
      </w:pPr>
      <w:r w:rsidRPr="00CA6E79">
        <w:rPr>
          <w:lang w:val="fr-FR"/>
        </w:rPr>
        <w:tab/>
      </w:r>
      <w:r w:rsidR="00B64025" w:rsidRPr="00CA6E79">
        <w:rPr>
          <w:lang w:val="fr-FR"/>
        </w:rPr>
        <w:t>a)</w:t>
      </w:r>
      <w:r w:rsidR="00734E6A" w:rsidRPr="00CA6E79">
        <w:rPr>
          <w:lang w:val="fr-FR"/>
        </w:rPr>
        <w:t>  </w:t>
      </w:r>
      <w:r w:rsidR="00DF67D8">
        <w:rPr>
          <w:lang w:val="fr-FR"/>
        </w:rPr>
        <w:t>[Sans changement]  </w:t>
      </w:r>
      <w:r w:rsidR="00B64025" w:rsidRPr="00CA6E79">
        <w:rPr>
          <w:lang w:val="fr-FR"/>
        </w:rPr>
        <w:t>Lorsque la demande internationale revendique la priorité d</w:t>
      </w:r>
      <w:r w:rsidR="00892E0E" w:rsidRPr="00CA6E79">
        <w:rPr>
          <w:lang w:val="fr-FR"/>
        </w:rPr>
        <w:t>’</w:t>
      </w:r>
      <w:r w:rsidR="00B64025" w:rsidRPr="00CA6E79">
        <w:rPr>
          <w:lang w:val="fr-FR"/>
        </w:rPr>
        <w:t>une demande antérieure et a une date de dépôt international qui est postérieure à la date d</w:t>
      </w:r>
      <w:r w:rsidR="00892E0E" w:rsidRPr="00CA6E79">
        <w:rPr>
          <w:lang w:val="fr-FR"/>
        </w:rPr>
        <w:t>’</w:t>
      </w:r>
      <w:r w:rsidR="00B64025" w:rsidRPr="00CA6E79">
        <w:rPr>
          <w:lang w:val="fr-FR"/>
        </w:rPr>
        <w:t>expiration du délai de priorité mais qui s</w:t>
      </w:r>
      <w:r w:rsidR="00892E0E" w:rsidRPr="00CA6E79">
        <w:rPr>
          <w:lang w:val="fr-FR"/>
        </w:rPr>
        <w:t>’</w:t>
      </w:r>
      <w:r w:rsidR="00B64025" w:rsidRPr="00CA6E79">
        <w:rPr>
          <w:lang w:val="fr-FR"/>
        </w:rPr>
        <w:t>inscrit dans un délai de deux mois à compter de cette date, l</w:t>
      </w:r>
      <w:r w:rsidR="00892E0E" w:rsidRPr="00CA6E79">
        <w:rPr>
          <w:lang w:val="fr-FR"/>
        </w:rPr>
        <w:t>’</w:t>
      </w:r>
      <w:r w:rsidR="00B64025" w:rsidRPr="00CA6E79">
        <w:rPr>
          <w:lang w:val="fr-FR"/>
        </w:rPr>
        <w:t>office désigné, sur requête du déposant, restaure le droit de priorité conformément à l</w:t>
      </w:r>
      <w:r w:rsidR="00892E0E" w:rsidRPr="00CA6E79">
        <w:rPr>
          <w:lang w:val="fr-FR"/>
        </w:rPr>
        <w:t>’</w:t>
      </w:r>
      <w:r w:rsidR="00B64025" w:rsidRPr="00CA6E79">
        <w:rPr>
          <w:lang w:val="fr-FR"/>
        </w:rPr>
        <w:t>alinéa b) s</w:t>
      </w:r>
      <w:r w:rsidR="00892E0E" w:rsidRPr="00CA6E79">
        <w:rPr>
          <w:lang w:val="fr-FR"/>
        </w:rPr>
        <w:t>’</w:t>
      </w:r>
      <w:r w:rsidR="00B64025" w:rsidRPr="00CA6E79">
        <w:rPr>
          <w:lang w:val="fr-FR"/>
        </w:rPr>
        <w:t>il constate qu</w:t>
      </w:r>
      <w:r w:rsidR="00892E0E" w:rsidRPr="00CA6E79">
        <w:rPr>
          <w:lang w:val="fr-FR"/>
        </w:rPr>
        <w:t>’</w:t>
      </w:r>
      <w:r w:rsidR="00B64025" w:rsidRPr="00CA6E79">
        <w:rPr>
          <w:lang w:val="fr-FR"/>
        </w:rPr>
        <w:t>il est satisfait à un critère appliqué par lui (“critère de restauration”), c</w:t>
      </w:r>
      <w:r w:rsidR="00892E0E" w:rsidRPr="00CA6E79">
        <w:rPr>
          <w:lang w:val="fr-FR"/>
        </w:rPr>
        <w:t>’</w:t>
      </w:r>
      <w:r w:rsidR="00B64025" w:rsidRPr="00CA6E79">
        <w:rPr>
          <w:lang w:val="fr-FR"/>
        </w:rPr>
        <w:t>est</w:t>
      </w:r>
      <w:r w:rsidR="000C2438" w:rsidRPr="00CA6E79">
        <w:rPr>
          <w:lang w:val="fr-FR"/>
        </w:rPr>
        <w:noBreakHyphen/>
      </w:r>
      <w:r w:rsidR="00B64025" w:rsidRPr="00CA6E79">
        <w:rPr>
          <w:lang w:val="fr-FR"/>
        </w:rPr>
        <w:t>à</w:t>
      </w:r>
      <w:r w:rsidR="000C2438" w:rsidRPr="00CA6E79">
        <w:rPr>
          <w:lang w:val="fr-FR"/>
        </w:rPr>
        <w:noBreakHyphen/>
      </w:r>
      <w:r w:rsidR="00B64025" w:rsidRPr="00CA6E79">
        <w:rPr>
          <w:lang w:val="fr-FR"/>
        </w:rPr>
        <w:t>dire que la demande internationale n</w:t>
      </w:r>
      <w:r w:rsidR="00892E0E" w:rsidRPr="00CA6E79">
        <w:rPr>
          <w:lang w:val="fr-FR"/>
        </w:rPr>
        <w:t>’</w:t>
      </w:r>
      <w:r w:rsidR="00B64025" w:rsidRPr="00CA6E79">
        <w:rPr>
          <w:lang w:val="fr-FR"/>
        </w:rPr>
        <w:t>a pas été déposée dans le délai de priorité</w:t>
      </w:r>
      <w:r w:rsidR="002D07DA" w:rsidRPr="00CA6E79">
        <w:rPr>
          <w:lang w:val="fr-FR"/>
        </w:rPr>
        <w:t> </w:t>
      </w:r>
      <w:r w:rsidR="00B64025" w:rsidRPr="00CA6E79">
        <w:rPr>
          <w:lang w:val="fr-FR"/>
        </w:rPr>
        <w:t>:</w:t>
      </w:r>
    </w:p>
    <w:p w:rsidR="006C7B53" w:rsidRPr="00CA6E79" w:rsidRDefault="000D1EBC" w:rsidP="00CF4BBD">
      <w:pPr>
        <w:pStyle w:val="Legi"/>
        <w:tabs>
          <w:tab w:val="clear" w:pos="1020"/>
          <w:tab w:val="clear" w:pos="1191"/>
        </w:tabs>
        <w:jc w:val="left"/>
        <w:rPr>
          <w:lang w:val="fr-FR"/>
        </w:rPr>
      </w:pPr>
      <w:r w:rsidRPr="00CA6E79">
        <w:rPr>
          <w:lang w:val="fr-FR"/>
        </w:rPr>
        <w:tab/>
      </w:r>
      <w:r w:rsidR="00CF4BBD" w:rsidRPr="00CA6E79">
        <w:rPr>
          <w:lang w:val="fr-FR"/>
        </w:rPr>
        <w:tab/>
        <w:t>i)</w:t>
      </w:r>
      <w:r w:rsidR="00734E6A" w:rsidRPr="00CA6E79">
        <w:rPr>
          <w:lang w:val="fr-FR"/>
        </w:rPr>
        <w:t>  </w:t>
      </w:r>
      <w:r w:rsidR="00B64025" w:rsidRPr="00CA6E79">
        <w:rPr>
          <w:lang w:val="fr-FR"/>
        </w:rPr>
        <w:t>bien que la diligence requise en l</w:t>
      </w:r>
      <w:r w:rsidR="00892E0E" w:rsidRPr="00CA6E79">
        <w:rPr>
          <w:lang w:val="fr-FR"/>
        </w:rPr>
        <w:t>’</w:t>
      </w:r>
      <w:r w:rsidR="00B64025" w:rsidRPr="00CA6E79">
        <w:rPr>
          <w:lang w:val="fr-FR"/>
        </w:rPr>
        <w:t>espèce ait été exercée, ou</w:t>
      </w:r>
    </w:p>
    <w:p w:rsidR="006C7B53" w:rsidRPr="00CA6E79" w:rsidRDefault="000D1EBC" w:rsidP="00CF4BBD">
      <w:pPr>
        <w:pStyle w:val="Legi"/>
        <w:tabs>
          <w:tab w:val="clear" w:pos="1020"/>
          <w:tab w:val="clear" w:pos="1191"/>
        </w:tabs>
        <w:jc w:val="left"/>
        <w:rPr>
          <w:lang w:val="fr-FR"/>
        </w:rPr>
      </w:pPr>
      <w:r w:rsidRPr="00CA6E79">
        <w:rPr>
          <w:lang w:val="fr-FR"/>
        </w:rPr>
        <w:tab/>
      </w:r>
      <w:r w:rsidR="00CF4BBD" w:rsidRPr="00CA6E79">
        <w:rPr>
          <w:lang w:val="fr-FR"/>
        </w:rPr>
        <w:tab/>
        <w:t>ii)</w:t>
      </w:r>
      <w:r w:rsidR="00734E6A" w:rsidRPr="00CA6E79">
        <w:rPr>
          <w:lang w:val="fr-FR"/>
        </w:rPr>
        <w:t>  </w:t>
      </w:r>
      <w:r w:rsidR="00B64025" w:rsidRPr="00CA6E79">
        <w:rPr>
          <w:lang w:val="fr-FR"/>
        </w:rPr>
        <w:t>bien que l</w:t>
      </w:r>
      <w:r w:rsidR="00892E0E" w:rsidRPr="00CA6E79">
        <w:rPr>
          <w:lang w:val="fr-FR"/>
        </w:rPr>
        <w:t>’</w:t>
      </w:r>
      <w:r w:rsidR="00B64025" w:rsidRPr="00CA6E79">
        <w:rPr>
          <w:lang w:val="fr-FR"/>
        </w:rPr>
        <w:t>inobservation du délai n</w:t>
      </w:r>
      <w:r w:rsidR="00892E0E" w:rsidRPr="00CA6E79">
        <w:rPr>
          <w:lang w:val="fr-FR"/>
        </w:rPr>
        <w:t>’</w:t>
      </w:r>
      <w:r w:rsidR="00B64025" w:rsidRPr="00CA6E79">
        <w:rPr>
          <w:lang w:val="fr-FR"/>
        </w:rPr>
        <w:t>ait pas été intentionnelle.</w:t>
      </w:r>
    </w:p>
    <w:p w:rsidR="006C7B53" w:rsidRPr="00CA6E79" w:rsidRDefault="00B64025" w:rsidP="00B64025">
      <w:pPr>
        <w:pStyle w:val="Legacont"/>
        <w:jc w:val="left"/>
        <w:rPr>
          <w:lang w:val="fr-FR"/>
        </w:rPr>
      </w:pPr>
      <w:r w:rsidRPr="00CA6E79">
        <w:rPr>
          <w:lang w:val="fr-FR"/>
        </w:rPr>
        <w:t>Chaque office désigné applique au moins un de ces critères et peut appliquer les deux.</w:t>
      </w:r>
    </w:p>
    <w:p w:rsidR="006C7B53" w:rsidRPr="00CA6E79" w:rsidRDefault="000D1EBC" w:rsidP="00CF4BBD">
      <w:pPr>
        <w:pStyle w:val="Lega"/>
        <w:tabs>
          <w:tab w:val="clear" w:pos="454"/>
        </w:tabs>
        <w:jc w:val="left"/>
        <w:rPr>
          <w:lang w:val="fr-FR"/>
        </w:rPr>
      </w:pPr>
      <w:r w:rsidRPr="00CA6E79">
        <w:rPr>
          <w:lang w:val="fr-FR"/>
        </w:rPr>
        <w:tab/>
      </w:r>
      <w:r w:rsidR="00B64025" w:rsidRPr="00CA6E79">
        <w:rPr>
          <w:lang w:val="fr-FR"/>
        </w:rPr>
        <w:t>b)</w:t>
      </w:r>
      <w:r w:rsidR="00734E6A" w:rsidRPr="00CA6E79">
        <w:rPr>
          <w:lang w:val="fr-FR"/>
        </w:rPr>
        <w:t>  </w:t>
      </w:r>
      <w:r w:rsidR="00B64025" w:rsidRPr="00CA6E79">
        <w:rPr>
          <w:lang w:val="fr-FR"/>
        </w:rPr>
        <w:t>La requête visée à l</w:t>
      </w:r>
      <w:r w:rsidR="00892E0E" w:rsidRPr="00CA6E79">
        <w:rPr>
          <w:lang w:val="fr-FR"/>
        </w:rPr>
        <w:t>’</w:t>
      </w:r>
      <w:r w:rsidR="00B64025" w:rsidRPr="00CA6E79">
        <w:rPr>
          <w:lang w:val="fr-FR"/>
        </w:rPr>
        <w:t>alinéa a)</w:t>
      </w:r>
      <w:r w:rsidR="002D07DA" w:rsidRPr="00CA6E79">
        <w:rPr>
          <w:lang w:val="fr-FR"/>
        </w:rPr>
        <w:t> :</w:t>
      </w:r>
    </w:p>
    <w:p w:rsidR="00892E0E" w:rsidRPr="00CA6E79" w:rsidRDefault="000D1EBC" w:rsidP="00CF4BBD">
      <w:pPr>
        <w:pStyle w:val="Legi"/>
        <w:tabs>
          <w:tab w:val="clear" w:pos="1020"/>
          <w:tab w:val="clear" w:pos="1191"/>
        </w:tabs>
        <w:jc w:val="left"/>
        <w:rPr>
          <w:u w:val="single"/>
          <w:lang w:val="fr-FR"/>
        </w:rPr>
      </w:pPr>
      <w:r w:rsidRPr="00CA6E79">
        <w:rPr>
          <w:lang w:val="fr-FR"/>
        </w:rPr>
        <w:tab/>
      </w:r>
      <w:r w:rsidR="00CF4BBD" w:rsidRPr="00CA6E79">
        <w:rPr>
          <w:lang w:val="fr-FR"/>
        </w:rPr>
        <w:tab/>
        <w:t>i)</w:t>
      </w:r>
      <w:r w:rsidR="00734E6A" w:rsidRPr="00CA6E79">
        <w:rPr>
          <w:lang w:val="fr-FR"/>
        </w:rPr>
        <w:t>  </w:t>
      </w:r>
      <w:r w:rsidR="000A2EB8" w:rsidRPr="00CA6E79">
        <w:rPr>
          <w:lang w:val="fr-FR"/>
        </w:rPr>
        <w:t>est présentée auprès de l</w:t>
      </w:r>
      <w:r w:rsidR="00892E0E" w:rsidRPr="00CA6E79">
        <w:rPr>
          <w:lang w:val="fr-FR"/>
        </w:rPr>
        <w:t>’</w:t>
      </w:r>
      <w:r w:rsidR="000A2EB8" w:rsidRPr="00CA6E79">
        <w:rPr>
          <w:lang w:val="fr-FR"/>
        </w:rPr>
        <w:t>office désigné dans un délai d</w:t>
      </w:r>
      <w:r w:rsidR="00892E0E" w:rsidRPr="00CA6E79">
        <w:rPr>
          <w:lang w:val="fr-FR"/>
        </w:rPr>
        <w:t>’</w:t>
      </w:r>
      <w:r w:rsidR="000A2EB8" w:rsidRPr="00CA6E79">
        <w:rPr>
          <w:lang w:val="fr-FR"/>
        </w:rPr>
        <w:t>un mois à compter du délai applicable en vertu de l</w:t>
      </w:r>
      <w:r w:rsidR="00892E0E" w:rsidRPr="00CA6E79">
        <w:rPr>
          <w:lang w:val="fr-FR"/>
        </w:rPr>
        <w:t>’</w:t>
      </w:r>
      <w:r w:rsidR="000A2EB8" w:rsidRPr="00CA6E79">
        <w:rPr>
          <w:lang w:val="fr-FR"/>
        </w:rPr>
        <w:t>article</w:t>
      </w:r>
      <w:r w:rsidR="002D07DA" w:rsidRPr="00CA6E79">
        <w:rPr>
          <w:lang w:val="fr-FR"/>
        </w:rPr>
        <w:t> </w:t>
      </w:r>
      <w:r w:rsidR="000A2EB8" w:rsidRPr="00CA6E79">
        <w:rPr>
          <w:lang w:val="fr-FR"/>
        </w:rPr>
        <w:t xml:space="preserve">22 </w:t>
      </w:r>
      <w:r w:rsidR="000A2EB8" w:rsidRPr="00CA6E79">
        <w:rPr>
          <w:color w:val="0070C0"/>
          <w:u w:val="single"/>
          <w:lang w:val="fr-FR"/>
        </w:rPr>
        <w:t>ou, lorsque le déposant adresse à l</w:t>
      </w:r>
      <w:r w:rsidR="00892E0E" w:rsidRPr="00CA6E79">
        <w:rPr>
          <w:color w:val="0070C0"/>
          <w:u w:val="single"/>
          <w:lang w:val="fr-FR"/>
        </w:rPr>
        <w:t>’</w:t>
      </w:r>
      <w:r w:rsidR="000A2EB8" w:rsidRPr="00CA6E79">
        <w:rPr>
          <w:color w:val="0070C0"/>
          <w:u w:val="single"/>
          <w:lang w:val="fr-FR"/>
        </w:rPr>
        <w:t>office désigné une requête expresse en vertu de l</w:t>
      </w:r>
      <w:r w:rsidR="00892E0E" w:rsidRPr="00CA6E79">
        <w:rPr>
          <w:color w:val="0070C0"/>
          <w:u w:val="single"/>
          <w:lang w:val="fr-FR"/>
        </w:rPr>
        <w:t>’</w:t>
      </w:r>
      <w:r w:rsidR="000A2EB8" w:rsidRPr="00CA6E79">
        <w:rPr>
          <w:color w:val="0070C0"/>
          <w:u w:val="single"/>
          <w:lang w:val="fr-FR"/>
        </w:rPr>
        <w:t>article</w:t>
      </w:r>
      <w:r w:rsidR="002D07DA" w:rsidRPr="00CA6E79">
        <w:rPr>
          <w:color w:val="0070C0"/>
          <w:u w:val="single"/>
          <w:lang w:val="fr-FR"/>
        </w:rPr>
        <w:t> </w:t>
      </w:r>
      <w:r w:rsidR="000A2EB8" w:rsidRPr="00CA6E79">
        <w:rPr>
          <w:color w:val="0070C0"/>
          <w:u w:val="single"/>
          <w:lang w:val="fr-FR"/>
        </w:rPr>
        <w:t>23.2), dans un délai d</w:t>
      </w:r>
      <w:r w:rsidR="00892E0E" w:rsidRPr="00CA6E79">
        <w:rPr>
          <w:color w:val="0070C0"/>
          <w:u w:val="single"/>
          <w:lang w:val="fr-FR"/>
        </w:rPr>
        <w:t>’</w:t>
      </w:r>
      <w:r w:rsidR="000A2EB8" w:rsidRPr="00CA6E79">
        <w:rPr>
          <w:color w:val="0070C0"/>
          <w:u w:val="single"/>
          <w:lang w:val="fr-FR"/>
        </w:rPr>
        <w:t>un mois à compter de la date de réception de cette requête par l</w:t>
      </w:r>
      <w:r w:rsidR="00892E0E" w:rsidRPr="00CA6E79">
        <w:rPr>
          <w:color w:val="0070C0"/>
          <w:u w:val="single"/>
          <w:lang w:val="fr-FR"/>
        </w:rPr>
        <w:t>’</w:t>
      </w:r>
      <w:r w:rsidR="000A2EB8" w:rsidRPr="00CA6E79">
        <w:rPr>
          <w:color w:val="0070C0"/>
          <w:u w:val="single"/>
          <w:lang w:val="fr-FR"/>
        </w:rPr>
        <w:t>office désigné</w:t>
      </w:r>
      <w:r w:rsidR="000A2EB8" w:rsidRPr="00CA6E79">
        <w:rPr>
          <w:lang w:val="fr-FR"/>
        </w:rPr>
        <w:t>;</w:t>
      </w:r>
    </w:p>
    <w:p w:rsidR="00892E0E" w:rsidRPr="00CA6E79" w:rsidRDefault="003378DF" w:rsidP="00CF4BBD">
      <w:pPr>
        <w:pStyle w:val="Legi"/>
        <w:tabs>
          <w:tab w:val="clear" w:pos="1020"/>
          <w:tab w:val="clear" w:pos="1191"/>
        </w:tabs>
        <w:jc w:val="left"/>
        <w:rPr>
          <w:lang w:val="fr-FR"/>
        </w:rPr>
      </w:pPr>
      <w:r w:rsidRPr="00CA6E79">
        <w:rPr>
          <w:lang w:val="fr-FR"/>
        </w:rPr>
        <w:tab/>
      </w:r>
      <w:r w:rsidR="00CF4BBD" w:rsidRPr="00CA6E79">
        <w:rPr>
          <w:lang w:val="fr-FR"/>
        </w:rPr>
        <w:tab/>
        <w:t>ii) et iii)</w:t>
      </w:r>
      <w:r w:rsidR="002164E3" w:rsidRPr="00CA6E79">
        <w:rPr>
          <w:lang w:val="fr-FR"/>
        </w:rPr>
        <w:t>  </w:t>
      </w:r>
      <w:r w:rsidR="000A2EB8" w:rsidRPr="00CA6E79">
        <w:rPr>
          <w:lang w:val="fr-FR"/>
        </w:rPr>
        <w:t>[Sans changement]</w:t>
      </w:r>
    </w:p>
    <w:p w:rsidR="00892E0E" w:rsidRPr="00CA6E79" w:rsidRDefault="00C867D5" w:rsidP="002164E3">
      <w:pPr>
        <w:pStyle w:val="Lega"/>
        <w:tabs>
          <w:tab w:val="clear" w:pos="454"/>
        </w:tabs>
        <w:jc w:val="left"/>
        <w:rPr>
          <w:lang w:val="fr-FR"/>
        </w:rPr>
      </w:pPr>
      <w:r w:rsidRPr="00CA6E79">
        <w:rPr>
          <w:lang w:val="fr-FR"/>
        </w:rPr>
        <w:tab/>
      </w:r>
      <w:r w:rsidR="000A2EB8" w:rsidRPr="00CA6E79">
        <w:rPr>
          <w:lang w:val="fr-FR"/>
        </w:rPr>
        <w:t>c) à</w:t>
      </w:r>
      <w:r w:rsidR="002164E3" w:rsidRPr="00CA6E79">
        <w:rPr>
          <w:lang w:val="fr-FR"/>
        </w:rPr>
        <w:t> </w:t>
      </w:r>
      <w:r w:rsidR="000A2EB8" w:rsidRPr="00CA6E79">
        <w:rPr>
          <w:lang w:val="fr-FR"/>
        </w:rPr>
        <w:t>h)</w:t>
      </w:r>
      <w:r w:rsidR="002164E3" w:rsidRPr="00CA6E79">
        <w:rPr>
          <w:lang w:val="fr-FR"/>
        </w:rPr>
        <w:t>  </w:t>
      </w:r>
      <w:r w:rsidR="000A2EB8" w:rsidRPr="00CA6E79">
        <w:rPr>
          <w:lang w:val="fr-FR"/>
        </w:rPr>
        <w:t>[Sans changement]</w:t>
      </w:r>
    </w:p>
    <w:p w:rsidR="006C7B53" w:rsidRPr="00CA6E79" w:rsidRDefault="000A2EB8" w:rsidP="000A2EB8">
      <w:pPr>
        <w:pStyle w:val="LegTitle"/>
        <w:rPr>
          <w:lang w:val="fr-FR"/>
        </w:rPr>
      </w:pPr>
      <w:bookmarkStart w:id="12" w:name="_Toc387312022"/>
      <w:r w:rsidRPr="00CA6E79">
        <w:rPr>
          <w:lang w:val="fr-FR"/>
        </w:rPr>
        <w:lastRenderedPageBreak/>
        <w:t>Règle</w:t>
      </w:r>
      <w:r w:rsidR="002D07DA" w:rsidRPr="00CA6E79">
        <w:rPr>
          <w:lang w:val="fr-FR"/>
        </w:rPr>
        <w:t> </w:t>
      </w:r>
      <w:r w:rsidRPr="00CA6E79">
        <w:rPr>
          <w:lang w:val="fr-FR"/>
        </w:rPr>
        <w:t>76</w:t>
      </w:r>
      <w:r w:rsidR="00C74C19" w:rsidRPr="00CA6E79">
        <w:rPr>
          <w:lang w:val="fr-FR"/>
        </w:rPr>
        <w:t xml:space="preserve"> </w:t>
      </w:r>
      <w:r w:rsidRPr="00CA6E79">
        <w:rPr>
          <w:lang w:val="fr-FR"/>
        </w:rPr>
        <w:t xml:space="preserve"> </w:t>
      </w:r>
      <w:r w:rsidR="002164E3" w:rsidRPr="00CA6E79">
        <w:rPr>
          <w:lang w:val="fr-FR"/>
        </w:rPr>
        <w:br/>
      </w:r>
      <w:r w:rsidRPr="00CA6E79">
        <w:rPr>
          <w:lang w:val="fr-FR"/>
        </w:rPr>
        <w:t xml:space="preserve">Traduction du document de priorité;  </w:t>
      </w:r>
      <w:r w:rsidR="002164E3" w:rsidRPr="00CA6E79">
        <w:rPr>
          <w:lang w:val="fr-FR"/>
        </w:rPr>
        <w:br/>
      </w:r>
      <w:r w:rsidRPr="00CA6E79">
        <w:rPr>
          <w:lang w:val="fr-FR"/>
        </w:rPr>
        <w:t>application de certaines règles aux procédures au sein des offices élus</w:t>
      </w:r>
      <w:bookmarkEnd w:id="12"/>
    </w:p>
    <w:p w:rsidR="006C7B53" w:rsidRPr="00CA6E79" w:rsidRDefault="002164E3" w:rsidP="002164E3">
      <w:pPr>
        <w:pStyle w:val="LegSubRule"/>
        <w:tabs>
          <w:tab w:val="clear" w:pos="510"/>
          <w:tab w:val="left" w:pos="1418"/>
        </w:tabs>
        <w:ind w:left="567" w:hanging="567"/>
        <w:rPr>
          <w:lang w:val="fr-FR"/>
        </w:rPr>
      </w:pPr>
      <w:bookmarkStart w:id="13" w:name="_Toc387312023"/>
      <w:r w:rsidRPr="00CA6E79">
        <w:rPr>
          <w:lang w:val="fr-FR"/>
        </w:rPr>
        <w:t>76.1 à </w:t>
      </w:r>
      <w:r w:rsidR="000A2EB8" w:rsidRPr="00CA6E79">
        <w:rPr>
          <w:lang w:val="fr-FR"/>
        </w:rPr>
        <w:t>76.4</w:t>
      </w:r>
      <w:r w:rsidRPr="00CA6E79">
        <w:rPr>
          <w:lang w:val="fr-FR"/>
        </w:rPr>
        <w:t> </w:t>
      </w:r>
      <w:r w:rsidR="00734E6A" w:rsidRPr="00CA6E79">
        <w:rPr>
          <w:lang w:val="fr-FR"/>
        </w:rPr>
        <w:t> </w:t>
      </w:r>
      <w:r w:rsidRPr="00CA6E79">
        <w:rPr>
          <w:lang w:val="fr-FR"/>
        </w:rPr>
        <w:t> </w:t>
      </w:r>
      <w:r w:rsidR="000A2EB8" w:rsidRPr="00CA6E79">
        <w:rPr>
          <w:i/>
          <w:lang w:val="fr-FR"/>
        </w:rPr>
        <w:t>[Sans changement]</w:t>
      </w:r>
      <w:bookmarkEnd w:id="13"/>
    </w:p>
    <w:p w:rsidR="006C7B53" w:rsidRPr="00CA6E79" w:rsidRDefault="000A2EB8" w:rsidP="000A2EB8">
      <w:pPr>
        <w:pStyle w:val="LegSubRule"/>
        <w:rPr>
          <w:lang w:val="fr-FR"/>
        </w:rPr>
      </w:pPr>
      <w:bookmarkStart w:id="14" w:name="_Toc387312024"/>
      <w:r w:rsidRPr="00CA6E79">
        <w:rPr>
          <w:lang w:val="fr-FR"/>
        </w:rPr>
        <w:t>76.5</w:t>
      </w:r>
      <w:r w:rsidR="002164E3" w:rsidRPr="00CA6E79">
        <w:rPr>
          <w:lang w:val="fr-FR"/>
        </w:rPr>
        <w:t>  </w:t>
      </w:r>
      <w:r w:rsidR="00734E6A" w:rsidRPr="00CA6E79">
        <w:rPr>
          <w:lang w:val="fr-FR"/>
        </w:rPr>
        <w:t> </w:t>
      </w:r>
      <w:r w:rsidRPr="00CA6E79">
        <w:rPr>
          <w:i/>
          <w:lang w:val="fr-FR"/>
        </w:rPr>
        <w:t>Application de certaines règles aux procédures au sein des offices élus</w:t>
      </w:r>
      <w:bookmarkEnd w:id="14"/>
    </w:p>
    <w:p w:rsidR="00892E0E" w:rsidRPr="00CA6E79" w:rsidRDefault="0089546A" w:rsidP="002164E3">
      <w:pPr>
        <w:pStyle w:val="Legacont"/>
        <w:tabs>
          <w:tab w:val="clear" w:pos="454"/>
        </w:tabs>
        <w:jc w:val="left"/>
        <w:rPr>
          <w:lang w:val="fr-FR"/>
        </w:rPr>
      </w:pPr>
      <w:r w:rsidRPr="00CA6E79">
        <w:rPr>
          <w:lang w:val="fr-FR"/>
        </w:rPr>
        <w:tab/>
      </w:r>
      <w:r w:rsidR="000A2EB8" w:rsidRPr="00CA6E79">
        <w:rPr>
          <w:lang w:val="fr-FR"/>
        </w:rPr>
        <w:t>Les règles</w:t>
      </w:r>
      <w:r w:rsidR="002D07DA" w:rsidRPr="00CA6E79">
        <w:rPr>
          <w:lang w:val="fr-FR"/>
        </w:rPr>
        <w:t> </w:t>
      </w:r>
      <w:r w:rsidR="000A2EB8" w:rsidRPr="00CA6E79">
        <w:rPr>
          <w:lang w:val="fr-FR"/>
        </w:rPr>
        <w:t>13</w:t>
      </w:r>
      <w:r w:rsidR="000A2EB8" w:rsidRPr="00CA6E79">
        <w:rPr>
          <w:i/>
          <w:lang w:val="fr-FR"/>
        </w:rPr>
        <w:t>ter</w:t>
      </w:r>
      <w:r w:rsidR="000A2EB8" w:rsidRPr="00CA6E79">
        <w:rPr>
          <w:lang w:val="fr-FR"/>
        </w:rPr>
        <w:t>.3, 20.8.c), 22.1.g), 47.1, 49, 49</w:t>
      </w:r>
      <w:r w:rsidR="000A2EB8" w:rsidRPr="00CA6E79">
        <w:rPr>
          <w:i/>
          <w:lang w:val="fr-FR"/>
        </w:rPr>
        <w:t>bis</w:t>
      </w:r>
      <w:r w:rsidR="000A2EB8" w:rsidRPr="00CA6E79">
        <w:rPr>
          <w:lang w:val="fr-FR"/>
        </w:rPr>
        <w:t>, 49</w:t>
      </w:r>
      <w:r w:rsidR="000A2EB8" w:rsidRPr="00CA6E79">
        <w:rPr>
          <w:i/>
          <w:lang w:val="fr-FR"/>
        </w:rPr>
        <w:t>ter</w:t>
      </w:r>
      <w:r w:rsidR="00370ACC" w:rsidRPr="00CA6E79">
        <w:rPr>
          <w:lang w:val="fr-FR"/>
        </w:rPr>
        <w:t xml:space="preserve"> et </w:t>
      </w:r>
      <w:r w:rsidR="000A2EB8" w:rsidRPr="00CA6E79">
        <w:rPr>
          <w:lang w:val="fr-FR"/>
        </w:rPr>
        <w:t>51</w:t>
      </w:r>
      <w:r w:rsidR="000A2EB8" w:rsidRPr="00CA6E79">
        <w:rPr>
          <w:i/>
          <w:lang w:val="fr-FR"/>
        </w:rPr>
        <w:t>bis</w:t>
      </w:r>
      <w:r w:rsidR="000A2EB8" w:rsidRPr="00CA6E79">
        <w:rPr>
          <w:lang w:val="fr-FR"/>
        </w:rPr>
        <w:t xml:space="preserve"> s</w:t>
      </w:r>
      <w:r w:rsidR="00892E0E" w:rsidRPr="00CA6E79">
        <w:rPr>
          <w:lang w:val="fr-FR"/>
        </w:rPr>
        <w:t>’</w:t>
      </w:r>
      <w:r w:rsidR="000A2EB8" w:rsidRPr="00CA6E79">
        <w:rPr>
          <w:lang w:val="fr-FR"/>
        </w:rPr>
        <w:t>appliquent étant entendu que :</w:t>
      </w:r>
    </w:p>
    <w:p w:rsidR="006C7B53" w:rsidRPr="00CA6E79" w:rsidRDefault="00734E6A" w:rsidP="00370ACC">
      <w:pPr>
        <w:pStyle w:val="Legi"/>
        <w:tabs>
          <w:tab w:val="clear" w:pos="1020"/>
          <w:tab w:val="clear" w:pos="1191"/>
        </w:tabs>
        <w:ind w:left="567" w:firstLine="567"/>
        <w:jc w:val="left"/>
        <w:rPr>
          <w:lang w:val="fr-FR"/>
        </w:rPr>
      </w:pPr>
      <w:r w:rsidRPr="00CA6E79">
        <w:rPr>
          <w:lang w:val="fr-FR"/>
        </w:rPr>
        <w:t>i)  </w:t>
      </w:r>
      <w:r w:rsidR="00E57BB5" w:rsidRPr="00CA6E79">
        <w:rPr>
          <w:lang w:val="fr-FR"/>
        </w:rPr>
        <w:t>[Sans changement];</w:t>
      </w:r>
    </w:p>
    <w:p w:rsidR="006C7B53" w:rsidRPr="00CA6E79" w:rsidRDefault="006C7B53" w:rsidP="00370ACC">
      <w:pPr>
        <w:pStyle w:val="Legi"/>
        <w:tabs>
          <w:tab w:val="clear" w:pos="1020"/>
          <w:tab w:val="clear" w:pos="1191"/>
        </w:tabs>
        <w:jc w:val="left"/>
        <w:rPr>
          <w:lang w:val="fr-FR"/>
        </w:rPr>
      </w:pPr>
      <w:r w:rsidRPr="00CA6E79">
        <w:rPr>
          <w:lang w:val="fr-FR"/>
        </w:rPr>
        <w:tab/>
      </w:r>
      <w:r w:rsidR="00370ACC" w:rsidRPr="00CA6E79">
        <w:rPr>
          <w:lang w:val="fr-FR"/>
        </w:rPr>
        <w:tab/>
      </w:r>
      <w:r w:rsidR="00734E6A" w:rsidRPr="00CA6E79">
        <w:rPr>
          <w:lang w:val="fr-FR"/>
        </w:rPr>
        <w:t>ii)  </w:t>
      </w:r>
      <w:r w:rsidRPr="00CA6E79">
        <w:rPr>
          <w:lang w:val="fr-FR"/>
        </w:rPr>
        <w:t>toute mention qui y est faite de l</w:t>
      </w:r>
      <w:r w:rsidR="00892E0E" w:rsidRPr="00CA6E79">
        <w:rPr>
          <w:lang w:val="fr-FR"/>
        </w:rPr>
        <w:t>’</w:t>
      </w:r>
      <w:r w:rsidRPr="00CA6E79">
        <w:rPr>
          <w:lang w:val="fr-FR"/>
        </w:rPr>
        <w:t>article</w:t>
      </w:r>
      <w:r w:rsidR="002D07DA" w:rsidRPr="00CA6E79">
        <w:rPr>
          <w:lang w:val="fr-FR"/>
        </w:rPr>
        <w:t> </w:t>
      </w:r>
      <w:r w:rsidRPr="00CA6E79">
        <w:rPr>
          <w:lang w:val="fr-FR"/>
        </w:rPr>
        <w:t xml:space="preserve">22, </w:t>
      </w:r>
      <w:r w:rsidRPr="00CA6E79">
        <w:rPr>
          <w:color w:val="0070C0"/>
          <w:u w:val="single"/>
          <w:lang w:val="fr-FR"/>
        </w:rPr>
        <w:t>de l</w:t>
      </w:r>
      <w:r w:rsidR="00892E0E" w:rsidRPr="00CA6E79">
        <w:rPr>
          <w:color w:val="0070C0"/>
          <w:u w:val="single"/>
          <w:lang w:val="fr-FR"/>
        </w:rPr>
        <w:t>’</w:t>
      </w:r>
      <w:r w:rsidRPr="00CA6E79">
        <w:rPr>
          <w:color w:val="0070C0"/>
          <w:u w:val="single"/>
          <w:lang w:val="fr-FR"/>
        </w:rPr>
        <w:t>article</w:t>
      </w:r>
      <w:r w:rsidR="002D07DA" w:rsidRPr="00CA6E79">
        <w:rPr>
          <w:color w:val="0070C0"/>
          <w:u w:val="single"/>
          <w:lang w:val="fr-FR"/>
        </w:rPr>
        <w:t> </w:t>
      </w:r>
      <w:r w:rsidRPr="00CA6E79">
        <w:rPr>
          <w:color w:val="0070C0"/>
          <w:u w:val="single"/>
          <w:lang w:val="fr-FR"/>
        </w:rPr>
        <w:t>23.2)</w:t>
      </w:r>
      <w:r w:rsidRPr="00CA6E79">
        <w:rPr>
          <w:lang w:val="fr-FR"/>
        </w:rPr>
        <w:t xml:space="preserve"> ou de l</w:t>
      </w:r>
      <w:r w:rsidR="00892E0E" w:rsidRPr="00CA6E79">
        <w:rPr>
          <w:lang w:val="fr-FR"/>
        </w:rPr>
        <w:t>’</w:t>
      </w:r>
      <w:r w:rsidRPr="00CA6E79">
        <w:rPr>
          <w:lang w:val="fr-FR"/>
        </w:rPr>
        <w:t>article</w:t>
      </w:r>
      <w:r w:rsidR="002D07DA" w:rsidRPr="00CA6E79">
        <w:rPr>
          <w:lang w:val="fr-FR"/>
        </w:rPr>
        <w:t> </w:t>
      </w:r>
      <w:r w:rsidRPr="00CA6E79">
        <w:rPr>
          <w:lang w:val="fr-FR"/>
        </w:rPr>
        <w:t>24.2) s</w:t>
      </w:r>
      <w:r w:rsidR="00892E0E" w:rsidRPr="00CA6E79">
        <w:rPr>
          <w:lang w:val="fr-FR"/>
        </w:rPr>
        <w:t>’</w:t>
      </w:r>
      <w:r w:rsidRPr="00CA6E79">
        <w:rPr>
          <w:lang w:val="fr-FR"/>
        </w:rPr>
        <w:t>entend comme une mention de l</w:t>
      </w:r>
      <w:r w:rsidR="00892E0E" w:rsidRPr="00CA6E79">
        <w:rPr>
          <w:lang w:val="fr-FR"/>
        </w:rPr>
        <w:t>’</w:t>
      </w:r>
      <w:r w:rsidRPr="00CA6E79">
        <w:rPr>
          <w:lang w:val="fr-FR"/>
        </w:rPr>
        <w:t>article</w:t>
      </w:r>
      <w:r w:rsidR="002D07DA" w:rsidRPr="00CA6E79">
        <w:rPr>
          <w:lang w:val="fr-FR"/>
        </w:rPr>
        <w:t> </w:t>
      </w:r>
      <w:r w:rsidRPr="00CA6E79">
        <w:rPr>
          <w:lang w:val="fr-FR"/>
        </w:rPr>
        <w:t xml:space="preserve">39.1), </w:t>
      </w:r>
      <w:r w:rsidRPr="00CA6E79">
        <w:rPr>
          <w:color w:val="0070C0"/>
          <w:u w:val="single"/>
          <w:lang w:val="fr-FR"/>
        </w:rPr>
        <w:t>de l</w:t>
      </w:r>
      <w:r w:rsidR="00892E0E" w:rsidRPr="00CA6E79">
        <w:rPr>
          <w:color w:val="0070C0"/>
          <w:u w:val="single"/>
          <w:lang w:val="fr-FR"/>
        </w:rPr>
        <w:t>’</w:t>
      </w:r>
      <w:r w:rsidRPr="00CA6E79">
        <w:rPr>
          <w:color w:val="0070C0"/>
          <w:u w:val="single"/>
          <w:lang w:val="fr-FR"/>
        </w:rPr>
        <w:t>article</w:t>
      </w:r>
      <w:r w:rsidR="002D07DA" w:rsidRPr="00CA6E79">
        <w:rPr>
          <w:color w:val="0070C0"/>
          <w:u w:val="single"/>
          <w:lang w:val="fr-FR"/>
        </w:rPr>
        <w:t> </w:t>
      </w:r>
      <w:r w:rsidRPr="00CA6E79">
        <w:rPr>
          <w:color w:val="0070C0"/>
          <w:u w:val="single"/>
          <w:lang w:val="fr-FR"/>
        </w:rPr>
        <w:t>40.2)</w:t>
      </w:r>
      <w:r w:rsidRPr="00CA6E79">
        <w:rPr>
          <w:lang w:val="fr-FR"/>
        </w:rPr>
        <w:t xml:space="preserve"> ou de l</w:t>
      </w:r>
      <w:r w:rsidR="00892E0E" w:rsidRPr="00CA6E79">
        <w:rPr>
          <w:lang w:val="fr-FR"/>
        </w:rPr>
        <w:t>’</w:t>
      </w:r>
      <w:r w:rsidRPr="00CA6E79">
        <w:rPr>
          <w:lang w:val="fr-FR"/>
        </w:rPr>
        <w:t>article</w:t>
      </w:r>
      <w:r w:rsidR="002D07DA" w:rsidRPr="00CA6E79">
        <w:rPr>
          <w:lang w:val="fr-FR"/>
        </w:rPr>
        <w:t> </w:t>
      </w:r>
      <w:r w:rsidRPr="00CA6E79">
        <w:rPr>
          <w:lang w:val="fr-FR"/>
        </w:rPr>
        <w:t>39.3), respectivement;</w:t>
      </w:r>
    </w:p>
    <w:p w:rsidR="00892E0E" w:rsidRPr="00CA6E79" w:rsidRDefault="0089546A" w:rsidP="00370ACC">
      <w:pPr>
        <w:pStyle w:val="Legi"/>
        <w:tabs>
          <w:tab w:val="clear" w:pos="1020"/>
          <w:tab w:val="clear" w:pos="1191"/>
        </w:tabs>
        <w:jc w:val="left"/>
        <w:rPr>
          <w:lang w:val="fr-FR"/>
        </w:rPr>
      </w:pPr>
      <w:r w:rsidRPr="00CA6E79">
        <w:rPr>
          <w:lang w:val="fr-FR"/>
        </w:rPr>
        <w:tab/>
      </w:r>
      <w:r w:rsidR="00370ACC" w:rsidRPr="00CA6E79">
        <w:rPr>
          <w:lang w:val="fr-FR"/>
        </w:rPr>
        <w:tab/>
      </w:r>
      <w:r w:rsidR="00DA56D5" w:rsidRPr="00CA6E79">
        <w:rPr>
          <w:lang w:val="fr-FR"/>
        </w:rPr>
        <w:t>iii) à</w:t>
      </w:r>
      <w:r w:rsidR="00370ACC" w:rsidRPr="00CA6E79">
        <w:rPr>
          <w:lang w:val="fr-FR"/>
        </w:rPr>
        <w:t> </w:t>
      </w:r>
      <w:r w:rsidR="00DA56D5" w:rsidRPr="00CA6E79">
        <w:rPr>
          <w:lang w:val="fr-FR"/>
        </w:rPr>
        <w:t>v)</w:t>
      </w:r>
      <w:r w:rsidR="00370ACC" w:rsidRPr="00CA6E79">
        <w:rPr>
          <w:lang w:val="fr-FR"/>
        </w:rPr>
        <w:t>  </w:t>
      </w:r>
      <w:r w:rsidR="00DA56D5" w:rsidRPr="00CA6E79">
        <w:rPr>
          <w:lang w:val="fr-FR"/>
        </w:rPr>
        <w:t>[Sans changement]</w:t>
      </w:r>
    </w:p>
    <w:p w:rsidR="006C7B53" w:rsidRPr="00CA6E79" w:rsidRDefault="00DA56D5" w:rsidP="00DA56D5">
      <w:pPr>
        <w:pStyle w:val="LegTitle"/>
        <w:tabs>
          <w:tab w:val="left" w:pos="5670"/>
        </w:tabs>
        <w:rPr>
          <w:szCs w:val="22"/>
          <w:lang w:val="fr-FR"/>
        </w:rPr>
      </w:pPr>
      <w:bookmarkStart w:id="15" w:name="_Toc387312025"/>
      <w:bookmarkEnd w:id="6"/>
      <w:r w:rsidRPr="00CA6E79">
        <w:rPr>
          <w:szCs w:val="22"/>
          <w:lang w:val="fr-FR"/>
        </w:rPr>
        <w:lastRenderedPageBreak/>
        <w:t>Règle</w:t>
      </w:r>
      <w:r w:rsidR="002D07DA" w:rsidRPr="00CA6E79">
        <w:rPr>
          <w:szCs w:val="22"/>
          <w:lang w:val="fr-FR"/>
        </w:rPr>
        <w:t> </w:t>
      </w:r>
      <w:r w:rsidRPr="00CA6E79">
        <w:rPr>
          <w:szCs w:val="22"/>
          <w:lang w:val="fr-FR"/>
        </w:rPr>
        <w:t xml:space="preserve">90 </w:t>
      </w:r>
      <w:r w:rsidR="00C74C19" w:rsidRPr="00CA6E79">
        <w:rPr>
          <w:szCs w:val="22"/>
          <w:lang w:val="fr-FR"/>
        </w:rPr>
        <w:t xml:space="preserve"> </w:t>
      </w:r>
      <w:r w:rsidR="00370ACC" w:rsidRPr="00CA6E79">
        <w:rPr>
          <w:szCs w:val="22"/>
          <w:lang w:val="fr-FR"/>
        </w:rPr>
        <w:br/>
      </w:r>
      <w:r w:rsidRPr="00CA6E79">
        <w:rPr>
          <w:szCs w:val="22"/>
          <w:lang w:val="fr-FR"/>
        </w:rPr>
        <w:t>Mandataires et représentants communs</w:t>
      </w:r>
      <w:bookmarkEnd w:id="15"/>
    </w:p>
    <w:p w:rsidR="006C7B53" w:rsidRPr="00CA6E79" w:rsidRDefault="00DA56D5" w:rsidP="00DA56D5">
      <w:pPr>
        <w:pStyle w:val="LegSubRule"/>
        <w:rPr>
          <w:lang w:val="fr-FR"/>
        </w:rPr>
      </w:pPr>
      <w:bookmarkStart w:id="16" w:name="_Toc387312026"/>
      <w:bookmarkStart w:id="17" w:name="_Toc358360713"/>
      <w:r w:rsidRPr="00CA6E79">
        <w:rPr>
          <w:lang w:val="fr-FR"/>
        </w:rPr>
        <w:t xml:space="preserve">90.1 </w:t>
      </w:r>
      <w:proofErr w:type="gramStart"/>
      <w:r w:rsidRPr="00CA6E79">
        <w:rPr>
          <w:lang w:val="fr-FR"/>
        </w:rPr>
        <w:t>et</w:t>
      </w:r>
      <w:proofErr w:type="gramEnd"/>
      <w:r w:rsidR="00370ACC" w:rsidRPr="00CA6E79">
        <w:rPr>
          <w:lang w:val="fr-FR"/>
        </w:rPr>
        <w:t> </w:t>
      </w:r>
      <w:r w:rsidRPr="00CA6E79">
        <w:rPr>
          <w:lang w:val="fr-FR"/>
        </w:rPr>
        <w:t>90.2 </w:t>
      </w:r>
      <w:r w:rsidR="00734E6A" w:rsidRPr="00CA6E79">
        <w:rPr>
          <w:lang w:val="fr-FR"/>
        </w:rPr>
        <w:t> </w:t>
      </w:r>
      <w:r w:rsidRPr="00CA6E79">
        <w:rPr>
          <w:lang w:val="fr-FR"/>
        </w:rPr>
        <w:t> </w:t>
      </w:r>
      <w:r w:rsidRPr="00CA6E79">
        <w:rPr>
          <w:i/>
          <w:lang w:val="fr-FR"/>
        </w:rPr>
        <w:t>[Sans changement]</w:t>
      </w:r>
      <w:bookmarkEnd w:id="16"/>
    </w:p>
    <w:p w:rsidR="006C7B53" w:rsidRPr="00CA6E79" w:rsidRDefault="00DA56D5" w:rsidP="00370ACC">
      <w:pPr>
        <w:pStyle w:val="LegSubRule"/>
        <w:tabs>
          <w:tab w:val="clear" w:pos="510"/>
        </w:tabs>
        <w:ind w:left="567" w:hanging="567"/>
        <w:rPr>
          <w:szCs w:val="22"/>
          <w:lang w:val="fr-FR"/>
        </w:rPr>
      </w:pPr>
      <w:bookmarkStart w:id="18" w:name="_Toc387312027"/>
      <w:r w:rsidRPr="00CA6E79">
        <w:rPr>
          <w:szCs w:val="22"/>
          <w:lang w:val="fr-FR"/>
        </w:rPr>
        <w:t>90.3   </w:t>
      </w:r>
      <w:r w:rsidRPr="00CA6E79">
        <w:rPr>
          <w:i/>
          <w:szCs w:val="22"/>
          <w:lang w:val="fr-FR"/>
        </w:rPr>
        <w:t>Effets des actes effectués par les mandataires et les représentants communs ou à leur intention</w:t>
      </w:r>
      <w:bookmarkEnd w:id="18"/>
    </w:p>
    <w:p w:rsidR="006C7B53" w:rsidRPr="00CA6E79" w:rsidRDefault="0037387F" w:rsidP="00370ACC">
      <w:pPr>
        <w:pStyle w:val="Lega"/>
        <w:tabs>
          <w:tab w:val="clear" w:pos="454"/>
        </w:tabs>
        <w:jc w:val="left"/>
        <w:rPr>
          <w:lang w:val="fr-FR"/>
        </w:rPr>
      </w:pPr>
      <w:r w:rsidRPr="00CA6E79">
        <w:rPr>
          <w:lang w:val="fr-FR"/>
        </w:rPr>
        <w:tab/>
      </w:r>
      <w:r w:rsidR="00370ACC" w:rsidRPr="00CA6E79">
        <w:rPr>
          <w:lang w:val="fr-FR"/>
        </w:rPr>
        <w:t>a) et </w:t>
      </w:r>
      <w:r w:rsidR="00DA56D5" w:rsidRPr="00CA6E79">
        <w:rPr>
          <w:lang w:val="fr-FR"/>
        </w:rPr>
        <w:t>b)</w:t>
      </w:r>
      <w:r w:rsidR="00370ACC" w:rsidRPr="00CA6E79">
        <w:rPr>
          <w:lang w:val="fr-FR"/>
        </w:rPr>
        <w:t>  </w:t>
      </w:r>
      <w:r w:rsidR="00DA56D5" w:rsidRPr="00CA6E79">
        <w:rPr>
          <w:lang w:val="fr-FR"/>
        </w:rPr>
        <w:t>[Sans changement]</w:t>
      </w:r>
    </w:p>
    <w:p w:rsidR="006C7B53" w:rsidRPr="00CA6E79" w:rsidRDefault="0037387F" w:rsidP="00370ACC">
      <w:pPr>
        <w:pStyle w:val="Lega"/>
        <w:tabs>
          <w:tab w:val="clear" w:pos="454"/>
        </w:tabs>
        <w:jc w:val="left"/>
        <w:rPr>
          <w:rStyle w:val="InsertedText"/>
          <w:color w:val="auto"/>
          <w:lang w:val="fr-FR"/>
        </w:rPr>
      </w:pPr>
      <w:r w:rsidRPr="00CA6E79">
        <w:rPr>
          <w:lang w:val="fr-FR"/>
        </w:rPr>
        <w:tab/>
      </w:r>
      <w:proofErr w:type="gramStart"/>
      <w:r w:rsidR="00DA56D5" w:rsidRPr="00CA6E79">
        <w:rPr>
          <w:lang w:val="fr-FR"/>
        </w:rPr>
        <w:t>c)</w:t>
      </w:r>
      <w:proofErr w:type="gramEnd"/>
      <w:r w:rsidR="00734E6A" w:rsidRPr="00CA6E79">
        <w:rPr>
          <w:lang w:val="fr-FR"/>
        </w:rPr>
        <w:t>  </w:t>
      </w:r>
      <w:r w:rsidR="00DA56D5" w:rsidRPr="00CA6E79">
        <w:rPr>
          <w:lang w:val="fr-FR"/>
        </w:rPr>
        <w:t>Sous réserve de la règle 90</w:t>
      </w:r>
      <w:r w:rsidR="00DA56D5" w:rsidRPr="00CA6E79">
        <w:rPr>
          <w:i/>
          <w:lang w:val="fr-FR"/>
        </w:rPr>
        <w:t>bis</w:t>
      </w:r>
      <w:r w:rsidR="00DA56D5" w:rsidRPr="00CA6E79">
        <w:rPr>
          <w:lang w:val="fr-FR"/>
        </w:rPr>
        <w:t>.5</w:t>
      </w:r>
      <w:r w:rsidR="00DA56D5" w:rsidRPr="007C0E82">
        <w:rPr>
          <w:rStyle w:val="DeletedText"/>
        </w:rPr>
        <w:t>.</w:t>
      </w:r>
      <w:r w:rsidR="00DA56D5" w:rsidRPr="00CA6E79">
        <w:rPr>
          <w:strike/>
          <w:color w:val="FF0000"/>
          <w:lang w:val="fr-FR"/>
        </w:rPr>
        <w:t>a)</w:t>
      </w:r>
      <w:r w:rsidR="00DA56D5" w:rsidRPr="00CA6E79">
        <w:rPr>
          <w:lang w:val="fr-FR"/>
        </w:rPr>
        <w:t>, deuxième phrase, tout acte effectué par un représentant commun ou son mandataire ou à leur intention a les effets d</w:t>
      </w:r>
      <w:r w:rsidR="00892E0E" w:rsidRPr="00CA6E79">
        <w:rPr>
          <w:lang w:val="fr-FR"/>
        </w:rPr>
        <w:t>’</w:t>
      </w:r>
      <w:r w:rsidR="00DA56D5" w:rsidRPr="00CA6E79">
        <w:rPr>
          <w:lang w:val="fr-FR"/>
        </w:rPr>
        <w:t>un acte effectué par tous les déposants ou à leur intention.</w:t>
      </w:r>
    </w:p>
    <w:p w:rsidR="006C7B53" w:rsidRPr="00CA6E79" w:rsidRDefault="00DA56D5" w:rsidP="00DA56D5">
      <w:pPr>
        <w:pStyle w:val="LegSubRule"/>
        <w:rPr>
          <w:lang w:val="fr-FR"/>
        </w:rPr>
      </w:pPr>
      <w:bookmarkStart w:id="19" w:name="_Toc387312028"/>
      <w:r w:rsidRPr="00CA6E79">
        <w:rPr>
          <w:lang w:val="fr-FR"/>
        </w:rPr>
        <w:t>90.4 à</w:t>
      </w:r>
      <w:r w:rsidR="001358ED" w:rsidRPr="00CA6E79">
        <w:rPr>
          <w:lang w:val="fr-FR"/>
        </w:rPr>
        <w:t> </w:t>
      </w:r>
      <w:r w:rsidRPr="00CA6E79">
        <w:rPr>
          <w:lang w:val="fr-FR"/>
        </w:rPr>
        <w:t>90.6</w:t>
      </w:r>
      <w:r w:rsidR="00734E6A" w:rsidRPr="00CA6E79">
        <w:rPr>
          <w:lang w:val="fr-FR"/>
        </w:rPr>
        <w:t> </w:t>
      </w:r>
      <w:r w:rsidRPr="00CA6E79">
        <w:rPr>
          <w:lang w:val="fr-FR"/>
        </w:rPr>
        <w:t>  </w:t>
      </w:r>
      <w:r w:rsidRPr="00CA6E79">
        <w:rPr>
          <w:i/>
          <w:lang w:val="fr-FR"/>
        </w:rPr>
        <w:t>[Sans changement]</w:t>
      </w:r>
      <w:bookmarkEnd w:id="19"/>
    </w:p>
    <w:bookmarkEnd w:id="17"/>
    <w:p w:rsidR="006C7B53" w:rsidRPr="00CA6E79" w:rsidRDefault="006C7B53" w:rsidP="00D212CD">
      <w:pPr>
        <w:pStyle w:val="Endofdocument-Annex"/>
        <w:ind w:left="0"/>
        <w:rPr>
          <w:lang w:val="fr-FR"/>
        </w:rPr>
      </w:pPr>
    </w:p>
    <w:p w:rsidR="006C7B53" w:rsidRPr="00CA6E79" w:rsidRDefault="006C7B53" w:rsidP="002607E3">
      <w:pPr>
        <w:pStyle w:val="Endofdocument-Annex"/>
        <w:ind w:left="0"/>
        <w:rPr>
          <w:lang w:val="fr-FR"/>
        </w:rPr>
      </w:pPr>
    </w:p>
    <w:p w:rsidR="00892E0E" w:rsidRPr="00CA6E79" w:rsidRDefault="009D2DB7" w:rsidP="00DA56D5">
      <w:pPr>
        <w:pStyle w:val="LegTitle"/>
        <w:rPr>
          <w:lang w:val="fr-FR"/>
        </w:rPr>
      </w:pPr>
      <w:bookmarkStart w:id="20" w:name="_Toc387312029"/>
      <w:r w:rsidRPr="00CA6E79">
        <w:rPr>
          <w:lang w:val="fr-FR"/>
        </w:rPr>
        <w:lastRenderedPageBreak/>
        <w:t>BARÈME DES TAXES</w:t>
      </w:r>
      <w:bookmarkEnd w:id="20"/>
    </w:p>
    <w:p w:rsidR="006C7B53" w:rsidRPr="00CA6E79" w:rsidRDefault="006C7B53" w:rsidP="002607E3">
      <w:pPr>
        <w:pStyle w:val="Endofdocument-Annex"/>
        <w:ind w:left="0"/>
        <w:jc w:val="center"/>
        <w:rPr>
          <w:lang w:val="fr-FR"/>
        </w:rPr>
      </w:pPr>
    </w:p>
    <w:p w:rsidR="00187D54" w:rsidRPr="00CA6E79" w:rsidRDefault="00187D54" w:rsidP="002607E3">
      <w:pPr>
        <w:pStyle w:val="Endofdocument-Annex"/>
        <w:ind w:left="0"/>
        <w:rPr>
          <w:lang w:val="fr-FR"/>
        </w:rPr>
      </w:pPr>
    </w:p>
    <w:tbl>
      <w:tblPr>
        <w:tblW w:w="0" w:type="auto"/>
        <w:jc w:val="center"/>
        <w:tblLayout w:type="fixed"/>
        <w:tblCellMar>
          <w:left w:w="56" w:type="dxa"/>
          <w:right w:w="56" w:type="dxa"/>
        </w:tblCellMar>
        <w:tblLook w:val="0000" w:firstRow="0" w:lastRow="0" w:firstColumn="0" w:lastColumn="0" w:noHBand="0" w:noVBand="0"/>
      </w:tblPr>
      <w:tblGrid>
        <w:gridCol w:w="33"/>
        <w:gridCol w:w="583"/>
        <w:gridCol w:w="5496"/>
        <w:gridCol w:w="33"/>
        <w:gridCol w:w="2968"/>
        <w:gridCol w:w="33"/>
      </w:tblGrid>
      <w:tr w:rsidR="00733242" w:rsidRPr="00CA6E79" w:rsidTr="00FA0F32">
        <w:trPr>
          <w:gridAfter w:val="1"/>
          <w:wAfter w:w="33" w:type="dxa"/>
          <w:jc w:val="center"/>
        </w:trPr>
        <w:tc>
          <w:tcPr>
            <w:tcW w:w="6112" w:type="dxa"/>
            <w:gridSpan w:val="3"/>
          </w:tcPr>
          <w:p w:rsidR="00187D54" w:rsidRPr="00CA6E79" w:rsidRDefault="005C329F" w:rsidP="005C329F">
            <w:pPr>
              <w:suppressAutoHyphens/>
              <w:spacing w:after="120"/>
              <w:rPr>
                <w:b/>
                <w:szCs w:val="28"/>
                <w:lang w:val="fr-FR"/>
              </w:rPr>
            </w:pPr>
            <w:r w:rsidRPr="00CA6E79">
              <w:rPr>
                <w:b/>
                <w:szCs w:val="28"/>
                <w:lang w:val="fr-FR"/>
              </w:rPr>
              <w:t>Taxes</w:t>
            </w:r>
          </w:p>
        </w:tc>
        <w:tc>
          <w:tcPr>
            <w:tcW w:w="3001" w:type="dxa"/>
            <w:gridSpan w:val="2"/>
          </w:tcPr>
          <w:p w:rsidR="00187D54" w:rsidRPr="00CA6E79" w:rsidRDefault="005C329F" w:rsidP="005C329F">
            <w:pPr>
              <w:suppressAutoHyphens/>
              <w:spacing w:after="120"/>
              <w:rPr>
                <w:b/>
                <w:szCs w:val="28"/>
                <w:lang w:val="fr-FR"/>
              </w:rPr>
            </w:pPr>
            <w:r w:rsidRPr="00CA6E79">
              <w:rPr>
                <w:b/>
                <w:szCs w:val="28"/>
                <w:lang w:val="fr-FR"/>
              </w:rPr>
              <w:t>Montants</w:t>
            </w:r>
          </w:p>
        </w:tc>
      </w:tr>
      <w:tr w:rsidR="00733242" w:rsidRPr="00CA6E79" w:rsidTr="00FA0F32">
        <w:trPr>
          <w:gridBefore w:val="1"/>
          <w:wBefore w:w="33" w:type="dxa"/>
          <w:jc w:val="center"/>
        </w:trPr>
        <w:tc>
          <w:tcPr>
            <w:tcW w:w="583" w:type="dxa"/>
          </w:tcPr>
          <w:p w:rsidR="00187D54" w:rsidRPr="00CA6E79" w:rsidRDefault="00187D54" w:rsidP="00FA0F32">
            <w:pPr>
              <w:suppressAutoHyphens/>
              <w:spacing w:after="120"/>
              <w:rPr>
                <w:szCs w:val="28"/>
                <w:lang w:val="fr-FR"/>
              </w:rPr>
            </w:pPr>
            <w:r w:rsidRPr="00CA6E79">
              <w:rPr>
                <w:szCs w:val="28"/>
                <w:lang w:val="fr-FR"/>
              </w:rPr>
              <w:t>1.</w:t>
            </w:r>
          </w:p>
        </w:tc>
        <w:tc>
          <w:tcPr>
            <w:tcW w:w="5529" w:type="dxa"/>
            <w:gridSpan w:val="2"/>
          </w:tcPr>
          <w:p w:rsidR="00187D54" w:rsidRPr="00CA6E79" w:rsidRDefault="005C329F" w:rsidP="005C329F">
            <w:pPr>
              <w:suppressAutoHyphens/>
              <w:spacing w:after="120"/>
              <w:ind w:right="313"/>
              <w:rPr>
                <w:szCs w:val="28"/>
                <w:lang w:val="fr-FR"/>
              </w:rPr>
            </w:pPr>
            <w:r w:rsidRPr="00CA6E79">
              <w:rPr>
                <w:szCs w:val="28"/>
                <w:lang w:val="fr-FR"/>
              </w:rPr>
              <w:t xml:space="preserve">Taxe internationale de dépôt : </w:t>
            </w:r>
            <w:r w:rsidR="00B75130">
              <w:rPr>
                <w:szCs w:val="28"/>
                <w:lang w:val="fr-FR"/>
              </w:rPr>
              <w:br/>
            </w:r>
            <w:r w:rsidRPr="00CA6E79">
              <w:rPr>
                <w:szCs w:val="28"/>
                <w:lang w:val="fr-FR"/>
              </w:rPr>
              <w:t>(règle</w:t>
            </w:r>
            <w:r w:rsidR="002D07DA" w:rsidRPr="00CA6E79">
              <w:rPr>
                <w:szCs w:val="28"/>
                <w:lang w:val="fr-FR"/>
              </w:rPr>
              <w:t> </w:t>
            </w:r>
            <w:r w:rsidRPr="00CA6E79">
              <w:rPr>
                <w:szCs w:val="28"/>
                <w:lang w:val="fr-FR"/>
              </w:rPr>
              <w:t>15.2)</w:t>
            </w:r>
          </w:p>
        </w:tc>
        <w:tc>
          <w:tcPr>
            <w:tcW w:w="3001" w:type="dxa"/>
            <w:gridSpan w:val="2"/>
          </w:tcPr>
          <w:p w:rsidR="006C7B53" w:rsidRPr="00CA6E79" w:rsidRDefault="00187D54" w:rsidP="005C329F">
            <w:pPr>
              <w:tabs>
                <w:tab w:val="right" w:pos="680"/>
                <w:tab w:val="left" w:pos="851"/>
              </w:tabs>
              <w:suppressAutoHyphens/>
              <w:ind w:left="851" w:hanging="851"/>
              <w:rPr>
                <w:i/>
                <w:szCs w:val="28"/>
                <w:lang w:val="fr-FR"/>
              </w:rPr>
            </w:pPr>
            <w:r w:rsidRPr="00CA6E79">
              <w:rPr>
                <w:szCs w:val="28"/>
                <w:lang w:val="fr-FR"/>
              </w:rPr>
              <w:tab/>
            </w:r>
            <w:r w:rsidR="005C329F" w:rsidRPr="00CA6E79">
              <w:rPr>
                <w:i/>
                <w:szCs w:val="28"/>
                <w:lang w:val="fr-FR"/>
              </w:rPr>
              <w:t>[Sans changement]</w:t>
            </w:r>
          </w:p>
          <w:p w:rsidR="00187D54" w:rsidRPr="00CA6E79" w:rsidRDefault="00187D54" w:rsidP="00FA0F32">
            <w:pPr>
              <w:tabs>
                <w:tab w:val="right" w:pos="680"/>
                <w:tab w:val="left" w:pos="851"/>
              </w:tabs>
              <w:suppressAutoHyphens/>
              <w:spacing w:after="120"/>
              <w:ind w:left="851" w:hanging="851"/>
              <w:rPr>
                <w:szCs w:val="28"/>
                <w:lang w:val="fr-FR"/>
              </w:rPr>
            </w:pPr>
          </w:p>
        </w:tc>
      </w:tr>
      <w:tr w:rsidR="00733242" w:rsidRPr="00CA6E79" w:rsidTr="00FA0F32">
        <w:trPr>
          <w:gridBefore w:val="1"/>
          <w:wBefore w:w="33" w:type="dxa"/>
          <w:jc w:val="center"/>
        </w:trPr>
        <w:tc>
          <w:tcPr>
            <w:tcW w:w="583" w:type="dxa"/>
          </w:tcPr>
          <w:p w:rsidR="00187D54" w:rsidRPr="00CA6E79" w:rsidRDefault="00187D54" w:rsidP="00FA0F32">
            <w:pPr>
              <w:suppressAutoHyphens/>
              <w:spacing w:after="120"/>
              <w:rPr>
                <w:szCs w:val="28"/>
                <w:lang w:val="fr-FR"/>
              </w:rPr>
            </w:pPr>
            <w:r w:rsidRPr="00CA6E79">
              <w:rPr>
                <w:szCs w:val="28"/>
                <w:lang w:val="fr-FR"/>
              </w:rPr>
              <w:t>2.</w:t>
            </w:r>
          </w:p>
        </w:tc>
        <w:tc>
          <w:tcPr>
            <w:tcW w:w="5529" w:type="dxa"/>
            <w:gridSpan w:val="2"/>
          </w:tcPr>
          <w:p w:rsidR="00187D54" w:rsidRPr="00CA6E79" w:rsidRDefault="005C329F" w:rsidP="005C329F">
            <w:pPr>
              <w:suppressAutoHyphens/>
              <w:spacing w:after="120"/>
              <w:ind w:right="313"/>
              <w:rPr>
                <w:szCs w:val="28"/>
                <w:lang w:val="fr-FR"/>
              </w:rPr>
            </w:pPr>
            <w:r w:rsidRPr="00CA6E79">
              <w:rPr>
                <w:szCs w:val="28"/>
                <w:lang w:val="fr-FR"/>
              </w:rPr>
              <w:t>Taxe de traitement de la recherche supplémentaire</w:t>
            </w:r>
            <w:r w:rsidR="00B75130">
              <w:rPr>
                <w:szCs w:val="28"/>
                <w:lang w:val="fr-FR"/>
              </w:rPr>
              <w:t> :</w:t>
            </w:r>
            <w:r w:rsidRPr="00CA6E79">
              <w:rPr>
                <w:szCs w:val="28"/>
                <w:lang w:val="fr-FR"/>
              </w:rPr>
              <w:t xml:space="preserve"> </w:t>
            </w:r>
            <w:r w:rsidR="00B75130">
              <w:rPr>
                <w:szCs w:val="28"/>
                <w:lang w:val="fr-FR"/>
              </w:rPr>
              <w:br/>
            </w:r>
            <w:r w:rsidRPr="00CA6E79">
              <w:rPr>
                <w:szCs w:val="28"/>
                <w:lang w:val="fr-FR"/>
              </w:rPr>
              <w:t>(règle</w:t>
            </w:r>
            <w:r w:rsidR="002D07DA" w:rsidRPr="00CA6E79">
              <w:rPr>
                <w:szCs w:val="28"/>
                <w:lang w:val="fr-FR"/>
              </w:rPr>
              <w:t> </w:t>
            </w:r>
            <w:r w:rsidRPr="00CA6E79">
              <w:rPr>
                <w:szCs w:val="28"/>
                <w:lang w:val="fr-FR"/>
              </w:rPr>
              <w:t>45</w:t>
            </w:r>
            <w:r w:rsidRPr="00CA6E79">
              <w:rPr>
                <w:i/>
                <w:szCs w:val="28"/>
                <w:lang w:val="fr-FR"/>
              </w:rPr>
              <w:t>bis</w:t>
            </w:r>
            <w:r w:rsidRPr="00CA6E79">
              <w:rPr>
                <w:szCs w:val="28"/>
                <w:lang w:val="fr-FR"/>
              </w:rPr>
              <w:t>.2)</w:t>
            </w:r>
          </w:p>
        </w:tc>
        <w:tc>
          <w:tcPr>
            <w:tcW w:w="3001" w:type="dxa"/>
            <w:gridSpan w:val="2"/>
          </w:tcPr>
          <w:p w:rsidR="00187D54" w:rsidRPr="00CA6E79" w:rsidRDefault="00187D54" w:rsidP="005C329F">
            <w:pPr>
              <w:tabs>
                <w:tab w:val="right" w:pos="680"/>
                <w:tab w:val="left" w:pos="851"/>
              </w:tabs>
              <w:suppressAutoHyphens/>
              <w:spacing w:after="120"/>
              <w:rPr>
                <w:i/>
                <w:szCs w:val="28"/>
                <w:lang w:val="fr-FR"/>
              </w:rPr>
            </w:pPr>
            <w:r w:rsidRPr="00CA6E79">
              <w:rPr>
                <w:szCs w:val="28"/>
                <w:lang w:val="fr-FR"/>
              </w:rPr>
              <w:tab/>
            </w:r>
            <w:r w:rsidR="005C329F" w:rsidRPr="00CA6E79">
              <w:rPr>
                <w:i/>
                <w:szCs w:val="28"/>
                <w:lang w:val="fr-FR"/>
              </w:rPr>
              <w:t>[Sans changement]</w:t>
            </w:r>
          </w:p>
        </w:tc>
      </w:tr>
      <w:tr w:rsidR="00733242" w:rsidRPr="00CA6E79" w:rsidTr="00FA0F32">
        <w:trPr>
          <w:gridBefore w:val="1"/>
          <w:wBefore w:w="33" w:type="dxa"/>
          <w:jc w:val="center"/>
        </w:trPr>
        <w:tc>
          <w:tcPr>
            <w:tcW w:w="583" w:type="dxa"/>
          </w:tcPr>
          <w:p w:rsidR="00187D54" w:rsidRPr="00CA6E79" w:rsidRDefault="00187D54" w:rsidP="00FA0F32">
            <w:pPr>
              <w:suppressAutoHyphens/>
              <w:spacing w:after="120"/>
              <w:rPr>
                <w:szCs w:val="28"/>
                <w:lang w:val="fr-FR"/>
              </w:rPr>
            </w:pPr>
            <w:r w:rsidRPr="00CA6E79">
              <w:rPr>
                <w:szCs w:val="28"/>
                <w:lang w:val="fr-FR"/>
              </w:rPr>
              <w:t>3.</w:t>
            </w:r>
          </w:p>
        </w:tc>
        <w:tc>
          <w:tcPr>
            <w:tcW w:w="5529" w:type="dxa"/>
            <w:gridSpan w:val="2"/>
          </w:tcPr>
          <w:p w:rsidR="00187D54" w:rsidRPr="00CA6E79" w:rsidRDefault="005C329F" w:rsidP="005C329F">
            <w:pPr>
              <w:suppressAutoHyphens/>
              <w:spacing w:after="120"/>
              <w:ind w:right="313"/>
              <w:rPr>
                <w:szCs w:val="28"/>
                <w:lang w:val="fr-FR"/>
              </w:rPr>
            </w:pPr>
            <w:r w:rsidRPr="00CA6E79">
              <w:rPr>
                <w:szCs w:val="28"/>
                <w:lang w:val="fr-FR"/>
              </w:rPr>
              <w:t>Taxe de traitement</w:t>
            </w:r>
            <w:r w:rsidR="002D07DA" w:rsidRPr="00CA6E79">
              <w:rPr>
                <w:szCs w:val="28"/>
                <w:lang w:val="fr-FR"/>
              </w:rPr>
              <w:t> </w:t>
            </w:r>
            <w:r w:rsidRPr="00CA6E79">
              <w:rPr>
                <w:szCs w:val="28"/>
                <w:lang w:val="fr-FR"/>
              </w:rPr>
              <w:t xml:space="preserve">: </w:t>
            </w:r>
            <w:r w:rsidR="00B75130">
              <w:rPr>
                <w:szCs w:val="28"/>
                <w:lang w:val="fr-FR"/>
              </w:rPr>
              <w:br/>
            </w:r>
            <w:r w:rsidRPr="00CA6E79">
              <w:rPr>
                <w:szCs w:val="28"/>
                <w:lang w:val="fr-FR"/>
              </w:rPr>
              <w:t>(règle</w:t>
            </w:r>
            <w:r w:rsidR="002D07DA" w:rsidRPr="00CA6E79">
              <w:rPr>
                <w:szCs w:val="28"/>
                <w:lang w:val="fr-FR"/>
              </w:rPr>
              <w:t> </w:t>
            </w:r>
            <w:r w:rsidRPr="00CA6E79">
              <w:rPr>
                <w:szCs w:val="28"/>
                <w:lang w:val="fr-FR"/>
              </w:rPr>
              <w:t>57.2)</w:t>
            </w:r>
          </w:p>
        </w:tc>
        <w:tc>
          <w:tcPr>
            <w:tcW w:w="3001" w:type="dxa"/>
            <w:gridSpan w:val="2"/>
          </w:tcPr>
          <w:p w:rsidR="00187D54" w:rsidRPr="00CA6E79" w:rsidRDefault="00187D54" w:rsidP="005C329F">
            <w:pPr>
              <w:tabs>
                <w:tab w:val="right" w:pos="680"/>
                <w:tab w:val="left" w:pos="851"/>
              </w:tabs>
              <w:suppressAutoHyphens/>
              <w:spacing w:after="120"/>
              <w:rPr>
                <w:i/>
                <w:szCs w:val="28"/>
                <w:lang w:val="fr-FR"/>
              </w:rPr>
            </w:pPr>
            <w:r w:rsidRPr="00CA6E79">
              <w:rPr>
                <w:szCs w:val="28"/>
                <w:lang w:val="fr-FR"/>
              </w:rPr>
              <w:tab/>
            </w:r>
            <w:r w:rsidR="005C329F" w:rsidRPr="00CA6E79">
              <w:rPr>
                <w:i/>
                <w:szCs w:val="28"/>
                <w:lang w:val="fr-FR"/>
              </w:rPr>
              <w:t>[Sans changement]</w:t>
            </w:r>
          </w:p>
        </w:tc>
      </w:tr>
      <w:tr w:rsidR="00733242" w:rsidRPr="00CA6E79" w:rsidTr="00FA0F32">
        <w:trPr>
          <w:gridBefore w:val="1"/>
          <w:wBefore w:w="33" w:type="dxa"/>
          <w:cantSplit/>
          <w:jc w:val="center"/>
        </w:trPr>
        <w:tc>
          <w:tcPr>
            <w:tcW w:w="6112" w:type="dxa"/>
            <w:gridSpan w:val="3"/>
          </w:tcPr>
          <w:p w:rsidR="00733242" w:rsidRPr="00CA6E79" w:rsidRDefault="00733242" w:rsidP="005C329F">
            <w:pPr>
              <w:suppressAutoHyphens/>
              <w:spacing w:after="120"/>
              <w:ind w:right="313"/>
              <w:rPr>
                <w:b/>
                <w:szCs w:val="28"/>
                <w:lang w:val="fr-FR"/>
              </w:rPr>
            </w:pPr>
          </w:p>
          <w:p w:rsidR="00187D54" w:rsidRPr="00CA6E79" w:rsidRDefault="005C329F" w:rsidP="005C329F">
            <w:pPr>
              <w:suppressAutoHyphens/>
              <w:spacing w:after="120"/>
              <w:ind w:right="313"/>
              <w:rPr>
                <w:szCs w:val="28"/>
                <w:lang w:val="fr-FR"/>
              </w:rPr>
            </w:pPr>
            <w:r w:rsidRPr="00CA6E79">
              <w:rPr>
                <w:b/>
                <w:szCs w:val="28"/>
                <w:lang w:val="fr-FR"/>
              </w:rPr>
              <w:t>Réductions</w:t>
            </w:r>
          </w:p>
        </w:tc>
        <w:tc>
          <w:tcPr>
            <w:tcW w:w="3001" w:type="dxa"/>
            <w:gridSpan w:val="2"/>
          </w:tcPr>
          <w:p w:rsidR="00187D54" w:rsidRPr="00CA6E79" w:rsidRDefault="00187D54" w:rsidP="00FA0F32">
            <w:pPr>
              <w:suppressAutoHyphens/>
              <w:spacing w:after="120"/>
              <w:ind w:left="454" w:hanging="454"/>
              <w:rPr>
                <w:strike/>
                <w:szCs w:val="28"/>
                <w:lang w:val="fr-FR"/>
              </w:rPr>
            </w:pPr>
          </w:p>
        </w:tc>
      </w:tr>
      <w:tr w:rsidR="00733242" w:rsidRPr="001A609C" w:rsidTr="00FA0F32">
        <w:trPr>
          <w:gridBefore w:val="1"/>
          <w:wBefore w:w="33" w:type="dxa"/>
          <w:cantSplit/>
          <w:jc w:val="center"/>
        </w:trPr>
        <w:tc>
          <w:tcPr>
            <w:tcW w:w="9113" w:type="dxa"/>
            <w:gridSpan w:val="5"/>
          </w:tcPr>
          <w:p w:rsidR="00187D54" w:rsidRPr="00CA6E79" w:rsidRDefault="005C329F" w:rsidP="009D2DB7">
            <w:pPr>
              <w:tabs>
                <w:tab w:val="left" w:pos="600"/>
              </w:tabs>
              <w:spacing w:after="120"/>
              <w:jc w:val="both"/>
              <w:rPr>
                <w:szCs w:val="28"/>
                <w:lang w:val="fr-FR"/>
              </w:rPr>
            </w:pPr>
            <w:r w:rsidRPr="00CA6E79">
              <w:rPr>
                <w:szCs w:val="28"/>
                <w:lang w:val="fr-FR"/>
              </w:rPr>
              <w:t>4.</w:t>
            </w:r>
            <w:r w:rsidR="009D2DB7" w:rsidRPr="00CA6E79">
              <w:rPr>
                <w:szCs w:val="28"/>
                <w:lang w:val="fr-FR"/>
              </w:rPr>
              <w:tab/>
            </w:r>
            <w:r w:rsidRPr="00CA6E79">
              <w:rPr>
                <w:szCs w:val="28"/>
                <w:lang w:val="fr-FR"/>
              </w:rPr>
              <w:t>La taxe internationale de dépôt est réduite du montant suivant si la demande internationale est, conformément aux instructions administratives, déposée</w:t>
            </w:r>
            <w:r w:rsidR="002D07DA" w:rsidRPr="00CA6E79">
              <w:rPr>
                <w:szCs w:val="28"/>
                <w:lang w:val="fr-FR"/>
              </w:rPr>
              <w:t> </w:t>
            </w:r>
            <w:r w:rsidRPr="00CA6E79">
              <w:rPr>
                <w:szCs w:val="28"/>
                <w:lang w:val="fr-FR"/>
              </w:rPr>
              <w:t>:</w:t>
            </w:r>
          </w:p>
        </w:tc>
      </w:tr>
      <w:tr w:rsidR="00733242" w:rsidRPr="00CA6E79" w:rsidTr="00FA0F32">
        <w:trPr>
          <w:gridBefore w:val="1"/>
          <w:wBefore w:w="33" w:type="dxa"/>
          <w:jc w:val="center"/>
        </w:trPr>
        <w:tc>
          <w:tcPr>
            <w:tcW w:w="583" w:type="dxa"/>
          </w:tcPr>
          <w:p w:rsidR="00187D54" w:rsidRPr="00CA6E79" w:rsidRDefault="00187D54" w:rsidP="00FA0F32">
            <w:pPr>
              <w:suppressAutoHyphens/>
              <w:spacing w:after="120"/>
              <w:rPr>
                <w:szCs w:val="28"/>
                <w:lang w:val="fr-FR"/>
              </w:rPr>
            </w:pPr>
          </w:p>
        </w:tc>
        <w:tc>
          <w:tcPr>
            <w:tcW w:w="5529" w:type="dxa"/>
            <w:gridSpan w:val="2"/>
          </w:tcPr>
          <w:p w:rsidR="00187D54" w:rsidRPr="00CA6E79" w:rsidRDefault="008B432A" w:rsidP="008B432A">
            <w:pPr>
              <w:pStyle w:val="ListParagraph"/>
              <w:suppressAutoHyphens/>
              <w:spacing w:after="120"/>
              <w:ind w:left="567" w:right="284" w:hanging="567"/>
              <w:jc w:val="both"/>
              <w:rPr>
                <w:rStyle w:val="DeletedText"/>
                <w:color w:val="auto"/>
                <w:lang w:val="fr-FR"/>
              </w:rPr>
            </w:pPr>
            <w:r w:rsidRPr="00CA6E79">
              <w:rPr>
                <w:rStyle w:val="DeletedText"/>
                <w:lang w:val="fr-FR"/>
              </w:rPr>
              <w:t>a)</w:t>
            </w:r>
            <w:r w:rsidRPr="00CA6E79">
              <w:rPr>
                <w:rStyle w:val="DeletedText"/>
                <w:lang w:val="fr-FR"/>
              </w:rPr>
              <w:tab/>
            </w:r>
            <w:r w:rsidR="005C329F" w:rsidRPr="00CA6E79">
              <w:rPr>
                <w:rStyle w:val="DeletedText"/>
                <w:lang w:val="fr-FR"/>
              </w:rPr>
              <w:t>sur papier avec une copie sous forme électronique, en format à codage de caractères, de la requête et de l</w:t>
            </w:r>
            <w:r w:rsidR="00892E0E" w:rsidRPr="00CA6E79">
              <w:rPr>
                <w:rStyle w:val="DeletedText"/>
                <w:lang w:val="fr-FR"/>
              </w:rPr>
              <w:t>’</w:t>
            </w:r>
            <w:r w:rsidR="005C329F" w:rsidRPr="00CA6E79">
              <w:rPr>
                <w:rStyle w:val="DeletedText"/>
                <w:lang w:val="fr-FR"/>
              </w:rPr>
              <w:t>abrégé</w:t>
            </w:r>
            <w:r w:rsidR="002D07DA" w:rsidRPr="00CA6E79">
              <w:rPr>
                <w:rStyle w:val="DeletedText"/>
                <w:lang w:val="fr-FR"/>
              </w:rPr>
              <w:t> </w:t>
            </w:r>
            <w:r w:rsidR="005C329F" w:rsidRPr="00CA6E79">
              <w:rPr>
                <w:rStyle w:val="DeletedText"/>
                <w:lang w:val="fr-FR"/>
              </w:rPr>
              <w:t>:</w:t>
            </w:r>
          </w:p>
        </w:tc>
        <w:tc>
          <w:tcPr>
            <w:tcW w:w="3001" w:type="dxa"/>
            <w:gridSpan w:val="2"/>
          </w:tcPr>
          <w:p w:rsidR="00187D54" w:rsidRPr="00CA6E79" w:rsidRDefault="00734E6A" w:rsidP="005C329F">
            <w:pPr>
              <w:tabs>
                <w:tab w:val="right" w:pos="680"/>
                <w:tab w:val="left" w:pos="851"/>
              </w:tabs>
              <w:suppressAutoHyphens/>
              <w:spacing w:after="120"/>
              <w:rPr>
                <w:rStyle w:val="DeletedText"/>
                <w:color w:val="auto"/>
                <w:lang w:val="fr-FR"/>
              </w:rPr>
            </w:pPr>
            <w:r w:rsidRPr="00CA6E79">
              <w:rPr>
                <w:rStyle w:val="DeletedText"/>
                <w:lang w:val="fr-FR"/>
              </w:rPr>
              <w:br/>
            </w:r>
            <w:r w:rsidRPr="00CA6E79">
              <w:rPr>
                <w:rStyle w:val="DeletedText"/>
                <w:lang w:val="fr-FR"/>
              </w:rPr>
              <w:br/>
            </w:r>
            <w:r w:rsidR="005C329F" w:rsidRPr="00CA6E79">
              <w:rPr>
                <w:rStyle w:val="DeletedText"/>
                <w:lang w:val="fr-FR"/>
              </w:rPr>
              <w:t>100</w:t>
            </w:r>
            <w:r w:rsidR="002D07DA" w:rsidRPr="00CA6E79">
              <w:rPr>
                <w:rStyle w:val="DeletedText"/>
                <w:lang w:val="fr-FR"/>
              </w:rPr>
              <w:t> </w:t>
            </w:r>
            <w:r w:rsidR="005C329F" w:rsidRPr="00CA6E79">
              <w:rPr>
                <w:rStyle w:val="DeletedText"/>
                <w:lang w:val="fr-FR"/>
              </w:rPr>
              <w:t>francs suisses</w:t>
            </w:r>
          </w:p>
        </w:tc>
      </w:tr>
      <w:tr w:rsidR="00733242" w:rsidRPr="00CA6E79" w:rsidTr="00FA0F32">
        <w:trPr>
          <w:gridBefore w:val="1"/>
          <w:wBefore w:w="33" w:type="dxa"/>
          <w:jc w:val="center"/>
        </w:trPr>
        <w:tc>
          <w:tcPr>
            <w:tcW w:w="583" w:type="dxa"/>
          </w:tcPr>
          <w:p w:rsidR="00187D54" w:rsidRPr="00CA6E79" w:rsidRDefault="00187D54" w:rsidP="00FA0F32">
            <w:pPr>
              <w:suppressAutoHyphens/>
              <w:spacing w:after="120"/>
              <w:rPr>
                <w:szCs w:val="28"/>
                <w:lang w:val="fr-FR"/>
              </w:rPr>
            </w:pPr>
          </w:p>
        </w:tc>
        <w:tc>
          <w:tcPr>
            <w:tcW w:w="5529" w:type="dxa"/>
            <w:gridSpan w:val="2"/>
          </w:tcPr>
          <w:p w:rsidR="00187D54" w:rsidRPr="00CA6E79" w:rsidRDefault="005C329F" w:rsidP="00D75FF2">
            <w:pPr>
              <w:suppressAutoHyphens/>
              <w:spacing w:after="120"/>
              <w:ind w:left="567" w:right="284" w:hanging="567"/>
              <w:jc w:val="both"/>
              <w:rPr>
                <w:szCs w:val="28"/>
                <w:lang w:val="fr-FR"/>
              </w:rPr>
            </w:pPr>
            <w:r w:rsidRPr="00CA6E79">
              <w:rPr>
                <w:rStyle w:val="DeletedText"/>
                <w:lang w:val="fr-FR"/>
              </w:rPr>
              <w:t xml:space="preserve">b) </w:t>
            </w:r>
            <w:r w:rsidRPr="00CA6E79">
              <w:rPr>
                <w:rStyle w:val="DeletedText"/>
                <w:strike w:val="0"/>
                <w:color w:val="0070C0"/>
                <w:u w:val="single"/>
                <w:lang w:val="fr-FR"/>
              </w:rPr>
              <w:t>a)</w:t>
            </w:r>
            <w:r w:rsidR="00423F47" w:rsidRPr="00CA6E79">
              <w:rPr>
                <w:rStyle w:val="DeletedText"/>
                <w:strike w:val="0"/>
                <w:color w:val="0070C0"/>
                <w:u w:val="single"/>
                <w:lang w:val="fr-FR"/>
              </w:rPr>
              <w:tab/>
            </w:r>
            <w:r w:rsidRPr="00CA6E79">
              <w:rPr>
                <w:rStyle w:val="DeletedText"/>
                <w:strike w:val="0"/>
                <w:color w:val="auto"/>
                <w:lang w:val="fr-FR"/>
              </w:rPr>
              <w:t>sous forme électronique, la requête n</w:t>
            </w:r>
            <w:r w:rsidR="00892E0E" w:rsidRPr="00CA6E79">
              <w:rPr>
                <w:rStyle w:val="DeletedText"/>
                <w:strike w:val="0"/>
                <w:color w:val="auto"/>
                <w:lang w:val="fr-FR"/>
              </w:rPr>
              <w:t>’</w:t>
            </w:r>
            <w:r w:rsidRPr="00CA6E79">
              <w:rPr>
                <w:rStyle w:val="DeletedText"/>
                <w:strike w:val="0"/>
                <w:color w:val="auto"/>
                <w:lang w:val="fr-FR"/>
              </w:rPr>
              <w:t>étant pas en format à codage de caractères :</w:t>
            </w:r>
          </w:p>
        </w:tc>
        <w:tc>
          <w:tcPr>
            <w:tcW w:w="3001" w:type="dxa"/>
            <w:gridSpan w:val="2"/>
          </w:tcPr>
          <w:p w:rsidR="00187D54" w:rsidRPr="00CA6E79" w:rsidRDefault="00734E6A" w:rsidP="005C329F">
            <w:pPr>
              <w:tabs>
                <w:tab w:val="right" w:pos="680"/>
                <w:tab w:val="left" w:pos="851"/>
              </w:tabs>
              <w:suppressAutoHyphens/>
              <w:spacing w:after="120"/>
              <w:rPr>
                <w:szCs w:val="28"/>
                <w:u w:val="single"/>
                <w:lang w:val="fr-FR"/>
              </w:rPr>
            </w:pPr>
            <w:r w:rsidRPr="00CA6E79">
              <w:rPr>
                <w:i/>
                <w:szCs w:val="28"/>
                <w:lang w:val="fr-FR"/>
              </w:rPr>
              <w:br/>
            </w:r>
            <w:r w:rsidR="005C329F" w:rsidRPr="00CA6E79">
              <w:rPr>
                <w:i/>
                <w:szCs w:val="28"/>
                <w:lang w:val="fr-FR"/>
              </w:rPr>
              <w:t>[Sans changement]</w:t>
            </w:r>
          </w:p>
        </w:tc>
      </w:tr>
      <w:tr w:rsidR="00733242" w:rsidRPr="00CA6E79" w:rsidTr="00FA0F32">
        <w:trPr>
          <w:gridBefore w:val="1"/>
          <w:wBefore w:w="33" w:type="dxa"/>
          <w:jc w:val="center"/>
        </w:trPr>
        <w:tc>
          <w:tcPr>
            <w:tcW w:w="583" w:type="dxa"/>
          </w:tcPr>
          <w:p w:rsidR="00187D54" w:rsidRPr="00CA6E79" w:rsidRDefault="00187D54" w:rsidP="00FA0F32">
            <w:pPr>
              <w:suppressAutoHyphens/>
              <w:spacing w:after="120"/>
              <w:rPr>
                <w:szCs w:val="28"/>
                <w:lang w:val="fr-FR"/>
              </w:rPr>
            </w:pPr>
          </w:p>
        </w:tc>
        <w:tc>
          <w:tcPr>
            <w:tcW w:w="5529" w:type="dxa"/>
            <w:gridSpan w:val="2"/>
          </w:tcPr>
          <w:p w:rsidR="00187D54" w:rsidRPr="00CA6E79" w:rsidRDefault="005C329F" w:rsidP="00D75FF2">
            <w:pPr>
              <w:suppressAutoHyphens/>
              <w:spacing w:after="120"/>
              <w:ind w:left="567" w:right="284" w:hanging="567"/>
              <w:jc w:val="both"/>
              <w:rPr>
                <w:szCs w:val="28"/>
                <w:lang w:val="fr-FR"/>
              </w:rPr>
            </w:pPr>
            <w:r w:rsidRPr="00CA6E79">
              <w:rPr>
                <w:rStyle w:val="DeletedText"/>
                <w:lang w:val="fr-FR"/>
              </w:rPr>
              <w:t xml:space="preserve">c) </w:t>
            </w:r>
            <w:r w:rsidRPr="00CA6E79">
              <w:rPr>
                <w:rStyle w:val="DeletedText"/>
                <w:strike w:val="0"/>
                <w:color w:val="0070C0"/>
                <w:u w:val="single"/>
                <w:lang w:val="fr-FR"/>
              </w:rPr>
              <w:t>b)</w:t>
            </w:r>
            <w:r w:rsidR="00423F47" w:rsidRPr="00CA6E79">
              <w:rPr>
                <w:rStyle w:val="DeletedText"/>
                <w:strike w:val="0"/>
                <w:color w:val="0070C0"/>
                <w:lang w:val="fr-FR"/>
              </w:rPr>
              <w:tab/>
            </w:r>
            <w:r w:rsidRPr="00CA6E79">
              <w:rPr>
                <w:rStyle w:val="DeletedText"/>
                <w:strike w:val="0"/>
                <w:color w:val="auto"/>
                <w:lang w:val="fr-FR"/>
              </w:rPr>
              <w:t>sous forme électronique, la requête étant</w:t>
            </w:r>
            <w:bookmarkStart w:id="21" w:name="_GoBack"/>
            <w:bookmarkEnd w:id="21"/>
            <w:r w:rsidRPr="00CA6E79">
              <w:rPr>
                <w:rStyle w:val="DeletedText"/>
                <w:strike w:val="0"/>
                <w:color w:val="auto"/>
                <w:lang w:val="fr-FR"/>
              </w:rPr>
              <w:t xml:space="preserve"> en format à codage de car</w:t>
            </w:r>
            <w:r w:rsidR="00733242" w:rsidRPr="00CA6E79">
              <w:rPr>
                <w:rStyle w:val="DeletedText"/>
                <w:strike w:val="0"/>
                <w:color w:val="auto"/>
                <w:lang w:val="fr-FR"/>
              </w:rPr>
              <w:t>a</w:t>
            </w:r>
            <w:r w:rsidRPr="00CA6E79">
              <w:rPr>
                <w:rStyle w:val="DeletedText"/>
                <w:strike w:val="0"/>
                <w:color w:val="auto"/>
                <w:lang w:val="fr-FR"/>
              </w:rPr>
              <w:t>ctères :</w:t>
            </w:r>
          </w:p>
        </w:tc>
        <w:tc>
          <w:tcPr>
            <w:tcW w:w="3001" w:type="dxa"/>
            <w:gridSpan w:val="2"/>
          </w:tcPr>
          <w:p w:rsidR="00187D54" w:rsidRPr="00CA6E79" w:rsidRDefault="00734E6A" w:rsidP="005C329F">
            <w:pPr>
              <w:tabs>
                <w:tab w:val="right" w:pos="680"/>
                <w:tab w:val="left" w:pos="851"/>
              </w:tabs>
              <w:suppressAutoHyphens/>
              <w:spacing w:after="120"/>
              <w:rPr>
                <w:szCs w:val="28"/>
                <w:lang w:val="fr-FR"/>
              </w:rPr>
            </w:pPr>
            <w:r w:rsidRPr="00CA6E79">
              <w:rPr>
                <w:i/>
                <w:szCs w:val="28"/>
                <w:lang w:val="fr-FR"/>
              </w:rPr>
              <w:br/>
            </w:r>
            <w:r w:rsidR="005C329F" w:rsidRPr="00CA6E79">
              <w:rPr>
                <w:i/>
                <w:szCs w:val="28"/>
                <w:lang w:val="fr-FR"/>
              </w:rPr>
              <w:t>[Sans changement]</w:t>
            </w:r>
          </w:p>
        </w:tc>
      </w:tr>
      <w:tr w:rsidR="00733242" w:rsidRPr="00CA6E79" w:rsidTr="00FA0F32">
        <w:trPr>
          <w:gridBefore w:val="1"/>
          <w:wBefore w:w="33" w:type="dxa"/>
          <w:jc w:val="center"/>
        </w:trPr>
        <w:tc>
          <w:tcPr>
            <w:tcW w:w="583" w:type="dxa"/>
          </w:tcPr>
          <w:p w:rsidR="00187D54" w:rsidRPr="00CA6E79" w:rsidRDefault="00187D54" w:rsidP="00FA0F32">
            <w:pPr>
              <w:suppressAutoHyphens/>
              <w:spacing w:after="120"/>
              <w:rPr>
                <w:szCs w:val="28"/>
                <w:lang w:val="fr-FR"/>
              </w:rPr>
            </w:pPr>
          </w:p>
        </w:tc>
        <w:tc>
          <w:tcPr>
            <w:tcW w:w="5529" w:type="dxa"/>
            <w:gridSpan w:val="2"/>
          </w:tcPr>
          <w:p w:rsidR="00187D54" w:rsidRPr="00CA6E79" w:rsidRDefault="005C329F" w:rsidP="00D75FF2">
            <w:pPr>
              <w:suppressAutoHyphens/>
              <w:spacing w:after="120"/>
              <w:ind w:left="567" w:right="284" w:hanging="567"/>
              <w:jc w:val="both"/>
              <w:rPr>
                <w:szCs w:val="28"/>
                <w:lang w:val="fr-FR"/>
              </w:rPr>
            </w:pPr>
            <w:r w:rsidRPr="00CA6E79">
              <w:rPr>
                <w:rStyle w:val="DeletedText"/>
                <w:lang w:val="fr-FR"/>
              </w:rPr>
              <w:t xml:space="preserve">d) </w:t>
            </w:r>
            <w:r w:rsidR="00733242" w:rsidRPr="00CA6E79">
              <w:rPr>
                <w:rStyle w:val="DeletedText"/>
                <w:strike w:val="0"/>
                <w:color w:val="0070C0"/>
                <w:u w:val="single"/>
                <w:lang w:val="fr-FR"/>
              </w:rPr>
              <w:t>c)</w:t>
            </w:r>
            <w:r w:rsidR="00423F47" w:rsidRPr="00CA6E79">
              <w:rPr>
                <w:rStyle w:val="DeletedText"/>
                <w:strike w:val="0"/>
                <w:color w:val="0070C0"/>
                <w:lang w:val="fr-FR"/>
              </w:rPr>
              <w:tab/>
            </w:r>
            <w:r w:rsidRPr="00CA6E79">
              <w:rPr>
                <w:rStyle w:val="DeletedText"/>
                <w:strike w:val="0"/>
                <w:color w:val="auto"/>
                <w:lang w:val="fr-FR"/>
              </w:rPr>
              <w:t>sous forme électronique, la requête, la description, les revendications et l</w:t>
            </w:r>
            <w:r w:rsidR="00892E0E" w:rsidRPr="00CA6E79">
              <w:rPr>
                <w:rStyle w:val="DeletedText"/>
                <w:strike w:val="0"/>
                <w:color w:val="auto"/>
                <w:lang w:val="fr-FR"/>
              </w:rPr>
              <w:t>’</w:t>
            </w:r>
            <w:r w:rsidRPr="00CA6E79">
              <w:rPr>
                <w:rStyle w:val="DeletedText"/>
                <w:strike w:val="0"/>
                <w:color w:val="auto"/>
                <w:lang w:val="fr-FR"/>
              </w:rPr>
              <w:t>abrégé étant en format à codage de caractères</w:t>
            </w:r>
            <w:r w:rsidR="002D07DA" w:rsidRPr="00CA6E79">
              <w:rPr>
                <w:rStyle w:val="DeletedText"/>
                <w:strike w:val="0"/>
                <w:color w:val="auto"/>
                <w:lang w:val="fr-FR"/>
              </w:rPr>
              <w:t> </w:t>
            </w:r>
            <w:r w:rsidRPr="00CA6E79">
              <w:rPr>
                <w:rStyle w:val="DeletedText"/>
                <w:strike w:val="0"/>
                <w:color w:val="auto"/>
                <w:lang w:val="fr-FR"/>
              </w:rPr>
              <w:t>:</w:t>
            </w:r>
          </w:p>
        </w:tc>
        <w:tc>
          <w:tcPr>
            <w:tcW w:w="3001" w:type="dxa"/>
            <w:gridSpan w:val="2"/>
          </w:tcPr>
          <w:p w:rsidR="00187D54" w:rsidRPr="00CA6E79" w:rsidRDefault="00734E6A" w:rsidP="005C329F">
            <w:pPr>
              <w:tabs>
                <w:tab w:val="right" w:pos="680"/>
                <w:tab w:val="left" w:pos="851"/>
              </w:tabs>
              <w:suppressAutoHyphens/>
              <w:spacing w:after="120"/>
              <w:rPr>
                <w:szCs w:val="28"/>
                <w:lang w:val="fr-FR"/>
              </w:rPr>
            </w:pPr>
            <w:r w:rsidRPr="00CA6E79">
              <w:rPr>
                <w:i/>
                <w:szCs w:val="28"/>
                <w:lang w:val="fr-FR"/>
              </w:rPr>
              <w:br/>
            </w:r>
            <w:r w:rsidRPr="00CA6E79">
              <w:rPr>
                <w:i/>
                <w:szCs w:val="28"/>
                <w:lang w:val="fr-FR"/>
              </w:rPr>
              <w:br/>
            </w:r>
            <w:r w:rsidR="005C329F" w:rsidRPr="00CA6E79">
              <w:rPr>
                <w:i/>
                <w:szCs w:val="28"/>
                <w:lang w:val="fr-FR"/>
              </w:rPr>
              <w:t>[Sans changement]</w:t>
            </w:r>
          </w:p>
        </w:tc>
      </w:tr>
      <w:tr w:rsidR="00733242" w:rsidRPr="00CA6E79" w:rsidTr="00FA0F32">
        <w:trPr>
          <w:gridBefore w:val="1"/>
          <w:wBefore w:w="33" w:type="dxa"/>
          <w:cantSplit/>
          <w:jc w:val="center"/>
        </w:trPr>
        <w:tc>
          <w:tcPr>
            <w:tcW w:w="9113" w:type="dxa"/>
            <w:gridSpan w:val="5"/>
          </w:tcPr>
          <w:p w:rsidR="00187D54" w:rsidRPr="00CA6E79" w:rsidRDefault="00733242" w:rsidP="00733242">
            <w:pPr>
              <w:tabs>
                <w:tab w:val="left" w:pos="532"/>
              </w:tabs>
              <w:suppressAutoHyphens/>
              <w:spacing w:after="120"/>
              <w:jc w:val="both"/>
              <w:rPr>
                <w:szCs w:val="28"/>
                <w:lang w:val="fr-FR"/>
              </w:rPr>
            </w:pPr>
            <w:r w:rsidRPr="00CA6E79">
              <w:rPr>
                <w:szCs w:val="28"/>
                <w:lang w:val="fr-FR"/>
              </w:rPr>
              <w:t>5.</w:t>
            </w:r>
            <w:r w:rsidR="00423F47" w:rsidRPr="00CA6E79">
              <w:rPr>
                <w:szCs w:val="28"/>
                <w:lang w:val="fr-FR"/>
              </w:rPr>
              <w:tab/>
            </w:r>
            <w:r w:rsidRPr="00CA6E79">
              <w:rPr>
                <w:i/>
                <w:szCs w:val="28"/>
                <w:lang w:val="fr-FR"/>
              </w:rPr>
              <w:t>[Sans changement]</w:t>
            </w:r>
            <w:r w:rsidR="006A5FBA" w:rsidRPr="00CA6E79">
              <w:rPr>
                <w:szCs w:val="28"/>
                <w:lang w:val="fr-FR"/>
              </w:rPr>
              <w:t xml:space="preserve"> </w:t>
            </w:r>
          </w:p>
        </w:tc>
      </w:tr>
    </w:tbl>
    <w:p w:rsidR="006C7B53" w:rsidRPr="00CA6E79" w:rsidRDefault="006C7B53" w:rsidP="002607E3">
      <w:pPr>
        <w:pStyle w:val="Endofdocument-Annex"/>
        <w:ind w:left="0"/>
        <w:rPr>
          <w:lang w:val="fr-FR"/>
        </w:rPr>
      </w:pPr>
    </w:p>
    <w:p w:rsidR="006C7B53" w:rsidRDefault="006C7B53" w:rsidP="002607E3">
      <w:pPr>
        <w:pStyle w:val="Endofdocument-Annex"/>
        <w:ind w:left="0"/>
        <w:rPr>
          <w:lang w:val="fr-FR"/>
        </w:rPr>
      </w:pPr>
    </w:p>
    <w:p w:rsidR="00DF67D8" w:rsidRPr="00CA6E79" w:rsidRDefault="00DF67D8" w:rsidP="002607E3">
      <w:pPr>
        <w:pStyle w:val="Endofdocument-Annex"/>
        <w:ind w:left="0"/>
        <w:rPr>
          <w:lang w:val="fr-FR"/>
        </w:rPr>
      </w:pPr>
    </w:p>
    <w:p w:rsidR="006C7B53" w:rsidRPr="00CA6E79" w:rsidRDefault="00733242" w:rsidP="00733242">
      <w:pPr>
        <w:pStyle w:val="Endofdocument-Annex"/>
        <w:rPr>
          <w:lang w:val="fr-FR"/>
        </w:rPr>
      </w:pPr>
      <w:r w:rsidRPr="00CA6E79">
        <w:rPr>
          <w:lang w:val="fr-FR"/>
        </w:rPr>
        <w:t>[Fin de l</w:t>
      </w:r>
      <w:r w:rsidR="00892E0E" w:rsidRPr="00CA6E79">
        <w:rPr>
          <w:lang w:val="fr-FR"/>
        </w:rPr>
        <w:t>’</w:t>
      </w:r>
      <w:r w:rsidRPr="00CA6E79">
        <w:rPr>
          <w:lang w:val="fr-FR"/>
        </w:rPr>
        <w:t>annexe et du document]</w:t>
      </w:r>
    </w:p>
    <w:p w:rsidR="006C7B53" w:rsidRPr="00CA6E79" w:rsidRDefault="006C7B53" w:rsidP="00515DCC">
      <w:pPr>
        <w:pStyle w:val="Endofdocument-Annex"/>
        <w:rPr>
          <w:lang w:val="fr-FR"/>
        </w:rPr>
      </w:pPr>
    </w:p>
    <w:p w:rsidR="006C7B53" w:rsidRPr="00CA6E79" w:rsidRDefault="006C7B53" w:rsidP="00515DCC">
      <w:pPr>
        <w:pStyle w:val="Endofdocument-Annex"/>
        <w:rPr>
          <w:lang w:val="fr-FR"/>
        </w:rPr>
      </w:pPr>
    </w:p>
    <w:sectPr w:rsidR="006C7B53" w:rsidRPr="00CA6E79" w:rsidSect="002011C3">
      <w:head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F32" w:rsidRDefault="00FA0F32">
      <w:r>
        <w:separator/>
      </w:r>
    </w:p>
  </w:endnote>
  <w:endnote w:type="continuationSeparator" w:id="0">
    <w:p w:rsidR="00FA0F32" w:rsidRDefault="00FA0F32" w:rsidP="003B38C1">
      <w:r>
        <w:separator/>
      </w:r>
    </w:p>
    <w:p w:rsidR="00FA0F32" w:rsidRPr="003B38C1" w:rsidRDefault="00FA0F32" w:rsidP="003B38C1">
      <w:pPr>
        <w:spacing w:after="60"/>
        <w:rPr>
          <w:sz w:val="17"/>
        </w:rPr>
      </w:pPr>
      <w:r>
        <w:rPr>
          <w:sz w:val="17"/>
        </w:rPr>
        <w:t>[Endnote continued from previous page]</w:t>
      </w:r>
    </w:p>
  </w:endnote>
  <w:endnote w:type="continuationNotice" w:id="1">
    <w:p w:rsidR="00FA0F32" w:rsidRPr="003B38C1" w:rsidRDefault="00FA0F3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1C3" w:rsidRPr="002011C3" w:rsidRDefault="002011C3" w:rsidP="00AF3717">
    <w:pPr>
      <w:pStyle w:val="Footer"/>
      <w:tabs>
        <w:tab w:val="clear" w:pos="4320"/>
        <w:tab w:val="clear" w:pos="8640"/>
        <w:tab w:val="right" w:pos="8504"/>
      </w:tabs>
      <w:rPr>
        <w:rFonts w:ascii="Times New Roman" w:hAnsi="Times New Roman" w:cs="Times New Roman"/>
        <w:b/>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4E3" w:rsidRPr="002164E3" w:rsidRDefault="002164E3" w:rsidP="002164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F32" w:rsidRDefault="00FA0F32">
      <w:r>
        <w:separator/>
      </w:r>
    </w:p>
  </w:footnote>
  <w:footnote w:type="continuationSeparator" w:id="0">
    <w:p w:rsidR="00FA0F32" w:rsidRDefault="00FA0F32" w:rsidP="008B60B2">
      <w:r>
        <w:separator/>
      </w:r>
    </w:p>
    <w:p w:rsidR="00FA0F32" w:rsidRPr="00ED77FB" w:rsidRDefault="00FA0F32" w:rsidP="008B60B2">
      <w:pPr>
        <w:spacing w:after="60"/>
        <w:rPr>
          <w:sz w:val="17"/>
          <w:szCs w:val="17"/>
        </w:rPr>
      </w:pPr>
      <w:r w:rsidRPr="00ED77FB">
        <w:rPr>
          <w:sz w:val="17"/>
          <w:szCs w:val="17"/>
        </w:rPr>
        <w:t>[Footnote continued from previous page]</w:t>
      </w:r>
    </w:p>
  </w:footnote>
  <w:footnote w:type="continuationNotice" w:id="1">
    <w:p w:rsidR="00FA0F32" w:rsidRPr="00ED77FB" w:rsidRDefault="00FA0F32" w:rsidP="008B60B2">
      <w:pPr>
        <w:spacing w:before="60"/>
        <w:jc w:val="right"/>
        <w:rPr>
          <w:sz w:val="17"/>
          <w:szCs w:val="17"/>
        </w:rPr>
      </w:pPr>
      <w:r w:rsidRPr="00ED77FB">
        <w:rPr>
          <w:sz w:val="17"/>
          <w:szCs w:val="17"/>
        </w:rPr>
        <w:t>[Footnote continued on next page]</w:t>
      </w:r>
    </w:p>
  </w:footnote>
  <w:footnote w:id="2">
    <w:p w:rsidR="00B64025" w:rsidRPr="00CF4BBD" w:rsidRDefault="00B64025" w:rsidP="00B64025">
      <w:pPr>
        <w:pStyle w:val="FootnoteText"/>
        <w:rPr>
          <w:lang w:val="fr-CH"/>
        </w:rPr>
      </w:pPr>
      <w:r w:rsidRPr="00CF4BBD">
        <w:rPr>
          <w:rStyle w:val="FootnoteReference"/>
        </w:rPr>
        <w:footnoteRef/>
      </w:r>
      <w:r w:rsidRPr="00CF4BBD">
        <w:rPr>
          <w:lang w:val="fr-CH"/>
        </w:rPr>
        <w:t xml:space="preserve"> </w:t>
      </w:r>
      <w:r w:rsidRPr="00CF4BBD">
        <w:rPr>
          <w:lang w:val="fr-CH"/>
        </w:rPr>
        <w:tab/>
        <w:t>Les propositions d’adjonction ou de suppression sont signalées, respectivement, par soulignement ou biffage du texte concerné.  Certaines dispositions qu’il n’est pas proposé de modifier peuvent être incorporées pour des raisons pratiques.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833D30" w:rsidP="00477D6B">
    <w:pPr>
      <w:jc w:val="right"/>
    </w:pPr>
    <w:bookmarkStart w:id="4" w:name="Code2"/>
    <w:bookmarkEnd w:id="4"/>
    <w:r>
      <w:t>PCT/WG/7/</w:t>
    </w:r>
    <w:r w:rsidR="003C6D36">
      <w:t>15</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AF3717">
      <w:rPr>
        <w:noProof/>
      </w:rPr>
      <w:t>4</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BB2" w:rsidRDefault="002A1BB2" w:rsidP="00477D6B">
    <w:pPr>
      <w:jc w:val="right"/>
    </w:pPr>
    <w:r>
      <w:t>PCT/WG/7/15</w:t>
    </w:r>
  </w:p>
  <w:p w:rsidR="002A1BB2" w:rsidRDefault="002A1BB2" w:rsidP="00477D6B">
    <w:pPr>
      <w:jc w:val="right"/>
    </w:pPr>
    <w:proofErr w:type="spellStart"/>
    <w:r>
      <w:t>Annex</w:t>
    </w:r>
    <w:r w:rsidR="00DA56D5">
      <w:t>e</w:t>
    </w:r>
    <w:proofErr w:type="spellEnd"/>
    <w:r>
      <w:t xml:space="preserve">, page </w:t>
    </w:r>
    <w:r>
      <w:fldChar w:fldCharType="begin"/>
    </w:r>
    <w:r>
      <w:instrText xml:space="preserve"> PAGE  \* MERGEFORMAT </w:instrText>
    </w:r>
    <w:r>
      <w:fldChar w:fldCharType="separate"/>
    </w:r>
    <w:r w:rsidR="007C0E82">
      <w:rPr>
        <w:noProof/>
      </w:rPr>
      <w:t>5</w:t>
    </w:r>
    <w:r>
      <w:fldChar w:fldCharType="end"/>
    </w:r>
  </w:p>
  <w:p w:rsidR="002A1BB2" w:rsidRDefault="002A1BB2"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BB2" w:rsidRDefault="002A1BB2" w:rsidP="002A1BB2">
    <w:pPr>
      <w:pStyle w:val="Header"/>
      <w:jc w:val="right"/>
    </w:pPr>
    <w:r>
      <w:t>PCT/WG/7/15</w:t>
    </w:r>
  </w:p>
  <w:p w:rsidR="002A1BB2" w:rsidRDefault="002A1BB2" w:rsidP="002A1BB2">
    <w:pPr>
      <w:pStyle w:val="Header"/>
      <w:jc w:val="right"/>
    </w:pPr>
    <w:r>
      <w:t>ANNEX</w:t>
    </w:r>
    <w:r w:rsidR="00734E6A">
      <w:t>E</w:t>
    </w:r>
  </w:p>
  <w:p w:rsidR="00734E6A" w:rsidRDefault="00734E6A" w:rsidP="002A1BB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EA7E8100"/>
    <w:lvl w:ilvl="0">
      <w:start w:val="1"/>
      <w:numFmt w:val="bullet"/>
      <w:lvlText w:val=""/>
      <w:lvlJc w:val="left"/>
      <w:pPr>
        <w:tabs>
          <w:tab w:val="num" w:pos="1492"/>
        </w:tabs>
        <w:ind w:left="1492" w:hanging="360"/>
      </w:pPr>
      <w:rPr>
        <w:rFonts w:ascii="Symbol" w:hAnsi="Symbol" w:hint="default"/>
      </w:rPr>
    </w:lvl>
  </w:abstractNum>
  <w:abstractNum w:abstractNumId="1">
    <w:nsid w:val="FFFFFF88"/>
    <w:multiLevelType w:val="singleLevel"/>
    <w:tmpl w:val="2164524A"/>
    <w:lvl w:ilvl="0">
      <w:start w:val="1"/>
      <w:numFmt w:val="decimal"/>
      <w:lvlText w:val="%1."/>
      <w:lvlJc w:val="left"/>
      <w:pPr>
        <w:tabs>
          <w:tab w:val="num" w:pos="360"/>
        </w:tabs>
        <w:ind w:left="360" w:hanging="360"/>
      </w:pPr>
    </w:lvl>
  </w:abstractNum>
  <w:abstractNum w:abstractNumId="2">
    <w:nsid w:val="06CD29E3"/>
    <w:multiLevelType w:val="multilevel"/>
    <w:tmpl w:val="B9D23FAC"/>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Arial" w:eastAsia="SimSun" w:hAnsi="Arial" w:cs="Arial"/>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AEC58D2"/>
    <w:multiLevelType w:val="hybridMultilevel"/>
    <w:tmpl w:val="40A2FD30"/>
    <w:lvl w:ilvl="0" w:tplc="1D50E5B0">
      <w:start w:val="1"/>
      <w:numFmt w:val="lowerRoman"/>
      <w:lvlText w:val="%1)"/>
      <w:lvlJc w:val="left"/>
      <w:pPr>
        <w:ind w:left="1380" w:hanging="10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6"/>
  </w:num>
  <w:num w:numId="5">
    <w:abstractNumId w:val="2"/>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uplicates NT|WIPONew"/>
    <w:docVar w:name="TermBaseURL" w:val="empty"/>
    <w:docVar w:name="TextBases" w:val="Patents\Meetings|Patents\Other|Patents\Publications|Administrative\Meetings|Administrative\Other|Administrative\Publications|Glossaries\EN-FR|IP in General\Academy|IP in General\Arbitration and Mediation|IP in General\Meetings|IP in General\Other|IP in General\Press Room|IP in General\Publications"/>
    <w:docVar w:name="TextBaseURL" w:val="empty"/>
    <w:docVar w:name="UILng" w:val="en"/>
  </w:docVars>
  <w:rsids>
    <w:rsidRoot w:val="00833D30"/>
    <w:rsid w:val="00003728"/>
    <w:rsid w:val="00035F9D"/>
    <w:rsid w:val="00043CAA"/>
    <w:rsid w:val="00044032"/>
    <w:rsid w:val="0005099A"/>
    <w:rsid w:val="00056780"/>
    <w:rsid w:val="00075432"/>
    <w:rsid w:val="00081FA9"/>
    <w:rsid w:val="000968ED"/>
    <w:rsid w:val="000A2EB8"/>
    <w:rsid w:val="000A5CD2"/>
    <w:rsid w:val="000A6D13"/>
    <w:rsid w:val="000A739B"/>
    <w:rsid w:val="000B167C"/>
    <w:rsid w:val="000B1B6D"/>
    <w:rsid w:val="000C2438"/>
    <w:rsid w:val="000D070B"/>
    <w:rsid w:val="000D1EBC"/>
    <w:rsid w:val="000F5E56"/>
    <w:rsid w:val="001154FB"/>
    <w:rsid w:val="001358ED"/>
    <w:rsid w:val="00135ACB"/>
    <w:rsid w:val="001362EE"/>
    <w:rsid w:val="00143ABF"/>
    <w:rsid w:val="00145391"/>
    <w:rsid w:val="00160DAF"/>
    <w:rsid w:val="00170103"/>
    <w:rsid w:val="001832A6"/>
    <w:rsid w:val="00187D54"/>
    <w:rsid w:val="001A609C"/>
    <w:rsid w:val="001C2231"/>
    <w:rsid w:val="001F5467"/>
    <w:rsid w:val="001F66D3"/>
    <w:rsid w:val="002004A8"/>
    <w:rsid w:val="002011C3"/>
    <w:rsid w:val="002164E3"/>
    <w:rsid w:val="00232ED5"/>
    <w:rsid w:val="00242E6A"/>
    <w:rsid w:val="002607E3"/>
    <w:rsid w:val="002634C4"/>
    <w:rsid w:val="00275DD0"/>
    <w:rsid w:val="002928D3"/>
    <w:rsid w:val="00294D2B"/>
    <w:rsid w:val="002A1BB2"/>
    <w:rsid w:val="002D07DA"/>
    <w:rsid w:val="002E11C0"/>
    <w:rsid w:val="002F1FE6"/>
    <w:rsid w:val="002F4E68"/>
    <w:rsid w:val="00312F7F"/>
    <w:rsid w:val="00320C01"/>
    <w:rsid w:val="00325469"/>
    <w:rsid w:val="00326A80"/>
    <w:rsid w:val="003378DF"/>
    <w:rsid w:val="00340A4C"/>
    <w:rsid w:val="00361450"/>
    <w:rsid w:val="00367107"/>
    <w:rsid w:val="003673CF"/>
    <w:rsid w:val="00370ACC"/>
    <w:rsid w:val="0037387F"/>
    <w:rsid w:val="003845C1"/>
    <w:rsid w:val="003A6F89"/>
    <w:rsid w:val="003B38C1"/>
    <w:rsid w:val="003C4DBB"/>
    <w:rsid w:val="003C6D36"/>
    <w:rsid w:val="00423E3E"/>
    <w:rsid w:val="00423F47"/>
    <w:rsid w:val="00427AF4"/>
    <w:rsid w:val="00432DCC"/>
    <w:rsid w:val="00446643"/>
    <w:rsid w:val="004647DA"/>
    <w:rsid w:val="00474062"/>
    <w:rsid w:val="00477D6B"/>
    <w:rsid w:val="004A2657"/>
    <w:rsid w:val="004A6103"/>
    <w:rsid w:val="004B6350"/>
    <w:rsid w:val="004C20DB"/>
    <w:rsid w:val="004C3306"/>
    <w:rsid w:val="004D4165"/>
    <w:rsid w:val="004E2A52"/>
    <w:rsid w:val="004E50AA"/>
    <w:rsid w:val="004F6417"/>
    <w:rsid w:val="005019FF"/>
    <w:rsid w:val="00515DCC"/>
    <w:rsid w:val="00524B9E"/>
    <w:rsid w:val="0053057A"/>
    <w:rsid w:val="0053061F"/>
    <w:rsid w:val="00530AB6"/>
    <w:rsid w:val="00560A29"/>
    <w:rsid w:val="00563ECA"/>
    <w:rsid w:val="00565045"/>
    <w:rsid w:val="005B0546"/>
    <w:rsid w:val="005B514E"/>
    <w:rsid w:val="005C329F"/>
    <w:rsid w:val="005C6649"/>
    <w:rsid w:val="005E21D3"/>
    <w:rsid w:val="00600519"/>
    <w:rsid w:val="00601941"/>
    <w:rsid w:val="00605827"/>
    <w:rsid w:val="00611C10"/>
    <w:rsid w:val="006174CD"/>
    <w:rsid w:val="00631E21"/>
    <w:rsid w:val="0064421D"/>
    <w:rsid w:val="00646050"/>
    <w:rsid w:val="00647DD8"/>
    <w:rsid w:val="006713CA"/>
    <w:rsid w:val="00674941"/>
    <w:rsid w:val="00676C5C"/>
    <w:rsid w:val="006A5FBA"/>
    <w:rsid w:val="006C553A"/>
    <w:rsid w:val="006C7B53"/>
    <w:rsid w:val="00716E2F"/>
    <w:rsid w:val="00733242"/>
    <w:rsid w:val="00734E6A"/>
    <w:rsid w:val="00763997"/>
    <w:rsid w:val="00777329"/>
    <w:rsid w:val="00796A75"/>
    <w:rsid w:val="007A0676"/>
    <w:rsid w:val="007A3CD3"/>
    <w:rsid w:val="007A4E5E"/>
    <w:rsid w:val="007C0D6F"/>
    <w:rsid w:val="007C0E82"/>
    <w:rsid w:val="007D1613"/>
    <w:rsid w:val="007D182A"/>
    <w:rsid w:val="007D4567"/>
    <w:rsid w:val="007F1959"/>
    <w:rsid w:val="00810E8A"/>
    <w:rsid w:val="00833D30"/>
    <w:rsid w:val="00892E0E"/>
    <w:rsid w:val="0089546A"/>
    <w:rsid w:val="008A1D3B"/>
    <w:rsid w:val="008B2CC1"/>
    <w:rsid w:val="008B432A"/>
    <w:rsid w:val="008B60B2"/>
    <w:rsid w:val="0090731E"/>
    <w:rsid w:val="0091080F"/>
    <w:rsid w:val="00913C10"/>
    <w:rsid w:val="00916EE2"/>
    <w:rsid w:val="00950AD1"/>
    <w:rsid w:val="00966A22"/>
    <w:rsid w:val="0096722F"/>
    <w:rsid w:val="00980843"/>
    <w:rsid w:val="009C17C0"/>
    <w:rsid w:val="009C52C1"/>
    <w:rsid w:val="009D2DB7"/>
    <w:rsid w:val="009E2791"/>
    <w:rsid w:val="009E3F6F"/>
    <w:rsid w:val="009F499F"/>
    <w:rsid w:val="009F75A8"/>
    <w:rsid w:val="00A168D8"/>
    <w:rsid w:val="00A26ABF"/>
    <w:rsid w:val="00A30BE9"/>
    <w:rsid w:val="00A42DAF"/>
    <w:rsid w:val="00A45BD8"/>
    <w:rsid w:val="00A83000"/>
    <w:rsid w:val="00A869B7"/>
    <w:rsid w:val="00AA5AD8"/>
    <w:rsid w:val="00AC205C"/>
    <w:rsid w:val="00AC482E"/>
    <w:rsid w:val="00AD6BF3"/>
    <w:rsid w:val="00AE2167"/>
    <w:rsid w:val="00AF0A6B"/>
    <w:rsid w:val="00AF3717"/>
    <w:rsid w:val="00B05A69"/>
    <w:rsid w:val="00B306F2"/>
    <w:rsid w:val="00B528F9"/>
    <w:rsid w:val="00B64025"/>
    <w:rsid w:val="00B66300"/>
    <w:rsid w:val="00B73A8D"/>
    <w:rsid w:val="00B75130"/>
    <w:rsid w:val="00B8622D"/>
    <w:rsid w:val="00B9734B"/>
    <w:rsid w:val="00BA59CB"/>
    <w:rsid w:val="00BB7BF5"/>
    <w:rsid w:val="00C11BFE"/>
    <w:rsid w:val="00C616F3"/>
    <w:rsid w:val="00C74C19"/>
    <w:rsid w:val="00C82AA9"/>
    <w:rsid w:val="00C867D5"/>
    <w:rsid w:val="00CA6E79"/>
    <w:rsid w:val="00CB2F5F"/>
    <w:rsid w:val="00CC086A"/>
    <w:rsid w:val="00CF4BBD"/>
    <w:rsid w:val="00D006CF"/>
    <w:rsid w:val="00D212CD"/>
    <w:rsid w:val="00D45252"/>
    <w:rsid w:val="00D47A16"/>
    <w:rsid w:val="00D71B4D"/>
    <w:rsid w:val="00D74AD4"/>
    <w:rsid w:val="00D75FF2"/>
    <w:rsid w:val="00D93D55"/>
    <w:rsid w:val="00DA56D5"/>
    <w:rsid w:val="00DE73B7"/>
    <w:rsid w:val="00DF67D8"/>
    <w:rsid w:val="00E129C5"/>
    <w:rsid w:val="00E251B1"/>
    <w:rsid w:val="00E335FE"/>
    <w:rsid w:val="00E4173D"/>
    <w:rsid w:val="00E57BB5"/>
    <w:rsid w:val="00E979D1"/>
    <w:rsid w:val="00EC4E49"/>
    <w:rsid w:val="00ED77FB"/>
    <w:rsid w:val="00EE45FA"/>
    <w:rsid w:val="00F12305"/>
    <w:rsid w:val="00F54B85"/>
    <w:rsid w:val="00F66152"/>
    <w:rsid w:val="00F972E5"/>
    <w:rsid w:val="00FA0F32"/>
    <w:rsid w:val="00FB6A38"/>
    <w:rsid w:val="00FF5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763997"/>
    <w:pPr>
      <w:keepNext/>
      <w:spacing w:before="36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customStyle="1" w:styleId="FootnoteTextChar">
    <w:name w:val="Footnote Text Char"/>
    <w:basedOn w:val="DefaultParagraphFont"/>
    <w:link w:val="FootnoteText"/>
    <w:semiHidden/>
    <w:rsid w:val="002607E3"/>
    <w:rPr>
      <w:rFonts w:ascii="Arial" w:eastAsia="SimSun" w:hAnsi="Arial" w:cs="Arial"/>
      <w:sz w:val="18"/>
      <w:lang w:eastAsia="zh-CN"/>
    </w:rPr>
  </w:style>
  <w:style w:type="character" w:styleId="FootnoteReference">
    <w:name w:val="footnote reference"/>
    <w:basedOn w:val="DefaultParagraphFont"/>
    <w:unhideWhenUsed/>
    <w:rsid w:val="002607E3"/>
    <w:rPr>
      <w:vertAlign w:val="superscript"/>
    </w:rPr>
  </w:style>
  <w:style w:type="character" w:customStyle="1" w:styleId="DeletedText">
    <w:name w:val="Deleted Text"/>
    <w:basedOn w:val="DefaultParagraphFont"/>
    <w:uiPriority w:val="1"/>
    <w:qFormat/>
    <w:rsid w:val="002607E3"/>
    <w:rPr>
      <w:strike/>
      <w:color w:val="FF0000"/>
    </w:rPr>
  </w:style>
  <w:style w:type="character" w:customStyle="1" w:styleId="InsertedText">
    <w:name w:val="Inserted Text"/>
    <w:basedOn w:val="DefaultParagraphFont"/>
    <w:qFormat/>
    <w:rsid w:val="002607E3"/>
    <w:rPr>
      <w:color w:val="1F497D" w:themeColor="text2"/>
      <w:u w:val="single"/>
    </w:rPr>
  </w:style>
  <w:style w:type="paragraph" w:customStyle="1" w:styleId="Lega">
    <w:name w:val="Leg (a)"/>
    <w:basedOn w:val="Normal"/>
    <w:rsid w:val="003378DF"/>
    <w:pPr>
      <w:tabs>
        <w:tab w:val="left" w:pos="454"/>
      </w:tabs>
      <w:spacing w:before="240" w:after="240" w:line="480" w:lineRule="auto"/>
      <w:jc w:val="both"/>
    </w:pPr>
    <w:rPr>
      <w:rFonts w:eastAsia="Times New Roman" w:cs="Times New Roman"/>
      <w:snapToGrid w:val="0"/>
      <w:lang w:eastAsia="en-US"/>
    </w:rPr>
  </w:style>
  <w:style w:type="paragraph" w:customStyle="1" w:styleId="Legi">
    <w:name w:val="Leg (i)"/>
    <w:basedOn w:val="Normal"/>
    <w:rsid w:val="00796A75"/>
    <w:pPr>
      <w:tabs>
        <w:tab w:val="right" w:pos="1020"/>
        <w:tab w:val="left" w:pos="1191"/>
      </w:tabs>
      <w:spacing w:before="60" w:line="480" w:lineRule="auto"/>
      <w:jc w:val="both"/>
    </w:pPr>
    <w:rPr>
      <w:rFonts w:eastAsia="Times New Roman" w:cs="Times New Roman"/>
      <w:snapToGrid w:val="0"/>
      <w:lang w:eastAsia="en-US"/>
    </w:rPr>
  </w:style>
  <w:style w:type="paragraph" w:customStyle="1" w:styleId="OLD">
    <w:name w:val="OLD"/>
    <w:basedOn w:val="Normal"/>
    <w:link w:val="OLDChar"/>
    <w:qFormat/>
    <w:rsid w:val="0053061F"/>
    <w:pPr>
      <w:keepNext/>
      <w:tabs>
        <w:tab w:val="left" w:pos="510"/>
      </w:tabs>
      <w:spacing w:before="119"/>
      <w:ind w:left="533" w:hanging="533"/>
      <w:jc w:val="both"/>
    </w:pPr>
    <w:rPr>
      <w:rFonts w:ascii="Times New Roman" w:eastAsia="Times New Roman" w:hAnsi="Times New Roman" w:cs="Times New Roman"/>
      <w:i/>
      <w:snapToGrid w:val="0"/>
      <w:sz w:val="28"/>
      <w:lang w:eastAsia="en-US"/>
    </w:rPr>
  </w:style>
  <w:style w:type="character" w:customStyle="1" w:styleId="OLDChar">
    <w:name w:val="OLD Char"/>
    <w:link w:val="OLD"/>
    <w:rsid w:val="0053061F"/>
    <w:rPr>
      <w:i/>
      <w:snapToGrid w:val="0"/>
      <w:sz w:val="28"/>
    </w:rPr>
  </w:style>
  <w:style w:type="paragraph" w:customStyle="1" w:styleId="LegTitle">
    <w:name w:val="Leg # Title"/>
    <w:basedOn w:val="Normal"/>
    <w:next w:val="Normal"/>
    <w:rsid w:val="0053061F"/>
    <w:pPr>
      <w:keepNext/>
      <w:keepLines/>
      <w:pageBreakBefore/>
      <w:spacing w:before="240" w:line="480" w:lineRule="auto"/>
      <w:jc w:val="center"/>
    </w:pPr>
    <w:rPr>
      <w:rFonts w:eastAsia="Arial Unicode MS" w:cs="Times New Roman"/>
      <w:b/>
      <w:snapToGrid w:val="0"/>
      <w:lang w:eastAsia="en-US"/>
    </w:rPr>
  </w:style>
  <w:style w:type="paragraph" w:customStyle="1" w:styleId="LegSubRule">
    <w:name w:val="Leg SubRule #"/>
    <w:basedOn w:val="Normal"/>
    <w:rsid w:val="0053061F"/>
    <w:pPr>
      <w:keepNext/>
      <w:keepLines/>
      <w:tabs>
        <w:tab w:val="left" w:pos="510"/>
      </w:tabs>
      <w:spacing w:before="480" w:line="480" w:lineRule="auto"/>
      <w:ind w:left="533" w:hanging="533"/>
    </w:pPr>
    <w:rPr>
      <w:rFonts w:eastAsia="Arial Unicode MS" w:cs="Times New Roman"/>
      <w:snapToGrid w:val="0"/>
      <w:lang w:eastAsia="en-US"/>
    </w:rPr>
  </w:style>
  <w:style w:type="paragraph" w:customStyle="1" w:styleId="Legacont">
    <w:name w:val="Leg (a) [cont]"/>
    <w:basedOn w:val="Normal"/>
    <w:next w:val="Lega"/>
    <w:rsid w:val="00796A75"/>
    <w:pPr>
      <w:tabs>
        <w:tab w:val="left" w:pos="454"/>
      </w:tabs>
      <w:spacing w:before="60" w:line="480" w:lineRule="auto"/>
      <w:jc w:val="both"/>
    </w:pPr>
    <w:rPr>
      <w:rFonts w:eastAsia="Times New Roman" w:cs="Times New Roman"/>
      <w:snapToGrid w:val="0"/>
      <w:lang w:eastAsia="en-US"/>
    </w:rPr>
  </w:style>
  <w:style w:type="paragraph" w:customStyle="1" w:styleId="Legiindent">
    <w:name w:val="Leg (i) indent"/>
    <w:basedOn w:val="Normal"/>
    <w:rsid w:val="000D1EBC"/>
    <w:pPr>
      <w:tabs>
        <w:tab w:val="right" w:pos="1020"/>
        <w:tab w:val="left" w:pos="1191"/>
      </w:tabs>
      <w:spacing w:before="60"/>
      <w:ind w:left="1191" w:hanging="1191"/>
      <w:jc w:val="both"/>
    </w:pPr>
    <w:rPr>
      <w:rFonts w:ascii="Times New Roman" w:eastAsia="Times New Roman" w:hAnsi="Times New Roman" w:cs="Times New Roman"/>
      <w:snapToGrid w:val="0"/>
      <w:sz w:val="28"/>
      <w:lang w:eastAsia="en-US"/>
    </w:rPr>
  </w:style>
  <w:style w:type="character" w:customStyle="1" w:styleId="RItalic">
    <w:name w:val="RItalic"/>
    <w:rsid w:val="000D1EBC"/>
    <w:rPr>
      <w:i/>
    </w:rPr>
  </w:style>
  <w:style w:type="paragraph" w:styleId="TOC2">
    <w:name w:val="toc 2"/>
    <w:basedOn w:val="Normal"/>
    <w:next w:val="Normal"/>
    <w:autoRedefine/>
    <w:uiPriority w:val="39"/>
    <w:rsid w:val="002A1BB2"/>
    <w:pPr>
      <w:spacing w:after="100"/>
      <w:ind w:left="220"/>
    </w:pPr>
  </w:style>
  <w:style w:type="paragraph" w:styleId="TOC1">
    <w:name w:val="toc 1"/>
    <w:basedOn w:val="Normal"/>
    <w:next w:val="Normal"/>
    <w:autoRedefine/>
    <w:uiPriority w:val="39"/>
    <w:rsid w:val="002A1BB2"/>
    <w:pPr>
      <w:spacing w:after="100"/>
    </w:pPr>
  </w:style>
  <w:style w:type="character" w:styleId="Hyperlink">
    <w:name w:val="Hyperlink"/>
    <w:basedOn w:val="DefaultParagraphFont"/>
    <w:uiPriority w:val="99"/>
    <w:unhideWhenUsed/>
    <w:rsid w:val="002A1BB2"/>
    <w:rPr>
      <w:color w:val="0000FF" w:themeColor="hyperlink"/>
      <w:u w:val="single"/>
    </w:rPr>
  </w:style>
  <w:style w:type="paragraph" w:styleId="ListParagraph">
    <w:name w:val="List Paragraph"/>
    <w:basedOn w:val="Normal"/>
    <w:uiPriority w:val="34"/>
    <w:qFormat/>
    <w:rsid w:val="00423F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763997"/>
    <w:pPr>
      <w:keepNext/>
      <w:spacing w:before="36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customStyle="1" w:styleId="FootnoteTextChar">
    <w:name w:val="Footnote Text Char"/>
    <w:basedOn w:val="DefaultParagraphFont"/>
    <w:link w:val="FootnoteText"/>
    <w:semiHidden/>
    <w:rsid w:val="002607E3"/>
    <w:rPr>
      <w:rFonts w:ascii="Arial" w:eastAsia="SimSun" w:hAnsi="Arial" w:cs="Arial"/>
      <w:sz w:val="18"/>
      <w:lang w:eastAsia="zh-CN"/>
    </w:rPr>
  </w:style>
  <w:style w:type="character" w:styleId="FootnoteReference">
    <w:name w:val="footnote reference"/>
    <w:basedOn w:val="DefaultParagraphFont"/>
    <w:unhideWhenUsed/>
    <w:rsid w:val="002607E3"/>
    <w:rPr>
      <w:vertAlign w:val="superscript"/>
    </w:rPr>
  </w:style>
  <w:style w:type="character" w:customStyle="1" w:styleId="DeletedText">
    <w:name w:val="Deleted Text"/>
    <w:basedOn w:val="DefaultParagraphFont"/>
    <w:uiPriority w:val="1"/>
    <w:qFormat/>
    <w:rsid w:val="002607E3"/>
    <w:rPr>
      <w:strike/>
      <w:color w:val="FF0000"/>
    </w:rPr>
  </w:style>
  <w:style w:type="character" w:customStyle="1" w:styleId="InsertedText">
    <w:name w:val="Inserted Text"/>
    <w:basedOn w:val="DefaultParagraphFont"/>
    <w:qFormat/>
    <w:rsid w:val="002607E3"/>
    <w:rPr>
      <w:color w:val="1F497D" w:themeColor="text2"/>
      <w:u w:val="single"/>
    </w:rPr>
  </w:style>
  <w:style w:type="paragraph" w:customStyle="1" w:styleId="Lega">
    <w:name w:val="Leg (a)"/>
    <w:basedOn w:val="Normal"/>
    <w:rsid w:val="003378DF"/>
    <w:pPr>
      <w:tabs>
        <w:tab w:val="left" w:pos="454"/>
      </w:tabs>
      <w:spacing w:before="240" w:after="240" w:line="480" w:lineRule="auto"/>
      <w:jc w:val="both"/>
    </w:pPr>
    <w:rPr>
      <w:rFonts w:eastAsia="Times New Roman" w:cs="Times New Roman"/>
      <w:snapToGrid w:val="0"/>
      <w:lang w:eastAsia="en-US"/>
    </w:rPr>
  </w:style>
  <w:style w:type="paragraph" w:customStyle="1" w:styleId="Legi">
    <w:name w:val="Leg (i)"/>
    <w:basedOn w:val="Normal"/>
    <w:rsid w:val="00796A75"/>
    <w:pPr>
      <w:tabs>
        <w:tab w:val="right" w:pos="1020"/>
        <w:tab w:val="left" w:pos="1191"/>
      </w:tabs>
      <w:spacing w:before="60" w:line="480" w:lineRule="auto"/>
      <w:jc w:val="both"/>
    </w:pPr>
    <w:rPr>
      <w:rFonts w:eastAsia="Times New Roman" w:cs="Times New Roman"/>
      <w:snapToGrid w:val="0"/>
      <w:lang w:eastAsia="en-US"/>
    </w:rPr>
  </w:style>
  <w:style w:type="paragraph" w:customStyle="1" w:styleId="OLD">
    <w:name w:val="OLD"/>
    <w:basedOn w:val="Normal"/>
    <w:link w:val="OLDChar"/>
    <w:qFormat/>
    <w:rsid w:val="0053061F"/>
    <w:pPr>
      <w:keepNext/>
      <w:tabs>
        <w:tab w:val="left" w:pos="510"/>
      </w:tabs>
      <w:spacing w:before="119"/>
      <w:ind w:left="533" w:hanging="533"/>
      <w:jc w:val="both"/>
    </w:pPr>
    <w:rPr>
      <w:rFonts w:ascii="Times New Roman" w:eastAsia="Times New Roman" w:hAnsi="Times New Roman" w:cs="Times New Roman"/>
      <w:i/>
      <w:snapToGrid w:val="0"/>
      <w:sz w:val="28"/>
      <w:lang w:eastAsia="en-US"/>
    </w:rPr>
  </w:style>
  <w:style w:type="character" w:customStyle="1" w:styleId="OLDChar">
    <w:name w:val="OLD Char"/>
    <w:link w:val="OLD"/>
    <w:rsid w:val="0053061F"/>
    <w:rPr>
      <w:i/>
      <w:snapToGrid w:val="0"/>
      <w:sz w:val="28"/>
    </w:rPr>
  </w:style>
  <w:style w:type="paragraph" w:customStyle="1" w:styleId="LegTitle">
    <w:name w:val="Leg # Title"/>
    <w:basedOn w:val="Normal"/>
    <w:next w:val="Normal"/>
    <w:rsid w:val="0053061F"/>
    <w:pPr>
      <w:keepNext/>
      <w:keepLines/>
      <w:pageBreakBefore/>
      <w:spacing w:before="240" w:line="480" w:lineRule="auto"/>
      <w:jc w:val="center"/>
    </w:pPr>
    <w:rPr>
      <w:rFonts w:eastAsia="Arial Unicode MS" w:cs="Times New Roman"/>
      <w:b/>
      <w:snapToGrid w:val="0"/>
      <w:lang w:eastAsia="en-US"/>
    </w:rPr>
  </w:style>
  <w:style w:type="paragraph" w:customStyle="1" w:styleId="LegSubRule">
    <w:name w:val="Leg SubRule #"/>
    <w:basedOn w:val="Normal"/>
    <w:rsid w:val="0053061F"/>
    <w:pPr>
      <w:keepNext/>
      <w:keepLines/>
      <w:tabs>
        <w:tab w:val="left" w:pos="510"/>
      </w:tabs>
      <w:spacing w:before="480" w:line="480" w:lineRule="auto"/>
      <w:ind w:left="533" w:hanging="533"/>
    </w:pPr>
    <w:rPr>
      <w:rFonts w:eastAsia="Arial Unicode MS" w:cs="Times New Roman"/>
      <w:snapToGrid w:val="0"/>
      <w:lang w:eastAsia="en-US"/>
    </w:rPr>
  </w:style>
  <w:style w:type="paragraph" w:customStyle="1" w:styleId="Legacont">
    <w:name w:val="Leg (a) [cont]"/>
    <w:basedOn w:val="Normal"/>
    <w:next w:val="Lega"/>
    <w:rsid w:val="00796A75"/>
    <w:pPr>
      <w:tabs>
        <w:tab w:val="left" w:pos="454"/>
      </w:tabs>
      <w:spacing w:before="60" w:line="480" w:lineRule="auto"/>
      <w:jc w:val="both"/>
    </w:pPr>
    <w:rPr>
      <w:rFonts w:eastAsia="Times New Roman" w:cs="Times New Roman"/>
      <w:snapToGrid w:val="0"/>
      <w:lang w:eastAsia="en-US"/>
    </w:rPr>
  </w:style>
  <w:style w:type="paragraph" w:customStyle="1" w:styleId="Legiindent">
    <w:name w:val="Leg (i) indent"/>
    <w:basedOn w:val="Normal"/>
    <w:rsid w:val="000D1EBC"/>
    <w:pPr>
      <w:tabs>
        <w:tab w:val="right" w:pos="1020"/>
        <w:tab w:val="left" w:pos="1191"/>
      </w:tabs>
      <w:spacing w:before="60"/>
      <w:ind w:left="1191" w:hanging="1191"/>
      <w:jc w:val="both"/>
    </w:pPr>
    <w:rPr>
      <w:rFonts w:ascii="Times New Roman" w:eastAsia="Times New Roman" w:hAnsi="Times New Roman" w:cs="Times New Roman"/>
      <w:snapToGrid w:val="0"/>
      <w:sz w:val="28"/>
      <w:lang w:eastAsia="en-US"/>
    </w:rPr>
  </w:style>
  <w:style w:type="character" w:customStyle="1" w:styleId="RItalic">
    <w:name w:val="RItalic"/>
    <w:rsid w:val="000D1EBC"/>
    <w:rPr>
      <w:i/>
    </w:rPr>
  </w:style>
  <w:style w:type="paragraph" w:styleId="TOC2">
    <w:name w:val="toc 2"/>
    <w:basedOn w:val="Normal"/>
    <w:next w:val="Normal"/>
    <w:autoRedefine/>
    <w:uiPriority w:val="39"/>
    <w:rsid w:val="002A1BB2"/>
    <w:pPr>
      <w:spacing w:after="100"/>
      <w:ind w:left="220"/>
    </w:pPr>
  </w:style>
  <w:style w:type="paragraph" w:styleId="TOC1">
    <w:name w:val="toc 1"/>
    <w:basedOn w:val="Normal"/>
    <w:next w:val="Normal"/>
    <w:autoRedefine/>
    <w:uiPriority w:val="39"/>
    <w:rsid w:val="002A1BB2"/>
    <w:pPr>
      <w:spacing w:after="100"/>
    </w:pPr>
  </w:style>
  <w:style w:type="character" w:styleId="Hyperlink">
    <w:name w:val="Hyperlink"/>
    <w:basedOn w:val="DefaultParagraphFont"/>
    <w:uiPriority w:val="99"/>
    <w:unhideWhenUsed/>
    <w:rsid w:val="002A1BB2"/>
    <w:rPr>
      <w:color w:val="0000FF" w:themeColor="hyperlink"/>
      <w:u w:val="single"/>
    </w:rPr>
  </w:style>
  <w:style w:type="paragraph" w:styleId="ListParagraph">
    <w:name w:val="List Paragraph"/>
    <w:basedOn w:val="Normal"/>
    <w:uiPriority w:val="34"/>
    <w:qFormat/>
    <w:rsid w:val="00423F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446204">
      <w:bodyDiv w:val="1"/>
      <w:marLeft w:val="0"/>
      <w:marRight w:val="0"/>
      <w:marTop w:val="0"/>
      <w:marBottom w:val="0"/>
      <w:divBdr>
        <w:top w:val="none" w:sz="0" w:space="0" w:color="auto"/>
        <w:left w:val="none" w:sz="0" w:space="0" w:color="auto"/>
        <w:bottom w:val="none" w:sz="0" w:space="0" w:color="auto"/>
        <w:right w:val="none" w:sz="0" w:space="0" w:color="auto"/>
      </w:divBdr>
    </w:div>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D4E94-B02B-4316-91A0-99A8E85E997A}">
  <ds:schemaRefs>
    <ds:schemaRef ds:uri="http://schemas.openxmlformats.org/officeDocument/2006/bibliography"/>
  </ds:schemaRefs>
</ds:datastoreItem>
</file>

<file path=customXml/itemProps2.xml><?xml version="1.0" encoding="utf-8"?>
<ds:datastoreItem xmlns:ds="http://schemas.openxmlformats.org/officeDocument/2006/customXml" ds:itemID="{9374C94A-1562-4A83-9F33-256072ADF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7 (E)</Template>
  <TotalTime>1</TotalTime>
  <Pages>9</Pages>
  <Words>2306</Words>
  <Characters>12506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PCT/WG/7/</vt:lpstr>
    </vt:vector>
  </TitlesOfParts>
  <Company>WIPO</Company>
  <LinksUpToDate>false</LinksUpToDate>
  <CharactersWithSpaces>14783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dc:title>
  <dc:subject>Miscellaneous Proposed Amendments to the PCT Regulations</dc:subject>
  <dc:creator>MARLOW Thomas</dc:creator>
  <cp:keywords>NG/ko</cp:keywords>
  <cp:lastModifiedBy>MARLOW Thomas</cp:lastModifiedBy>
  <cp:revision>3</cp:revision>
  <cp:lastPrinted>2014-05-08T09:31:00Z</cp:lastPrinted>
  <dcterms:created xsi:type="dcterms:W3CDTF">2014-05-08T10:02:00Z</dcterms:created>
  <dcterms:modified xsi:type="dcterms:W3CDTF">2014-05-08T10:03:00Z</dcterms:modified>
</cp:coreProperties>
</file>