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25EF3" w:rsidRPr="00D25EF3" w:rsidTr="00D25EF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25EF3" w:rsidRPr="00D25EF3" w:rsidRDefault="00D25EF3" w:rsidP="00685423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5EF3" w:rsidRPr="00D25EF3" w:rsidRDefault="00D25EF3" w:rsidP="00685423">
            <w:pPr>
              <w:rPr>
                <w:lang w:val="fr-FR"/>
              </w:rPr>
            </w:pPr>
            <w:r w:rsidRPr="00D25EF3">
              <w:rPr>
                <w:noProof/>
                <w:lang w:eastAsia="en-US"/>
              </w:rPr>
              <w:drawing>
                <wp:inline distT="0" distB="0" distL="0" distR="0" wp14:anchorId="06437B29" wp14:editId="65D899FB">
                  <wp:extent cx="1857375" cy="1323975"/>
                  <wp:effectExtent l="0" t="0" r="9525" b="952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5EF3" w:rsidRPr="00D25EF3" w:rsidRDefault="00D25EF3" w:rsidP="00685423">
            <w:pPr>
              <w:jc w:val="right"/>
              <w:rPr>
                <w:lang w:val="fr-FR"/>
              </w:rPr>
            </w:pPr>
            <w:r w:rsidRPr="00D25EF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25EF3" w:rsidRPr="00D25EF3" w:rsidTr="0068542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25EF3" w:rsidRPr="00D25EF3" w:rsidRDefault="00D25EF3" w:rsidP="0068542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25EF3">
              <w:rPr>
                <w:rFonts w:ascii="Arial Black" w:hAnsi="Arial Black"/>
                <w:caps/>
                <w:sz w:val="15"/>
                <w:lang w:val="fr-FR"/>
              </w:rPr>
              <w:t>PCT/WG/7/</w:t>
            </w:r>
            <w:bookmarkStart w:id="0" w:name="Code"/>
            <w:bookmarkEnd w:id="0"/>
            <w:r w:rsidRPr="00D25EF3">
              <w:rPr>
                <w:rFonts w:ascii="Arial Black" w:hAnsi="Arial Black"/>
                <w:caps/>
                <w:sz w:val="15"/>
                <w:lang w:val="fr-FR"/>
              </w:rPr>
              <w:t xml:space="preserve">28 </w:t>
            </w:r>
          </w:p>
        </w:tc>
      </w:tr>
      <w:tr w:rsidR="00D25EF3" w:rsidRPr="00D25EF3" w:rsidTr="0068542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25EF3" w:rsidRPr="00D25EF3" w:rsidRDefault="00D25EF3" w:rsidP="0068542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25EF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00FB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25EF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D25EF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25EF3" w:rsidRPr="00D25EF3" w:rsidTr="0068542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25EF3" w:rsidRPr="00D25EF3" w:rsidRDefault="00D25EF3" w:rsidP="0068542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25EF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00FB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25EF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D25EF3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25EF3"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25EF3">
              <w:rPr>
                <w:rFonts w:ascii="Arial Black" w:hAnsi="Arial Black"/>
                <w:caps/>
                <w:sz w:val="15"/>
                <w:lang w:val="fr-FR"/>
              </w:rPr>
              <w:t>2014</w:t>
            </w:r>
          </w:p>
        </w:tc>
      </w:tr>
    </w:tbl>
    <w:p w:rsidR="00D25EF3" w:rsidRPr="00D25EF3" w:rsidRDefault="00D25EF3" w:rsidP="00D25EF3">
      <w:pPr>
        <w:rPr>
          <w:lang w:val="fr-FR"/>
        </w:rPr>
      </w:pPr>
    </w:p>
    <w:p w:rsidR="00D25EF3" w:rsidRPr="00D25EF3" w:rsidRDefault="00D25EF3" w:rsidP="00D25EF3">
      <w:pPr>
        <w:rPr>
          <w:lang w:val="fr-FR"/>
        </w:rPr>
      </w:pPr>
    </w:p>
    <w:p w:rsidR="00D25EF3" w:rsidRPr="00D25EF3" w:rsidRDefault="00D25EF3" w:rsidP="00D25EF3">
      <w:pPr>
        <w:rPr>
          <w:lang w:val="fr-FR"/>
        </w:rPr>
      </w:pPr>
    </w:p>
    <w:p w:rsidR="00D25EF3" w:rsidRPr="00D25EF3" w:rsidRDefault="00D25EF3" w:rsidP="00D25EF3">
      <w:pPr>
        <w:rPr>
          <w:lang w:val="fr-FR"/>
        </w:rPr>
      </w:pPr>
    </w:p>
    <w:p w:rsidR="00D25EF3" w:rsidRPr="00D25EF3" w:rsidRDefault="00D25EF3" w:rsidP="00D25EF3">
      <w:pPr>
        <w:rPr>
          <w:lang w:val="fr-FR"/>
        </w:rPr>
      </w:pPr>
    </w:p>
    <w:p w:rsidR="00D25EF3" w:rsidRPr="00D25EF3" w:rsidRDefault="00D25EF3" w:rsidP="00D25EF3">
      <w:pPr>
        <w:rPr>
          <w:b/>
          <w:sz w:val="28"/>
          <w:szCs w:val="28"/>
          <w:lang w:val="fr-FR"/>
        </w:rPr>
      </w:pPr>
      <w:r w:rsidRPr="00D25EF3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D25EF3" w:rsidRPr="00D25EF3" w:rsidRDefault="00D25EF3" w:rsidP="00D25EF3">
      <w:pPr>
        <w:rPr>
          <w:lang w:val="fr-FR"/>
        </w:rPr>
      </w:pPr>
    </w:p>
    <w:p w:rsidR="00D25EF3" w:rsidRPr="00D25EF3" w:rsidRDefault="00D25EF3" w:rsidP="00D25EF3">
      <w:pPr>
        <w:rPr>
          <w:lang w:val="fr-FR"/>
        </w:rPr>
      </w:pPr>
    </w:p>
    <w:p w:rsidR="00D25EF3" w:rsidRPr="00D25EF3" w:rsidRDefault="00D25EF3" w:rsidP="00D25EF3">
      <w:pPr>
        <w:rPr>
          <w:b/>
          <w:sz w:val="24"/>
          <w:szCs w:val="24"/>
          <w:lang w:val="fr-FR"/>
        </w:rPr>
      </w:pPr>
      <w:r w:rsidRPr="00D25EF3">
        <w:rPr>
          <w:b/>
          <w:sz w:val="24"/>
          <w:szCs w:val="24"/>
          <w:lang w:val="fr-FR"/>
        </w:rPr>
        <w:t>Septième session</w:t>
      </w:r>
    </w:p>
    <w:p w:rsidR="00D25EF3" w:rsidRPr="00D25EF3" w:rsidRDefault="00D25EF3" w:rsidP="00D25EF3">
      <w:pPr>
        <w:rPr>
          <w:b/>
          <w:sz w:val="24"/>
          <w:szCs w:val="24"/>
          <w:lang w:val="fr-FR"/>
        </w:rPr>
      </w:pPr>
      <w:r w:rsidRPr="00D25EF3">
        <w:rPr>
          <w:b/>
          <w:sz w:val="24"/>
          <w:szCs w:val="24"/>
          <w:lang w:val="fr-FR"/>
        </w:rPr>
        <w:t>Genève, 10 – 13</w:t>
      </w:r>
      <w:r>
        <w:rPr>
          <w:b/>
          <w:sz w:val="24"/>
          <w:szCs w:val="24"/>
          <w:lang w:val="fr-FR"/>
        </w:rPr>
        <w:t> </w:t>
      </w:r>
      <w:r w:rsidRPr="00D25EF3">
        <w:rPr>
          <w:b/>
          <w:sz w:val="24"/>
          <w:szCs w:val="24"/>
          <w:lang w:val="fr-FR"/>
        </w:rPr>
        <w:t>juin</w:t>
      </w:r>
      <w:r>
        <w:rPr>
          <w:b/>
          <w:sz w:val="24"/>
          <w:szCs w:val="24"/>
          <w:lang w:val="fr-FR"/>
        </w:rPr>
        <w:t> </w:t>
      </w:r>
      <w:r w:rsidRPr="00D25EF3">
        <w:rPr>
          <w:b/>
          <w:sz w:val="24"/>
          <w:szCs w:val="24"/>
          <w:lang w:val="fr-FR"/>
        </w:rPr>
        <w:t>2014</w:t>
      </w:r>
    </w:p>
    <w:p w:rsidR="00D25EF3" w:rsidRPr="00D25EF3" w:rsidRDefault="00D25EF3" w:rsidP="00D25EF3">
      <w:pPr>
        <w:rPr>
          <w:lang w:val="fr-FR"/>
        </w:rPr>
      </w:pPr>
    </w:p>
    <w:p w:rsidR="00D25EF3" w:rsidRPr="00D25EF3" w:rsidRDefault="00D25EF3" w:rsidP="00D25EF3">
      <w:pPr>
        <w:rPr>
          <w:lang w:val="fr-FR"/>
        </w:rPr>
      </w:pPr>
    </w:p>
    <w:p w:rsidR="00D25EF3" w:rsidRPr="00D25EF3" w:rsidRDefault="00D25EF3" w:rsidP="00D25EF3">
      <w:pPr>
        <w:rPr>
          <w:lang w:val="fr-FR"/>
        </w:rPr>
      </w:pPr>
    </w:p>
    <w:p w:rsidR="00123DD4" w:rsidRPr="00D25EF3" w:rsidRDefault="009A0969" w:rsidP="009A0969">
      <w:pPr>
        <w:rPr>
          <w:caps/>
          <w:sz w:val="24"/>
          <w:lang w:val="fr-FR"/>
        </w:rPr>
      </w:pPr>
      <w:r w:rsidRPr="00D25EF3">
        <w:rPr>
          <w:caps/>
          <w:sz w:val="24"/>
          <w:lang w:val="fr-FR"/>
        </w:rPr>
        <w:t>littérature non</w:t>
      </w:r>
      <w:r w:rsidR="00A233AD">
        <w:rPr>
          <w:caps/>
          <w:sz w:val="24"/>
          <w:lang w:val="fr-FR"/>
        </w:rPr>
        <w:noBreakHyphen/>
      </w:r>
      <w:r w:rsidRPr="00D25EF3">
        <w:rPr>
          <w:caps/>
          <w:sz w:val="24"/>
          <w:lang w:val="fr-FR"/>
        </w:rPr>
        <w:t xml:space="preserve">brevet </w:t>
      </w:r>
      <w:r w:rsidR="000C1B6D">
        <w:rPr>
          <w:caps/>
          <w:sz w:val="24"/>
          <w:lang w:val="fr-FR"/>
        </w:rPr>
        <w:t>comprise dans</w:t>
      </w:r>
      <w:r w:rsidRPr="00D25EF3">
        <w:rPr>
          <w:caps/>
          <w:sz w:val="24"/>
          <w:lang w:val="fr-FR"/>
        </w:rPr>
        <w:t xml:space="preserve"> la documentation minimale</w:t>
      </w:r>
      <w:r w:rsidR="00D25EF3" w:rsidRPr="00D25EF3">
        <w:rPr>
          <w:caps/>
          <w:sz w:val="24"/>
          <w:lang w:val="fr-FR"/>
        </w:rPr>
        <w:t xml:space="preserve"> du</w:t>
      </w:r>
      <w:r w:rsidR="00D25EF3">
        <w:rPr>
          <w:caps/>
          <w:sz w:val="24"/>
          <w:lang w:val="fr-FR"/>
        </w:rPr>
        <w:t> </w:t>
      </w:r>
      <w:r w:rsidR="00D25EF3" w:rsidRPr="00D25EF3">
        <w:rPr>
          <w:caps/>
          <w:sz w:val="24"/>
          <w:lang w:val="fr-FR"/>
        </w:rPr>
        <w:t>PCT</w:t>
      </w:r>
    </w:p>
    <w:p w:rsidR="00123DD4" w:rsidRPr="00D25EF3" w:rsidRDefault="00123DD4" w:rsidP="008B2CC1">
      <w:pPr>
        <w:rPr>
          <w:lang w:val="fr-FR"/>
        </w:rPr>
      </w:pPr>
    </w:p>
    <w:p w:rsidR="00123DD4" w:rsidRPr="00D25EF3" w:rsidRDefault="00F11782" w:rsidP="008B2CC1">
      <w:pPr>
        <w:rPr>
          <w:i/>
          <w:lang w:val="fr-FR"/>
        </w:rPr>
      </w:pPr>
      <w:bookmarkStart w:id="3" w:name="Prepared"/>
      <w:bookmarkEnd w:id="3"/>
      <w:r w:rsidRPr="00D25EF3">
        <w:rPr>
          <w:i/>
          <w:lang w:val="fr-FR"/>
        </w:rPr>
        <w:t xml:space="preserve">Document </w:t>
      </w:r>
      <w:r w:rsidR="00D92E25" w:rsidRPr="00D25EF3">
        <w:rPr>
          <w:i/>
          <w:lang w:val="fr-FR"/>
        </w:rPr>
        <w:t>présenté par l</w:t>
      </w:r>
      <w:r w:rsidR="00D25EF3">
        <w:rPr>
          <w:i/>
          <w:lang w:val="fr-FR"/>
        </w:rPr>
        <w:t>’</w:t>
      </w:r>
      <w:r w:rsidR="00D92E25" w:rsidRPr="00D25EF3">
        <w:rPr>
          <w:i/>
          <w:lang w:val="fr-FR"/>
        </w:rPr>
        <w:t>Inde</w:t>
      </w:r>
    </w:p>
    <w:p w:rsidR="00123DD4" w:rsidRPr="00D25EF3" w:rsidRDefault="00123DD4">
      <w:pPr>
        <w:rPr>
          <w:lang w:val="fr-FR"/>
        </w:rPr>
      </w:pPr>
    </w:p>
    <w:p w:rsidR="00123DD4" w:rsidRPr="00D25EF3" w:rsidRDefault="00123DD4">
      <w:pPr>
        <w:rPr>
          <w:lang w:val="fr-FR"/>
        </w:rPr>
      </w:pPr>
    </w:p>
    <w:p w:rsidR="00123DD4" w:rsidRPr="00D25EF3" w:rsidRDefault="00123DD4">
      <w:pPr>
        <w:rPr>
          <w:lang w:val="fr-FR"/>
        </w:rPr>
      </w:pPr>
    </w:p>
    <w:p w:rsidR="00123DD4" w:rsidRPr="00D25EF3" w:rsidRDefault="00123DD4" w:rsidP="0053057A">
      <w:pPr>
        <w:rPr>
          <w:lang w:val="fr-FR"/>
        </w:rPr>
      </w:pPr>
    </w:p>
    <w:p w:rsidR="00123DD4" w:rsidRPr="00D25EF3" w:rsidRDefault="009A0969" w:rsidP="00A233AD">
      <w:pPr>
        <w:pStyle w:val="Heading1"/>
        <w:rPr>
          <w:lang w:val="fr-FR"/>
        </w:rPr>
      </w:pPr>
      <w:r w:rsidRPr="00D25EF3">
        <w:rPr>
          <w:lang w:val="fr-FR"/>
        </w:rPr>
        <w:t>Rappel</w:t>
      </w:r>
    </w:p>
    <w:p w:rsidR="00123DD4" w:rsidRPr="00D25EF3" w:rsidRDefault="00D92E25" w:rsidP="00A233AD">
      <w:pPr>
        <w:pStyle w:val="ONUMFS"/>
        <w:rPr>
          <w:lang w:val="fr-FR"/>
        </w:rPr>
      </w:pPr>
      <w:r w:rsidRPr="00D25EF3">
        <w:rPr>
          <w:lang w:val="fr-FR"/>
        </w:rPr>
        <w:t>L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article 15.4) du Traité de coopération en matière de brevets stipule que </w:t>
      </w:r>
      <w:r w:rsidR="00900FBF">
        <w:rPr>
          <w:lang w:val="fr-FR"/>
        </w:rPr>
        <w:t>“</w:t>
      </w:r>
      <w:r w:rsidRPr="00D25EF3">
        <w:rPr>
          <w:lang w:val="fr-FR"/>
        </w:rPr>
        <w:t>l</w:t>
      </w:r>
      <w:r w:rsidR="00D25EF3">
        <w:rPr>
          <w:lang w:val="fr-FR"/>
        </w:rPr>
        <w:t>’</w:t>
      </w:r>
      <w:r w:rsidRPr="00D25EF3">
        <w:rPr>
          <w:lang w:val="fr-FR"/>
        </w:rPr>
        <w:t>administration chargée de la recherche internationale [</w:t>
      </w:r>
      <w:r w:rsidR="00900FBF">
        <w:rPr>
          <w:lang w:val="fr-FR"/>
        </w:rPr>
        <w:t>…</w:t>
      </w:r>
      <w:r w:rsidRPr="00D25EF3">
        <w:rPr>
          <w:lang w:val="fr-FR"/>
        </w:rPr>
        <w:t>] s</w:t>
      </w:r>
      <w:r w:rsidR="00D25EF3">
        <w:rPr>
          <w:lang w:val="fr-FR"/>
        </w:rPr>
        <w:t>’</w:t>
      </w:r>
      <w:r w:rsidRPr="00D25EF3">
        <w:rPr>
          <w:lang w:val="fr-FR"/>
        </w:rPr>
        <w:t>efforce de découvrir l</w:t>
      </w:r>
      <w:r w:rsidR="00D25EF3">
        <w:rPr>
          <w:lang w:val="fr-FR"/>
        </w:rPr>
        <w:t>’</w:t>
      </w:r>
      <w:r w:rsidRPr="00D25EF3">
        <w:rPr>
          <w:lang w:val="fr-FR"/>
        </w:rPr>
        <w:t>état de la technique pertinent dans toute la mesure où ses moyens le lui permettent et doit, en tout cas, consulter la documentation spécifiée par le règlement d</w:t>
      </w:r>
      <w:r w:rsidR="00D25EF3">
        <w:rPr>
          <w:lang w:val="fr-FR"/>
        </w:rPr>
        <w:t>’</w:t>
      </w:r>
      <w:r w:rsidRPr="00D25EF3">
        <w:rPr>
          <w:lang w:val="fr-FR"/>
        </w:rPr>
        <w:t>exécution”.</w:t>
      </w:r>
      <w:r w:rsidR="00F11782" w:rsidRPr="00D25EF3">
        <w:rPr>
          <w:lang w:val="fr-FR"/>
        </w:rPr>
        <w:t xml:space="preserve">  </w:t>
      </w:r>
      <w:r w:rsidRPr="00D25EF3">
        <w:rPr>
          <w:lang w:val="fr-FR"/>
        </w:rPr>
        <w:t>La règle 34 du règlement d</w:t>
      </w:r>
      <w:r w:rsidR="00D25EF3">
        <w:rPr>
          <w:lang w:val="fr-FR"/>
        </w:rPr>
        <w:t>’</w:t>
      </w:r>
      <w:r w:rsidRPr="00D25EF3">
        <w:rPr>
          <w:lang w:val="fr-FR"/>
        </w:rPr>
        <w:t>exécution</w:t>
      </w:r>
      <w:r w:rsidR="00D25EF3" w:rsidRPr="00D25EF3">
        <w:rPr>
          <w:lang w:val="fr-FR"/>
        </w:rPr>
        <w:t xml:space="preserve"> du</w:t>
      </w:r>
      <w:r w:rsidR="00D25EF3">
        <w:rPr>
          <w:lang w:val="fr-FR"/>
        </w:rPr>
        <w:t> </w:t>
      </w:r>
      <w:r w:rsidR="00D25EF3" w:rsidRPr="00D25EF3">
        <w:rPr>
          <w:lang w:val="fr-FR"/>
        </w:rPr>
        <w:t>PCT</w:t>
      </w:r>
      <w:r w:rsidRPr="00D25EF3">
        <w:rPr>
          <w:lang w:val="fr-FR"/>
        </w:rPr>
        <w:t xml:space="preserve"> contient la définition de la documentation visée à l</w:t>
      </w:r>
      <w:r w:rsidR="00D25EF3">
        <w:rPr>
          <w:lang w:val="fr-FR"/>
        </w:rPr>
        <w:t>’</w:t>
      </w:r>
      <w:r w:rsidRPr="00D25EF3">
        <w:rPr>
          <w:lang w:val="fr-FR"/>
        </w:rPr>
        <w:t>article 15.4).</w:t>
      </w:r>
      <w:r w:rsidR="00F11782" w:rsidRPr="00D25EF3">
        <w:rPr>
          <w:lang w:val="fr-FR"/>
        </w:rPr>
        <w:t xml:space="preserve">  </w:t>
      </w:r>
      <w:r w:rsidRPr="00D25EF3">
        <w:rPr>
          <w:lang w:val="fr-FR"/>
        </w:rPr>
        <w:t>S</w:t>
      </w:r>
      <w:r w:rsidR="00D25EF3">
        <w:rPr>
          <w:lang w:val="fr-FR"/>
        </w:rPr>
        <w:t>’</w:t>
      </w:r>
      <w:r w:rsidRPr="00D25EF3">
        <w:rPr>
          <w:lang w:val="fr-FR"/>
        </w:rPr>
        <w:t>agissant de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 xml:space="preserve">brevet, la documentation minimale du PCT </w:t>
      </w:r>
      <w:r w:rsidR="00123DD4" w:rsidRPr="00D25EF3">
        <w:rPr>
          <w:lang w:val="fr-FR"/>
        </w:rPr>
        <w:t>est constituée de </w:t>
      </w:r>
      <w:r w:rsidRPr="00D25EF3">
        <w:rPr>
          <w:lang w:val="fr-FR"/>
        </w:rPr>
        <w:t>145 revues.</w:t>
      </w:r>
    </w:p>
    <w:p w:rsidR="00123DD4" w:rsidRPr="00D25EF3" w:rsidRDefault="00D92E25" w:rsidP="00A233AD">
      <w:pPr>
        <w:pStyle w:val="ONUMFS"/>
        <w:rPr>
          <w:lang w:val="fr-FR"/>
        </w:rPr>
      </w:pPr>
      <w:r w:rsidRPr="00D25EF3">
        <w:rPr>
          <w:lang w:val="fr-FR"/>
        </w:rPr>
        <w:t>L</w:t>
      </w:r>
      <w:r w:rsidR="00D25EF3">
        <w:rPr>
          <w:lang w:val="fr-FR"/>
        </w:rPr>
        <w:t>’</w:t>
      </w:r>
      <w:r w:rsidRPr="00D25EF3">
        <w:rPr>
          <w:lang w:val="fr-FR"/>
        </w:rPr>
        <w:t>article</w:t>
      </w:r>
      <w:r w:rsidR="00900FBF">
        <w:rPr>
          <w:lang w:val="fr-FR"/>
        </w:rPr>
        <w:t> </w:t>
      </w:r>
      <w:r w:rsidRPr="00D25EF3">
        <w:rPr>
          <w:lang w:val="fr-FR"/>
        </w:rPr>
        <w:t xml:space="preserve">56.3) du Traité de coopération en matière de brevets stipule notamment que </w:t>
      </w:r>
      <w:r w:rsidR="00900FBF">
        <w:rPr>
          <w:lang w:val="fr-FR"/>
        </w:rPr>
        <w:t>“</w:t>
      </w:r>
      <w:r w:rsidRPr="00D25EF3">
        <w:rPr>
          <w:lang w:val="fr-FR"/>
        </w:rPr>
        <w:t>Le</w:t>
      </w:r>
      <w:r w:rsidR="00EC27A5">
        <w:rPr>
          <w:lang w:val="fr-FR"/>
        </w:rPr>
        <w:t> </w:t>
      </w:r>
      <w:r w:rsidRPr="00D25EF3">
        <w:rPr>
          <w:lang w:val="fr-FR"/>
        </w:rPr>
        <w:t xml:space="preserve">Comité </w:t>
      </w:r>
      <w:r w:rsidR="00123DD4" w:rsidRPr="00D25EF3">
        <w:rPr>
          <w:lang w:val="fr-FR"/>
        </w:rPr>
        <w:t>[</w:t>
      </w:r>
      <w:r w:rsidRPr="00D25EF3">
        <w:rPr>
          <w:lang w:val="fr-FR"/>
        </w:rPr>
        <w:t>de coopération technique] a pour but de contribuer, par le moyen d</w:t>
      </w:r>
      <w:r w:rsidR="00D25EF3">
        <w:rPr>
          <w:lang w:val="fr-FR"/>
        </w:rPr>
        <w:t>’</w:t>
      </w:r>
      <w:r w:rsidRPr="00D25EF3">
        <w:rPr>
          <w:lang w:val="fr-FR"/>
        </w:rPr>
        <w:t>avis et de recommandations</w:t>
      </w:r>
      <w:r w:rsidR="00900FBF">
        <w:rPr>
          <w:lang w:val="fr-FR"/>
        </w:rPr>
        <w:t> </w:t>
      </w:r>
      <w:r w:rsidRPr="00D25EF3">
        <w:rPr>
          <w:lang w:val="fr-FR"/>
        </w:rPr>
        <w:t>: […] ii) à obtenir, tant qu</w:t>
      </w:r>
      <w:r w:rsidR="00D25EF3">
        <w:rPr>
          <w:lang w:val="fr-FR"/>
        </w:rPr>
        <w:t>’</w:t>
      </w:r>
      <w:r w:rsidRPr="00D25EF3">
        <w:rPr>
          <w:lang w:val="fr-FR"/>
        </w:rPr>
        <w:t>il y a plusieurs administrations chargées de la recherche internationale et plusieurs administrations chargées de l</w:t>
      </w:r>
      <w:r w:rsidR="00D25EF3">
        <w:rPr>
          <w:lang w:val="fr-FR"/>
        </w:rPr>
        <w:t>’</w:t>
      </w:r>
      <w:r w:rsidRPr="00D25EF3">
        <w:rPr>
          <w:lang w:val="fr-FR"/>
        </w:rPr>
        <w:t>examen préliminaire international, que leur documentation et leurs méthodes de travail soient aussi uniformes que possible et que leurs rapports soient uniformément de la plus haute qualité possible.”</w:t>
      </w:r>
    </w:p>
    <w:p w:rsidR="00123DD4" w:rsidRPr="00D25EF3" w:rsidRDefault="00D92E25" w:rsidP="00A233AD">
      <w:pPr>
        <w:pStyle w:val="ONUMFS"/>
        <w:rPr>
          <w:lang w:val="fr-FR"/>
        </w:rPr>
      </w:pPr>
      <w:r w:rsidRPr="00D25EF3">
        <w:rPr>
          <w:lang w:val="fr-FR"/>
        </w:rPr>
        <w:t>Sur les 45 recommandations adoptées dans le cadre du Plan d</w:t>
      </w:r>
      <w:r w:rsidR="00D25EF3">
        <w:rPr>
          <w:lang w:val="fr-FR"/>
        </w:rPr>
        <w:t>’</w:t>
      </w:r>
      <w:r w:rsidRPr="00D25EF3">
        <w:rPr>
          <w:lang w:val="fr-FR"/>
        </w:rPr>
        <w:t>action de l</w:t>
      </w:r>
      <w:r w:rsidR="00D25EF3">
        <w:rPr>
          <w:lang w:val="fr-FR"/>
        </w:rPr>
        <w:t>’</w:t>
      </w:r>
      <w:r w:rsidRPr="00D25EF3">
        <w:rPr>
          <w:lang w:val="fr-FR"/>
        </w:rPr>
        <w:t>OMPI pour le</w:t>
      </w:r>
      <w:r w:rsidR="00EC27A5">
        <w:rPr>
          <w:lang w:val="fr-FR"/>
        </w:rPr>
        <w:t> </w:t>
      </w:r>
      <w:r w:rsidRPr="00D25EF3">
        <w:rPr>
          <w:lang w:val="fr-FR"/>
        </w:rPr>
        <w:t>développement, deux</w:t>
      </w:r>
      <w:r w:rsidR="00900FBF">
        <w:rPr>
          <w:lang w:val="fr-FR"/>
        </w:rPr>
        <w:t> </w:t>
      </w:r>
      <w:r w:rsidRPr="00D25EF3">
        <w:rPr>
          <w:lang w:val="fr-FR"/>
        </w:rPr>
        <w:t>recommandations se lisent comme suit</w:t>
      </w:r>
      <w:r w:rsidR="00900FBF">
        <w:rPr>
          <w:lang w:val="fr-FR"/>
        </w:rPr>
        <w:t> </w:t>
      </w:r>
      <w:r w:rsidRPr="00D25EF3">
        <w:rPr>
          <w:lang w:val="fr-FR"/>
        </w:rPr>
        <w:t>:</w:t>
      </w:r>
    </w:p>
    <w:p w:rsidR="00123DD4" w:rsidRPr="00D25EF3" w:rsidRDefault="00A233AD" w:rsidP="007C44CD">
      <w:pPr>
        <w:pStyle w:val="ONUMFS"/>
        <w:keepLines/>
        <w:numPr>
          <w:ilvl w:val="2"/>
          <w:numId w:val="6"/>
        </w:numPr>
        <w:rPr>
          <w:lang w:val="fr-FR"/>
        </w:rPr>
      </w:pPr>
      <w:r>
        <w:rPr>
          <w:lang w:val="fr-FR"/>
        </w:rPr>
        <w:t>“8.</w:t>
      </w:r>
      <w:r>
        <w:rPr>
          <w:lang w:val="fr-FR"/>
        </w:rPr>
        <w:tab/>
      </w:r>
      <w:r w:rsidR="00D92E25" w:rsidRPr="00D25EF3">
        <w:rPr>
          <w:lang w:val="fr-FR"/>
        </w:rPr>
        <w:t>Demander à l</w:t>
      </w:r>
      <w:r w:rsidR="00D25EF3">
        <w:rPr>
          <w:lang w:val="fr-FR"/>
        </w:rPr>
        <w:t>’</w:t>
      </w:r>
      <w:r w:rsidR="00D92E25" w:rsidRPr="00D25EF3">
        <w:rPr>
          <w:lang w:val="fr-FR"/>
        </w:rPr>
        <w:t>OMPI de conclure des accords avec des instituts de recherche et des entreprises privées afin de permettre aux offices nationaux des</w:t>
      </w:r>
      <w:r w:rsidR="00276E2E">
        <w:rPr>
          <w:lang w:val="fr-FR"/>
        </w:rPr>
        <w:t> </w:t>
      </w:r>
      <w:r w:rsidR="00D92E25" w:rsidRPr="00D25EF3">
        <w:rPr>
          <w:lang w:val="fr-FR"/>
        </w:rPr>
        <w:t>pays en développement, en particulier des PMA, ainsi qu</w:t>
      </w:r>
      <w:r w:rsidR="00D25EF3">
        <w:rPr>
          <w:lang w:val="fr-FR"/>
        </w:rPr>
        <w:t>’</w:t>
      </w:r>
      <w:r w:rsidR="00D92E25" w:rsidRPr="00D25EF3">
        <w:rPr>
          <w:lang w:val="fr-FR"/>
        </w:rPr>
        <w:t xml:space="preserve">à leurs organismes </w:t>
      </w:r>
      <w:r w:rsidR="00D92E25" w:rsidRPr="00D25EF3">
        <w:rPr>
          <w:lang w:val="fr-FR"/>
        </w:rPr>
        <w:lastRenderedPageBreak/>
        <w:t>régionaux et sous régionaux chargés de la propriété intellectuelle, d</w:t>
      </w:r>
      <w:r w:rsidR="00D25EF3">
        <w:rPr>
          <w:lang w:val="fr-FR"/>
        </w:rPr>
        <w:t>’</w:t>
      </w:r>
      <w:r w:rsidR="00D92E25" w:rsidRPr="00D25EF3">
        <w:rPr>
          <w:lang w:val="fr-FR"/>
        </w:rPr>
        <w:t>accéder à des</w:t>
      </w:r>
      <w:r w:rsidR="00276E2E">
        <w:rPr>
          <w:lang w:val="fr-FR"/>
        </w:rPr>
        <w:t> </w:t>
      </w:r>
      <w:r w:rsidR="00D92E25" w:rsidRPr="00D25EF3">
        <w:rPr>
          <w:lang w:val="fr-FR"/>
        </w:rPr>
        <w:t>bases de données spécialisées aux fins de la recherche en matière de brevets.</w:t>
      </w:r>
    </w:p>
    <w:p w:rsidR="00123DD4" w:rsidRPr="00D25EF3" w:rsidRDefault="00A233AD" w:rsidP="00A233AD">
      <w:pPr>
        <w:pStyle w:val="ONUMFS"/>
        <w:numPr>
          <w:ilvl w:val="2"/>
          <w:numId w:val="6"/>
        </w:numPr>
        <w:rPr>
          <w:lang w:val="fr-FR"/>
        </w:rPr>
      </w:pPr>
      <w:r>
        <w:rPr>
          <w:lang w:val="fr-FR"/>
        </w:rPr>
        <w:t>“10.</w:t>
      </w:r>
      <w:r>
        <w:rPr>
          <w:lang w:val="fr-FR"/>
        </w:rPr>
        <w:tab/>
      </w:r>
      <w:r w:rsidR="00D92E25" w:rsidRPr="00D25EF3">
        <w:rPr>
          <w:lang w:val="fr-FR"/>
        </w:rPr>
        <w:t>Aider les États membres à développer et à améliorer les capacités institutionnelles nationales en propriété intellectuelle par le développement des infrastructures et autres moyens en vue de renforcer l</w:t>
      </w:r>
      <w:r w:rsidR="00D25EF3">
        <w:rPr>
          <w:lang w:val="fr-FR"/>
        </w:rPr>
        <w:t>’</w:t>
      </w:r>
      <w:r w:rsidR="00D92E25" w:rsidRPr="00D25EF3">
        <w:rPr>
          <w:lang w:val="fr-FR"/>
        </w:rPr>
        <w:t>efficacité des institutions nationales de propriété intellectuelle et de concilier protection de la propriété intellectuelle et préservation de l</w:t>
      </w:r>
      <w:r w:rsidR="00D25EF3">
        <w:rPr>
          <w:lang w:val="fr-FR"/>
        </w:rPr>
        <w:t>’</w:t>
      </w:r>
      <w:r w:rsidR="00D92E25" w:rsidRPr="00D25EF3">
        <w:rPr>
          <w:lang w:val="fr-FR"/>
        </w:rPr>
        <w:t xml:space="preserve">intérêt général.  Cette assistance technique devrait également être étendue aux organisations </w:t>
      </w:r>
      <w:proofErr w:type="spellStart"/>
      <w:r w:rsidR="00D92E25" w:rsidRPr="00D25EF3">
        <w:rPr>
          <w:lang w:val="fr-FR"/>
        </w:rPr>
        <w:t>sous</w:t>
      </w:r>
      <w:r>
        <w:rPr>
          <w:lang w:val="fr-FR"/>
        </w:rPr>
        <w:noBreakHyphen/>
      </w:r>
      <w:r w:rsidR="00D92E25" w:rsidRPr="00D25EF3">
        <w:rPr>
          <w:lang w:val="fr-FR"/>
        </w:rPr>
        <w:t>régionales</w:t>
      </w:r>
      <w:proofErr w:type="spellEnd"/>
      <w:r w:rsidR="00D92E25" w:rsidRPr="00D25EF3">
        <w:rPr>
          <w:lang w:val="fr-FR"/>
        </w:rPr>
        <w:t xml:space="preserve"> et régionales œuvrant dans le domaine de la propriété intellectuelle.”</w:t>
      </w:r>
    </w:p>
    <w:p w:rsidR="00123DD4" w:rsidRPr="00D25EF3" w:rsidRDefault="00A233AD" w:rsidP="00A233AD">
      <w:pPr>
        <w:pStyle w:val="Heading1"/>
        <w:rPr>
          <w:lang w:val="fr-FR"/>
        </w:rPr>
      </w:pPr>
      <w:r w:rsidRPr="00D25EF3">
        <w:rPr>
          <w:lang w:val="fr-FR"/>
        </w:rPr>
        <w:t>Littérature non</w:t>
      </w:r>
      <w:r>
        <w:rPr>
          <w:lang w:val="fr-FR"/>
        </w:rPr>
        <w:noBreakHyphen/>
      </w:r>
      <w:r w:rsidRPr="00D25EF3">
        <w:rPr>
          <w:lang w:val="fr-FR"/>
        </w:rPr>
        <w:t>brevet et enjeux</w:t>
      </w:r>
    </w:p>
    <w:p w:rsidR="00123DD4" w:rsidRPr="00D25EF3" w:rsidRDefault="00E72991" w:rsidP="00A233AD">
      <w:pPr>
        <w:pStyle w:val="ONUMFS"/>
        <w:rPr>
          <w:lang w:val="fr-FR"/>
        </w:rPr>
      </w:pPr>
      <w:r w:rsidRPr="00D25EF3">
        <w:rPr>
          <w:lang w:val="fr-FR"/>
        </w:rPr>
        <w:t>Avec les bases de données électroniques disponibles, la documentation en matière de brevets comprise dans la documentation minimale</w:t>
      </w:r>
      <w:r w:rsidR="00D25EF3" w:rsidRPr="00D25EF3">
        <w:rPr>
          <w:lang w:val="fr-FR"/>
        </w:rPr>
        <w:t xml:space="preserve"> du</w:t>
      </w:r>
      <w:r w:rsidR="00D25EF3">
        <w:rPr>
          <w:lang w:val="fr-FR"/>
        </w:rPr>
        <w:t> </w:t>
      </w:r>
      <w:r w:rsidR="00D25EF3" w:rsidRPr="00D25EF3">
        <w:rPr>
          <w:lang w:val="fr-FR"/>
        </w:rPr>
        <w:t>PCT</w:t>
      </w:r>
      <w:r w:rsidRPr="00D25EF3">
        <w:rPr>
          <w:lang w:val="fr-FR"/>
        </w:rPr>
        <w:t xml:space="preserve"> existe sous des formes qui permettent de mener des recherches efficaces.</w:t>
      </w:r>
      <w:r w:rsidR="00F11782" w:rsidRPr="00D25EF3">
        <w:rPr>
          <w:lang w:val="fr-FR"/>
        </w:rPr>
        <w:t xml:space="preserve">  </w:t>
      </w:r>
      <w:r w:rsidR="00811F98">
        <w:rPr>
          <w:lang w:val="fr-FR"/>
        </w:rPr>
        <w:t>Ainsi, d</w:t>
      </w:r>
      <w:r w:rsidRPr="00D25EF3">
        <w:rPr>
          <w:lang w:val="fr-FR"/>
        </w:rPr>
        <w:t xml:space="preserve">es </w:t>
      </w:r>
      <w:r w:rsidR="00811F98">
        <w:rPr>
          <w:lang w:val="fr-FR"/>
        </w:rPr>
        <w:t>prestataires</w:t>
      </w:r>
      <w:r w:rsidRPr="00D25EF3">
        <w:rPr>
          <w:lang w:val="fr-FR"/>
        </w:rPr>
        <w:t xml:space="preserve"> de services privés mettent à disposition des collections de données brutes et de données à valeur ajoutée, avec une structure uniforme </w:t>
      </w:r>
      <w:r w:rsidR="00123DD4" w:rsidRPr="00D25EF3">
        <w:rPr>
          <w:lang w:val="fr-FR"/>
        </w:rPr>
        <w:t xml:space="preserve">et </w:t>
      </w:r>
      <w:r w:rsidRPr="00D25EF3">
        <w:rPr>
          <w:lang w:val="fr-FR"/>
        </w:rPr>
        <w:t>dans un format compatible avec les normes de l</w:t>
      </w:r>
      <w:r w:rsidR="00D25EF3">
        <w:rPr>
          <w:lang w:val="fr-FR"/>
        </w:rPr>
        <w:t>’</w:t>
      </w:r>
      <w:r w:rsidRPr="00D25EF3">
        <w:rPr>
          <w:lang w:val="fr-FR"/>
        </w:rPr>
        <w:t>OMPI, contenant les</w:t>
      </w:r>
      <w:r w:rsidR="00276E2E">
        <w:rPr>
          <w:lang w:val="fr-FR"/>
        </w:rPr>
        <w:t> </w:t>
      </w:r>
      <w:r w:rsidRPr="00D25EF3">
        <w:rPr>
          <w:lang w:val="fr-FR"/>
        </w:rPr>
        <w:t>documents de divers offices.</w:t>
      </w:r>
      <w:r w:rsidR="00F11782" w:rsidRPr="00D25EF3">
        <w:rPr>
          <w:lang w:val="fr-FR"/>
        </w:rPr>
        <w:t xml:space="preserve">  </w:t>
      </w:r>
      <w:r w:rsidR="003C699E" w:rsidRPr="00D25EF3">
        <w:rPr>
          <w:lang w:val="fr-FR"/>
        </w:rPr>
        <w:t xml:space="preserve">En réalité, les offices de propriété intellectuelle ont entamé, à leur propre initiative, un travail de normalisation du </w:t>
      </w:r>
      <w:r w:rsidR="00123DD4" w:rsidRPr="00D25EF3">
        <w:rPr>
          <w:lang w:val="fr-FR"/>
        </w:rPr>
        <w:t>contenu des documents de brevet</w:t>
      </w:r>
      <w:r w:rsidR="003C699E" w:rsidRPr="00D25EF3">
        <w:rPr>
          <w:lang w:val="fr-FR"/>
        </w:rPr>
        <w:t xml:space="preserve"> au format prescrit par l</w:t>
      </w:r>
      <w:r w:rsidR="00D25EF3">
        <w:rPr>
          <w:lang w:val="fr-FR"/>
        </w:rPr>
        <w:t>’</w:t>
      </w:r>
      <w:r w:rsidR="003C699E" w:rsidRPr="00D25EF3">
        <w:rPr>
          <w:lang w:val="fr-FR"/>
        </w:rPr>
        <w:t xml:space="preserve">OMPI, </w:t>
      </w:r>
      <w:r w:rsidR="00123DD4" w:rsidRPr="00D25EF3">
        <w:rPr>
          <w:lang w:val="fr-FR"/>
        </w:rPr>
        <w:t>afin d</w:t>
      </w:r>
      <w:r w:rsidR="00D25EF3">
        <w:rPr>
          <w:lang w:val="fr-FR"/>
        </w:rPr>
        <w:t>’</w:t>
      </w:r>
      <w:r w:rsidR="00123DD4" w:rsidRPr="00D25EF3">
        <w:rPr>
          <w:lang w:val="fr-FR"/>
        </w:rPr>
        <w:t>a</w:t>
      </w:r>
      <w:r w:rsidR="00811F98">
        <w:rPr>
          <w:lang w:val="fr-FR"/>
        </w:rPr>
        <w:t xml:space="preserve">méliorer les données aux fins </w:t>
      </w:r>
      <w:r w:rsidR="003C699E" w:rsidRPr="00D25EF3">
        <w:rPr>
          <w:lang w:val="fr-FR"/>
        </w:rPr>
        <w:t xml:space="preserve">de </w:t>
      </w:r>
      <w:r w:rsidR="00123DD4" w:rsidRPr="00D25EF3">
        <w:rPr>
          <w:lang w:val="fr-FR"/>
        </w:rPr>
        <w:t>la</w:t>
      </w:r>
      <w:r w:rsidR="003C699E" w:rsidRPr="00D25EF3">
        <w:rPr>
          <w:lang w:val="fr-FR"/>
        </w:rPr>
        <w:t xml:space="preserve"> recherche.</w:t>
      </w:r>
    </w:p>
    <w:p w:rsidR="00123DD4" w:rsidRPr="00D25EF3" w:rsidRDefault="003C699E" w:rsidP="00A233AD">
      <w:pPr>
        <w:pStyle w:val="ONUMFS"/>
        <w:rPr>
          <w:lang w:val="fr-FR"/>
        </w:rPr>
      </w:pPr>
      <w:r w:rsidRPr="00D25EF3">
        <w:rPr>
          <w:lang w:val="fr-FR"/>
        </w:rPr>
        <w:t>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 xml:space="preserve">brevet </w:t>
      </w:r>
      <w:r w:rsidR="000C1B6D">
        <w:rPr>
          <w:lang w:val="fr-FR"/>
        </w:rPr>
        <w:t xml:space="preserve">comprise dans </w:t>
      </w:r>
      <w:r w:rsidRPr="00D25EF3">
        <w:rPr>
          <w:lang w:val="fr-FR"/>
        </w:rPr>
        <w:t xml:space="preserve">la documentation minimale du PCT </w:t>
      </w:r>
      <w:r w:rsidR="000C1B6D">
        <w:rPr>
          <w:lang w:val="fr-FR"/>
        </w:rPr>
        <w:t>englobe</w:t>
      </w:r>
      <w:r w:rsidRPr="00D25EF3">
        <w:rPr>
          <w:lang w:val="fr-FR"/>
        </w:rPr>
        <w:t xml:space="preserve"> également des éléments </w:t>
      </w:r>
      <w:r w:rsidR="00123DD4" w:rsidRPr="00D25EF3">
        <w:rPr>
          <w:lang w:val="fr-FR"/>
        </w:rPr>
        <w:t xml:space="preserve">présentant un intérêt particulier </w:t>
      </w:r>
      <w:r w:rsidRPr="00D25EF3">
        <w:rPr>
          <w:lang w:val="fr-FR"/>
        </w:rPr>
        <w:t>pour les administrations internationales mais aussi pour les offices nationaux.</w:t>
      </w:r>
      <w:r w:rsidR="00F11782" w:rsidRPr="00D25EF3">
        <w:rPr>
          <w:lang w:val="fr-FR"/>
        </w:rPr>
        <w:t xml:space="preserve">  </w:t>
      </w:r>
      <w:r w:rsidRPr="00D25EF3">
        <w:rPr>
          <w:lang w:val="fr-FR"/>
        </w:rPr>
        <w:t>Dans certains domaines techniques, tels que les biotechnologies,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 xml:space="preserve">brevet </w:t>
      </w:r>
      <w:r w:rsidR="00123DD4" w:rsidRPr="00D25EF3">
        <w:rPr>
          <w:lang w:val="fr-FR"/>
        </w:rPr>
        <w:t>revêt une</w:t>
      </w:r>
      <w:r w:rsidRPr="00D25EF3">
        <w:rPr>
          <w:lang w:val="fr-FR"/>
        </w:rPr>
        <w:t xml:space="preserve"> </w:t>
      </w:r>
      <w:r w:rsidR="00123DD4" w:rsidRPr="00D25EF3">
        <w:rPr>
          <w:lang w:val="fr-FR"/>
        </w:rPr>
        <w:t xml:space="preserve">importance </w:t>
      </w:r>
      <w:r w:rsidRPr="00D25EF3">
        <w:rPr>
          <w:lang w:val="fr-FR"/>
        </w:rPr>
        <w:t xml:space="preserve">encore plus </w:t>
      </w:r>
      <w:r w:rsidR="00123DD4" w:rsidRPr="00D25EF3">
        <w:rPr>
          <w:lang w:val="fr-FR"/>
        </w:rPr>
        <w:t xml:space="preserve">grande </w:t>
      </w:r>
      <w:r w:rsidRPr="00D25EF3">
        <w:rPr>
          <w:lang w:val="fr-FR"/>
        </w:rPr>
        <w:t>en raison d</w:t>
      </w:r>
      <w:r w:rsidR="00D25EF3">
        <w:rPr>
          <w:lang w:val="fr-FR"/>
        </w:rPr>
        <w:t>’</w:t>
      </w:r>
      <w:r w:rsidRPr="00D25EF3">
        <w:rPr>
          <w:lang w:val="fr-FR"/>
        </w:rPr>
        <w:t>un pourcentage bien plus élevé d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éventuelles </w:t>
      </w:r>
      <w:r w:rsidR="00123DD4" w:rsidRPr="00D25EF3">
        <w:rPr>
          <w:lang w:val="fr-FR"/>
        </w:rPr>
        <w:t>informations sur l</w:t>
      </w:r>
      <w:r w:rsidR="00D25EF3">
        <w:rPr>
          <w:lang w:val="fr-FR"/>
        </w:rPr>
        <w:t>’</w:t>
      </w:r>
      <w:r w:rsidR="00123DD4" w:rsidRPr="00D25EF3">
        <w:rPr>
          <w:lang w:val="fr-FR"/>
        </w:rPr>
        <w:t>état de la technique</w:t>
      </w:r>
      <w:r w:rsidRPr="00D25EF3">
        <w:rPr>
          <w:lang w:val="fr-FR"/>
        </w:rPr>
        <w:t>.</w:t>
      </w:r>
      <w:r w:rsidR="00F11782" w:rsidRPr="00D25EF3">
        <w:rPr>
          <w:lang w:val="fr-FR"/>
        </w:rPr>
        <w:t xml:space="preserve">  </w:t>
      </w:r>
      <w:r w:rsidRPr="00D25EF3">
        <w:rPr>
          <w:lang w:val="fr-FR"/>
        </w:rPr>
        <w:t>L</w:t>
      </w:r>
      <w:r w:rsidR="00D25EF3">
        <w:rPr>
          <w:lang w:val="fr-FR"/>
        </w:rPr>
        <w:t>’</w:t>
      </w:r>
      <w:r w:rsidRPr="00D25EF3">
        <w:rPr>
          <w:lang w:val="fr-FR"/>
        </w:rPr>
        <w:t>utilisation de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>brevet en vue de la réalisation de recherches sur l</w:t>
      </w:r>
      <w:r w:rsidR="00D25EF3">
        <w:rPr>
          <w:lang w:val="fr-FR"/>
        </w:rPr>
        <w:t>’</w:t>
      </w:r>
      <w:r w:rsidRPr="00D25EF3">
        <w:rPr>
          <w:lang w:val="fr-FR"/>
        </w:rPr>
        <w:t>état de la technique p</w:t>
      </w:r>
      <w:r w:rsidR="00123DD4" w:rsidRPr="00D25EF3">
        <w:rPr>
          <w:lang w:val="fr-FR"/>
        </w:rPr>
        <w:t>ose</w:t>
      </w:r>
      <w:r w:rsidRPr="00D25EF3">
        <w:rPr>
          <w:lang w:val="fr-FR"/>
        </w:rPr>
        <w:t xml:space="preserve"> certains problème</w:t>
      </w:r>
      <w:r w:rsidR="003B0A3A" w:rsidRPr="00D25EF3">
        <w:rPr>
          <w:lang w:val="fr-FR"/>
        </w:rPr>
        <w:t>s</w:t>
      </w:r>
      <w:r w:rsidRPr="00D25EF3">
        <w:rPr>
          <w:lang w:val="fr-FR"/>
        </w:rPr>
        <w:t xml:space="preserve"> qui nuisent à l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efficacité des examinateurs. </w:t>
      </w:r>
      <w:r w:rsidR="00F11782" w:rsidRPr="00D25EF3">
        <w:rPr>
          <w:lang w:val="fr-FR"/>
        </w:rPr>
        <w:t xml:space="preserve"> </w:t>
      </w:r>
      <w:r w:rsidR="003B0A3A" w:rsidRPr="00D25EF3">
        <w:rPr>
          <w:lang w:val="fr-FR"/>
        </w:rPr>
        <w:t>Les</w:t>
      </w:r>
      <w:r w:rsidR="00811F98">
        <w:rPr>
          <w:lang w:val="fr-FR"/>
        </w:rPr>
        <w:t> </w:t>
      </w:r>
      <w:r w:rsidR="003B0A3A" w:rsidRPr="00D25EF3">
        <w:rPr>
          <w:lang w:val="fr-FR"/>
        </w:rPr>
        <w:t xml:space="preserve">éditeurs utilisent </w:t>
      </w:r>
      <w:r w:rsidR="00123DD4" w:rsidRPr="00D25EF3">
        <w:rPr>
          <w:lang w:val="fr-FR"/>
        </w:rPr>
        <w:t xml:space="preserve">des </w:t>
      </w:r>
      <w:r w:rsidR="003B0A3A" w:rsidRPr="00D25EF3">
        <w:rPr>
          <w:lang w:val="fr-FR"/>
        </w:rPr>
        <w:t>modèle</w:t>
      </w:r>
      <w:r w:rsidR="00123DD4" w:rsidRPr="00D25EF3">
        <w:rPr>
          <w:lang w:val="fr-FR"/>
        </w:rPr>
        <w:t xml:space="preserve">s et </w:t>
      </w:r>
      <w:r w:rsidR="000C1B6D">
        <w:rPr>
          <w:lang w:val="fr-FR"/>
        </w:rPr>
        <w:t xml:space="preserve">des </w:t>
      </w:r>
      <w:r w:rsidR="003B0A3A" w:rsidRPr="00D25EF3">
        <w:rPr>
          <w:lang w:val="fr-FR"/>
        </w:rPr>
        <w:t>formats</w:t>
      </w:r>
      <w:r w:rsidR="00123DD4" w:rsidRPr="00D25EF3">
        <w:rPr>
          <w:lang w:val="fr-FR"/>
        </w:rPr>
        <w:t xml:space="preserve"> différents</w:t>
      </w:r>
      <w:r w:rsidR="003B0A3A" w:rsidRPr="00D25EF3">
        <w:rPr>
          <w:lang w:val="fr-FR"/>
        </w:rPr>
        <w:t xml:space="preserve"> pour </w:t>
      </w:r>
      <w:r w:rsidR="00811F98">
        <w:rPr>
          <w:lang w:val="fr-FR"/>
        </w:rPr>
        <w:t xml:space="preserve">offrir </w:t>
      </w:r>
      <w:r w:rsidR="000C1B6D">
        <w:rPr>
          <w:lang w:val="fr-FR"/>
        </w:rPr>
        <w:t xml:space="preserve">un </w:t>
      </w:r>
      <w:r w:rsidR="003B0A3A" w:rsidRPr="00D25EF3">
        <w:rPr>
          <w:lang w:val="fr-FR"/>
        </w:rPr>
        <w:t xml:space="preserve">accès à leurs ressources et </w:t>
      </w:r>
      <w:r w:rsidR="00123DD4" w:rsidRPr="00D25EF3">
        <w:rPr>
          <w:lang w:val="fr-FR"/>
        </w:rPr>
        <w:t>emploient</w:t>
      </w:r>
      <w:r w:rsidR="003B0A3A" w:rsidRPr="00D25EF3">
        <w:rPr>
          <w:lang w:val="fr-FR"/>
        </w:rPr>
        <w:t xml:space="preserve"> </w:t>
      </w:r>
      <w:r w:rsidR="00123DD4" w:rsidRPr="00D25EF3">
        <w:rPr>
          <w:lang w:val="fr-FR"/>
        </w:rPr>
        <w:t>des</w:t>
      </w:r>
      <w:r w:rsidR="003B0A3A" w:rsidRPr="00D25EF3">
        <w:rPr>
          <w:lang w:val="fr-FR"/>
        </w:rPr>
        <w:t xml:space="preserve"> structures </w:t>
      </w:r>
      <w:r w:rsidR="00123DD4" w:rsidRPr="00D25EF3">
        <w:rPr>
          <w:lang w:val="fr-FR"/>
        </w:rPr>
        <w:t xml:space="preserve">différentes </w:t>
      </w:r>
      <w:r w:rsidR="003B0A3A" w:rsidRPr="00D25EF3">
        <w:rPr>
          <w:lang w:val="fr-FR"/>
        </w:rPr>
        <w:t>pour organiser les données.</w:t>
      </w:r>
      <w:r w:rsidR="00900FBF">
        <w:rPr>
          <w:lang w:val="fr-FR"/>
        </w:rPr>
        <w:t xml:space="preserve"> </w:t>
      </w:r>
      <w:r w:rsidR="00F41AEB" w:rsidRPr="00D25EF3">
        <w:rPr>
          <w:lang w:val="fr-FR"/>
        </w:rPr>
        <w:t xml:space="preserve"> </w:t>
      </w:r>
      <w:r w:rsidR="003B0A3A" w:rsidRPr="00D25EF3">
        <w:rPr>
          <w:lang w:val="fr-FR"/>
        </w:rPr>
        <w:t>La plus grande partie de la littérature non</w:t>
      </w:r>
      <w:r w:rsidR="00A233AD">
        <w:rPr>
          <w:lang w:val="fr-FR"/>
        </w:rPr>
        <w:noBreakHyphen/>
      </w:r>
      <w:r w:rsidR="003B0A3A" w:rsidRPr="00D25EF3">
        <w:rPr>
          <w:lang w:val="fr-FR"/>
        </w:rPr>
        <w:t xml:space="preserve">brevet ne répond à </w:t>
      </w:r>
      <w:r w:rsidR="00070FE7" w:rsidRPr="00D25EF3">
        <w:rPr>
          <w:lang w:val="fr-FR"/>
        </w:rPr>
        <w:t>auc</w:t>
      </w:r>
      <w:r w:rsidR="003B0A3A" w:rsidRPr="00D25EF3">
        <w:rPr>
          <w:lang w:val="fr-FR"/>
        </w:rPr>
        <w:t xml:space="preserve">un système de classement </w:t>
      </w:r>
      <w:r w:rsidR="00070FE7" w:rsidRPr="00D25EF3">
        <w:rPr>
          <w:lang w:val="fr-FR"/>
        </w:rPr>
        <w:t>du type de</w:t>
      </w:r>
      <w:r w:rsidR="00D25EF3" w:rsidRPr="00D25EF3">
        <w:rPr>
          <w:lang w:val="fr-FR"/>
        </w:rPr>
        <w:t xml:space="preserve"> la</w:t>
      </w:r>
      <w:r w:rsidR="00D25EF3">
        <w:rPr>
          <w:lang w:val="fr-FR"/>
        </w:rPr>
        <w:t> </w:t>
      </w:r>
      <w:r w:rsidR="00D25EF3" w:rsidRPr="00D25EF3">
        <w:rPr>
          <w:lang w:val="fr-FR"/>
        </w:rPr>
        <w:t>CIB</w:t>
      </w:r>
      <w:r w:rsidR="003B0A3A" w:rsidRPr="00D25EF3">
        <w:rPr>
          <w:lang w:val="fr-FR"/>
        </w:rPr>
        <w:t xml:space="preserve">. </w:t>
      </w:r>
      <w:r w:rsidR="00F11782" w:rsidRPr="00D25EF3">
        <w:rPr>
          <w:lang w:val="fr-FR"/>
        </w:rPr>
        <w:t xml:space="preserve"> </w:t>
      </w:r>
      <w:r w:rsidR="003B0A3A" w:rsidRPr="00D25EF3">
        <w:rPr>
          <w:lang w:val="fr-FR"/>
        </w:rPr>
        <w:t>Grâce à la</w:t>
      </w:r>
      <w:r w:rsidR="00276E2E">
        <w:rPr>
          <w:lang w:val="fr-FR"/>
        </w:rPr>
        <w:t> </w:t>
      </w:r>
      <w:r w:rsidR="003B0A3A" w:rsidRPr="00D25EF3">
        <w:rPr>
          <w:lang w:val="fr-FR"/>
        </w:rPr>
        <w:t xml:space="preserve">disponibilité des fonctions de recherche des éditeurs et des tiers, qui permettent </w:t>
      </w:r>
      <w:r w:rsidR="00123DD4" w:rsidRPr="00D25EF3">
        <w:rPr>
          <w:lang w:val="fr-FR"/>
        </w:rPr>
        <w:t>d</w:t>
      </w:r>
      <w:r w:rsidR="00D25EF3">
        <w:rPr>
          <w:lang w:val="fr-FR"/>
        </w:rPr>
        <w:t>’</w:t>
      </w:r>
      <w:r w:rsidR="00123DD4" w:rsidRPr="00D25EF3">
        <w:rPr>
          <w:lang w:val="fr-FR"/>
        </w:rPr>
        <w:t xml:space="preserve">effectuer </w:t>
      </w:r>
      <w:r w:rsidR="003B0A3A" w:rsidRPr="00D25EF3">
        <w:rPr>
          <w:lang w:val="fr-FR"/>
        </w:rPr>
        <w:t>une recherche</w:t>
      </w:r>
      <w:r w:rsidR="00123DD4" w:rsidRPr="00D25EF3">
        <w:rPr>
          <w:lang w:val="fr-FR"/>
        </w:rPr>
        <w:t xml:space="preserve"> unique</w:t>
      </w:r>
      <w:r w:rsidR="003B0A3A" w:rsidRPr="00D25EF3">
        <w:rPr>
          <w:lang w:val="fr-FR"/>
        </w:rPr>
        <w:t xml:space="preserve"> dans un ensemble de titres, les problèmes liés aux recherches dans la</w:t>
      </w:r>
      <w:r w:rsidR="00276E2E">
        <w:rPr>
          <w:lang w:val="fr-FR"/>
        </w:rPr>
        <w:t> </w:t>
      </w:r>
      <w:r w:rsidR="003B0A3A" w:rsidRPr="00D25EF3">
        <w:rPr>
          <w:lang w:val="fr-FR"/>
        </w:rPr>
        <w:t>littérature non</w:t>
      </w:r>
      <w:r w:rsidR="00A233AD">
        <w:rPr>
          <w:lang w:val="fr-FR"/>
        </w:rPr>
        <w:noBreakHyphen/>
      </w:r>
      <w:r w:rsidR="003B0A3A" w:rsidRPr="00D25EF3">
        <w:rPr>
          <w:lang w:val="fr-FR"/>
        </w:rPr>
        <w:t>brevet ont quelque peu diminué.</w:t>
      </w:r>
    </w:p>
    <w:p w:rsidR="00123DD4" w:rsidRPr="00D25EF3" w:rsidRDefault="00774FCB" w:rsidP="00A233AD">
      <w:pPr>
        <w:pStyle w:val="ONUMFS"/>
        <w:rPr>
          <w:lang w:val="fr-FR"/>
        </w:rPr>
      </w:pPr>
      <w:r w:rsidRPr="00D25EF3">
        <w:rPr>
          <w:lang w:val="fr-FR"/>
        </w:rPr>
        <w:t>Pour améliorer les fonctions de recherche dans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 xml:space="preserve">brevet, certains offices acquièrent des données </w:t>
      </w:r>
      <w:r w:rsidR="00123DD4" w:rsidRPr="00D25EF3">
        <w:rPr>
          <w:lang w:val="fr-FR"/>
        </w:rPr>
        <w:t>comprenant</w:t>
      </w:r>
      <w:r w:rsidRPr="00D25EF3">
        <w:rPr>
          <w:lang w:val="fr-FR"/>
        </w:rPr>
        <w:t xml:space="preserve"> de nombreux titres de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>brevet auprès des</w:t>
      </w:r>
      <w:r w:rsidR="00276E2E">
        <w:rPr>
          <w:lang w:val="fr-FR"/>
        </w:rPr>
        <w:t> </w:t>
      </w:r>
      <w:r w:rsidRPr="00D25EF3">
        <w:rPr>
          <w:lang w:val="fr-FR"/>
        </w:rPr>
        <w:t>éditeurs et les hébergent localement sur leurs serveurs internes ou y accè</w:t>
      </w:r>
      <w:r w:rsidR="00123DD4" w:rsidRPr="00D25EF3">
        <w:rPr>
          <w:lang w:val="fr-FR"/>
        </w:rPr>
        <w:t xml:space="preserve">dent </w:t>
      </w:r>
      <w:r w:rsidR="00811F98">
        <w:rPr>
          <w:lang w:val="fr-FR"/>
        </w:rPr>
        <w:t xml:space="preserve">en </w:t>
      </w:r>
      <w:r w:rsidR="00123DD4" w:rsidRPr="00D25EF3">
        <w:rPr>
          <w:lang w:val="fr-FR"/>
        </w:rPr>
        <w:t>continu</w:t>
      </w:r>
      <w:r w:rsidRPr="00D25EF3">
        <w:rPr>
          <w:lang w:val="fr-FR"/>
        </w:rPr>
        <w:t xml:space="preserve"> depuis les serveurs des éditeurs, grâce à </w:t>
      </w:r>
      <w:r w:rsidR="00123DD4" w:rsidRPr="00D25EF3">
        <w:rPr>
          <w:lang w:val="fr-FR"/>
        </w:rPr>
        <w:t>des</w:t>
      </w:r>
      <w:r w:rsidRPr="00D25EF3">
        <w:rPr>
          <w:lang w:val="fr-FR"/>
        </w:rPr>
        <w:t xml:space="preserve"> systèmes électroniques internes </w:t>
      </w:r>
      <w:r w:rsidR="00123DD4" w:rsidRPr="00D25EF3">
        <w:rPr>
          <w:lang w:val="fr-FR"/>
        </w:rPr>
        <w:t>spécialement conçus</w:t>
      </w:r>
      <w:r w:rsidRPr="00D25EF3">
        <w:rPr>
          <w:lang w:val="fr-FR"/>
        </w:rPr>
        <w:t>.</w:t>
      </w:r>
      <w:r w:rsidR="00F11782" w:rsidRPr="00D25EF3">
        <w:rPr>
          <w:lang w:val="fr-FR"/>
        </w:rPr>
        <w:t xml:space="preserve">  </w:t>
      </w:r>
      <w:r w:rsidRPr="00D25EF3">
        <w:rPr>
          <w:lang w:val="fr-FR"/>
        </w:rPr>
        <w:t>Ainsi, les examinateurs peuvent extraire les informations d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un ensemble de données bien plus </w:t>
      </w:r>
      <w:r w:rsidR="00811F98">
        <w:rPr>
          <w:lang w:val="fr-FR"/>
        </w:rPr>
        <w:t>vaste</w:t>
      </w:r>
      <w:r w:rsidRPr="00D25EF3">
        <w:rPr>
          <w:lang w:val="fr-FR"/>
        </w:rPr>
        <w:t xml:space="preserve"> en effectuant une recherche </w:t>
      </w:r>
      <w:r w:rsidR="00123DD4" w:rsidRPr="00D25EF3">
        <w:rPr>
          <w:lang w:val="fr-FR"/>
        </w:rPr>
        <w:t>unique par l</w:t>
      </w:r>
      <w:r w:rsidR="00D25EF3">
        <w:rPr>
          <w:lang w:val="fr-FR"/>
        </w:rPr>
        <w:t>’</w:t>
      </w:r>
      <w:r w:rsidR="00123DD4" w:rsidRPr="00D25EF3">
        <w:rPr>
          <w:lang w:val="fr-FR"/>
        </w:rPr>
        <w:t xml:space="preserve">intermédiaire de </w:t>
      </w:r>
      <w:r w:rsidRPr="00D25EF3">
        <w:rPr>
          <w:lang w:val="fr-FR"/>
        </w:rPr>
        <w:t>leurs sy</w:t>
      </w:r>
      <w:r w:rsidR="00BC3E2B" w:rsidRPr="00D25EF3">
        <w:rPr>
          <w:lang w:val="fr-FR"/>
        </w:rPr>
        <w:t xml:space="preserve">stèmes </w:t>
      </w:r>
      <w:r w:rsidR="00811F98">
        <w:rPr>
          <w:lang w:val="fr-FR"/>
        </w:rPr>
        <w:t xml:space="preserve">internes </w:t>
      </w:r>
      <w:r w:rsidR="00BC3E2B" w:rsidRPr="00D25EF3">
        <w:rPr>
          <w:lang w:val="fr-FR"/>
        </w:rPr>
        <w:t xml:space="preserve">de recherche;  </w:t>
      </w:r>
      <w:r w:rsidRPr="00D25EF3">
        <w:rPr>
          <w:lang w:val="fr-FR"/>
        </w:rPr>
        <w:t xml:space="preserve">cela étant, </w:t>
      </w:r>
      <w:r w:rsidR="00BC3E2B" w:rsidRPr="00D25EF3">
        <w:rPr>
          <w:lang w:val="fr-FR"/>
        </w:rPr>
        <w:t>cette</w:t>
      </w:r>
      <w:r w:rsidRPr="00D25EF3">
        <w:rPr>
          <w:lang w:val="fr-FR"/>
        </w:rPr>
        <w:t xml:space="preserve"> recherche unique présente certaines limites, notamment une fonction de recherche limitée par les domaines communs couverts par les données.</w:t>
      </w:r>
      <w:r w:rsidR="00F11782" w:rsidRPr="00D25EF3">
        <w:rPr>
          <w:lang w:val="fr-FR"/>
        </w:rPr>
        <w:t xml:space="preserve">  </w:t>
      </w:r>
      <w:r w:rsidRPr="00D25EF3">
        <w:rPr>
          <w:lang w:val="fr-FR"/>
        </w:rPr>
        <w:t xml:space="preserve">Il a été observé que </w:t>
      </w:r>
      <w:r w:rsidR="00BC3E2B" w:rsidRPr="00D25EF3">
        <w:rPr>
          <w:lang w:val="fr-FR"/>
        </w:rPr>
        <w:t>les</w:t>
      </w:r>
      <w:r w:rsidRPr="00D25EF3">
        <w:rPr>
          <w:lang w:val="fr-FR"/>
        </w:rPr>
        <w:t xml:space="preserve"> recherche</w:t>
      </w:r>
      <w:r w:rsidR="00BC3E2B" w:rsidRPr="00D25EF3">
        <w:rPr>
          <w:lang w:val="fr-FR"/>
        </w:rPr>
        <w:t>s effectuées</w:t>
      </w:r>
      <w:r w:rsidRPr="00D25EF3">
        <w:rPr>
          <w:lang w:val="fr-FR"/>
        </w:rPr>
        <w:t xml:space="preserve"> </w:t>
      </w:r>
      <w:r w:rsidR="00123DD4" w:rsidRPr="00D25EF3">
        <w:rPr>
          <w:lang w:val="fr-FR"/>
        </w:rPr>
        <w:t xml:space="preserve">par </w:t>
      </w:r>
      <w:r w:rsidR="00811F98">
        <w:rPr>
          <w:lang w:val="fr-FR"/>
        </w:rPr>
        <w:t>l’intermédiaire de</w:t>
      </w:r>
      <w:r w:rsidRPr="00D25EF3">
        <w:rPr>
          <w:lang w:val="fr-FR"/>
        </w:rPr>
        <w:t xml:space="preserve"> systèmes de recherche internes dans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>brevet hébergée local</w:t>
      </w:r>
      <w:r w:rsidR="00123DD4" w:rsidRPr="00D25EF3">
        <w:rPr>
          <w:lang w:val="fr-FR"/>
        </w:rPr>
        <w:t>ement sur les serveurs internes</w:t>
      </w:r>
      <w:r w:rsidRPr="00D25EF3">
        <w:rPr>
          <w:lang w:val="fr-FR"/>
        </w:rPr>
        <w:t xml:space="preserve"> </w:t>
      </w:r>
      <w:r w:rsidR="00BC3E2B" w:rsidRPr="00D25EF3">
        <w:rPr>
          <w:lang w:val="fr-FR"/>
        </w:rPr>
        <w:t xml:space="preserve">étaient plus </w:t>
      </w:r>
      <w:r w:rsidR="00123DD4" w:rsidRPr="00D25EF3">
        <w:rPr>
          <w:lang w:val="fr-FR"/>
        </w:rPr>
        <w:t>fructueuses</w:t>
      </w:r>
      <w:r w:rsidR="00BC3E2B" w:rsidRPr="00D25EF3">
        <w:rPr>
          <w:lang w:val="fr-FR"/>
        </w:rPr>
        <w:t xml:space="preserve"> que les</w:t>
      </w:r>
      <w:r w:rsidRPr="00D25EF3">
        <w:rPr>
          <w:lang w:val="fr-FR"/>
        </w:rPr>
        <w:t xml:space="preserve"> </w:t>
      </w:r>
      <w:r w:rsidR="00BC3E2B" w:rsidRPr="00D25EF3">
        <w:rPr>
          <w:lang w:val="fr-FR"/>
        </w:rPr>
        <w:t xml:space="preserve">recherches effectuées </w:t>
      </w:r>
      <w:r w:rsidR="00123DD4" w:rsidRPr="00D25EF3">
        <w:rPr>
          <w:lang w:val="fr-FR"/>
        </w:rPr>
        <w:t>avec les</w:t>
      </w:r>
      <w:r w:rsidRPr="00D25EF3">
        <w:rPr>
          <w:lang w:val="fr-FR"/>
        </w:rPr>
        <w:t xml:space="preserve"> outils </w:t>
      </w:r>
      <w:r w:rsidR="00123DD4" w:rsidRPr="00D25EF3">
        <w:rPr>
          <w:lang w:val="fr-FR"/>
        </w:rPr>
        <w:t>mis à dispositions par l</w:t>
      </w:r>
      <w:r w:rsidRPr="00D25EF3">
        <w:rPr>
          <w:lang w:val="fr-FR"/>
        </w:rPr>
        <w:t xml:space="preserve">es éditeurs ou </w:t>
      </w:r>
      <w:r w:rsidR="00123DD4" w:rsidRPr="00D25EF3">
        <w:rPr>
          <w:lang w:val="fr-FR"/>
        </w:rPr>
        <w:t>l</w:t>
      </w:r>
      <w:r w:rsidRPr="00D25EF3">
        <w:rPr>
          <w:lang w:val="fr-FR"/>
        </w:rPr>
        <w:t>es tiers.</w:t>
      </w:r>
      <w:r w:rsidR="00F11782" w:rsidRPr="00D25EF3">
        <w:rPr>
          <w:lang w:val="fr-FR"/>
        </w:rPr>
        <w:t xml:space="preserve">  </w:t>
      </w:r>
      <w:r w:rsidR="00123DD4" w:rsidRPr="00D25EF3">
        <w:rPr>
          <w:lang w:val="fr-FR"/>
        </w:rPr>
        <w:t>L</w:t>
      </w:r>
      <w:r w:rsidR="00D25EF3">
        <w:rPr>
          <w:lang w:val="fr-FR"/>
        </w:rPr>
        <w:t>’</w:t>
      </w:r>
      <w:r w:rsidRPr="00D25EF3">
        <w:rPr>
          <w:lang w:val="fr-FR"/>
        </w:rPr>
        <w:t>hébergement au niv</w:t>
      </w:r>
      <w:r w:rsidR="00BC3E2B" w:rsidRPr="00D25EF3">
        <w:rPr>
          <w:lang w:val="fr-FR"/>
        </w:rPr>
        <w:t>eau local permet aux administratio</w:t>
      </w:r>
      <w:r w:rsidRPr="00D25EF3">
        <w:rPr>
          <w:lang w:val="fr-FR"/>
        </w:rPr>
        <w:t xml:space="preserve">ns </w:t>
      </w:r>
      <w:r w:rsidR="00BC3E2B" w:rsidRPr="00D25EF3">
        <w:rPr>
          <w:lang w:val="fr-FR"/>
        </w:rPr>
        <w:t>et</w:t>
      </w:r>
      <w:r w:rsidRPr="00D25EF3">
        <w:rPr>
          <w:lang w:val="fr-FR"/>
        </w:rPr>
        <w:t xml:space="preserve"> aux offices d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adapter leurs systèmes de recherche dans une bien plus large mesure en fonction des besoins des examinateurs, ce qui permet </w:t>
      </w:r>
      <w:r w:rsidR="00123DD4" w:rsidRPr="00D25EF3">
        <w:rPr>
          <w:lang w:val="fr-FR"/>
        </w:rPr>
        <w:t>de renforcer</w:t>
      </w:r>
      <w:r w:rsidRPr="00D25EF3">
        <w:rPr>
          <w:lang w:val="fr-FR"/>
        </w:rPr>
        <w:t xml:space="preserve"> l</w:t>
      </w:r>
      <w:r w:rsidR="00D25EF3">
        <w:rPr>
          <w:lang w:val="fr-FR"/>
        </w:rPr>
        <w:t>’</w:t>
      </w:r>
      <w:r w:rsidRPr="00D25EF3">
        <w:rPr>
          <w:lang w:val="fr-FR"/>
        </w:rPr>
        <w:t>efficacité des examinateurs.</w:t>
      </w:r>
    </w:p>
    <w:p w:rsidR="00123DD4" w:rsidRPr="00D25EF3" w:rsidRDefault="00A233AD" w:rsidP="00A233AD">
      <w:pPr>
        <w:pStyle w:val="Heading1"/>
        <w:rPr>
          <w:lang w:val="fr-FR"/>
        </w:rPr>
      </w:pPr>
      <w:r w:rsidRPr="00D25EF3">
        <w:rPr>
          <w:lang w:val="fr-FR"/>
        </w:rPr>
        <w:t>Expérience de l</w:t>
      </w:r>
      <w:r>
        <w:rPr>
          <w:lang w:val="fr-FR"/>
        </w:rPr>
        <w:t>’</w:t>
      </w:r>
      <w:r w:rsidRPr="00D25EF3">
        <w:rPr>
          <w:lang w:val="fr-FR"/>
        </w:rPr>
        <w:t>O</w:t>
      </w:r>
      <w:r>
        <w:rPr>
          <w:lang w:val="fr-FR"/>
        </w:rPr>
        <w:t>ffice indien des brevets</w:t>
      </w:r>
    </w:p>
    <w:p w:rsidR="00123DD4" w:rsidRPr="00D25EF3" w:rsidRDefault="00BC3E2B" w:rsidP="00A233AD">
      <w:pPr>
        <w:pStyle w:val="ONUMFS"/>
        <w:rPr>
          <w:lang w:val="fr-FR"/>
        </w:rPr>
      </w:pPr>
      <w:r w:rsidRPr="00D25EF3">
        <w:rPr>
          <w:lang w:val="fr-FR"/>
        </w:rPr>
        <w:t xml:space="preserve">Des efforts ont été déployés par </w:t>
      </w:r>
      <w:r w:rsidR="00C95DF1" w:rsidRPr="00D25EF3">
        <w:rPr>
          <w:lang w:val="fr-FR"/>
        </w:rPr>
        <w:t>l</w:t>
      </w:r>
      <w:r w:rsidR="00D25EF3">
        <w:rPr>
          <w:lang w:val="fr-FR"/>
        </w:rPr>
        <w:t>’</w:t>
      </w:r>
      <w:r w:rsidR="00C95DF1" w:rsidRPr="00D25EF3">
        <w:rPr>
          <w:lang w:val="fr-FR"/>
        </w:rPr>
        <w:t xml:space="preserve">Office indien des brevets </w:t>
      </w:r>
      <w:r w:rsidRPr="00D25EF3">
        <w:rPr>
          <w:lang w:val="fr-FR"/>
        </w:rPr>
        <w:t>pour acquérir des données en texte intégral.</w:t>
      </w:r>
      <w:r w:rsidR="00F11782" w:rsidRPr="00D25EF3">
        <w:rPr>
          <w:lang w:val="fr-FR"/>
        </w:rPr>
        <w:t xml:space="preserve"> </w:t>
      </w:r>
      <w:r w:rsidR="00862CF6" w:rsidRPr="00D25EF3">
        <w:rPr>
          <w:lang w:val="fr-FR"/>
        </w:rPr>
        <w:t xml:space="preserve"> </w:t>
      </w:r>
      <w:r w:rsidR="00123DD4" w:rsidRPr="00D25EF3">
        <w:rPr>
          <w:lang w:val="fr-FR"/>
        </w:rPr>
        <w:t>Les éditeurs ne souhai</w:t>
      </w:r>
      <w:r w:rsidRPr="00D25EF3">
        <w:rPr>
          <w:lang w:val="fr-FR"/>
        </w:rPr>
        <w:t xml:space="preserve">taient initialement </w:t>
      </w:r>
      <w:r w:rsidR="00123DD4" w:rsidRPr="00D25EF3">
        <w:rPr>
          <w:lang w:val="fr-FR"/>
        </w:rPr>
        <w:t>pas</w:t>
      </w:r>
      <w:r w:rsidRPr="00D25EF3">
        <w:rPr>
          <w:lang w:val="fr-FR"/>
        </w:rPr>
        <w:t xml:space="preserve"> fournir de données en texte intégral qui seraient hébergées localement sur les serveurs de </w:t>
      </w:r>
      <w:r w:rsidR="00C95DF1" w:rsidRPr="00D25EF3">
        <w:rPr>
          <w:lang w:val="fr-FR"/>
        </w:rPr>
        <w:t>cet o</w:t>
      </w:r>
      <w:r w:rsidRPr="00D25EF3">
        <w:rPr>
          <w:lang w:val="fr-FR"/>
        </w:rPr>
        <w:t>ffice.</w:t>
      </w:r>
      <w:r w:rsidR="00862CF6" w:rsidRPr="00D25EF3">
        <w:rPr>
          <w:lang w:val="fr-FR"/>
        </w:rPr>
        <w:t xml:space="preserve"> </w:t>
      </w:r>
      <w:r w:rsidR="00F11782" w:rsidRPr="00D25EF3">
        <w:rPr>
          <w:lang w:val="fr-FR"/>
        </w:rPr>
        <w:t xml:space="preserve"> </w:t>
      </w:r>
      <w:r w:rsidR="00C95DF1" w:rsidRPr="00D25EF3">
        <w:rPr>
          <w:lang w:val="fr-FR"/>
        </w:rPr>
        <w:t xml:space="preserve">À la suite des efforts soutenus déployés par </w:t>
      </w:r>
      <w:r w:rsidR="00123DD4" w:rsidRPr="00D25EF3">
        <w:rPr>
          <w:lang w:val="fr-FR"/>
        </w:rPr>
        <w:t>l</w:t>
      </w:r>
      <w:r w:rsidR="00D25EF3">
        <w:rPr>
          <w:lang w:val="fr-FR"/>
        </w:rPr>
        <w:t>’</w:t>
      </w:r>
      <w:r w:rsidR="00123DD4" w:rsidRPr="00D25EF3">
        <w:rPr>
          <w:lang w:val="fr-FR"/>
        </w:rPr>
        <w:t>Office indien des brevets</w:t>
      </w:r>
      <w:r w:rsidR="00C95DF1" w:rsidRPr="00D25EF3">
        <w:rPr>
          <w:lang w:val="fr-FR"/>
        </w:rPr>
        <w:t>, les éditeurs ont proposé d</w:t>
      </w:r>
      <w:r w:rsidR="00D25EF3">
        <w:rPr>
          <w:lang w:val="fr-FR"/>
        </w:rPr>
        <w:t>’</w:t>
      </w:r>
      <w:r w:rsidR="00C95DF1" w:rsidRPr="00D25EF3">
        <w:rPr>
          <w:lang w:val="fr-FR"/>
        </w:rPr>
        <w:t>offrir l</w:t>
      </w:r>
      <w:r w:rsidR="00D25EF3">
        <w:rPr>
          <w:lang w:val="fr-FR"/>
        </w:rPr>
        <w:t>’</w:t>
      </w:r>
      <w:r w:rsidR="00C95DF1" w:rsidRPr="00D25EF3">
        <w:rPr>
          <w:lang w:val="fr-FR"/>
        </w:rPr>
        <w:t xml:space="preserve">accès à leur littérature </w:t>
      </w:r>
      <w:r w:rsidR="00C95DF1" w:rsidRPr="00D25EF3">
        <w:rPr>
          <w:lang w:val="fr-FR"/>
        </w:rPr>
        <w:lastRenderedPageBreak/>
        <w:t>non</w:t>
      </w:r>
      <w:r w:rsidR="00A233AD">
        <w:rPr>
          <w:lang w:val="fr-FR"/>
        </w:rPr>
        <w:noBreakHyphen/>
      </w:r>
      <w:r w:rsidR="00C95DF1" w:rsidRPr="00D25EF3">
        <w:rPr>
          <w:lang w:val="fr-FR"/>
        </w:rPr>
        <w:t>brevet par différents moyens</w:t>
      </w:r>
      <w:r w:rsidR="00811F98">
        <w:rPr>
          <w:lang w:val="fr-FR"/>
        </w:rPr>
        <w:t>, notamment</w:t>
      </w:r>
      <w:r w:rsidR="00900FBF">
        <w:rPr>
          <w:lang w:val="fr-FR"/>
        </w:rPr>
        <w:t> </w:t>
      </w:r>
      <w:r w:rsidR="00C95DF1" w:rsidRPr="00D25EF3">
        <w:rPr>
          <w:lang w:val="fr-FR"/>
        </w:rPr>
        <w:t>: i)</w:t>
      </w:r>
      <w:r w:rsidR="00900FBF">
        <w:rPr>
          <w:lang w:val="fr-FR"/>
        </w:rPr>
        <w:t> </w:t>
      </w:r>
      <w:r w:rsidR="00811F98">
        <w:rPr>
          <w:lang w:val="fr-FR"/>
        </w:rPr>
        <w:t xml:space="preserve">un </w:t>
      </w:r>
      <w:r w:rsidR="00C95DF1" w:rsidRPr="00D25EF3">
        <w:rPr>
          <w:lang w:val="fr-FR"/>
        </w:rPr>
        <w:t>accès uniquement en ligne par l</w:t>
      </w:r>
      <w:r w:rsidR="00D25EF3">
        <w:rPr>
          <w:lang w:val="fr-FR"/>
        </w:rPr>
        <w:t>’</w:t>
      </w:r>
      <w:r w:rsidR="00C95DF1" w:rsidRPr="00D25EF3">
        <w:rPr>
          <w:lang w:val="fr-FR"/>
        </w:rPr>
        <w:t xml:space="preserve">intermédiaire de leurs portails </w:t>
      </w:r>
      <w:r w:rsidR="00900FBF">
        <w:rPr>
          <w:lang w:val="fr-FR"/>
        </w:rPr>
        <w:t>Web</w:t>
      </w:r>
      <w:r w:rsidR="00C95DF1" w:rsidRPr="00D25EF3">
        <w:rPr>
          <w:lang w:val="fr-FR"/>
        </w:rPr>
        <w:t xml:space="preserve"> respectifs, i</w:t>
      </w:r>
      <w:r w:rsidR="00123DD4" w:rsidRPr="00D25EF3">
        <w:rPr>
          <w:lang w:val="fr-FR"/>
        </w:rPr>
        <w:t>i)</w:t>
      </w:r>
      <w:r w:rsidR="00900FBF">
        <w:rPr>
          <w:lang w:val="fr-FR"/>
        </w:rPr>
        <w:t> </w:t>
      </w:r>
      <w:r w:rsidR="00123DD4" w:rsidRPr="00D25EF3">
        <w:rPr>
          <w:lang w:val="fr-FR"/>
        </w:rPr>
        <w:t>d</w:t>
      </w:r>
      <w:r w:rsidR="00811F98">
        <w:rPr>
          <w:lang w:val="fr-FR"/>
        </w:rPr>
        <w:t>es d</w:t>
      </w:r>
      <w:r w:rsidR="00123DD4" w:rsidRPr="00D25EF3">
        <w:rPr>
          <w:lang w:val="fr-FR"/>
        </w:rPr>
        <w:t>onnées au format XML jusqu</w:t>
      </w:r>
      <w:r w:rsidR="00D25EF3">
        <w:rPr>
          <w:lang w:val="fr-FR"/>
        </w:rPr>
        <w:t>’</w:t>
      </w:r>
      <w:r w:rsidR="00123DD4" w:rsidRPr="00D25EF3">
        <w:rPr>
          <w:lang w:val="fr-FR"/>
        </w:rPr>
        <w:t>au niveau de</w:t>
      </w:r>
      <w:r w:rsidR="00C95DF1" w:rsidRPr="00D25EF3">
        <w:rPr>
          <w:lang w:val="fr-FR"/>
        </w:rPr>
        <w:t xml:space="preserve"> l</w:t>
      </w:r>
      <w:r w:rsidR="00D25EF3">
        <w:rPr>
          <w:lang w:val="fr-FR"/>
        </w:rPr>
        <w:t>’</w:t>
      </w:r>
      <w:r w:rsidR="00C95DF1" w:rsidRPr="00D25EF3">
        <w:rPr>
          <w:lang w:val="fr-FR"/>
        </w:rPr>
        <w:t>abrégé, avec un accès uniquement en ligne aux versions HTML et PDF des données en texte intégral et iii)</w:t>
      </w:r>
      <w:r w:rsidR="00900FBF">
        <w:rPr>
          <w:lang w:val="fr-FR"/>
        </w:rPr>
        <w:t> </w:t>
      </w:r>
      <w:r w:rsidR="00C95DF1" w:rsidRPr="00D25EF3">
        <w:rPr>
          <w:lang w:val="fr-FR"/>
        </w:rPr>
        <w:t>d</w:t>
      </w:r>
      <w:r w:rsidR="00811F98">
        <w:rPr>
          <w:lang w:val="fr-FR"/>
        </w:rPr>
        <w:t>es d</w:t>
      </w:r>
      <w:r w:rsidR="00C95DF1" w:rsidRPr="00D25EF3">
        <w:rPr>
          <w:lang w:val="fr-FR"/>
        </w:rPr>
        <w:t xml:space="preserve">onnées en texte intégral </w:t>
      </w:r>
      <w:r w:rsidR="00811F98">
        <w:rPr>
          <w:lang w:val="fr-FR"/>
        </w:rPr>
        <w:t>à stocker</w:t>
      </w:r>
      <w:r w:rsidR="00C95DF1" w:rsidRPr="00D25EF3">
        <w:rPr>
          <w:lang w:val="fr-FR"/>
        </w:rPr>
        <w:t xml:space="preserve"> sur les serveurs internes de l</w:t>
      </w:r>
      <w:r w:rsidR="00D25EF3">
        <w:rPr>
          <w:lang w:val="fr-FR"/>
        </w:rPr>
        <w:t>’</w:t>
      </w:r>
      <w:r w:rsidR="00C95DF1" w:rsidRPr="00D25EF3">
        <w:rPr>
          <w:lang w:val="fr-FR"/>
        </w:rPr>
        <w:t>office.</w:t>
      </w:r>
      <w:r w:rsidR="00F11782" w:rsidRPr="00D25EF3">
        <w:rPr>
          <w:lang w:val="fr-FR"/>
        </w:rPr>
        <w:t xml:space="preserve"> </w:t>
      </w:r>
      <w:r w:rsidR="00862CF6" w:rsidRPr="00D25EF3">
        <w:rPr>
          <w:lang w:val="fr-FR"/>
        </w:rPr>
        <w:t xml:space="preserve"> </w:t>
      </w:r>
      <w:r w:rsidR="00C95DF1" w:rsidRPr="00D25EF3">
        <w:rPr>
          <w:lang w:val="fr-FR"/>
        </w:rPr>
        <w:t>L</w:t>
      </w:r>
      <w:r w:rsidR="00D25EF3">
        <w:rPr>
          <w:lang w:val="fr-FR"/>
        </w:rPr>
        <w:t>’</w:t>
      </w:r>
      <w:r w:rsidR="00123DD4" w:rsidRPr="00D25EF3">
        <w:rPr>
          <w:lang w:val="fr-FR"/>
        </w:rPr>
        <w:t>étud</w:t>
      </w:r>
      <w:r w:rsidR="00C95DF1" w:rsidRPr="00D25EF3">
        <w:rPr>
          <w:lang w:val="fr-FR"/>
        </w:rPr>
        <w:t>e</w:t>
      </w:r>
      <w:r w:rsidR="00123DD4" w:rsidRPr="00D25EF3">
        <w:rPr>
          <w:lang w:val="fr-FR"/>
        </w:rPr>
        <w:t xml:space="preserve"> de</w:t>
      </w:r>
      <w:r w:rsidR="00C95DF1" w:rsidRPr="00D25EF3">
        <w:rPr>
          <w:lang w:val="fr-FR"/>
        </w:rPr>
        <w:t xml:space="preserve"> la possibilité de stocker des données en texte intégral sur les serveurs internes a nécessité d</w:t>
      </w:r>
      <w:r w:rsidR="00D25EF3">
        <w:rPr>
          <w:lang w:val="fr-FR"/>
        </w:rPr>
        <w:t>’</w:t>
      </w:r>
      <w:r w:rsidR="00C95DF1" w:rsidRPr="00D25EF3">
        <w:rPr>
          <w:lang w:val="fr-FR"/>
        </w:rPr>
        <w:t>importantes ressources mais a eu des résultats encourageants.</w:t>
      </w:r>
      <w:r w:rsidR="00862CF6" w:rsidRPr="00D25EF3">
        <w:rPr>
          <w:lang w:val="fr-FR"/>
        </w:rPr>
        <w:t xml:space="preserve"> </w:t>
      </w:r>
      <w:r w:rsidR="00F11782" w:rsidRPr="00D25EF3">
        <w:rPr>
          <w:lang w:val="fr-FR"/>
        </w:rPr>
        <w:t xml:space="preserve"> </w:t>
      </w:r>
      <w:r w:rsidR="00C95DF1" w:rsidRPr="00D25EF3">
        <w:rPr>
          <w:lang w:val="fr-FR"/>
        </w:rPr>
        <w:t>On estime qu</w:t>
      </w:r>
      <w:r w:rsidR="00D25EF3">
        <w:rPr>
          <w:lang w:val="fr-FR"/>
        </w:rPr>
        <w:t>’</w:t>
      </w:r>
      <w:r w:rsidR="00C95DF1" w:rsidRPr="00D25EF3">
        <w:rPr>
          <w:lang w:val="fr-FR"/>
        </w:rPr>
        <w:t>un plus grand nombre d</w:t>
      </w:r>
      <w:r w:rsidR="00D25EF3">
        <w:rPr>
          <w:lang w:val="fr-FR"/>
        </w:rPr>
        <w:t>’</w:t>
      </w:r>
      <w:r w:rsidR="00C95DF1" w:rsidRPr="00D25EF3">
        <w:rPr>
          <w:lang w:val="fr-FR"/>
        </w:rPr>
        <w:t>éditeurs accepteront de transmettre des données au format requis par l</w:t>
      </w:r>
      <w:r w:rsidR="00D25EF3">
        <w:rPr>
          <w:lang w:val="fr-FR"/>
        </w:rPr>
        <w:t>’</w:t>
      </w:r>
      <w:r w:rsidR="00811F98">
        <w:rPr>
          <w:lang w:val="fr-FR"/>
        </w:rPr>
        <w:t>O</w:t>
      </w:r>
      <w:r w:rsidR="00C95DF1" w:rsidRPr="00D25EF3">
        <w:rPr>
          <w:lang w:val="fr-FR"/>
        </w:rPr>
        <w:t xml:space="preserve">ffice indien </w:t>
      </w:r>
      <w:r w:rsidR="00123DD4" w:rsidRPr="00D25EF3">
        <w:rPr>
          <w:lang w:val="fr-FR"/>
        </w:rPr>
        <w:t xml:space="preserve">des brevets </w:t>
      </w:r>
      <w:r w:rsidR="00C95DF1" w:rsidRPr="00D25EF3">
        <w:rPr>
          <w:lang w:val="fr-FR"/>
        </w:rPr>
        <w:t>en temps utile.</w:t>
      </w:r>
      <w:r w:rsidR="00862CF6" w:rsidRPr="00D25EF3">
        <w:rPr>
          <w:lang w:val="fr-FR"/>
        </w:rPr>
        <w:t xml:space="preserve"> </w:t>
      </w:r>
      <w:r w:rsidR="00F11782" w:rsidRPr="00D25EF3">
        <w:rPr>
          <w:lang w:val="fr-FR"/>
        </w:rPr>
        <w:t xml:space="preserve"> </w:t>
      </w:r>
      <w:r w:rsidR="00C95DF1" w:rsidRPr="00D25EF3">
        <w:rPr>
          <w:lang w:val="fr-FR"/>
        </w:rPr>
        <w:t>Il est admis que certaines administrations ont passé des accords avec des éditeurs selon leurs propres exigences.</w:t>
      </w:r>
    </w:p>
    <w:p w:rsidR="00123DD4" w:rsidRPr="00D25EF3" w:rsidRDefault="00673F15" w:rsidP="00A233AD">
      <w:pPr>
        <w:pStyle w:val="ONUMFS"/>
        <w:rPr>
          <w:lang w:val="fr-FR"/>
        </w:rPr>
      </w:pPr>
      <w:r w:rsidRPr="00D25EF3">
        <w:rPr>
          <w:lang w:val="fr-FR"/>
        </w:rPr>
        <w:t>L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Office indien des brevets estime que, au moins pour les titres </w:t>
      </w:r>
      <w:r w:rsidR="00811F98">
        <w:rPr>
          <w:lang w:val="fr-FR"/>
        </w:rPr>
        <w:t>constituant</w:t>
      </w:r>
      <w:r w:rsidRPr="00D25EF3">
        <w:rPr>
          <w:lang w:val="fr-FR"/>
        </w:rPr>
        <w:t xml:space="preserve">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 xml:space="preserve">brevet </w:t>
      </w:r>
      <w:r w:rsidR="000C1B6D">
        <w:rPr>
          <w:lang w:val="fr-FR"/>
        </w:rPr>
        <w:t>comprise dans</w:t>
      </w:r>
      <w:r w:rsidRPr="00D25EF3">
        <w:rPr>
          <w:lang w:val="fr-FR"/>
        </w:rPr>
        <w:t xml:space="preserve"> la</w:t>
      </w:r>
      <w:r w:rsidR="00123DD4" w:rsidRPr="00D25EF3">
        <w:rPr>
          <w:lang w:val="fr-FR"/>
        </w:rPr>
        <w:t xml:space="preserve"> documentation minimale</w:t>
      </w:r>
      <w:r w:rsidR="00D25EF3" w:rsidRPr="00D25EF3">
        <w:rPr>
          <w:lang w:val="fr-FR"/>
        </w:rPr>
        <w:t xml:space="preserve"> du</w:t>
      </w:r>
      <w:r w:rsidR="00D25EF3">
        <w:rPr>
          <w:lang w:val="fr-FR"/>
        </w:rPr>
        <w:t> </w:t>
      </w:r>
      <w:r w:rsidR="00D25EF3" w:rsidRPr="00D25EF3">
        <w:rPr>
          <w:lang w:val="fr-FR"/>
        </w:rPr>
        <w:t>PCT</w:t>
      </w:r>
      <w:r w:rsidR="00123DD4" w:rsidRPr="00D25EF3">
        <w:rPr>
          <w:lang w:val="fr-FR"/>
        </w:rPr>
        <w:t xml:space="preserve"> et en plus </w:t>
      </w:r>
      <w:r w:rsidRPr="00D25EF3">
        <w:rPr>
          <w:lang w:val="fr-FR"/>
        </w:rPr>
        <w:t>des méthodes actuellement adoptées par les éditeurs pour offrir un accès à</w:t>
      </w:r>
      <w:r w:rsidR="00123DD4" w:rsidRPr="00D25EF3">
        <w:rPr>
          <w:lang w:val="fr-FR"/>
        </w:rPr>
        <w:t xml:space="preserve"> la littérature non</w:t>
      </w:r>
      <w:r w:rsidR="00A233AD">
        <w:rPr>
          <w:lang w:val="fr-FR"/>
        </w:rPr>
        <w:noBreakHyphen/>
      </w:r>
      <w:r w:rsidR="00123DD4" w:rsidRPr="00D25EF3">
        <w:rPr>
          <w:lang w:val="fr-FR"/>
        </w:rPr>
        <w:t>brevet, ceux</w:t>
      </w:r>
      <w:r w:rsidR="00A233AD">
        <w:rPr>
          <w:lang w:val="fr-FR"/>
        </w:rPr>
        <w:noBreakHyphen/>
      </w:r>
      <w:r w:rsidR="00123DD4" w:rsidRPr="00D25EF3">
        <w:rPr>
          <w:lang w:val="fr-FR"/>
        </w:rPr>
        <w:t xml:space="preserve">ci </w:t>
      </w:r>
      <w:r w:rsidRPr="00D25EF3">
        <w:rPr>
          <w:lang w:val="fr-FR"/>
        </w:rPr>
        <w:t>devraient également être tenus de fournir des données en texte intégral de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>brevet</w:t>
      </w:r>
      <w:r w:rsidR="00811F98">
        <w:rPr>
          <w:lang w:val="fr-FR"/>
        </w:rPr>
        <w:t>,</w:t>
      </w:r>
      <w:r w:rsidRPr="00D25EF3">
        <w:rPr>
          <w:lang w:val="fr-FR"/>
        </w:rPr>
        <w:t xml:space="preserve"> dans un format prédéterminé.</w:t>
      </w:r>
      <w:r w:rsidR="00862CF6" w:rsidRPr="00D25EF3">
        <w:rPr>
          <w:lang w:val="fr-FR"/>
        </w:rPr>
        <w:t xml:space="preserve"> </w:t>
      </w:r>
      <w:r w:rsidR="00F11782" w:rsidRPr="00D25EF3">
        <w:rPr>
          <w:lang w:val="fr-FR"/>
        </w:rPr>
        <w:t xml:space="preserve"> </w:t>
      </w:r>
      <w:r w:rsidRPr="00D25EF3">
        <w:rPr>
          <w:lang w:val="fr-FR"/>
        </w:rPr>
        <w:t>Ainsi, les administrations et les offices nationaux pourront utiliser l</w:t>
      </w:r>
      <w:r w:rsidR="00D25EF3">
        <w:rPr>
          <w:lang w:val="fr-FR"/>
        </w:rPr>
        <w:t>’</w:t>
      </w:r>
      <w:r w:rsidRPr="00D25EF3">
        <w:rPr>
          <w:lang w:val="fr-FR"/>
        </w:rPr>
        <w:t>information contenue dans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>brevet d</w:t>
      </w:r>
      <w:r w:rsidR="00D25EF3">
        <w:rPr>
          <w:lang w:val="fr-FR"/>
        </w:rPr>
        <w:t>’</w:t>
      </w:r>
      <w:r w:rsidRPr="00D25EF3">
        <w:rPr>
          <w:lang w:val="fr-FR"/>
        </w:rPr>
        <w:t>une manière plus efficace et</w:t>
      </w:r>
      <w:r w:rsidR="00123DD4" w:rsidRPr="00D25EF3">
        <w:rPr>
          <w:lang w:val="fr-FR"/>
        </w:rPr>
        <w:t xml:space="preserve"> </w:t>
      </w:r>
      <w:r w:rsidR="00811F98">
        <w:rPr>
          <w:lang w:val="fr-FR"/>
        </w:rPr>
        <w:t xml:space="preserve">mieux </w:t>
      </w:r>
      <w:r w:rsidRPr="00D25EF3">
        <w:rPr>
          <w:lang w:val="fr-FR"/>
        </w:rPr>
        <w:t>traiter les problèmes tels que l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inefficacité et </w:t>
      </w:r>
      <w:r w:rsidR="00123DD4" w:rsidRPr="00D25EF3">
        <w:rPr>
          <w:lang w:val="fr-FR"/>
        </w:rPr>
        <w:t>la non</w:t>
      </w:r>
      <w:r w:rsidR="00A233AD">
        <w:rPr>
          <w:lang w:val="fr-FR"/>
        </w:rPr>
        <w:noBreakHyphen/>
      </w:r>
      <w:r w:rsidR="00123DD4" w:rsidRPr="00D25EF3">
        <w:rPr>
          <w:lang w:val="fr-FR"/>
        </w:rPr>
        <w:t>uniformité</w:t>
      </w:r>
      <w:r w:rsidRPr="00D25EF3">
        <w:rPr>
          <w:lang w:val="fr-FR"/>
        </w:rPr>
        <w:t xml:space="preserve"> dans la structure des</w:t>
      </w:r>
      <w:r w:rsidR="000C1B6D">
        <w:rPr>
          <w:lang w:val="fr-FR"/>
        </w:rPr>
        <w:t> </w:t>
      </w:r>
      <w:r w:rsidRPr="00D25EF3">
        <w:rPr>
          <w:lang w:val="fr-FR"/>
        </w:rPr>
        <w:t>différentes bases de données contenant la littérature non</w:t>
      </w:r>
      <w:r w:rsidR="00A233AD">
        <w:rPr>
          <w:lang w:val="fr-FR"/>
        </w:rPr>
        <w:noBreakHyphen/>
      </w:r>
      <w:r w:rsidRPr="00D25EF3">
        <w:rPr>
          <w:lang w:val="fr-FR"/>
        </w:rPr>
        <w:t xml:space="preserve">brevet </w:t>
      </w:r>
      <w:r w:rsidR="000C1B6D">
        <w:rPr>
          <w:lang w:val="fr-FR"/>
        </w:rPr>
        <w:t>comprise dans</w:t>
      </w:r>
      <w:r w:rsidRPr="00D25EF3">
        <w:rPr>
          <w:lang w:val="fr-FR"/>
        </w:rPr>
        <w:t xml:space="preserve"> la documentation minimale</w:t>
      </w:r>
      <w:r w:rsidR="00D25EF3" w:rsidRPr="00D25EF3">
        <w:rPr>
          <w:lang w:val="fr-FR"/>
        </w:rPr>
        <w:t xml:space="preserve"> du</w:t>
      </w:r>
      <w:r w:rsidR="00D25EF3">
        <w:rPr>
          <w:lang w:val="fr-FR"/>
        </w:rPr>
        <w:t> </w:t>
      </w:r>
      <w:r w:rsidR="00D25EF3" w:rsidRPr="00D25EF3">
        <w:rPr>
          <w:lang w:val="fr-FR"/>
        </w:rPr>
        <w:t>PCT</w:t>
      </w:r>
      <w:r w:rsidRPr="00D25EF3">
        <w:rPr>
          <w:lang w:val="fr-FR"/>
        </w:rPr>
        <w:t xml:space="preserve">. </w:t>
      </w:r>
      <w:r w:rsidR="00F11782" w:rsidRPr="00D25EF3">
        <w:rPr>
          <w:lang w:val="fr-FR"/>
        </w:rPr>
        <w:t xml:space="preserve"> </w:t>
      </w:r>
      <w:r w:rsidRPr="00D25EF3">
        <w:rPr>
          <w:lang w:val="fr-FR"/>
        </w:rPr>
        <w:t>L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Office indien des brevets, sur la base de ses récentes expériences, espère que les préoccupations qui empêchent </w:t>
      </w:r>
      <w:r w:rsidR="00811F98">
        <w:rPr>
          <w:lang w:val="fr-FR"/>
        </w:rPr>
        <w:t>l</w:t>
      </w:r>
      <w:r w:rsidR="00811F98" w:rsidRPr="00D25EF3">
        <w:rPr>
          <w:lang w:val="fr-FR"/>
        </w:rPr>
        <w:t xml:space="preserve">es éditeurs </w:t>
      </w:r>
      <w:r w:rsidRPr="00D25EF3">
        <w:rPr>
          <w:lang w:val="fr-FR"/>
        </w:rPr>
        <w:t>de fournir des données dans un format déterminé pourront aussi être traitées dans le cadre d</w:t>
      </w:r>
      <w:r w:rsidR="00D25EF3">
        <w:rPr>
          <w:lang w:val="fr-FR"/>
        </w:rPr>
        <w:t>’</w:t>
      </w:r>
      <w:r w:rsidRPr="00D25EF3">
        <w:rPr>
          <w:lang w:val="fr-FR"/>
        </w:rPr>
        <w:t>une action collective.</w:t>
      </w:r>
    </w:p>
    <w:p w:rsidR="00123DD4" w:rsidRPr="00D25EF3" w:rsidRDefault="00A233AD" w:rsidP="00A233AD">
      <w:pPr>
        <w:pStyle w:val="Heading1"/>
        <w:rPr>
          <w:lang w:val="fr-FR"/>
        </w:rPr>
      </w:pPr>
      <w:r w:rsidRPr="00D25EF3">
        <w:rPr>
          <w:lang w:val="fr-FR"/>
        </w:rPr>
        <w:t>Proposition soumise au Groupe de travail du PCT</w:t>
      </w:r>
    </w:p>
    <w:p w:rsidR="00123DD4" w:rsidRPr="00D25EF3" w:rsidRDefault="00B03CF9" w:rsidP="00A233AD">
      <w:pPr>
        <w:pStyle w:val="ONUMFS"/>
        <w:rPr>
          <w:lang w:val="fr-FR"/>
        </w:rPr>
      </w:pPr>
      <w:r w:rsidRPr="00D25EF3">
        <w:rPr>
          <w:lang w:val="fr-FR"/>
        </w:rPr>
        <w:t>Puisque les administrations et les offices nationaux peuvent avoir des exigences d</w:t>
      </w:r>
      <w:r w:rsidR="00811F98">
        <w:rPr>
          <w:lang w:val="fr-FR"/>
        </w:rPr>
        <w:t>ifférentes, il est proposé que l</w:t>
      </w:r>
      <w:r w:rsidRPr="00D25EF3">
        <w:rPr>
          <w:lang w:val="fr-FR"/>
        </w:rPr>
        <w:t>e groupe de travail recommande à l</w:t>
      </w:r>
      <w:r w:rsidR="00D25EF3">
        <w:rPr>
          <w:lang w:val="fr-FR"/>
        </w:rPr>
        <w:t>’</w:t>
      </w:r>
      <w:r w:rsidRPr="00D25EF3">
        <w:rPr>
          <w:lang w:val="fr-FR"/>
        </w:rPr>
        <w:t>Assemblée de l</w:t>
      </w:r>
      <w:r w:rsidR="00D25EF3">
        <w:rPr>
          <w:lang w:val="fr-FR"/>
        </w:rPr>
        <w:t>’</w:t>
      </w:r>
      <w:r w:rsidRPr="00D25EF3">
        <w:rPr>
          <w:lang w:val="fr-FR"/>
        </w:rPr>
        <w:t>Union</w:t>
      </w:r>
      <w:r w:rsidR="00D25EF3" w:rsidRPr="00D25EF3">
        <w:rPr>
          <w:lang w:val="fr-FR"/>
        </w:rPr>
        <w:t xml:space="preserve"> du</w:t>
      </w:r>
      <w:r w:rsidR="00D25EF3">
        <w:rPr>
          <w:lang w:val="fr-FR"/>
        </w:rPr>
        <w:t> </w:t>
      </w:r>
      <w:r w:rsidR="00D25EF3" w:rsidRPr="00D25EF3">
        <w:rPr>
          <w:lang w:val="fr-FR"/>
        </w:rPr>
        <w:t>PCT</w:t>
      </w:r>
      <w:r w:rsidRPr="00D25EF3">
        <w:rPr>
          <w:lang w:val="fr-FR"/>
        </w:rPr>
        <w:t xml:space="preserve"> que le Comité de coopération technique étudie la question, s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il y a lieu en liaison avec la Réunion des administrations internationales, compte tenu des besoins des administrations et des offices ainsi que des limites </w:t>
      </w:r>
      <w:r w:rsidR="00811F98">
        <w:rPr>
          <w:lang w:val="fr-FR"/>
        </w:rPr>
        <w:t>rencontrées par l</w:t>
      </w:r>
      <w:r w:rsidRPr="00D25EF3">
        <w:rPr>
          <w:lang w:val="fr-FR"/>
        </w:rPr>
        <w:t>es éditeurs</w:t>
      </w:r>
      <w:r w:rsidR="006B2DED">
        <w:rPr>
          <w:lang w:val="fr-FR"/>
        </w:rPr>
        <w:t>,</w:t>
      </w:r>
      <w:r w:rsidR="00811F98">
        <w:rPr>
          <w:lang w:val="fr-FR"/>
        </w:rPr>
        <w:t xml:space="preserve"> lors des</w:t>
      </w:r>
      <w:r w:rsidRPr="00D25EF3">
        <w:rPr>
          <w:lang w:val="fr-FR"/>
        </w:rPr>
        <w:t xml:space="preserve"> prochaines sessions, et qu</w:t>
      </w:r>
      <w:r w:rsidR="00D25EF3">
        <w:rPr>
          <w:lang w:val="fr-FR"/>
        </w:rPr>
        <w:t>’</w:t>
      </w:r>
      <w:r w:rsidRPr="00D25EF3">
        <w:rPr>
          <w:lang w:val="fr-FR"/>
        </w:rPr>
        <w:t xml:space="preserve">il fasse des propositions qui seront examinées par le groupe de travail </w:t>
      </w:r>
      <w:r w:rsidR="00123DD4" w:rsidRPr="00D25EF3">
        <w:rPr>
          <w:lang w:val="fr-FR"/>
        </w:rPr>
        <w:t>lors de</w:t>
      </w:r>
      <w:r w:rsidRPr="00D25EF3">
        <w:rPr>
          <w:lang w:val="fr-FR"/>
        </w:rPr>
        <w:t xml:space="preserve"> s</w:t>
      </w:r>
      <w:r w:rsidR="00123DD4" w:rsidRPr="00D25EF3">
        <w:rPr>
          <w:lang w:val="fr-FR"/>
        </w:rPr>
        <w:t>es</w:t>
      </w:r>
      <w:r w:rsidRPr="00D25EF3">
        <w:rPr>
          <w:lang w:val="fr-FR"/>
        </w:rPr>
        <w:t xml:space="preserve"> prochaine</w:t>
      </w:r>
      <w:r w:rsidR="00123DD4" w:rsidRPr="00D25EF3">
        <w:rPr>
          <w:lang w:val="fr-FR"/>
        </w:rPr>
        <w:t>s</w:t>
      </w:r>
      <w:r w:rsidRPr="00D25EF3">
        <w:rPr>
          <w:lang w:val="fr-FR"/>
        </w:rPr>
        <w:t xml:space="preserve"> session</w:t>
      </w:r>
      <w:r w:rsidR="00123DD4" w:rsidRPr="00D25EF3">
        <w:rPr>
          <w:lang w:val="fr-FR"/>
        </w:rPr>
        <w:t>s,</w:t>
      </w:r>
      <w:r w:rsidRPr="00D25EF3">
        <w:rPr>
          <w:lang w:val="fr-FR"/>
        </w:rPr>
        <w:t xml:space="preserve"> au sujet des formats standard dans lesquels un éditeur devrait </w:t>
      </w:r>
      <w:r w:rsidR="00811F98">
        <w:rPr>
          <w:lang w:val="fr-FR"/>
        </w:rPr>
        <w:t>être disposé à</w:t>
      </w:r>
      <w:r w:rsidRPr="00D25EF3">
        <w:rPr>
          <w:lang w:val="fr-FR"/>
        </w:rPr>
        <w:t xml:space="preserve"> fournir des données aux administrations internationales ou aux offices nationaux, avant qu</w:t>
      </w:r>
      <w:r w:rsidR="00D25EF3">
        <w:rPr>
          <w:lang w:val="fr-FR"/>
        </w:rPr>
        <w:t>’</w:t>
      </w:r>
      <w:r w:rsidRPr="00D25EF3">
        <w:rPr>
          <w:lang w:val="fr-FR"/>
        </w:rPr>
        <w:t>il puisse être envisagé d</w:t>
      </w:r>
      <w:r w:rsidR="00D25EF3">
        <w:rPr>
          <w:lang w:val="fr-FR"/>
        </w:rPr>
        <w:t>’</w:t>
      </w:r>
      <w:r w:rsidRPr="00D25EF3">
        <w:rPr>
          <w:lang w:val="fr-FR"/>
        </w:rPr>
        <w:t>inclure un titre dans la documentation minimale</w:t>
      </w:r>
      <w:r w:rsidR="00D25EF3" w:rsidRPr="00D25EF3">
        <w:rPr>
          <w:lang w:val="fr-FR"/>
        </w:rPr>
        <w:t xml:space="preserve"> du</w:t>
      </w:r>
      <w:r w:rsidR="00D25EF3">
        <w:rPr>
          <w:lang w:val="fr-FR"/>
        </w:rPr>
        <w:t> </w:t>
      </w:r>
      <w:r w:rsidR="00D25EF3" w:rsidRPr="00D25EF3">
        <w:rPr>
          <w:lang w:val="fr-FR"/>
        </w:rPr>
        <w:t>PCT</w:t>
      </w:r>
      <w:r w:rsidRPr="00D25EF3">
        <w:rPr>
          <w:lang w:val="fr-FR"/>
        </w:rPr>
        <w:t xml:space="preserve">. </w:t>
      </w:r>
      <w:r w:rsidR="00862CF6" w:rsidRPr="00D25EF3">
        <w:rPr>
          <w:lang w:val="fr-FR"/>
        </w:rPr>
        <w:t xml:space="preserve"> </w:t>
      </w:r>
      <w:r w:rsidR="00FD20BC" w:rsidRPr="00D25EF3">
        <w:rPr>
          <w:lang w:val="fr-FR"/>
        </w:rPr>
        <w:t>Par</w:t>
      </w:r>
      <w:r w:rsidR="00276E2E">
        <w:rPr>
          <w:lang w:val="fr-FR"/>
        </w:rPr>
        <w:t> </w:t>
      </w:r>
      <w:r w:rsidR="00FD20BC" w:rsidRPr="00D25EF3">
        <w:rPr>
          <w:lang w:val="fr-FR"/>
        </w:rPr>
        <w:t>ailleurs, les éditeurs souhaitant fournir des données aux formats proposés peuvent être recensés par le comité.</w:t>
      </w:r>
      <w:r w:rsidR="00862CF6" w:rsidRPr="00D25EF3">
        <w:rPr>
          <w:lang w:val="fr-FR"/>
        </w:rPr>
        <w:t xml:space="preserve">  </w:t>
      </w:r>
      <w:r w:rsidR="00FD20BC" w:rsidRPr="00D25EF3">
        <w:rPr>
          <w:lang w:val="fr-FR"/>
        </w:rPr>
        <w:t>Un certain niveau de normalisation permettra aux administrations internationales et aux offices nationaux d</w:t>
      </w:r>
      <w:r w:rsidR="00D25EF3">
        <w:rPr>
          <w:lang w:val="fr-FR"/>
        </w:rPr>
        <w:t>’</w:t>
      </w:r>
      <w:r w:rsidR="00FD20BC" w:rsidRPr="00D25EF3">
        <w:rPr>
          <w:lang w:val="fr-FR"/>
        </w:rPr>
        <w:t>investir en conséquence dans leurs systèmes électroniques et contribuera en outre à améliorer la qualité de l</w:t>
      </w:r>
      <w:r w:rsidR="00D25EF3">
        <w:rPr>
          <w:lang w:val="fr-FR"/>
        </w:rPr>
        <w:t>’</w:t>
      </w:r>
      <w:r w:rsidR="00FD20BC" w:rsidRPr="00D25EF3">
        <w:rPr>
          <w:lang w:val="fr-FR"/>
        </w:rPr>
        <w:t>examen.</w:t>
      </w:r>
    </w:p>
    <w:p w:rsidR="00123DD4" w:rsidRPr="00D25EF3" w:rsidRDefault="00FD20BC" w:rsidP="00A233AD">
      <w:pPr>
        <w:pStyle w:val="ONUMFS"/>
        <w:rPr>
          <w:lang w:val="fr-FR"/>
        </w:rPr>
      </w:pPr>
      <w:r w:rsidRPr="00D25EF3">
        <w:rPr>
          <w:lang w:val="fr-FR"/>
        </w:rPr>
        <w:t>À titre subsidiaire, la question pourrait être soumise à l</w:t>
      </w:r>
      <w:r w:rsidR="00D25EF3">
        <w:rPr>
          <w:lang w:val="fr-FR"/>
        </w:rPr>
        <w:t>’</w:t>
      </w:r>
      <w:r w:rsidRPr="00D25EF3">
        <w:rPr>
          <w:lang w:val="fr-FR"/>
        </w:rPr>
        <w:t>équipe d</w:t>
      </w:r>
      <w:r w:rsidR="00D25EF3">
        <w:rPr>
          <w:lang w:val="fr-FR"/>
        </w:rPr>
        <w:t>’</w:t>
      </w:r>
      <w:r w:rsidRPr="00D25EF3">
        <w:rPr>
          <w:lang w:val="fr-FR"/>
        </w:rPr>
        <w:t>experts créée pour élaborer un projet détaillé de toutes les spécifications techniques relatives à la proposition de modification de la règle 34 du règlement d</w:t>
      </w:r>
      <w:r w:rsidR="00D25EF3">
        <w:rPr>
          <w:lang w:val="fr-FR"/>
        </w:rPr>
        <w:t>’</w:t>
      </w:r>
      <w:r w:rsidRPr="00D25EF3">
        <w:rPr>
          <w:lang w:val="fr-FR"/>
        </w:rPr>
        <w:t>exécution du PCT.</w:t>
      </w:r>
    </w:p>
    <w:p w:rsidR="00123DD4" w:rsidRPr="00811F98" w:rsidRDefault="00FD20BC" w:rsidP="00811F98">
      <w:pPr>
        <w:pStyle w:val="ONUMFS"/>
        <w:ind w:left="5534"/>
        <w:rPr>
          <w:i/>
          <w:lang w:val="fr-FR"/>
        </w:rPr>
      </w:pPr>
      <w:r w:rsidRPr="00811F98">
        <w:rPr>
          <w:i/>
          <w:lang w:val="fr-FR"/>
        </w:rPr>
        <w:t>Le Groupe de travail du PCT est donc invité à prendre note du</w:t>
      </w:r>
      <w:r w:rsidR="00911339">
        <w:rPr>
          <w:i/>
          <w:lang w:val="fr-FR"/>
        </w:rPr>
        <w:t> </w:t>
      </w:r>
      <w:r w:rsidRPr="00811F98">
        <w:rPr>
          <w:i/>
          <w:lang w:val="fr-FR"/>
        </w:rPr>
        <w:t>contenu du présent document et à</w:t>
      </w:r>
      <w:r w:rsidR="00911339">
        <w:rPr>
          <w:i/>
          <w:lang w:val="fr-FR"/>
        </w:rPr>
        <w:t> </w:t>
      </w:r>
      <w:r w:rsidRPr="00811F98">
        <w:rPr>
          <w:i/>
          <w:lang w:val="fr-FR"/>
        </w:rPr>
        <w:t>examiner les recommandations proposées aux paragraphes</w:t>
      </w:r>
      <w:r w:rsidR="00900FBF" w:rsidRPr="00811F98">
        <w:rPr>
          <w:i/>
          <w:lang w:val="fr-FR"/>
        </w:rPr>
        <w:t> </w:t>
      </w:r>
      <w:r w:rsidR="000C1B6D">
        <w:rPr>
          <w:i/>
          <w:lang w:val="fr-FR"/>
        </w:rPr>
        <w:t>9</w:t>
      </w:r>
      <w:r w:rsidR="00A233AD" w:rsidRPr="00811F98">
        <w:rPr>
          <w:i/>
          <w:lang w:val="fr-FR"/>
        </w:rPr>
        <w:t xml:space="preserve"> et </w:t>
      </w:r>
      <w:r w:rsidRPr="00811F98">
        <w:rPr>
          <w:i/>
          <w:lang w:val="fr-FR"/>
        </w:rPr>
        <w:t>1</w:t>
      </w:r>
      <w:r w:rsidR="000C1B6D">
        <w:rPr>
          <w:i/>
          <w:lang w:val="fr-FR"/>
        </w:rPr>
        <w:t>0</w:t>
      </w:r>
      <w:r w:rsidRPr="00811F98">
        <w:rPr>
          <w:i/>
          <w:lang w:val="fr-FR"/>
        </w:rPr>
        <w:t xml:space="preserve"> ci</w:t>
      </w:r>
      <w:r w:rsidR="00A233AD" w:rsidRPr="00811F98">
        <w:rPr>
          <w:i/>
          <w:lang w:val="fr-FR"/>
        </w:rPr>
        <w:noBreakHyphen/>
      </w:r>
      <w:r w:rsidRPr="00811F98">
        <w:rPr>
          <w:i/>
          <w:lang w:val="fr-FR"/>
        </w:rPr>
        <w:t>dessus.</w:t>
      </w:r>
    </w:p>
    <w:p w:rsidR="00123DD4" w:rsidRDefault="00123DD4" w:rsidP="00F11782">
      <w:pPr>
        <w:rPr>
          <w:lang w:val="fr-FR"/>
        </w:rPr>
      </w:pPr>
    </w:p>
    <w:p w:rsidR="00123DD4" w:rsidRPr="007C44CD" w:rsidRDefault="00FD20BC" w:rsidP="007C44CD">
      <w:pPr>
        <w:pStyle w:val="Endofdocument-Annex"/>
      </w:pPr>
      <w:r w:rsidRPr="007C44CD">
        <w:t>[Fin du</w:t>
      </w:r>
      <w:bookmarkStart w:id="4" w:name="_GoBack"/>
      <w:bookmarkEnd w:id="4"/>
      <w:r w:rsidRPr="007C44CD">
        <w:t xml:space="preserve"> document]</w:t>
      </w:r>
    </w:p>
    <w:sectPr w:rsidR="00123DD4" w:rsidRPr="007C44CD" w:rsidSect="00D25EF3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82" w:rsidRDefault="00F11782">
      <w:r>
        <w:separator/>
      </w:r>
    </w:p>
  </w:endnote>
  <w:endnote w:type="continuationSeparator" w:id="0">
    <w:p w:rsidR="00F11782" w:rsidRDefault="00F11782" w:rsidP="003B38C1">
      <w:r>
        <w:separator/>
      </w:r>
    </w:p>
    <w:p w:rsidR="00F11782" w:rsidRPr="003B38C1" w:rsidRDefault="00F117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1782" w:rsidRPr="003B38C1" w:rsidRDefault="00F117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EF3" w:rsidRDefault="00D25EF3" w:rsidP="00D25EF3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82" w:rsidRDefault="00F11782">
      <w:r>
        <w:separator/>
      </w:r>
    </w:p>
  </w:footnote>
  <w:footnote w:type="continuationSeparator" w:id="0">
    <w:p w:rsidR="00F11782" w:rsidRDefault="00F11782" w:rsidP="008B60B2">
      <w:r>
        <w:separator/>
      </w:r>
    </w:p>
    <w:p w:rsidR="00F11782" w:rsidRPr="00ED77FB" w:rsidRDefault="00F117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1782" w:rsidRPr="00ED77FB" w:rsidRDefault="00F117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1782" w:rsidP="00477D6B">
    <w:pPr>
      <w:jc w:val="right"/>
    </w:pPr>
    <w:bookmarkStart w:id="5" w:name="Code2"/>
    <w:bookmarkEnd w:id="5"/>
    <w:r>
      <w:t>PCT/WG/7/28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C44C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35E519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6F6AB8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"/>
    <w:docVar w:name="TermBaseURL" w:val="empty"/>
    <w:docVar w:name="TextBases" w:val="Patents\Meetings|Patents\Other|Patents\Publications|IP in General\Academy|IP in General\Arbitration and Mediation|IP in General\Meetings|IP in General\Other|IP in General\Press Room|IP in General\Publications|Administrative\Meetings|Administrative\Other|Administrative\Publications|Glossaries\EN-FR"/>
    <w:docVar w:name="TextBaseURL" w:val="empty"/>
    <w:docVar w:name="UILng" w:val="en"/>
  </w:docVars>
  <w:rsids>
    <w:rsidRoot w:val="00F11782"/>
    <w:rsid w:val="00043CAA"/>
    <w:rsid w:val="0005099A"/>
    <w:rsid w:val="00070FE7"/>
    <w:rsid w:val="00075432"/>
    <w:rsid w:val="000968ED"/>
    <w:rsid w:val="000C1B6D"/>
    <w:rsid w:val="000F5E56"/>
    <w:rsid w:val="00123DD4"/>
    <w:rsid w:val="001362EE"/>
    <w:rsid w:val="001832A6"/>
    <w:rsid w:val="0019034A"/>
    <w:rsid w:val="00242E6A"/>
    <w:rsid w:val="002634C4"/>
    <w:rsid w:val="00276E2E"/>
    <w:rsid w:val="002928D3"/>
    <w:rsid w:val="002F1FE6"/>
    <w:rsid w:val="002F4E68"/>
    <w:rsid w:val="00312F7F"/>
    <w:rsid w:val="00361450"/>
    <w:rsid w:val="003673CF"/>
    <w:rsid w:val="003845C1"/>
    <w:rsid w:val="003A6F89"/>
    <w:rsid w:val="003B0A3A"/>
    <w:rsid w:val="003B38C1"/>
    <w:rsid w:val="003C699E"/>
    <w:rsid w:val="004226D7"/>
    <w:rsid w:val="00423E3E"/>
    <w:rsid w:val="00427AF4"/>
    <w:rsid w:val="004446F8"/>
    <w:rsid w:val="004647DA"/>
    <w:rsid w:val="00474062"/>
    <w:rsid w:val="00477D6B"/>
    <w:rsid w:val="004E3614"/>
    <w:rsid w:val="005019FF"/>
    <w:rsid w:val="0053057A"/>
    <w:rsid w:val="00530AB6"/>
    <w:rsid w:val="00560A29"/>
    <w:rsid w:val="005C6649"/>
    <w:rsid w:val="00605827"/>
    <w:rsid w:val="00636BA8"/>
    <w:rsid w:val="00646050"/>
    <w:rsid w:val="006713CA"/>
    <w:rsid w:val="00673F15"/>
    <w:rsid w:val="00676C5C"/>
    <w:rsid w:val="006B2DED"/>
    <w:rsid w:val="00774FCB"/>
    <w:rsid w:val="007C44CD"/>
    <w:rsid w:val="007D1613"/>
    <w:rsid w:val="00811F98"/>
    <w:rsid w:val="00862CF6"/>
    <w:rsid w:val="008B2CC1"/>
    <w:rsid w:val="008B60B2"/>
    <w:rsid w:val="00900FBF"/>
    <w:rsid w:val="0090731E"/>
    <w:rsid w:val="00911339"/>
    <w:rsid w:val="00916EE2"/>
    <w:rsid w:val="00940860"/>
    <w:rsid w:val="00966A22"/>
    <w:rsid w:val="0096722F"/>
    <w:rsid w:val="00980843"/>
    <w:rsid w:val="00981C73"/>
    <w:rsid w:val="009A0969"/>
    <w:rsid w:val="009E2791"/>
    <w:rsid w:val="009E3F6F"/>
    <w:rsid w:val="009F499F"/>
    <w:rsid w:val="00A233AD"/>
    <w:rsid w:val="00A23518"/>
    <w:rsid w:val="00A42DAF"/>
    <w:rsid w:val="00A45BD8"/>
    <w:rsid w:val="00A869B7"/>
    <w:rsid w:val="00AA5AD8"/>
    <w:rsid w:val="00AC205C"/>
    <w:rsid w:val="00AF0A6B"/>
    <w:rsid w:val="00B03CF9"/>
    <w:rsid w:val="00B05A69"/>
    <w:rsid w:val="00B9734B"/>
    <w:rsid w:val="00BC3E2B"/>
    <w:rsid w:val="00C11BFE"/>
    <w:rsid w:val="00C17C8A"/>
    <w:rsid w:val="00C95DF1"/>
    <w:rsid w:val="00D25EF3"/>
    <w:rsid w:val="00D45252"/>
    <w:rsid w:val="00D71B4D"/>
    <w:rsid w:val="00D92E25"/>
    <w:rsid w:val="00D93D55"/>
    <w:rsid w:val="00DB7AFB"/>
    <w:rsid w:val="00DF44E7"/>
    <w:rsid w:val="00E335FE"/>
    <w:rsid w:val="00E65F70"/>
    <w:rsid w:val="00E72991"/>
    <w:rsid w:val="00E979D1"/>
    <w:rsid w:val="00EC27A5"/>
    <w:rsid w:val="00EC4E49"/>
    <w:rsid w:val="00ED77FB"/>
    <w:rsid w:val="00EE45FA"/>
    <w:rsid w:val="00F00207"/>
    <w:rsid w:val="00F11782"/>
    <w:rsid w:val="00F41AEB"/>
    <w:rsid w:val="00F66152"/>
    <w:rsid w:val="00F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62CF6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23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62CF6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23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AC77-4FE5-41CA-98F5-98735D02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3</TotalTime>
  <Pages>3</Pages>
  <Words>1414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PCT/WG/7/28</vt:lpstr>
      <vt:lpstr>PCT/WG/7/28</vt:lpstr>
    </vt:vector>
  </TitlesOfParts>
  <Company>WIPO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PCT/WG/7/28</dc:title>
  <dc:subject>Non-Patent Literature under the PCT Minimum Documentation</dc:subject>
  <dc:creator>TOMLINSON Nathalie</dc:creator>
  <cp:keywords>NGG/sc</cp:keywords>
  <cp:lastModifiedBy>MARLOW Thomas</cp:lastModifiedBy>
  <cp:revision>3</cp:revision>
  <cp:lastPrinted>2014-06-04T14:26:00Z</cp:lastPrinted>
  <dcterms:created xsi:type="dcterms:W3CDTF">2014-06-04T14:25:00Z</dcterms:created>
  <dcterms:modified xsi:type="dcterms:W3CDTF">2014-06-04T14:27:00Z</dcterms:modified>
</cp:coreProperties>
</file>