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F1AB0" w:rsidRPr="00CF1AB0" w:rsidTr="0042246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F1AB0" w:rsidRPr="00CF1AB0" w:rsidRDefault="00CF1AB0" w:rsidP="00773E18">
            <w:pPr>
              <w:pStyle w:val="ONUME"/>
              <w:numPr>
                <w:ilvl w:val="0"/>
                <w:numId w:val="0"/>
              </w:num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1AB0" w:rsidRPr="00CF1AB0" w:rsidRDefault="00CF1AB0" w:rsidP="00773E18">
            <w:pPr>
              <w:rPr>
                <w:lang w:val="fr-FR"/>
              </w:rPr>
            </w:pPr>
            <w:r w:rsidRPr="00CF1AB0">
              <w:rPr>
                <w:noProof/>
                <w:lang w:eastAsia="en-US"/>
              </w:rPr>
              <w:drawing>
                <wp:inline distT="0" distB="0" distL="0" distR="0" wp14:anchorId="2C9DC617" wp14:editId="3BC52C8F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F1AB0" w:rsidRPr="00CF1AB0" w:rsidRDefault="00CF1AB0" w:rsidP="00773E18">
            <w:pPr>
              <w:jc w:val="right"/>
              <w:rPr>
                <w:lang w:val="fr-FR"/>
              </w:rPr>
            </w:pPr>
            <w:r w:rsidRPr="00CF1AB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F1AB0" w:rsidRPr="00CF1AB0" w:rsidTr="00773E1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F1AB0" w:rsidRPr="00CF1AB0" w:rsidRDefault="00CF1AB0" w:rsidP="00CF1A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1AB0">
              <w:rPr>
                <w:rFonts w:ascii="Arial Black" w:hAnsi="Arial Black"/>
                <w:caps/>
                <w:sz w:val="15"/>
                <w:lang w:val="fr-FR"/>
              </w:rPr>
              <w:t>PCT/WG/7/</w:t>
            </w:r>
            <w:bookmarkStart w:id="0" w:name="Code"/>
            <w:bookmarkEnd w:id="0"/>
            <w:r w:rsidRPr="00CF1AB0">
              <w:rPr>
                <w:rFonts w:ascii="Arial Black" w:hAnsi="Arial Black"/>
                <w:caps/>
                <w:sz w:val="15"/>
                <w:lang w:val="fr-FR"/>
              </w:rPr>
              <w:t xml:space="preserve">8 </w:t>
            </w:r>
          </w:p>
        </w:tc>
      </w:tr>
      <w:tr w:rsidR="00CF1AB0" w:rsidRPr="00CF1AB0" w:rsidTr="00773E1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F1AB0" w:rsidRPr="00CF1AB0" w:rsidRDefault="00CF1AB0" w:rsidP="00773E1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1AB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B745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1AB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CF1AB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F1AB0" w:rsidRPr="00CF1AB0" w:rsidTr="00773E1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F1AB0" w:rsidRPr="00CF1AB0" w:rsidRDefault="00CF1AB0" w:rsidP="00CF1AB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1AB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B745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1AB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CF1AB0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1AB0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F1AB0">
              <w:rPr>
                <w:rFonts w:ascii="Arial Black" w:hAnsi="Arial Black"/>
                <w:caps/>
                <w:sz w:val="15"/>
                <w:lang w:val="fr-FR"/>
              </w:rPr>
              <w:t>2014</w:t>
            </w:r>
          </w:p>
        </w:tc>
      </w:tr>
    </w:tbl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b/>
          <w:sz w:val="28"/>
          <w:szCs w:val="28"/>
          <w:lang w:val="fr-FR"/>
        </w:rPr>
      </w:pPr>
      <w:r w:rsidRPr="00CF1AB0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lang w:val="fr-FR"/>
        </w:rPr>
      </w:pPr>
    </w:p>
    <w:p w:rsidR="00CF1AB0" w:rsidRPr="00CF1AB0" w:rsidRDefault="00CF1AB0" w:rsidP="00CF1AB0">
      <w:pPr>
        <w:rPr>
          <w:b/>
          <w:sz w:val="24"/>
          <w:szCs w:val="24"/>
          <w:lang w:val="fr-FR"/>
        </w:rPr>
      </w:pPr>
      <w:r w:rsidRPr="00CF1AB0">
        <w:rPr>
          <w:b/>
          <w:sz w:val="24"/>
          <w:szCs w:val="24"/>
          <w:lang w:val="fr-FR"/>
        </w:rPr>
        <w:t>Septième</w:t>
      </w:r>
      <w:r w:rsidR="00DB745C">
        <w:rPr>
          <w:b/>
          <w:sz w:val="24"/>
          <w:szCs w:val="24"/>
          <w:lang w:val="fr-FR"/>
        </w:rPr>
        <w:t> </w:t>
      </w:r>
      <w:r w:rsidRPr="00CF1AB0">
        <w:rPr>
          <w:b/>
          <w:sz w:val="24"/>
          <w:szCs w:val="24"/>
          <w:lang w:val="fr-FR"/>
        </w:rPr>
        <w:t>session</w:t>
      </w:r>
    </w:p>
    <w:p w:rsidR="00CF1AB0" w:rsidRPr="00CF1AB0" w:rsidRDefault="00CF1AB0" w:rsidP="00CF1AB0">
      <w:pPr>
        <w:rPr>
          <w:b/>
          <w:sz w:val="24"/>
          <w:szCs w:val="24"/>
          <w:lang w:val="fr-FR"/>
        </w:rPr>
      </w:pPr>
      <w:r w:rsidRPr="00CF1AB0">
        <w:rPr>
          <w:b/>
          <w:sz w:val="24"/>
          <w:szCs w:val="24"/>
          <w:lang w:val="fr-FR"/>
        </w:rPr>
        <w:t>Genève, 10 – 13</w:t>
      </w:r>
      <w:r>
        <w:rPr>
          <w:b/>
          <w:sz w:val="24"/>
          <w:szCs w:val="24"/>
          <w:lang w:val="fr-FR"/>
        </w:rPr>
        <w:t> </w:t>
      </w:r>
      <w:r w:rsidRPr="00CF1AB0">
        <w:rPr>
          <w:b/>
          <w:sz w:val="24"/>
          <w:szCs w:val="24"/>
          <w:lang w:val="fr-FR"/>
        </w:rPr>
        <w:t>juin</w:t>
      </w:r>
      <w:r>
        <w:rPr>
          <w:b/>
          <w:sz w:val="24"/>
          <w:szCs w:val="24"/>
          <w:lang w:val="fr-FR"/>
        </w:rPr>
        <w:t> </w:t>
      </w:r>
      <w:r w:rsidRPr="00CF1AB0">
        <w:rPr>
          <w:b/>
          <w:sz w:val="24"/>
          <w:szCs w:val="24"/>
          <w:lang w:val="fr-FR"/>
        </w:rPr>
        <w:t>2014</w:t>
      </w:r>
    </w:p>
    <w:p w:rsidR="003F47DC" w:rsidRPr="00233C0A" w:rsidRDefault="003F47DC" w:rsidP="008B2CC1">
      <w:pPr>
        <w:rPr>
          <w:lang w:val="fr-FR"/>
        </w:rPr>
      </w:pPr>
    </w:p>
    <w:p w:rsidR="003F47DC" w:rsidRPr="00233C0A" w:rsidRDefault="003F47DC" w:rsidP="008B2CC1">
      <w:pPr>
        <w:rPr>
          <w:lang w:val="fr-FR"/>
        </w:rPr>
      </w:pPr>
    </w:p>
    <w:p w:rsidR="003F47DC" w:rsidRPr="00233C0A" w:rsidRDefault="003F47DC" w:rsidP="008B2CC1">
      <w:pPr>
        <w:rPr>
          <w:lang w:val="fr-FR"/>
        </w:rPr>
      </w:pPr>
    </w:p>
    <w:p w:rsidR="003F47DC" w:rsidRPr="00CF1AB0" w:rsidRDefault="009257D4" w:rsidP="008B2CC1">
      <w:pPr>
        <w:rPr>
          <w:caps/>
          <w:sz w:val="24"/>
          <w:lang w:val="fr-CH"/>
        </w:rPr>
      </w:pPr>
      <w:bookmarkStart w:id="3" w:name="TitleOfDoc"/>
      <w:bookmarkEnd w:id="3"/>
      <w:proofErr w:type="spellStart"/>
      <w:proofErr w:type="gramStart"/>
      <w:r w:rsidRPr="00CF1AB0">
        <w:rPr>
          <w:sz w:val="24"/>
          <w:lang w:val="fr-CH"/>
        </w:rPr>
        <w:t>e</w:t>
      </w:r>
      <w:r w:rsidRPr="00CF1AB0">
        <w:rPr>
          <w:caps/>
          <w:sz w:val="24"/>
          <w:lang w:val="fr-CH"/>
        </w:rPr>
        <w:t>SearchCopy</w:t>
      </w:r>
      <w:proofErr w:type="spellEnd"/>
      <w:proofErr w:type="gramEnd"/>
    </w:p>
    <w:p w:rsidR="003F47DC" w:rsidRPr="00CF1AB0" w:rsidRDefault="003F47DC" w:rsidP="008B2CC1">
      <w:pPr>
        <w:rPr>
          <w:lang w:val="fr-CH"/>
        </w:rPr>
      </w:pPr>
    </w:p>
    <w:p w:rsidR="003F47DC" w:rsidRPr="00CF1AB0" w:rsidRDefault="0086727B" w:rsidP="0086727B">
      <w:pPr>
        <w:rPr>
          <w:i/>
          <w:lang w:val="fr-CH"/>
        </w:rPr>
      </w:pPr>
      <w:bookmarkStart w:id="4" w:name="Prepared"/>
      <w:bookmarkEnd w:id="4"/>
      <w:r w:rsidRPr="00CF1AB0">
        <w:rPr>
          <w:i/>
          <w:lang w:val="fr-CH"/>
        </w:rPr>
        <w:t>Document établi par le Bureau international</w:t>
      </w:r>
    </w:p>
    <w:p w:rsidR="003F47DC" w:rsidRPr="00CF1AB0" w:rsidRDefault="003F47DC">
      <w:pPr>
        <w:rPr>
          <w:lang w:val="fr-CH"/>
        </w:rPr>
      </w:pPr>
    </w:p>
    <w:p w:rsidR="003F47DC" w:rsidRDefault="003F47DC">
      <w:pPr>
        <w:rPr>
          <w:lang w:val="fr-CH"/>
        </w:rPr>
      </w:pPr>
    </w:p>
    <w:p w:rsidR="00422461" w:rsidRPr="00CF1AB0" w:rsidRDefault="00422461">
      <w:pPr>
        <w:rPr>
          <w:lang w:val="fr-CH"/>
        </w:rPr>
      </w:pPr>
    </w:p>
    <w:p w:rsidR="003F47DC" w:rsidRPr="00CF1AB0" w:rsidRDefault="003F47DC">
      <w:pPr>
        <w:rPr>
          <w:lang w:val="fr-CH"/>
        </w:rPr>
      </w:pPr>
    </w:p>
    <w:p w:rsidR="003F47DC" w:rsidRPr="00CF1AB0" w:rsidRDefault="003F47DC" w:rsidP="00422461">
      <w:pPr>
        <w:rPr>
          <w:lang w:val="fr-CH"/>
        </w:rPr>
      </w:pPr>
    </w:p>
    <w:p w:rsidR="003F47DC" w:rsidRPr="00CF1AB0" w:rsidRDefault="005D22AE" w:rsidP="00422461">
      <w:pPr>
        <w:pStyle w:val="Heading1"/>
        <w:spacing w:before="0" w:after="0"/>
      </w:pPr>
      <w:bookmarkStart w:id="5" w:name="_Ref373924948"/>
      <w:r w:rsidRPr="00CF1AB0">
        <w:t>Concept</w:t>
      </w:r>
    </w:p>
    <w:p w:rsidR="003F47DC" w:rsidRPr="00CF1AB0" w:rsidRDefault="0086727B" w:rsidP="00422461">
      <w:pPr>
        <w:pStyle w:val="ONUMFS"/>
        <w:rPr>
          <w:lang w:val="fr-CH"/>
        </w:rPr>
      </w:pPr>
      <w:r w:rsidRPr="00CF1AB0">
        <w:rPr>
          <w:lang w:val="fr-CH"/>
        </w:rPr>
        <w:t xml:space="preserve">Le Bureau international </w:t>
      </w:r>
      <w:r w:rsidR="002A4791" w:rsidRPr="00CF1AB0">
        <w:rPr>
          <w:lang w:val="fr-CH"/>
        </w:rPr>
        <w:t>met</w:t>
      </w:r>
      <w:r w:rsidRPr="00CF1AB0">
        <w:rPr>
          <w:lang w:val="fr-CH"/>
        </w:rPr>
        <w:t xml:space="preserve"> au point un service </w:t>
      </w:r>
      <w:r w:rsidR="003E7906" w:rsidRPr="00CF1AB0">
        <w:rPr>
          <w:lang w:val="fr-CH"/>
        </w:rPr>
        <w:t>qui lui permettra d</w:t>
      </w:r>
      <w:r w:rsidR="00CF1AB0">
        <w:rPr>
          <w:lang w:val="fr-CH"/>
        </w:rPr>
        <w:t>’</w:t>
      </w:r>
      <w:r w:rsidR="003E7906" w:rsidRPr="00CF1AB0">
        <w:rPr>
          <w:lang w:val="fr-CH"/>
        </w:rPr>
        <w:t xml:space="preserve">établir </w:t>
      </w:r>
      <w:r w:rsidRPr="00CF1AB0">
        <w:rPr>
          <w:lang w:val="fr-CH"/>
        </w:rPr>
        <w:t>et de transm</w:t>
      </w:r>
      <w:r w:rsidR="003E7906" w:rsidRPr="00CF1AB0">
        <w:rPr>
          <w:lang w:val="fr-CH"/>
        </w:rPr>
        <w:t>ettre</w:t>
      </w:r>
      <w:r w:rsidRPr="00CF1AB0">
        <w:rPr>
          <w:lang w:val="fr-CH"/>
        </w:rPr>
        <w:t xml:space="preserve"> à l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administration chargée de la </w:t>
      </w:r>
      <w:r w:rsidRPr="00233C0A">
        <w:rPr>
          <w:lang w:val="fr-FR"/>
        </w:rPr>
        <w:t>recherche</w:t>
      </w:r>
      <w:r w:rsidRPr="00CF1AB0">
        <w:rPr>
          <w:lang w:val="fr-CH"/>
        </w:rPr>
        <w:t xml:space="preserve"> internationale</w:t>
      </w:r>
      <w:r w:rsidR="003E7906" w:rsidRPr="00CF1AB0">
        <w:rPr>
          <w:lang w:val="fr-CH"/>
        </w:rPr>
        <w:t xml:space="preserve"> des copies de recherche, par la voie électronique et au nom de l</w:t>
      </w:r>
      <w:r w:rsidR="00CF1AB0">
        <w:rPr>
          <w:lang w:val="fr-CH"/>
        </w:rPr>
        <w:t>’</w:t>
      </w:r>
      <w:r w:rsidR="003E7906" w:rsidRPr="00CF1AB0">
        <w:rPr>
          <w:lang w:val="fr-CH"/>
        </w:rPr>
        <w:t xml:space="preserve">office récepteur, </w:t>
      </w:r>
      <w:r w:rsidRPr="00CF1AB0">
        <w:rPr>
          <w:lang w:val="fr-CH"/>
        </w:rPr>
        <w:t xml:space="preserve">dans les cas convenus </w:t>
      </w:r>
      <w:r w:rsidR="003E7906" w:rsidRPr="00CF1AB0">
        <w:rPr>
          <w:lang w:val="fr-CH"/>
        </w:rPr>
        <w:t>entre</w:t>
      </w:r>
      <w:r w:rsidRPr="00CF1AB0">
        <w:rPr>
          <w:lang w:val="fr-CH"/>
        </w:rPr>
        <w:t xml:space="preserve"> l</w:t>
      </w:r>
      <w:r w:rsidR="00CF1AB0">
        <w:rPr>
          <w:lang w:val="fr-CH"/>
        </w:rPr>
        <w:t>’</w:t>
      </w:r>
      <w:r w:rsidRPr="00CF1AB0">
        <w:rPr>
          <w:lang w:val="fr-CH"/>
        </w:rPr>
        <w:t>office récepteur et l</w:t>
      </w:r>
      <w:r w:rsidR="00CF1AB0">
        <w:rPr>
          <w:lang w:val="fr-CH"/>
        </w:rPr>
        <w:t>’</w:t>
      </w:r>
      <w:r w:rsidRPr="00CF1AB0">
        <w:rPr>
          <w:lang w:val="fr-CH"/>
        </w:rPr>
        <w:t>administration chargée de la recherche internationale.</w:t>
      </w:r>
      <w:r w:rsidR="000B6389" w:rsidRPr="00CF1AB0">
        <w:rPr>
          <w:lang w:val="fr-CH"/>
        </w:rPr>
        <w:t xml:space="preserve"> </w:t>
      </w:r>
      <w:bookmarkEnd w:id="5"/>
      <w:r w:rsidR="00DB745C">
        <w:rPr>
          <w:lang w:val="fr-CH"/>
        </w:rPr>
        <w:t xml:space="preserve"> </w:t>
      </w:r>
      <w:r w:rsidRPr="00CF1AB0">
        <w:rPr>
          <w:lang w:val="fr-CH"/>
        </w:rPr>
        <w:t xml:space="preserve">Ce service fonctionnerait </w:t>
      </w:r>
      <w:r w:rsidR="00277B72" w:rsidRPr="00CF1AB0">
        <w:rPr>
          <w:lang w:val="fr-CH"/>
        </w:rPr>
        <w:t>selon les principes suivants</w:t>
      </w:r>
      <w:r w:rsidR="00DB745C">
        <w:rPr>
          <w:lang w:val="fr-CH"/>
        </w:rPr>
        <w:t> </w:t>
      </w:r>
      <w:r w:rsidRPr="00CF1AB0">
        <w:rPr>
          <w:lang w:val="fr-CH"/>
        </w:rPr>
        <w:t>:</w:t>
      </w:r>
    </w:p>
    <w:p w:rsidR="003F47DC" w:rsidRPr="00CF1AB0" w:rsidRDefault="00422461" w:rsidP="003E7906">
      <w:pPr>
        <w:pStyle w:val="ONUME"/>
        <w:numPr>
          <w:ilvl w:val="1"/>
          <w:numId w:val="5"/>
        </w:numPr>
        <w:rPr>
          <w:lang w:val="fr-CH"/>
        </w:rPr>
      </w:pPr>
      <w:r>
        <w:rPr>
          <w:lang w:val="fr-CH"/>
        </w:rPr>
        <w:t>L</w:t>
      </w:r>
      <w:r w:rsidR="00CF1AB0">
        <w:rPr>
          <w:lang w:val="fr-CH"/>
        </w:rPr>
        <w:t>’</w:t>
      </w:r>
      <w:r w:rsidR="00277B72" w:rsidRPr="00CF1AB0">
        <w:rPr>
          <w:lang w:val="fr-CH"/>
        </w:rPr>
        <w:t>office récepteur transmet l</w:t>
      </w:r>
      <w:r w:rsidR="00CF1AB0">
        <w:rPr>
          <w:lang w:val="fr-CH"/>
        </w:rPr>
        <w:t>’</w:t>
      </w:r>
      <w:r w:rsidR="00277B72" w:rsidRPr="00CF1AB0">
        <w:rPr>
          <w:lang w:val="fr-CH"/>
        </w:rPr>
        <w:t xml:space="preserve">exemplaire original et les documents connexes au Bureau international comme il le fait habituellement, mais en y joignant éventuellement des documents qui peuvent </w:t>
      </w:r>
      <w:r w:rsidR="003E7906" w:rsidRPr="00CF1AB0">
        <w:rPr>
          <w:lang w:val="fr-CH"/>
        </w:rPr>
        <w:t>n</w:t>
      </w:r>
      <w:r w:rsidR="00CF1AB0">
        <w:rPr>
          <w:lang w:val="fr-CH"/>
        </w:rPr>
        <w:t>’</w:t>
      </w:r>
      <w:r w:rsidR="00277B72" w:rsidRPr="00CF1AB0">
        <w:rPr>
          <w:lang w:val="fr-CH"/>
        </w:rPr>
        <w:t xml:space="preserve">avoir été </w:t>
      </w:r>
      <w:r w:rsidR="003E7906" w:rsidRPr="00CF1AB0">
        <w:rPr>
          <w:lang w:val="fr-CH"/>
        </w:rPr>
        <w:t xml:space="preserve">préalablement </w:t>
      </w:r>
      <w:r w:rsidR="00277B72" w:rsidRPr="00CF1AB0">
        <w:rPr>
          <w:lang w:val="fr-CH"/>
        </w:rPr>
        <w:t xml:space="preserve">envoyés </w:t>
      </w:r>
      <w:r w:rsidR="003E7906" w:rsidRPr="00CF1AB0">
        <w:rPr>
          <w:lang w:val="fr-CH"/>
        </w:rPr>
        <w:t>qu</w:t>
      </w:r>
      <w:r w:rsidR="00CF1AB0">
        <w:rPr>
          <w:lang w:val="fr-CH"/>
        </w:rPr>
        <w:t>’</w:t>
      </w:r>
      <w:r w:rsidR="00277B72" w:rsidRPr="00CF1AB0">
        <w:rPr>
          <w:lang w:val="fr-CH"/>
        </w:rPr>
        <w:t>à l</w:t>
      </w:r>
      <w:r w:rsidR="00CF1AB0">
        <w:rPr>
          <w:lang w:val="fr-CH"/>
        </w:rPr>
        <w:t>’</w:t>
      </w:r>
      <w:r w:rsidR="00277B72" w:rsidRPr="00CF1AB0">
        <w:rPr>
          <w:lang w:val="fr-CH"/>
        </w:rPr>
        <w:t xml:space="preserve">administration chargée de la recherche internationale, comme les </w:t>
      </w:r>
      <w:r>
        <w:rPr>
          <w:lang w:val="fr-CH"/>
        </w:rPr>
        <w:t>copies</w:t>
      </w:r>
      <w:r w:rsidR="00277B72" w:rsidRPr="00CF1AB0">
        <w:rPr>
          <w:lang w:val="fr-CH"/>
        </w:rPr>
        <w:t xml:space="preserve"> des listages de séquences fournis</w:t>
      </w:r>
      <w:r w:rsidR="002A4791" w:rsidRPr="00CF1AB0">
        <w:rPr>
          <w:lang w:val="fr-CH"/>
        </w:rPr>
        <w:t xml:space="preserve"> uniquement</w:t>
      </w:r>
      <w:r w:rsidR="00277B72" w:rsidRPr="00CF1AB0">
        <w:rPr>
          <w:lang w:val="fr-CH"/>
        </w:rPr>
        <w:t xml:space="preserve"> aux fin</w:t>
      </w:r>
      <w:r w:rsidR="002A4791" w:rsidRPr="00CF1AB0">
        <w:rPr>
          <w:lang w:val="fr-CH"/>
        </w:rPr>
        <w:t>s de la recherche internationale</w:t>
      </w:r>
      <w:r w:rsidR="00277B72" w:rsidRPr="00CF1AB0">
        <w:rPr>
          <w:lang w:val="fr-CH"/>
        </w:rPr>
        <w:t>.</w:t>
      </w:r>
    </w:p>
    <w:p w:rsidR="003F47DC" w:rsidRPr="00CF1AB0" w:rsidRDefault="00277B72" w:rsidP="00277B72">
      <w:pPr>
        <w:pStyle w:val="ONUME"/>
        <w:numPr>
          <w:ilvl w:val="1"/>
          <w:numId w:val="5"/>
        </w:numPr>
        <w:rPr>
          <w:lang w:val="fr-CH"/>
        </w:rPr>
      </w:pPr>
      <w:r w:rsidRPr="00CF1AB0">
        <w:rPr>
          <w:lang w:val="fr-CH"/>
        </w:rPr>
        <w:t>L</w:t>
      </w:r>
      <w:r w:rsidR="00CF1AB0">
        <w:rPr>
          <w:lang w:val="fr-CH"/>
        </w:rPr>
        <w:t>’</w:t>
      </w:r>
      <w:r w:rsidRPr="00CF1AB0">
        <w:rPr>
          <w:lang w:val="fr-CH"/>
        </w:rPr>
        <w:t>office récepteur envoie les renseignements concernant le paiement des taxes de recherche au Bureau international.</w:t>
      </w:r>
    </w:p>
    <w:p w:rsidR="003F47DC" w:rsidRPr="00CF1AB0" w:rsidRDefault="00277B72" w:rsidP="00277B72">
      <w:pPr>
        <w:pStyle w:val="ONUME"/>
        <w:numPr>
          <w:ilvl w:val="1"/>
          <w:numId w:val="5"/>
        </w:numPr>
        <w:rPr>
          <w:lang w:val="fr-CH"/>
        </w:rPr>
      </w:pPr>
      <w:r w:rsidRPr="00CF1AB0">
        <w:rPr>
          <w:lang w:val="fr-CH"/>
        </w:rPr>
        <w:t xml:space="preserve">Lorsque le Bureau international a reçu tous les documents </w:t>
      </w:r>
      <w:r w:rsidRPr="00CF1AB0">
        <w:rPr>
          <w:i/>
          <w:lang w:val="fr-CH"/>
        </w:rPr>
        <w:t>essentiels</w:t>
      </w:r>
      <w:r w:rsidRPr="00CF1AB0">
        <w:rPr>
          <w:lang w:val="fr-CH"/>
        </w:rPr>
        <w:t xml:space="preserve"> (</w:t>
      </w:r>
      <w:r w:rsidR="002A4791" w:rsidRPr="00CF1AB0">
        <w:rPr>
          <w:lang w:val="fr-CH"/>
        </w:rPr>
        <w:t>comme</w:t>
      </w:r>
      <w:r w:rsidRPr="00CF1AB0">
        <w:rPr>
          <w:lang w:val="fr-CH"/>
        </w:rPr>
        <w:t xml:space="preserve"> l</w:t>
      </w:r>
      <w:r w:rsidR="00CF1AB0">
        <w:rPr>
          <w:lang w:val="fr-CH"/>
        </w:rPr>
        <w:t>’</w:t>
      </w:r>
      <w:r w:rsidRPr="00CF1AB0">
        <w:rPr>
          <w:lang w:val="fr-CH"/>
        </w:rPr>
        <w:t>exemplaire original et toute traduction nécessaire en fonction de la langue de dépôt et des langues acceptées par l</w:t>
      </w:r>
      <w:r w:rsidR="00CF1AB0">
        <w:rPr>
          <w:lang w:val="fr-CH"/>
        </w:rPr>
        <w:t>’</w:t>
      </w:r>
      <w:r w:rsidRPr="00CF1AB0">
        <w:rPr>
          <w:lang w:val="fr-CH"/>
        </w:rPr>
        <w:t>administration chargée de la recherche internationale) ainsi qu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une notification des taxes payées, </w:t>
      </w:r>
      <w:r w:rsidR="003E7906" w:rsidRPr="00CF1AB0">
        <w:rPr>
          <w:lang w:val="fr-CH"/>
        </w:rPr>
        <w:t>les</w:t>
      </w:r>
      <w:r w:rsidRPr="00CF1AB0">
        <w:rPr>
          <w:lang w:val="fr-CH"/>
        </w:rPr>
        <w:t xml:space="preserve"> documents pertinents sont transmis à l</w:t>
      </w:r>
      <w:r w:rsidR="00CF1AB0">
        <w:rPr>
          <w:lang w:val="fr-CH"/>
        </w:rPr>
        <w:t>’</w:t>
      </w:r>
      <w:r w:rsidRPr="00CF1AB0">
        <w:rPr>
          <w:lang w:val="fr-CH"/>
        </w:rPr>
        <w:t>administration chargée de la recherche internationale et l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exemplaire original </w:t>
      </w:r>
      <w:r w:rsidR="002A4791" w:rsidRPr="00CF1AB0">
        <w:rPr>
          <w:lang w:val="fr-CH"/>
        </w:rPr>
        <w:t>sert de base à</w:t>
      </w:r>
      <w:r w:rsidRPr="00CF1AB0">
        <w:rPr>
          <w:lang w:val="fr-CH"/>
        </w:rPr>
        <w:t xml:space="preserve"> la copie de recherche.</w:t>
      </w:r>
    </w:p>
    <w:p w:rsidR="003F47DC" w:rsidRPr="00CF1AB0" w:rsidRDefault="00D047F7" w:rsidP="00D047F7">
      <w:pPr>
        <w:pStyle w:val="ONUME"/>
        <w:numPr>
          <w:ilvl w:val="1"/>
          <w:numId w:val="5"/>
        </w:numPr>
        <w:rPr>
          <w:lang w:val="fr-CH"/>
        </w:rPr>
      </w:pPr>
      <w:r w:rsidRPr="00CF1AB0">
        <w:rPr>
          <w:lang w:val="fr-CH"/>
        </w:rPr>
        <w:lastRenderedPageBreak/>
        <w:t xml:space="preserve">Le Bureau international </w:t>
      </w:r>
      <w:r w:rsidR="007E3A2E" w:rsidRPr="00CF1AB0">
        <w:rPr>
          <w:lang w:val="fr-CH"/>
        </w:rPr>
        <w:t>sera</w:t>
      </w:r>
      <w:r w:rsidR="003E7906" w:rsidRPr="00CF1AB0">
        <w:rPr>
          <w:lang w:val="fr-CH"/>
        </w:rPr>
        <w:t xml:space="preserve"> </w:t>
      </w:r>
      <w:r w:rsidR="007E3A2E" w:rsidRPr="00CF1AB0">
        <w:rPr>
          <w:lang w:val="fr-CH"/>
        </w:rPr>
        <w:t xml:space="preserve">régulièrement </w:t>
      </w:r>
      <w:r w:rsidR="003E7906" w:rsidRPr="00CF1AB0">
        <w:rPr>
          <w:lang w:val="fr-CH"/>
        </w:rPr>
        <w:t>en contact avec</w:t>
      </w:r>
      <w:r w:rsidRPr="00CF1AB0">
        <w:rPr>
          <w:lang w:val="fr-CH"/>
        </w:rPr>
        <w:t xml:space="preserve"> </w:t>
      </w:r>
      <w:r w:rsidR="003E7906" w:rsidRPr="00CF1AB0">
        <w:rPr>
          <w:lang w:val="fr-CH"/>
        </w:rPr>
        <w:t>l</w:t>
      </w:r>
      <w:r w:rsidR="00CF1AB0">
        <w:rPr>
          <w:lang w:val="fr-CH"/>
        </w:rPr>
        <w:t>’</w:t>
      </w:r>
      <w:r w:rsidR="003E7906" w:rsidRPr="00CF1AB0">
        <w:rPr>
          <w:lang w:val="fr-CH"/>
        </w:rPr>
        <w:t xml:space="preserve">office récepteur </w:t>
      </w:r>
      <w:r w:rsidR="007E3A2E" w:rsidRPr="00CF1AB0">
        <w:rPr>
          <w:lang w:val="fr-CH"/>
        </w:rPr>
        <w:t>pour</w:t>
      </w:r>
      <w:r w:rsidR="003E7906" w:rsidRPr="00CF1AB0">
        <w:rPr>
          <w:lang w:val="fr-CH"/>
        </w:rPr>
        <w:t xml:space="preserve"> les cas où </w:t>
      </w:r>
      <w:r w:rsidRPr="00CF1AB0">
        <w:rPr>
          <w:lang w:val="fr-CH"/>
        </w:rPr>
        <w:t>l</w:t>
      </w:r>
      <w:r w:rsidR="00CF1AB0">
        <w:rPr>
          <w:lang w:val="fr-CH"/>
        </w:rPr>
        <w:t>’</w:t>
      </w:r>
      <w:r w:rsidRPr="00CF1AB0">
        <w:rPr>
          <w:lang w:val="fr-CH"/>
        </w:rPr>
        <w:t>exemplaire original a été reçu mais</w:t>
      </w:r>
      <w:r w:rsidR="003E7906" w:rsidRPr="00CF1AB0">
        <w:rPr>
          <w:lang w:val="fr-CH"/>
        </w:rPr>
        <w:t xml:space="preserve"> où</w:t>
      </w:r>
      <w:r w:rsidRPr="00CF1AB0">
        <w:rPr>
          <w:lang w:val="fr-CH"/>
        </w:rPr>
        <w:t xml:space="preserve"> les autres documents essentiels restent en suspens, ou lorsqu</w:t>
      </w:r>
      <w:r w:rsidR="00CF1AB0">
        <w:rPr>
          <w:lang w:val="fr-CH"/>
        </w:rPr>
        <w:t>’</w:t>
      </w:r>
      <w:r w:rsidRPr="00CF1AB0">
        <w:rPr>
          <w:lang w:val="fr-CH"/>
        </w:rPr>
        <w:t>aucune indication du paiement des taxes de recherche n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a été </w:t>
      </w:r>
      <w:r w:rsidR="003E7906" w:rsidRPr="00CF1AB0">
        <w:rPr>
          <w:lang w:val="fr-CH"/>
        </w:rPr>
        <w:t>donnée</w:t>
      </w:r>
      <w:r w:rsidRPr="00CF1AB0">
        <w:rPr>
          <w:lang w:val="fr-CH"/>
        </w:rPr>
        <w:t xml:space="preserve"> ou qu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aucune </w:t>
      </w:r>
      <w:r w:rsidR="003E7906" w:rsidRPr="00CF1AB0">
        <w:rPr>
          <w:lang w:val="fr-CH"/>
        </w:rPr>
        <w:t>déclaration</w:t>
      </w:r>
      <w:r w:rsidRPr="00CF1AB0">
        <w:rPr>
          <w:lang w:val="fr-CH"/>
        </w:rPr>
        <w:t xml:space="preserve"> </w:t>
      </w:r>
      <w:r w:rsidR="003E7906" w:rsidRPr="00CF1AB0">
        <w:rPr>
          <w:lang w:val="fr-CH"/>
        </w:rPr>
        <w:t>indiquant que</w:t>
      </w:r>
      <w:r w:rsidRPr="00CF1AB0">
        <w:rPr>
          <w:lang w:val="fr-CH"/>
        </w:rPr>
        <w:t xml:space="preserve"> la demande internationale est considérée comme retirée</w:t>
      </w:r>
      <w:r w:rsidR="003E7906" w:rsidRPr="00CF1AB0">
        <w:rPr>
          <w:lang w:val="fr-CH"/>
        </w:rPr>
        <w:t xml:space="preserve"> n</w:t>
      </w:r>
      <w:r w:rsidR="00CF1AB0">
        <w:rPr>
          <w:lang w:val="fr-CH"/>
        </w:rPr>
        <w:t>’</w:t>
      </w:r>
      <w:r w:rsidR="003E7906" w:rsidRPr="00CF1AB0">
        <w:rPr>
          <w:lang w:val="fr-CH"/>
        </w:rPr>
        <w:t>a été faite.</w:t>
      </w:r>
    </w:p>
    <w:p w:rsidR="00CF1AB0" w:rsidRDefault="00D047F7" w:rsidP="00D047F7">
      <w:pPr>
        <w:pStyle w:val="ONUME"/>
        <w:numPr>
          <w:ilvl w:val="1"/>
          <w:numId w:val="5"/>
        </w:numPr>
        <w:rPr>
          <w:lang w:val="fr-CH"/>
        </w:rPr>
      </w:pPr>
      <w:r w:rsidRPr="00CF1AB0">
        <w:rPr>
          <w:lang w:val="fr-CH"/>
        </w:rPr>
        <w:t>Si d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autres documents importants (comme des feuilles de remplacement ou des pouvoirs) sont </w:t>
      </w:r>
      <w:r w:rsidR="003E7906" w:rsidRPr="00CF1AB0">
        <w:rPr>
          <w:lang w:val="fr-CH"/>
        </w:rPr>
        <w:t>reçus de la pa</w:t>
      </w:r>
      <w:r w:rsidRPr="00CF1AB0">
        <w:rPr>
          <w:lang w:val="fr-CH"/>
        </w:rPr>
        <w:t>r</w:t>
      </w:r>
      <w:r w:rsidR="003E7906" w:rsidRPr="00CF1AB0">
        <w:rPr>
          <w:lang w:val="fr-CH"/>
        </w:rPr>
        <w:t>t de</w:t>
      </w:r>
      <w:r w:rsidRPr="00CF1AB0">
        <w:rPr>
          <w:lang w:val="fr-CH"/>
        </w:rPr>
        <w:t xml:space="preserve"> l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office récepteur avant </w:t>
      </w:r>
      <w:r w:rsidR="003E7906" w:rsidRPr="00CF1AB0">
        <w:rPr>
          <w:lang w:val="fr-CH"/>
        </w:rPr>
        <w:t>que le</w:t>
      </w:r>
      <w:r w:rsidRPr="00CF1AB0">
        <w:rPr>
          <w:lang w:val="fr-CH"/>
        </w:rPr>
        <w:t xml:space="preserve"> rapport de recherche internationale </w:t>
      </w:r>
      <w:r w:rsidR="003E7906" w:rsidRPr="00CF1AB0">
        <w:rPr>
          <w:lang w:val="fr-CH"/>
        </w:rPr>
        <w:t xml:space="preserve">soit reçu </w:t>
      </w:r>
      <w:r w:rsidRPr="00CF1AB0">
        <w:rPr>
          <w:lang w:val="fr-CH"/>
        </w:rPr>
        <w:t>par le Bureau international, ils sont transmis à l</w:t>
      </w:r>
      <w:r w:rsidR="00CF1AB0">
        <w:rPr>
          <w:lang w:val="fr-CH"/>
        </w:rPr>
        <w:t>’</w:t>
      </w:r>
      <w:r w:rsidRPr="00CF1AB0">
        <w:rPr>
          <w:lang w:val="fr-CH"/>
        </w:rPr>
        <w:t>administration chargée de la recherche internationale dans des lots distincts.</w:t>
      </w:r>
    </w:p>
    <w:p w:rsidR="003F47DC" w:rsidRPr="00CF1AB0" w:rsidRDefault="00697E73" w:rsidP="00422461">
      <w:pPr>
        <w:pStyle w:val="Heading1"/>
      </w:pPr>
      <w:r w:rsidRPr="00CF1AB0">
        <w:t>État d</w:t>
      </w:r>
      <w:r w:rsidR="00CF1AB0">
        <w:t>’</w:t>
      </w:r>
      <w:r w:rsidRPr="00CF1AB0">
        <w:t>avancement</w:t>
      </w:r>
    </w:p>
    <w:p w:rsidR="003F47DC" w:rsidRPr="00CF1AB0" w:rsidRDefault="005534EF" w:rsidP="00422461">
      <w:pPr>
        <w:pStyle w:val="ONUMFS"/>
        <w:rPr>
          <w:lang w:val="fr-CH"/>
        </w:rPr>
      </w:pPr>
      <w:r w:rsidRPr="00CF1AB0">
        <w:rPr>
          <w:lang w:val="fr-CH"/>
        </w:rPr>
        <w:t xml:space="preserve">Parallèlement à la transmission traditionnelle des copies de recherche, </w:t>
      </w:r>
      <w:r w:rsidR="0058239C" w:rsidRPr="00CF1AB0">
        <w:rPr>
          <w:lang w:val="fr-CH"/>
        </w:rPr>
        <w:t>le service est testé</w:t>
      </w:r>
      <w:r w:rsidR="00946F04" w:rsidRPr="00CF1AB0">
        <w:rPr>
          <w:lang w:val="fr-CH"/>
        </w:rPr>
        <w:t xml:space="preserve"> </w:t>
      </w:r>
      <w:r w:rsidR="005D1D0E" w:rsidRPr="00CF1AB0">
        <w:rPr>
          <w:lang w:val="fr-CH"/>
        </w:rPr>
        <w:t>auprès de quatre</w:t>
      </w:r>
      <w:r w:rsidR="00DB745C">
        <w:rPr>
          <w:lang w:val="fr-CH"/>
        </w:rPr>
        <w:t> </w:t>
      </w:r>
      <w:r w:rsidR="005D1D0E" w:rsidRPr="00CF1AB0">
        <w:rPr>
          <w:lang w:val="fr-CH"/>
        </w:rPr>
        <w:t xml:space="preserve">administrations chargées de la recherche internationale (AU, EP, KR et US) </w:t>
      </w:r>
      <w:r w:rsidRPr="00CF1AB0">
        <w:rPr>
          <w:lang w:val="fr-CH"/>
        </w:rPr>
        <w:t xml:space="preserve">sur la base des informations détenues par le </w:t>
      </w:r>
      <w:r w:rsidR="005D1D0E" w:rsidRPr="00CF1AB0">
        <w:rPr>
          <w:lang w:val="fr-CH"/>
        </w:rPr>
        <w:t xml:space="preserve">Bureau international </w:t>
      </w:r>
      <w:r w:rsidRPr="00CF1AB0">
        <w:rPr>
          <w:lang w:val="fr-CH"/>
        </w:rPr>
        <w:t xml:space="preserve">en relation avec les dépôts existants </w:t>
      </w:r>
      <w:r w:rsidR="0058239C" w:rsidRPr="00CF1AB0">
        <w:rPr>
          <w:lang w:val="fr-CH"/>
        </w:rPr>
        <w:t>provenant</w:t>
      </w:r>
      <w:r w:rsidRPr="00CF1AB0">
        <w:rPr>
          <w:lang w:val="fr-CH"/>
        </w:rPr>
        <w:t xml:space="preserve"> d</w:t>
      </w:r>
      <w:r w:rsidR="00CF1AB0">
        <w:rPr>
          <w:lang w:val="fr-CH"/>
        </w:rPr>
        <w:t>’</w:t>
      </w:r>
      <w:r w:rsidRPr="00CF1AB0">
        <w:rPr>
          <w:lang w:val="fr-CH"/>
        </w:rPr>
        <w:t xml:space="preserve">une </w:t>
      </w:r>
      <w:r w:rsidR="005D1D0E" w:rsidRPr="00CF1AB0">
        <w:rPr>
          <w:lang w:val="fr-CH"/>
        </w:rPr>
        <w:t>sélection d</w:t>
      </w:r>
      <w:r w:rsidR="00CF1AB0">
        <w:rPr>
          <w:lang w:val="fr-CH"/>
        </w:rPr>
        <w:t>’</w:t>
      </w:r>
      <w:r w:rsidR="005D1D0E" w:rsidRPr="00CF1AB0">
        <w:rPr>
          <w:lang w:val="fr-CH"/>
        </w:rPr>
        <w:t xml:space="preserve">offices récepteurs </w:t>
      </w:r>
      <w:r w:rsidR="0058239C" w:rsidRPr="00CF1AB0">
        <w:rPr>
          <w:lang w:val="fr-CH"/>
        </w:rPr>
        <w:t>pour lesquels elles sont</w:t>
      </w:r>
      <w:r w:rsidR="005D1D0E" w:rsidRPr="00CF1AB0">
        <w:rPr>
          <w:lang w:val="fr-CH"/>
        </w:rPr>
        <w:t xml:space="preserve"> compéten</w:t>
      </w:r>
      <w:r w:rsidR="0058239C" w:rsidRPr="00CF1AB0">
        <w:rPr>
          <w:lang w:val="fr-CH"/>
        </w:rPr>
        <w:t>t</w:t>
      </w:r>
      <w:r w:rsidR="005D1D0E" w:rsidRPr="00CF1AB0">
        <w:rPr>
          <w:lang w:val="fr-CH"/>
        </w:rPr>
        <w:t>es.</w:t>
      </w:r>
      <w:r w:rsidR="000B6389" w:rsidRPr="00CF1AB0">
        <w:rPr>
          <w:lang w:val="fr-CH"/>
        </w:rPr>
        <w:t xml:space="preserve">  </w:t>
      </w:r>
      <w:r w:rsidR="005D1D0E" w:rsidRPr="00CF1AB0">
        <w:rPr>
          <w:lang w:val="fr-CH"/>
        </w:rPr>
        <w:t>Des échantillons de lots de données ont également été envoyés à plusieurs autres administrations chargées de la recherche internationale, aux fins d</w:t>
      </w:r>
      <w:r w:rsidR="00CF1AB0">
        <w:rPr>
          <w:lang w:val="fr-CH"/>
        </w:rPr>
        <w:t>’</w:t>
      </w:r>
      <w:r w:rsidR="005D1D0E" w:rsidRPr="00CF1AB0">
        <w:rPr>
          <w:lang w:val="fr-CH"/>
        </w:rPr>
        <w:t>évaluation, et de</w:t>
      </w:r>
      <w:r w:rsidRPr="00CF1AB0">
        <w:rPr>
          <w:lang w:val="fr-CH"/>
        </w:rPr>
        <w:t xml:space="preserve"> tel</w:t>
      </w:r>
      <w:r w:rsidR="005B26A0" w:rsidRPr="00CF1AB0">
        <w:rPr>
          <w:lang w:val="fr-CH"/>
        </w:rPr>
        <w:t xml:space="preserve">s échantillons </w:t>
      </w:r>
      <w:r w:rsidR="005D1D0E" w:rsidRPr="00CF1AB0">
        <w:rPr>
          <w:lang w:val="fr-CH"/>
        </w:rPr>
        <w:t>peuvent être préparés pour d</w:t>
      </w:r>
      <w:r w:rsidR="00CF1AB0">
        <w:rPr>
          <w:lang w:val="fr-CH"/>
        </w:rPr>
        <w:t>’</w:t>
      </w:r>
      <w:r w:rsidR="005D1D0E" w:rsidRPr="00CF1AB0">
        <w:rPr>
          <w:lang w:val="fr-CH"/>
        </w:rPr>
        <w:t>autres administrations chargées de la recherche internationale sur demande.</w:t>
      </w:r>
    </w:p>
    <w:p w:rsidR="00CF1AB0" w:rsidRDefault="005534EF" w:rsidP="00422461">
      <w:pPr>
        <w:pStyle w:val="ONUMFS"/>
        <w:rPr>
          <w:lang w:val="fr-CH"/>
        </w:rPr>
      </w:pPr>
      <w:r w:rsidRPr="00CF1AB0">
        <w:rPr>
          <w:lang w:val="fr-CH"/>
        </w:rPr>
        <w:t>Les résultats des essais ont été fructueux dans le sens où les lots sont conformes aux spécifications d</w:t>
      </w:r>
      <w:r w:rsidR="00CF1AB0">
        <w:rPr>
          <w:lang w:val="fr-CH"/>
        </w:rPr>
        <w:t>’</w:t>
      </w:r>
      <w:r w:rsidRPr="00CF1AB0">
        <w:rPr>
          <w:lang w:val="fr-CH"/>
        </w:rPr>
        <w:t>origine et peuvent être</w:t>
      </w:r>
      <w:r w:rsidR="000B20A2" w:rsidRPr="00CF1AB0">
        <w:rPr>
          <w:lang w:val="fr-CH"/>
        </w:rPr>
        <w:t xml:space="preserve"> facilement</w:t>
      </w:r>
      <w:r w:rsidRPr="00CF1AB0">
        <w:rPr>
          <w:lang w:val="fr-CH"/>
        </w:rPr>
        <w:t xml:space="preserve"> importés dans les systèmes des administrations chargées de la recherche internationale.</w:t>
      </w:r>
      <w:r w:rsidR="00F24575" w:rsidRPr="00CF1AB0">
        <w:rPr>
          <w:lang w:val="fr-CH"/>
        </w:rPr>
        <w:t xml:space="preserve">  </w:t>
      </w:r>
      <w:r w:rsidR="000B20A2" w:rsidRPr="00CF1AB0">
        <w:rPr>
          <w:lang w:val="fr-CH"/>
        </w:rPr>
        <w:t>Cependant, deux</w:t>
      </w:r>
      <w:r w:rsidR="00DB745C">
        <w:rPr>
          <w:lang w:val="fr-CH"/>
        </w:rPr>
        <w:t> </w:t>
      </w:r>
      <w:r w:rsidR="000B20A2" w:rsidRPr="00CF1AB0">
        <w:rPr>
          <w:lang w:val="fr-CH"/>
        </w:rPr>
        <w:t xml:space="preserve">administrations ont demandé que des fonctionnalités supplémentaires soient ajoutées avant la mise en service, et une administration a </w:t>
      </w:r>
      <w:r w:rsidR="005B26A0" w:rsidRPr="00CF1AB0">
        <w:rPr>
          <w:lang w:val="fr-CH"/>
        </w:rPr>
        <w:t>demandé</w:t>
      </w:r>
      <w:r w:rsidR="000B20A2" w:rsidRPr="00CF1AB0">
        <w:rPr>
          <w:lang w:val="fr-CH"/>
        </w:rPr>
        <w:t xml:space="preserve"> </w:t>
      </w:r>
      <w:r w:rsidR="005B26A0" w:rsidRPr="00CF1AB0">
        <w:rPr>
          <w:lang w:val="fr-CH"/>
        </w:rPr>
        <w:t>de nouveaux</w:t>
      </w:r>
      <w:r w:rsidR="000B20A2" w:rsidRPr="00CF1AB0">
        <w:rPr>
          <w:lang w:val="fr-CH"/>
        </w:rPr>
        <w:t xml:space="preserve"> échantillons</w:t>
      </w:r>
      <w:r w:rsidR="005B26A0" w:rsidRPr="00CF1AB0">
        <w:rPr>
          <w:lang w:val="fr-CH"/>
        </w:rPr>
        <w:t>,</w:t>
      </w:r>
      <w:r w:rsidR="000B20A2" w:rsidRPr="00CF1AB0">
        <w:rPr>
          <w:lang w:val="fr-CH"/>
        </w:rPr>
        <w:t xml:space="preserve"> comprenant </w:t>
      </w:r>
      <w:r w:rsidR="005B26A0" w:rsidRPr="00CF1AB0">
        <w:rPr>
          <w:lang w:val="fr-CH"/>
        </w:rPr>
        <w:t>un</w:t>
      </w:r>
      <w:r w:rsidR="000B20A2" w:rsidRPr="00CF1AB0">
        <w:rPr>
          <w:lang w:val="fr-CH"/>
        </w:rPr>
        <w:t xml:space="preserve"> plus </w:t>
      </w:r>
      <w:r w:rsidR="005B26A0" w:rsidRPr="00CF1AB0">
        <w:rPr>
          <w:lang w:val="fr-CH"/>
        </w:rPr>
        <w:t>grand nombre</w:t>
      </w:r>
      <w:r w:rsidR="000B20A2" w:rsidRPr="00CF1AB0">
        <w:rPr>
          <w:lang w:val="fr-CH"/>
        </w:rPr>
        <w:t xml:space="preserve"> de documents</w:t>
      </w:r>
      <w:r w:rsidR="005B26A0" w:rsidRPr="00CF1AB0">
        <w:rPr>
          <w:lang w:val="fr-CH"/>
        </w:rPr>
        <w:t xml:space="preserve"> et provenant</w:t>
      </w:r>
      <w:r w:rsidR="000B20A2" w:rsidRPr="00CF1AB0">
        <w:rPr>
          <w:lang w:val="fr-CH"/>
        </w:rPr>
        <w:t xml:space="preserve"> d</w:t>
      </w:r>
      <w:r w:rsidR="00CF1AB0">
        <w:rPr>
          <w:lang w:val="fr-CH"/>
        </w:rPr>
        <w:t>’</w:t>
      </w:r>
      <w:r w:rsidR="000B20A2" w:rsidRPr="00CF1AB0">
        <w:rPr>
          <w:lang w:val="fr-CH"/>
        </w:rPr>
        <w:t>un plus grand nombre d</w:t>
      </w:r>
      <w:r w:rsidR="00CF1AB0">
        <w:rPr>
          <w:lang w:val="fr-CH"/>
        </w:rPr>
        <w:t>’</w:t>
      </w:r>
      <w:r w:rsidR="000B20A2" w:rsidRPr="00CF1AB0">
        <w:rPr>
          <w:lang w:val="fr-CH"/>
        </w:rPr>
        <w:t xml:space="preserve">offices récepteurs.  Ces demandes </w:t>
      </w:r>
      <w:r w:rsidR="005B26A0" w:rsidRPr="00CF1AB0">
        <w:rPr>
          <w:lang w:val="fr-CH"/>
        </w:rPr>
        <w:t>sont actuellement évaluées mais</w:t>
      </w:r>
      <w:r w:rsidR="000B20A2" w:rsidRPr="00CF1AB0">
        <w:rPr>
          <w:lang w:val="fr-CH"/>
        </w:rPr>
        <w:t xml:space="preserve"> il est clair que </w:t>
      </w:r>
      <w:r w:rsidR="005B26A0" w:rsidRPr="00CF1AB0">
        <w:rPr>
          <w:lang w:val="fr-CH"/>
        </w:rPr>
        <w:t>quelques</w:t>
      </w:r>
      <w:r w:rsidR="000B20A2" w:rsidRPr="00CF1AB0">
        <w:rPr>
          <w:lang w:val="fr-CH"/>
        </w:rPr>
        <w:t xml:space="preserve"> modifications et des essais supplémentaires seront nécessaires.</w:t>
      </w:r>
    </w:p>
    <w:p w:rsidR="00CF1AB0" w:rsidRDefault="000B20A2" w:rsidP="00422461">
      <w:pPr>
        <w:pStyle w:val="Heading1"/>
      </w:pPr>
      <w:r w:rsidRPr="00CF1AB0">
        <w:t>Marche à suivre</w:t>
      </w:r>
    </w:p>
    <w:p w:rsidR="003F47DC" w:rsidRPr="00CF1AB0" w:rsidRDefault="00A20254" w:rsidP="00422461">
      <w:pPr>
        <w:pStyle w:val="ONUMFS"/>
        <w:rPr>
          <w:lang w:val="fr-CH"/>
        </w:rPr>
      </w:pPr>
      <w:bookmarkStart w:id="6" w:name="_Ref373924952"/>
      <w:r w:rsidRPr="00CF1AB0">
        <w:rPr>
          <w:lang w:val="fr-CH"/>
        </w:rPr>
        <w:t xml:space="preserve">Une fois que les administrations chargées de la recherche internationale participant aux essais auront confirmé que le service </w:t>
      </w:r>
      <w:r w:rsidR="005B26A0" w:rsidRPr="00CF1AB0">
        <w:rPr>
          <w:lang w:val="fr-CH"/>
        </w:rPr>
        <w:t>est satisfaisant</w:t>
      </w:r>
      <w:r w:rsidRPr="00CF1AB0">
        <w:rPr>
          <w:lang w:val="fr-CH"/>
        </w:rPr>
        <w:t xml:space="preserve">, une circulaire sera transmise aux offices récepteurs et aux administrations chargées de la recherche internationale, dans laquelle seront proposées des modalités de mise en </w:t>
      </w:r>
      <w:r w:rsidR="005B26A0" w:rsidRPr="00CF1AB0">
        <w:rPr>
          <w:lang w:val="fr-CH"/>
        </w:rPr>
        <w:t xml:space="preserve">œuvre du </w:t>
      </w:r>
      <w:r w:rsidRPr="00CF1AB0">
        <w:rPr>
          <w:lang w:val="fr-CH"/>
        </w:rPr>
        <w:t>service pour tous les offices récepteurs et toutes les administrations chargées de la recherche internationale qui souhaiteraient en profiter.</w:t>
      </w:r>
      <w:r w:rsidR="00816C6D" w:rsidRPr="00CF1AB0">
        <w:rPr>
          <w:lang w:val="fr-CH"/>
        </w:rPr>
        <w:t xml:space="preserve">  </w:t>
      </w:r>
      <w:r w:rsidR="003E1925" w:rsidRPr="00CF1AB0">
        <w:rPr>
          <w:lang w:val="fr-CH"/>
        </w:rPr>
        <w:t xml:space="preserve">Il est prévu que, au moins pour certaines administrations chargées de la recherche internationale, le service soit introduit pour </w:t>
      </w:r>
      <w:r w:rsidR="000F6746">
        <w:rPr>
          <w:lang w:val="fr-CH"/>
        </w:rPr>
        <w:t>un petit nombre d’offices récepteurs à la fois</w:t>
      </w:r>
      <w:r w:rsidR="003E1925" w:rsidRPr="00CF1AB0">
        <w:rPr>
          <w:lang w:val="fr-CH"/>
        </w:rPr>
        <w:t>, ce qui permett</w:t>
      </w:r>
      <w:r w:rsidR="000F6746">
        <w:rPr>
          <w:lang w:val="fr-CH"/>
        </w:rPr>
        <w:t>r</w:t>
      </w:r>
      <w:r w:rsidR="003E1925" w:rsidRPr="00CF1AB0">
        <w:rPr>
          <w:lang w:val="fr-CH"/>
        </w:rPr>
        <w:t xml:space="preserve">ait de </w:t>
      </w:r>
      <w:r w:rsidR="000F6746">
        <w:rPr>
          <w:lang w:val="fr-CH"/>
        </w:rPr>
        <w:t xml:space="preserve">procéder à un suivi </w:t>
      </w:r>
      <w:r w:rsidR="003E1925" w:rsidRPr="00CF1AB0">
        <w:rPr>
          <w:lang w:val="fr-CH"/>
        </w:rPr>
        <w:t>attenti</w:t>
      </w:r>
      <w:r w:rsidR="000F6746">
        <w:rPr>
          <w:lang w:val="fr-CH"/>
        </w:rPr>
        <w:t xml:space="preserve">f pendant la période de </w:t>
      </w:r>
      <w:r w:rsidR="003E1925" w:rsidRPr="00CF1AB0">
        <w:rPr>
          <w:lang w:val="fr-CH"/>
        </w:rPr>
        <w:t>transition.</w:t>
      </w:r>
    </w:p>
    <w:bookmarkEnd w:id="6"/>
    <w:p w:rsidR="003F47DC" w:rsidRPr="00CF1AB0" w:rsidRDefault="003E1925" w:rsidP="00422461">
      <w:pPr>
        <w:pStyle w:val="ONUMFS"/>
        <w:rPr>
          <w:lang w:val="fr-CH"/>
        </w:rPr>
      </w:pPr>
      <w:r w:rsidRPr="00CF1AB0">
        <w:rPr>
          <w:lang w:val="fr-CH"/>
        </w:rPr>
        <w:t>Le service </w:t>
      </w:r>
      <w:proofErr w:type="spellStart"/>
      <w:r w:rsidRPr="00CF1AB0">
        <w:rPr>
          <w:lang w:val="fr-CH"/>
        </w:rPr>
        <w:t>ePCT</w:t>
      </w:r>
      <w:proofErr w:type="spellEnd"/>
      <w:r w:rsidRPr="00CF1AB0">
        <w:rPr>
          <w:lang w:val="fr-CH"/>
        </w:rPr>
        <w:t xml:space="preserve">, pour les offices récepteurs participants, sera doté de fonctionnalités </w:t>
      </w:r>
      <w:r w:rsidR="000F6746">
        <w:rPr>
          <w:lang w:val="fr-CH"/>
        </w:rPr>
        <w:t>qui permettront</w:t>
      </w:r>
      <w:r w:rsidRPr="00CF1AB0">
        <w:rPr>
          <w:lang w:val="fr-CH"/>
        </w:rPr>
        <w:t xml:space="preserve"> d</w:t>
      </w:r>
      <w:r w:rsidR="00CF1AB0">
        <w:rPr>
          <w:lang w:val="fr-CH"/>
        </w:rPr>
        <w:t>’</w:t>
      </w:r>
      <w:r w:rsidRPr="00CF1AB0">
        <w:rPr>
          <w:lang w:val="fr-CH"/>
        </w:rPr>
        <w:t>enregistrer le paiement des taxes de recherche, soit au moment de la transmission de l</w:t>
      </w:r>
      <w:r w:rsidR="00CF1AB0">
        <w:rPr>
          <w:lang w:val="fr-CH"/>
        </w:rPr>
        <w:t>’</w:t>
      </w:r>
      <w:r w:rsidRPr="00CF1AB0">
        <w:rPr>
          <w:lang w:val="fr-CH"/>
        </w:rPr>
        <w:t>exemplaire original au Bureau international soit distinctement, de sorte que les offices utilisant le service à cette fin n</w:t>
      </w:r>
      <w:r w:rsidR="00CF1AB0">
        <w:rPr>
          <w:lang w:val="fr-CH"/>
        </w:rPr>
        <w:t>’</w:t>
      </w:r>
      <w:r w:rsidRPr="00CF1AB0">
        <w:rPr>
          <w:lang w:val="fr-CH"/>
        </w:rPr>
        <w:t>auront pas besoin d</w:t>
      </w:r>
      <w:r w:rsidR="00CF1AB0">
        <w:rPr>
          <w:lang w:val="fr-CH"/>
        </w:rPr>
        <w:t>’</w:t>
      </w:r>
      <w:r w:rsidRPr="00CF1AB0">
        <w:rPr>
          <w:lang w:val="fr-CH"/>
        </w:rPr>
        <w:t>établir des listes distinctes des taxes payées.</w:t>
      </w:r>
      <w:r w:rsidR="00D325A6" w:rsidRPr="00CF1AB0">
        <w:rPr>
          <w:lang w:val="fr-CH"/>
        </w:rPr>
        <w:t xml:space="preserve">  </w:t>
      </w:r>
      <w:r w:rsidR="00717AD3">
        <w:rPr>
          <w:lang w:val="fr-CH"/>
        </w:rPr>
        <w:t>Il est prévu que cette</w:t>
      </w:r>
      <w:r w:rsidR="003F47DC" w:rsidRPr="00CF1AB0">
        <w:rPr>
          <w:lang w:val="fr-CH"/>
        </w:rPr>
        <w:t xml:space="preserve"> fonctionnalité </w:t>
      </w:r>
      <w:r w:rsidR="00717AD3">
        <w:rPr>
          <w:lang w:val="fr-CH"/>
        </w:rPr>
        <w:t>soit</w:t>
      </w:r>
      <w:r w:rsidR="003F47DC" w:rsidRPr="00CF1AB0">
        <w:rPr>
          <w:lang w:val="fr-CH"/>
        </w:rPr>
        <w:t xml:space="preserve"> améliorée afin que les déposants et les offices puissent savoir quelles taxes ont été payées et à quel moment</w:t>
      </w:r>
      <w:r w:rsidR="000F6746">
        <w:rPr>
          <w:lang w:val="fr-CH"/>
        </w:rPr>
        <w:t>,</w:t>
      </w:r>
      <w:r w:rsidR="003F47DC" w:rsidRPr="00CF1AB0">
        <w:rPr>
          <w:lang w:val="fr-CH"/>
        </w:rPr>
        <w:t xml:space="preserve"> et</w:t>
      </w:r>
      <w:r w:rsidR="000F6746">
        <w:rPr>
          <w:lang w:val="fr-CH"/>
        </w:rPr>
        <w:t xml:space="preserve"> que le</w:t>
      </w:r>
      <w:bookmarkStart w:id="7" w:name="_GoBack"/>
      <w:bookmarkEnd w:id="7"/>
      <w:r w:rsidR="000F6746">
        <w:rPr>
          <w:lang w:val="fr-CH"/>
        </w:rPr>
        <w:t>s offices récepteurs et les administrations chargées de la recherche internationale puissent</w:t>
      </w:r>
      <w:r w:rsidR="003F47DC" w:rsidRPr="00CF1AB0">
        <w:rPr>
          <w:lang w:val="fr-CH"/>
        </w:rPr>
        <w:t xml:space="preserve"> obtenir des informations sur les demandes internationales pour lesquelles ils sont compétents et pour lesquelles les taxes restent impayées.</w:t>
      </w:r>
    </w:p>
    <w:p w:rsidR="00422461" w:rsidRDefault="00422461">
      <w:pPr>
        <w:rPr>
          <w:i/>
          <w:lang w:val="fr-CH"/>
        </w:rPr>
      </w:pPr>
    </w:p>
    <w:p w:rsidR="003F47DC" w:rsidRDefault="003F47DC" w:rsidP="00233C0A">
      <w:pPr>
        <w:pStyle w:val="ONUMFS"/>
        <w:keepLines/>
        <w:spacing w:after="0"/>
        <w:ind w:left="5533"/>
        <w:rPr>
          <w:i/>
          <w:lang w:val="fr-CH"/>
        </w:rPr>
      </w:pPr>
      <w:r w:rsidRPr="00422461">
        <w:rPr>
          <w:i/>
          <w:lang w:val="fr-CH"/>
        </w:rPr>
        <w:lastRenderedPageBreak/>
        <w:t>Le groupe de travail est invité à prendre note du présent rapport de situation et de la marche à suivre proposée.</w:t>
      </w:r>
    </w:p>
    <w:p w:rsidR="00422461" w:rsidRDefault="00422461" w:rsidP="00422461">
      <w:pPr>
        <w:pStyle w:val="ONUMFS"/>
        <w:numPr>
          <w:ilvl w:val="0"/>
          <w:numId w:val="0"/>
        </w:numPr>
        <w:spacing w:after="0"/>
        <w:rPr>
          <w:i/>
          <w:lang w:val="fr-CH"/>
        </w:rPr>
      </w:pPr>
    </w:p>
    <w:p w:rsidR="00422461" w:rsidRDefault="00422461" w:rsidP="00422461">
      <w:pPr>
        <w:pStyle w:val="ONUMFS"/>
        <w:numPr>
          <w:ilvl w:val="0"/>
          <w:numId w:val="0"/>
        </w:numPr>
        <w:spacing w:after="0"/>
        <w:rPr>
          <w:i/>
          <w:lang w:val="fr-CH"/>
        </w:rPr>
      </w:pPr>
    </w:p>
    <w:p w:rsidR="00422461" w:rsidRPr="00422461" w:rsidRDefault="00422461" w:rsidP="00422461">
      <w:pPr>
        <w:pStyle w:val="ONUMFS"/>
        <w:numPr>
          <w:ilvl w:val="0"/>
          <w:numId w:val="0"/>
        </w:numPr>
        <w:spacing w:after="0"/>
        <w:rPr>
          <w:i/>
          <w:lang w:val="fr-CH"/>
        </w:rPr>
      </w:pPr>
    </w:p>
    <w:p w:rsidR="003F47DC" w:rsidRPr="00CF1AB0" w:rsidRDefault="003F47DC" w:rsidP="00422461">
      <w:pPr>
        <w:pStyle w:val="Endofdocument-Annex"/>
      </w:pPr>
      <w:r w:rsidRPr="00CF1AB0">
        <w:t>[Fin du document]</w:t>
      </w:r>
    </w:p>
    <w:p w:rsidR="003F47DC" w:rsidRPr="00CF1AB0" w:rsidRDefault="003F47DC" w:rsidP="009257D4">
      <w:pPr>
        <w:pStyle w:val="Endofdocument-Annex"/>
      </w:pPr>
    </w:p>
    <w:sectPr w:rsidR="003F47DC" w:rsidRPr="00CF1AB0" w:rsidSect="00422461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6B" w:rsidRDefault="00F7426B">
      <w:r>
        <w:separator/>
      </w:r>
    </w:p>
  </w:endnote>
  <w:endnote w:type="continuationSeparator" w:id="0">
    <w:p w:rsidR="00F7426B" w:rsidRDefault="00F7426B" w:rsidP="003B38C1">
      <w:r>
        <w:separator/>
      </w:r>
    </w:p>
    <w:p w:rsidR="00F7426B" w:rsidRPr="003B38C1" w:rsidRDefault="00F742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426B" w:rsidRPr="003B38C1" w:rsidRDefault="00F742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6B" w:rsidRDefault="00F7426B">
      <w:r>
        <w:separator/>
      </w:r>
    </w:p>
  </w:footnote>
  <w:footnote w:type="continuationSeparator" w:id="0">
    <w:p w:rsidR="00F7426B" w:rsidRDefault="00F7426B" w:rsidP="008B60B2">
      <w:r>
        <w:separator/>
      </w:r>
    </w:p>
    <w:p w:rsidR="00F7426B" w:rsidRPr="00ED77FB" w:rsidRDefault="00F742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426B" w:rsidRPr="00ED77FB" w:rsidRDefault="00F742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7D4" w:rsidRDefault="009257D4" w:rsidP="009257D4">
    <w:pPr>
      <w:pStyle w:val="Header"/>
      <w:jc w:val="right"/>
    </w:pPr>
    <w:r>
      <w:t>PCT/WG/7/</w:t>
    </w:r>
    <w:r w:rsidR="00BC3F15">
      <w:t>8</w:t>
    </w:r>
  </w:p>
  <w:p w:rsidR="009257D4" w:rsidRDefault="009257D4" w:rsidP="009257D4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C41EA">
      <w:rPr>
        <w:noProof/>
      </w:rPr>
      <w:t>2</w:t>
    </w:r>
    <w:r>
      <w:rPr>
        <w:noProof/>
      </w:rPr>
      <w:fldChar w:fldCharType="end"/>
    </w:r>
  </w:p>
  <w:p w:rsidR="009257D4" w:rsidRDefault="009257D4" w:rsidP="009257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7C16D9A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Administrative\Meetings|Administrative\Other|Administrative\Publications|IP in General\Academy|IP in General\Arbitration and Mediation|IP in General\Meetings|IP in General\Other|IP in General\Press Room|IP in General\Publications|Glossaries\EN-FR"/>
    <w:docVar w:name="TextBaseURL" w:val="empty"/>
    <w:docVar w:name="UILng" w:val="en"/>
  </w:docVars>
  <w:rsids>
    <w:rsidRoot w:val="00356903"/>
    <w:rsid w:val="00004848"/>
    <w:rsid w:val="00010955"/>
    <w:rsid w:val="00030463"/>
    <w:rsid w:val="00043CAA"/>
    <w:rsid w:val="0005099A"/>
    <w:rsid w:val="00075432"/>
    <w:rsid w:val="000811AE"/>
    <w:rsid w:val="00086301"/>
    <w:rsid w:val="00094F9B"/>
    <w:rsid w:val="000968ED"/>
    <w:rsid w:val="000B20A2"/>
    <w:rsid w:val="000B6389"/>
    <w:rsid w:val="000C5377"/>
    <w:rsid w:val="000F5E56"/>
    <w:rsid w:val="000F6746"/>
    <w:rsid w:val="001009EF"/>
    <w:rsid w:val="001362EE"/>
    <w:rsid w:val="00165687"/>
    <w:rsid w:val="001832A6"/>
    <w:rsid w:val="00183F3C"/>
    <w:rsid w:val="001869EE"/>
    <w:rsid w:val="001B3C4B"/>
    <w:rsid w:val="001E048E"/>
    <w:rsid w:val="001F08DB"/>
    <w:rsid w:val="00233C0A"/>
    <w:rsid w:val="00242E6A"/>
    <w:rsid w:val="002634C4"/>
    <w:rsid w:val="00275BAD"/>
    <w:rsid w:val="00277B72"/>
    <w:rsid w:val="002928D3"/>
    <w:rsid w:val="002A4791"/>
    <w:rsid w:val="002F1FE6"/>
    <w:rsid w:val="002F4E68"/>
    <w:rsid w:val="00304FA9"/>
    <w:rsid w:val="00307D94"/>
    <w:rsid w:val="00312F7F"/>
    <w:rsid w:val="00356903"/>
    <w:rsid w:val="00361450"/>
    <w:rsid w:val="003673CF"/>
    <w:rsid w:val="003769E5"/>
    <w:rsid w:val="003845C1"/>
    <w:rsid w:val="00396A29"/>
    <w:rsid w:val="003A6F89"/>
    <w:rsid w:val="003B38C1"/>
    <w:rsid w:val="003C02E6"/>
    <w:rsid w:val="003E1925"/>
    <w:rsid w:val="003E7906"/>
    <w:rsid w:val="003F47DC"/>
    <w:rsid w:val="00407F02"/>
    <w:rsid w:val="00422461"/>
    <w:rsid w:val="00423E3E"/>
    <w:rsid w:val="00427AF4"/>
    <w:rsid w:val="00435CB6"/>
    <w:rsid w:val="00452DE6"/>
    <w:rsid w:val="004534D2"/>
    <w:rsid w:val="004647DA"/>
    <w:rsid w:val="00474062"/>
    <w:rsid w:val="00477D6B"/>
    <w:rsid w:val="00485017"/>
    <w:rsid w:val="004C7834"/>
    <w:rsid w:val="004D6877"/>
    <w:rsid w:val="004E4449"/>
    <w:rsid w:val="005019FF"/>
    <w:rsid w:val="0053057A"/>
    <w:rsid w:val="00530AB6"/>
    <w:rsid w:val="005534EF"/>
    <w:rsid w:val="00560A29"/>
    <w:rsid w:val="0056360B"/>
    <w:rsid w:val="0058239C"/>
    <w:rsid w:val="005B26A0"/>
    <w:rsid w:val="005C6649"/>
    <w:rsid w:val="005D1D0E"/>
    <w:rsid w:val="005D22AE"/>
    <w:rsid w:val="00605827"/>
    <w:rsid w:val="00644246"/>
    <w:rsid w:val="00646050"/>
    <w:rsid w:val="0064659B"/>
    <w:rsid w:val="00671087"/>
    <w:rsid w:val="006713CA"/>
    <w:rsid w:val="00676C5C"/>
    <w:rsid w:val="00697E73"/>
    <w:rsid w:val="006C09A9"/>
    <w:rsid w:val="006E7C70"/>
    <w:rsid w:val="006F00D3"/>
    <w:rsid w:val="00717AD3"/>
    <w:rsid w:val="00723859"/>
    <w:rsid w:val="00724E65"/>
    <w:rsid w:val="007457D3"/>
    <w:rsid w:val="00746566"/>
    <w:rsid w:val="00791260"/>
    <w:rsid w:val="007D1613"/>
    <w:rsid w:val="007E3A2E"/>
    <w:rsid w:val="007F26D9"/>
    <w:rsid w:val="00804877"/>
    <w:rsid w:val="00816C6D"/>
    <w:rsid w:val="00832B7D"/>
    <w:rsid w:val="008510B8"/>
    <w:rsid w:val="0086727B"/>
    <w:rsid w:val="008A1EB5"/>
    <w:rsid w:val="008A5751"/>
    <w:rsid w:val="008B2CC1"/>
    <w:rsid w:val="008B60B2"/>
    <w:rsid w:val="00900F13"/>
    <w:rsid w:val="009057F1"/>
    <w:rsid w:val="0090731E"/>
    <w:rsid w:val="00916EE2"/>
    <w:rsid w:val="009257D4"/>
    <w:rsid w:val="00930BAF"/>
    <w:rsid w:val="00934D9E"/>
    <w:rsid w:val="00946F04"/>
    <w:rsid w:val="00966A22"/>
    <w:rsid w:val="0096722F"/>
    <w:rsid w:val="00977AA2"/>
    <w:rsid w:val="00980843"/>
    <w:rsid w:val="00980B31"/>
    <w:rsid w:val="0099228C"/>
    <w:rsid w:val="009D526C"/>
    <w:rsid w:val="009E2791"/>
    <w:rsid w:val="009E3F6F"/>
    <w:rsid w:val="009F499F"/>
    <w:rsid w:val="00A20254"/>
    <w:rsid w:val="00A30581"/>
    <w:rsid w:val="00A33407"/>
    <w:rsid w:val="00A42DAF"/>
    <w:rsid w:val="00A45BD8"/>
    <w:rsid w:val="00A45CF2"/>
    <w:rsid w:val="00A869B7"/>
    <w:rsid w:val="00A935CA"/>
    <w:rsid w:val="00AA5AD8"/>
    <w:rsid w:val="00AC205C"/>
    <w:rsid w:val="00AE6926"/>
    <w:rsid w:val="00AF0A6B"/>
    <w:rsid w:val="00B03A2C"/>
    <w:rsid w:val="00B05A69"/>
    <w:rsid w:val="00B063B7"/>
    <w:rsid w:val="00B9734B"/>
    <w:rsid w:val="00BB235B"/>
    <w:rsid w:val="00BC3F15"/>
    <w:rsid w:val="00BD23FA"/>
    <w:rsid w:val="00BE6E25"/>
    <w:rsid w:val="00BF7365"/>
    <w:rsid w:val="00C00674"/>
    <w:rsid w:val="00C11BFE"/>
    <w:rsid w:val="00C7264F"/>
    <w:rsid w:val="00C8703B"/>
    <w:rsid w:val="00CA1B8E"/>
    <w:rsid w:val="00CC5D1A"/>
    <w:rsid w:val="00CD799C"/>
    <w:rsid w:val="00CE506D"/>
    <w:rsid w:val="00CF1AB0"/>
    <w:rsid w:val="00D047F7"/>
    <w:rsid w:val="00D325A6"/>
    <w:rsid w:val="00D45252"/>
    <w:rsid w:val="00D52B88"/>
    <w:rsid w:val="00D71B4D"/>
    <w:rsid w:val="00D9033E"/>
    <w:rsid w:val="00D93D55"/>
    <w:rsid w:val="00DB745C"/>
    <w:rsid w:val="00DB76CB"/>
    <w:rsid w:val="00E10EFB"/>
    <w:rsid w:val="00E16428"/>
    <w:rsid w:val="00E335FE"/>
    <w:rsid w:val="00E351CA"/>
    <w:rsid w:val="00E3727D"/>
    <w:rsid w:val="00E470B1"/>
    <w:rsid w:val="00E569CD"/>
    <w:rsid w:val="00E979D1"/>
    <w:rsid w:val="00EA417C"/>
    <w:rsid w:val="00EB3658"/>
    <w:rsid w:val="00EC1992"/>
    <w:rsid w:val="00EC4E49"/>
    <w:rsid w:val="00ED69D6"/>
    <w:rsid w:val="00ED77FB"/>
    <w:rsid w:val="00EE2903"/>
    <w:rsid w:val="00EE45FA"/>
    <w:rsid w:val="00EE4C80"/>
    <w:rsid w:val="00EE6B67"/>
    <w:rsid w:val="00F15BF5"/>
    <w:rsid w:val="00F24575"/>
    <w:rsid w:val="00F41DB4"/>
    <w:rsid w:val="00F57DA9"/>
    <w:rsid w:val="00F66152"/>
    <w:rsid w:val="00F7426B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9A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46566"/>
    <w:pPr>
      <w:keepNext/>
      <w:spacing w:before="48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unhideWhenUsed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4534D2"/>
    <w:pPr>
      <w:spacing w:after="180"/>
    </w:pPr>
    <w:rPr>
      <w:sz w:val="20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EA417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rsid w:val="006C09A9"/>
    <w:rPr>
      <w:color w:val="auto"/>
      <w:vertAlign w:val="superscript"/>
    </w:rPr>
  </w:style>
  <w:style w:type="character" w:styleId="Emphasis">
    <w:name w:val="Emphasis"/>
    <w:uiPriority w:val="20"/>
    <w:qFormat/>
    <w:rsid w:val="0056360B"/>
    <w:rPr>
      <w:i/>
      <w:iCs/>
    </w:rPr>
  </w:style>
  <w:style w:type="character" w:styleId="Hyperlink">
    <w:name w:val="Hyperlink"/>
    <w:basedOn w:val="DefaultParagraphFont"/>
    <w:rsid w:val="00BB235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07F0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D9F6C-3D50-4C30-B1F2-35ACCD5F8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2F1C3-7130-44BE-A60B-D55DA29A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0</TotalTime>
  <Pages>3</Pages>
  <Words>771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PCT/WG/7/8</vt:lpstr>
    </vt:vector>
  </TitlesOfParts>
  <Company>WIPO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PCT/WG/7/8</dc:title>
  <dc:subject>eSearchCopy</dc:subject>
  <dc:creator>WIPO</dc:creator>
  <cp:lastModifiedBy>MARLOW Thomas</cp:lastModifiedBy>
  <cp:revision>2</cp:revision>
  <cp:lastPrinted>2014-05-09T15:37:00Z</cp:lastPrinted>
  <dcterms:created xsi:type="dcterms:W3CDTF">2014-05-12T07:43:00Z</dcterms:created>
  <dcterms:modified xsi:type="dcterms:W3CDTF">2014-05-12T07:43:00Z</dcterms:modified>
</cp:coreProperties>
</file>