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55ED2" w:rsidRPr="00A55ED2" w:rsidTr="009D585E">
        <w:tc>
          <w:tcPr>
            <w:tcW w:w="4513" w:type="dxa"/>
            <w:tcBorders>
              <w:bottom w:val="single" w:sz="4" w:space="0" w:color="auto"/>
            </w:tcBorders>
            <w:tcMar>
              <w:bottom w:w="170" w:type="dxa"/>
            </w:tcMar>
          </w:tcPr>
          <w:p w:rsidR="00330E49" w:rsidRPr="00A55ED2" w:rsidRDefault="00330E49" w:rsidP="009D585E">
            <w:pPr>
              <w:spacing w:line="480" w:lineRule="auto"/>
              <w:rPr>
                <w:lang w:val="fr-FR"/>
              </w:rPr>
            </w:pPr>
          </w:p>
        </w:tc>
        <w:tc>
          <w:tcPr>
            <w:tcW w:w="4337" w:type="dxa"/>
            <w:tcBorders>
              <w:bottom w:val="single" w:sz="4" w:space="0" w:color="auto"/>
            </w:tcBorders>
            <w:tcMar>
              <w:left w:w="0" w:type="dxa"/>
              <w:right w:w="0" w:type="dxa"/>
            </w:tcMar>
          </w:tcPr>
          <w:p w:rsidR="00330E49" w:rsidRPr="00A55ED2" w:rsidRDefault="00330E49" w:rsidP="009D585E">
            <w:pPr>
              <w:spacing w:line="480" w:lineRule="auto"/>
              <w:rPr>
                <w:lang w:val="fr-FR"/>
              </w:rPr>
            </w:pPr>
            <w:r w:rsidRPr="00A55ED2">
              <w:rPr>
                <w:noProof/>
                <w:lang w:eastAsia="en-US"/>
              </w:rPr>
              <w:drawing>
                <wp:inline distT="0" distB="0" distL="0" distR="0" wp14:anchorId="1484831C" wp14:editId="3AA67C8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30E49" w:rsidRPr="00A55ED2" w:rsidRDefault="00330E49" w:rsidP="009D585E">
            <w:pPr>
              <w:spacing w:line="480" w:lineRule="auto"/>
              <w:jc w:val="right"/>
              <w:rPr>
                <w:lang w:val="fr-FR"/>
              </w:rPr>
            </w:pPr>
            <w:r w:rsidRPr="00A55ED2">
              <w:rPr>
                <w:b/>
                <w:sz w:val="40"/>
                <w:szCs w:val="40"/>
                <w:lang w:val="fr-FR"/>
              </w:rPr>
              <w:t>F</w:t>
            </w:r>
          </w:p>
        </w:tc>
      </w:tr>
      <w:tr w:rsidR="00A55ED2" w:rsidRPr="00A55ED2" w:rsidTr="009D585E">
        <w:trPr>
          <w:trHeight w:hRule="exact" w:val="340"/>
        </w:trPr>
        <w:tc>
          <w:tcPr>
            <w:tcW w:w="9356" w:type="dxa"/>
            <w:gridSpan w:val="3"/>
            <w:tcBorders>
              <w:top w:val="single" w:sz="4" w:space="0" w:color="auto"/>
            </w:tcBorders>
            <w:tcMar>
              <w:top w:w="170" w:type="dxa"/>
              <w:left w:w="0" w:type="dxa"/>
              <w:right w:w="0" w:type="dxa"/>
            </w:tcMar>
            <w:vAlign w:val="bottom"/>
          </w:tcPr>
          <w:p w:rsidR="00330E49" w:rsidRPr="00A55ED2" w:rsidRDefault="00330E49" w:rsidP="00330E49">
            <w:pPr>
              <w:spacing w:line="480" w:lineRule="auto"/>
              <w:jc w:val="right"/>
              <w:rPr>
                <w:rFonts w:ascii="Arial Black" w:hAnsi="Arial Black"/>
                <w:caps/>
                <w:sz w:val="15"/>
                <w:lang w:val="fr-FR"/>
              </w:rPr>
            </w:pPr>
            <w:r w:rsidRPr="00A55ED2">
              <w:rPr>
                <w:rFonts w:ascii="Arial Black" w:hAnsi="Arial Black"/>
                <w:caps/>
                <w:sz w:val="15"/>
                <w:lang w:val="fr-FR"/>
              </w:rPr>
              <w:t>PCT/WG/8/</w:t>
            </w:r>
            <w:bookmarkStart w:id="0" w:name="Code"/>
            <w:bookmarkEnd w:id="0"/>
            <w:r w:rsidRPr="00A55ED2">
              <w:rPr>
                <w:rFonts w:ascii="Arial Black" w:hAnsi="Arial Black"/>
                <w:caps/>
                <w:sz w:val="15"/>
                <w:lang w:val="fr-FR"/>
              </w:rPr>
              <w:t xml:space="preserve">5 </w:t>
            </w:r>
          </w:p>
        </w:tc>
      </w:tr>
      <w:tr w:rsidR="00A55ED2" w:rsidRPr="00A55ED2" w:rsidTr="009D585E">
        <w:trPr>
          <w:trHeight w:hRule="exact" w:val="170"/>
        </w:trPr>
        <w:tc>
          <w:tcPr>
            <w:tcW w:w="9356" w:type="dxa"/>
            <w:gridSpan w:val="3"/>
            <w:noWrap/>
            <w:tcMar>
              <w:left w:w="0" w:type="dxa"/>
              <w:right w:w="0" w:type="dxa"/>
            </w:tcMar>
            <w:vAlign w:val="bottom"/>
          </w:tcPr>
          <w:p w:rsidR="00330E49" w:rsidRPr="00A55ED2" w:rsidRDefault="00330E49" w:rsidP="009D585E">
            <w:pPr>
              <w:spacing w:line="480" w:lineRule="auto"/>
              <w:jc w:val="right"/>
              <w:rPr>
                <w:rFonts w:ascii="Arial Black" w:hAnsi="Arial Black"/>
                <w:caps/>
                <w:sz w:val="15"/>
                <w:lang w:val="fr-FR"/>
              </w:rPr>
            </w:pPr>
            <w:r w:rsidRPr="00A55ED2">
              <w:rPr>
                <w:rFonts w:ascii="Arial Black" w:hAnsi="Arial Black"/>
                <w:caps/>
                <w:sz w:val="15"/>
                <w:lang w:val="fr-FR"/>
              </w:rPr>
              <w:t xml:space="preserve">ORIGINAL : </w:t>
            </w:r>
            <w:bookmarkStart w:id="1" w:name="Original"/>
            <w:bookmarkEnd w:id="1"/>
            <w:r w:rsidRPr="00A55ED2">
              <w:rPr>
                <w:rFonts w:ascii="Arial Black" w:hAnsi="Arial Black"/>
                <w:caps/>
                <w:sz w:val="15"/>
                <w:lang w:val="fr-FR"/>
              </w:rPr>
              <w:t>anglais</w:t>
            </w:r>
          </w:p>
        </w:tc>
      </w:tr>
      <w:tr w:rsidR="00A55ED2" w:rsidRPr="00A55ED2" w:rsidTr="009D585E">
        <w:trPr>
          <w:trHeight w:hRule="exact" w:val="198"/>
        </w:trPr>
        <w:tc>
          <w:tcPr>
            <w:tcW w:w="9356" w:type="dxa"/>
            <w:gridSpan w:val="3"/>
            <w:tcMar>
              <w:left w:w="0" w:type="dxa"/>
              <w:right w:w="0" w:type="dxa"/>
            </w:tcMar>
            <w:vAlign w:val="bottom"/>
          </w:tcPr>
          <w:p w:rsidR="00330E49" w:rsidRPr="00A55ED2" w:rsidRDefault="00330E49" w:rsidP="009D585E">
            <w:pPr>
              <w:spacing w:line="480" w:lineRule="auto"/>
              <w:jc w:val="right"/>
              <w:rPr>
                <w:rFonts w:ascii="Arial Black" w:hAnsi="Arial Black"/>
                <w:caps/>
                <w:sz w:val="15"/>
                <w:lang w:val="fr-FR"/>
              </w:rPr>
            </w:pPr>
            <w:r w:rsidRPr="00A55ED2">
              <w:rPr>
                <w:rFonts w:ascii="Arial Black" w:hAnsi="Arial Black"/>
                <w:caps/>
                <w:sz w:val="15"/>
                <w:lang w:val="fr-FR"/>
              </w:rPr>
              <w:t xml:space="preserve">DATE : </w:t>
            </w:r>
            <w:bookmarkStart w:id="2" w:name="Date"/>
            <w:bookmarkEnd w:id="2"/>
            <w:r w:rsidRPr="00A55ED2">
              <w:rPr>
                <w:rFonts w:ascii="Arial Black" w:hAnsi="Arial Black"/>
                <w:caps/>
                <w:sz w:val="15"/>
                <w:lang w:val="fr-FR"/>
              </w:rPr>
              <w:t>12 mars 2015</w:t>
            </w:r>
          </w:p>
        </w:tc>
      </w:tr>
    </w:tbl>
    <w:p w:rsidR="00330E49" w:rsidRPr="00A55ED2" w:rsidRDefault="00330E49" w:rsidP="00330E49">
      <w:pPr>
        <w:rPr>
          <w:lang w:val="fr-FR"/>
        </w:rPr>
      </w:pPr>
    </w:p>
    <w:p w:rsidR="00330E49" w:rsidRPr="00A55ED2" w:rsidRDefault="00330E49" w:rsidP="00330E49">
      <w:pPr>
        <w:rPr>
          <w:lang w:val="fr-FR"/>
        </w:rPr>
      </w:pPr>
    </w:p>
    <w:p w:rsidR="00330E49" w:rsidRPr="00A55ED2" w:rsidRDefault="00330E49" w:rsidP="00330E49">
      <w:pPr>
        <w:rPr>
          <w:lang w:val="fr-FR"/>
        </w:rPr>
      </w:pPr>
    </w:p>
    <w:p w:rsidR="00330E49" w:rsidRPr="00A55ED2" w:rsidRDefault="00330E49" w:rsidP="00330E49">
      <w:pPr>
        <w:rPr>
          <w:lang w:val="fr-FR"/>
        </w:rPr>
      </w:pPr>
    </w:p>
    <w:p w:rsidR="00330E49" w:rsidRPr="00A55ED2" w:rsidRDefault="00330E49" w:rsidP="00330E49">
      <w:pPr>
        <w:rPr>
          <w:lang w:val="fr-FR"/>
        </w:rPr>
      </w:pPr>
    </w:p>
    <w:p w:rsidR="00330E49" w:rsidRPr="00A55ED2" w:rsidRDefault="00330E49" w:rsidP="00330E49">
      <w:pPr>
        <w:rPr>
          <w:b/>
          <w:sz w:val="28"/>
          <w:szCs w:val="28"/>
          <w:lang w:val="fr-FR"/>
        </w:rPr>
      </w:pPr>
      <w:r w:rsidRPr="00A55ED2">
        <w:rPr>
          <w:b/>
          <w:sz w:val="28"/>
          <w:szCs w:val="28"/>
          <w:lang w:val="fr-FR"/>
        </w:rPr>
        <w:t>Groupe de travail du Traité de coopération en matière de brevets (PCT)</w:t>
      </w:r>
    </w:p>
    <w:p w:rsidR="00330E49" w:rsidRPr="00A55ED2" w:rsidRDefault="00330E49" w:rsidP="00330E49">
      <w:pPr>
        <w:rPr>
          <w:lang w:val="fr-FR"/>
        </w:rPr>
      </w:pPr>
    </w:p>
    <w:p w:rsidR="00330E49" w:rsidRPr="00A55ED2" w:rsidRDefault="00330E49" w:rsidP="00330E49">
      <w:pPr>
        <w:rPr>
          <w:lang w:val="fr-FR"/>
        </w:rPr>
      </w:pPr>
    </w:p>
    <w:p w:rsidR="00330E49" w:rsidRPr="00A55ED2" w:rsidRDefault="00330E49" w:rsidP="00330E49">
      <w:pPr>
        <w:rPr>
          <w:b/>
          <w:sz w:val="24"/>
          <w:szCs w:val="24"/>
          <w:lang w:val="fr-FR"/>
        </w:rPr>
      </w:pPr>
      <w:r w:rsidRPr="00A55ED2">
        <w:rPr>
          <w:b/>
          <w:sz w:val="24"/>
          <w:szCs w:val="24"/>
          <w:lang w:val="fr-FR"/>
        </w:rPr>
        <w:t>Huitième session</w:t>
      </w:r>
    </w:p>
    <w:p w:rsidR="00330E49" w:rsidRPr="00A55ED2" w:rsidRDefault="00330E49" w:rsidP="00330E49">
      <w:pPr>
        <w:rPr>
          <w:b/>
          <w:sz w:val="24"/>
          <w:szCs w:val="24"/>
          <w:lang w:val="fr-FR"/>
        </w:rPr>
      </w:pPr>
      <w:r w:rsidRPr="00A55ED2">
        <w:rPr>
          <w:b/>
          <w:sz w:val="24"/>
          <w:szCs w:val="24"/>
          <w:lang w:val="fr-FR"/>
        </w:rPr>
        <w:t>Genève, 26 – 29 mai 2015</w:t>
      </w:r>
    </w:p>
    <w:p w:rsidR="00330E49" w:rsidRPr="00A55ED2" w:rsidRDefault="00330E49" w:rsidP="00330E49">
      <w:pPr>
        <w:rPr>
          <w:lang w:val="fr-FR"/>
        </w:rPr>
      </w:pPr>
    </w:p>
    <w:p w:rsidR="00330E49" w:rsidRPr="00A55ED2" w:rsidRDefault="00330E49" w:rsidP="00330E49">
      <w:pPr>
        <w:rPr>
          <w:lang w:val="fr-FR"/>
        </w:rPr>
      </w:pPr>
    </w:p>
    <w:p w:rsidR="00330E49" w:rsidRPr="00A55ED2" w:rsidRDefault="00330E49" w:rsidP="00330E49">
      <w:pPr>
        <w:rPr>
          <w:lang w:val="fr-FR"/>
        </w:rPr>
      </w:pPr>
    </w:p>
    <w:p w:rsidR="00785FC5" w:rsidRPr="00A55ED2" w:rsidRDefault="00097563" w:rsidP="00097563">
      <w:pPr>
        <w:rPr>
          <w:caps/>
          <w:sz w:val="24"/>
          <w:lang w:val="fr-FR"/>
        </w:rPr>
      </w:pPr>
      <w:r w:rsidRPr="00A55ED2">
        <w:rPr>
          <w:caps/>
          <w:sz w:val="24"/>
          <w:lang w:val="fr-FR"/>
        </w:rPr>
        <w:t xml:space="preserve">revendications de priorité </w:t>
      </w:r>
      <w:r w:rsidR="00330E49" w:rsidRPr="00A55ED2">
        <w:rPr>
          <w:caps/>
          <w:sz w:val="24"/>
          <w:lang w:val="fr-FR"/>
        </w:rPr>
        <w:t>PORTANT SUR</w:t>
      </w:r>
      <w:r w:rsidRPr="00A55ED2">
        <w:rPr>
          <w:caps/>
          <w:sz w:val="24"/>
          <w:lang w:val="fr-FR"/>
        </w:rPr>
        <w:t xml:space="preserve"> la même date</w:t>
      </w:r>
    </w:p>
    <w:p w:rsidR="00785FC5" w:rsidRPr="00A55ED2" w:rsidRDefault="00785FC5" w:rsidP="008B2CC1">
      <w:pPr>
        <w:rPr>
          <w:lang w:val="fr-FR"/>
        </w:rPr>
      </w:pPr>
    </w:p>
    <w:p w:rsidR="00785FC5" w:rsidRPr="00A55ED2" w:rsidRDefault="00097563" w:rsidP="00097563">
      <w:pPr>
        <w:rPr>
          <w:i/>
          <w:lang w:val="fr-FR"/>
        </w:rPr>
      </w:pPr>
      <w:bookmarkStart w:id="3" w:name="Prepared"/>
      <w:bookmarkEnd w:id="3"/>
      <w:r w:rsidRPr="00A55ED2">
        <w:rPr>
          <w:i/>
          <w:lang w:val="fr-FR"/>
        </w:rPr>
        <w:t>Document établi par le Bureau international</w:t>
      </w:r>
    </w:p>
    <w:p w:rsidR="00785FC5" w:rsidRPr="00A55ED2" w:rsidRDefault="00785FC5">
      <w:pPr>
        <w:rPr>
          <w:lang w:val="fr-FR"/>
        </w:rPr>
      </w:pPr>
    </w:p>
    <w:p w:rsidR="00785FC5" w:rsidRPr="00A55ED2" w:rsidRDefault="00785FC5">
      <w:pPr>
        <w:rPr>
          <w:lang w:val="fr-FR"/>
        </w:rPr>
      </w:pPr>
    </w:p>
    <w:p w:rsidR="00785FC5" w:rsidRPr="00A55ED2" w:rsidRDefault="00785FC5">
      <w:pPr>
        <w:rPr>
          <w:lang w:val="fr-FR"/>
        </w:rPr>
      </w:pPr>
    </w:p>
    <w:p w:rsidR="00785FC5" w:rsidRPr="00A55ED2" w:rsidRDefault="00785FC5" w:rsidP="0053057A">
      <w:pPr>
        <w:rPr>
          <w:lang w:val="fr-FR"/>
        </w:rPr>
      </w:pPr>
    </w:p>
    <w:p w:rsidR="00785FC5" w:rsidRPr="00A55ED2" w:rsidRDefault="00097563" w:rsidP="00097563">
      <w:pPr>
        <w:pStyle w:val="Heading1"/>
        <w:rPr>
          <w:lang w:val="fr-FR"/>
        </w:rPr>
      </w:pPr>
      <w:r w:rsidRPr="00A55ED2">
        <w:rPr>
          <w:lang w:val="fr-FR"/>
        </w:rPr>
        <w:t>Résumé</w:t>
      </w:r>
    </w:p>
    <w:p w:rsidR="00785FC5" w:rsidRPr="00A55ED2" w:rsidRDefault="00CD048E" w:rsidP="00CD048E">
      <w:pPr>
        <w:pStyle w:val="ONUME"/>
        <w:rPr>
          <w:lang w:val="fr-FR"/>
        </w:rPr>
      </w:pPr>
      <w:r w:rsidRPr="00A55ED2">
        <w:rPr>
          <w:lang w:val="fr-FR"/>
        </w:rPr>
        <w:t>Dans le contexte des discussions sur l</w:t>
      </w:r>
      <w:r w:rsidR="004642BB" w:rsidRPr="00A55ED2">
        <w:rPr>
          <w:lang w:val="fr-FR"/>
        </w:rPr>
        <w:t>’</w:t>
      </w:r>
      <w:r w:rsidRPr="00A55ED2">
        <w:rPr>
          <w:lang w:val="fr-FR"/>
        </w:rPr>
        <w:t>incorporation par renvoi de parties manquantes, la question s</w:t>
      </w:r>
      <w:r w:rsidR="004642BB" w:rsidRPr="00A55ED2">
        <w:rPr>
          <w:lang w:val="fr-FR"/>
        </w:rPr>
        <w:t>’</w:t>
      </w:r>
      <w:r w:rsidRPr="00A55ED2">
        <w:rPr>
          <w:lang w:val="fr-FR"/>
        </w:rPr>
        <w:t>est posée de savoir si une revendication de priorité qui figure dans une demande internationale et qui est fondée sur une demande antérieure ayant la même date de dépôt que la demande internationale (</w:t>
      </w:r>
      <w:r w:rsidR="00AC7F1A" w:rsidRPr="00A55ED2">
        <w:rPr>
          <w:lang w:val="fr-FR"/>
        </w:rPr>
        <w:t>“</w:t>
      </w:r>
      <w:r w:rsidRPr="00A55ED2">
        <w:rPr>
          <w:lang w:val="fr-FR"/>
        </w:rPr>
        <w:t>revendication de priorité portant sur la même date</w:t>
      </w:r>
      <w:r w:rsidR="00AC7F1A" w:rsidRPr="00A55ED2">
        <w:rPr>
          <w:lang w:val="fr-FR"/>
        </w:rPr>
        <w:t>”</w:t>
      </w:r>
      <w:r w:rsidRPr="00A55ED2">
        <w:rPr>
          <w:lang w:val="fr-FR"/>
        </w:rPr>
        <w:t>) est une revendication de priorité valable selon la Convention de Paris et, partant,</w:t>
      </w:r>
      <w:r w:rsidR="004642BB" w:rsidRPr="00A55ED2">
        <w:rPr>
          <w:lang w:val="fr-FR"/>
        </w:rPr>
        <w:t xml:space="preserve"> le PCT</w:t>
      </w:r>
      <w:r w:rsidRPr="00A55ED2">
        <w:rPr>
          <w:lang w:val="fr-FR"/>
        </w:rPr>
        <w:t>.  Le présent document met en évidence un certain nombre d</w:t>
      </w:r>
      <w:r w:rsidR="004642BB" w:rsidRPr="00A55ED2">
        <w:rPr>
          <w:lang w:val="fr-FR"/>
        </w:rPr>
        <w:t>’</w:t>
      </w:r>
      <w:r w:rsidRPr="00A55ED2">
        <w:rPr>
          <w:lang w:val="fr-FR"/>
        </w:rPr>
        <w:t>options quant aux moyens possibles de remédier aux différences d</w:t>
      </w:r>
      <w:r w:rsidR="004642BB" w:rsidRPr="00A55ED2">
        <w:rPr>
          <w:lang w:val="fr-FR"/>
        </w:rPr>
        <w:t>’</w:t>
      </w:r>
      <w:r w:rsidRPr="00A55ED2">
        <w:rPr>
          <w:lang w:val="fr-FR"/>
        </w:rPr>
        <w:t>interprétation de la Convention de Paris s</w:t>
      </w:r>
      <w:r w:rsidR="004642BB" w:rsidRPr="00A55ED2">
        <w:rPr>
          <w:lang w:val="fr-FR"/>
        </w:rPr>
        <w:t>’</w:t>
      </w:r>
      <w:r w:rsidRPr="00A55ED2">
        <w:rPr>
          <w:lang w:val="fr-FR"/>
        </w:rPr>
        <w:t>agissant de savoir si les revendications de priorité portant sur la même date sont autorisées.</w:t>
      </w:r>
    </w:p>
    <w:p w:rsidR="00785FC5" w:rsidRPr="00A55ED2" w:rsidRDefault="00A55ED2" w:rsidP="00CD048E">
      <w:pPr>
        <w:pStyle w:val="ONUME"/>
        <w:rPr>
          <w:lang w:val="fr-FR"/>
        </w:rPr>
      </w:pPr>
      <w:r w:rsidRPr="00A55ED2">
        <w:rPr>
          <w:lang w:val="fr-FR"/>
        </w:rPr>
        <w:t>La vingt</w:t>
      </w:r>
      <w:r w:rsidRPr="00A55ED2">
        <w:rPr>
          <w:lang w:val="fr-FR"/>
        </w:rPr>
        <w:noBreakHyphen/>
        <w:t>deuxième Réunion des</w:t>
      </w:r>
      <w:r w:rsidR="00CD048E" w:rsidRPr="00A55ED2">
        <w:rPr>
          <w:lang w:val="fr-FR"/>
        </w:rPr>
        <w:t xml:space="preserve"> administrations internationales</w:t>
      </w:r>
      <w:r w:rsidR="004642BB" w:rsidRPr="00A55ED2">
        <w:rPr>
          <w:lang w:val="fr-FR"/>
        </w:rPr>
        <w:t xml:space="preserve"> du PCT</w:t>
      </w:r>
      <w:r w:rsidR="00CD048E" w:rsidRPr="00A55ED2">
        <w:rPr>
          <w:lang w:val="fr-FR"/>
        </w:rPr>
        <w:t xml:space="preserve"> </w:t>
      </w:r>
      <w:r w:rsidR="00330E49" w:rsidRPr="00A55ED2">
        <w:rPr>
          <w:lang w:val="fr-FR"/>
        </w:rPr>
        <w:t xml:space="preserve">(PCT/MIA) </w:t>
      </w:r>
      <w:r w:rsidRPr="00A55ED2">
        <w:rPr>
          <w:lang w:val="fr-FR"/>
        </w:rPr>
        <w:t>tenue à Tokyo du 4 au 6 février 2015 a</w:t>
      </w:r>
      <w:r w:rsidR="00CD048E" w:rsidRPr="00A55ED2">
        <w:rPr>
          <w:lang w:val="fr-FR"/>
        </w:rPr>
        <w:t xml:space="preserve"> examiné la question des revendications de priorité portant sur la même date.</w:t>
      </w:r>
      <w:r w:rsidR="008609B8" w:rsidRPr="00A55ED2">
        <w:rPr>
          <w:lang w:val="fr-FR"/>
        </w:rPr>
        <w:t xml:space="preserve">  </w:t>
      </w:r>
      <w:r w:rsidR="00CD048E" w:rsidRPr="00A55ED2">
        <w:rPr>
          <w:lang w:val="fr-FR"/>
        </w:rPr>
        <w:t>Ces discussions sont récapitulées dans le résumé présenté par le président (paragraphes</w:t>
      </w:r>
      <w:r w:rsidR="00FE5352" w:rsidRPr="00A55ED2">
        <w:rPr>
          <w:lang w:val="fr-FR"/>
        </w:rPr>
        <w:t> </w:t>
      </w:r>
      <w:r w:rsidR="00CD048E" w:rsidRPr="00A55ED2">
        <w:rPr>
          <w:lang w:val="fr-FR"/>
        </w:rPr>
        <w:t>92 à 97 du document PCT/MIA/22/22, reproduit en annexe du document PCT/WG/8/2).</w:t>
      </w:r>
    </w:p>
    <w:p w:rsidR="00785FC5" w:rsidRPr="00A55ED2" w:rsidRDefault="00CD048E" w:rsidP="00CD048E">
      <w:pPr>
        <w:pStyle w:val="Heading1"/>
        <w:keepNext w:val="0"/>
        <w:rPr>
          <w:lang w:val="fr-FR"/>
        </w:rPr>
      </w:pPr>
      <w:r w:rsidRPr="00A55ED2">
        <w:rPr>
          <w:lang w:val="fr-FR"/>
        </w:rPr>
        <w:t>rappel</w:t>
      </w:r>
    </w:p>
    <w:p w:rsidR="009F6260" w:rsidRDefault="00CD048E" w:rsidP="00CD048E">
      <w:pPr>
        <w:pStyle w:val="ONUME"/>
        <w:rPr>
          <w:lang w:val="fr-FR"/>
        </w:rPr>
      </w:pPr>
      <w:r w:rsidRPr="00A55ED2">
        <w:rPr>
          <w:lang w:val="fr-FR"/>
        </w:rPr>
        <w:t>À ses sixième et septième</w:t>
      </w:r>
      <w:r w:rsidR="00FE5352" w:rsidRPr="00A55ED2">
        <w:rPr>
          <w:lang w:val="fr-FR"/>
        </w:rPr>
        <w:t> </w:t>
      </w:r>
      <w:r w:rsidRPr="00A55ED2">
        <w:rPr>
          <w:lang w:val="fr-FR"/>
        </w:rPr>
        <w:t xml:space="preserve">sessions, le groupe de travail a examiné les moyens de remédier aux différences </w:t>
      </w:r>
      <w:r w:rsidR="00330E49" w:rsidRPr="00A55ED2">
        <w:rPr>
          <w:lang w:val="fr-FR"/>
        </w:rPr>
        <w:t>dans la manière dont</w:t>
      </w:r>
      <w:r w:rsidRPr="00A55ED2">
        <w:rPr>
          <w:lang w:val="fr-FR"/>
        </w:rPr>
        <w:t xml:space="preserve"> les offices récepteurs et les offices désignés ou élus </w:t>
      </w:r>
      <w:r w:rsidR="00330E49" w:rsidRPr="00A55ED2">
        <w:rPr>
          <w:lang w:val="fr-FR"/>
        </w:rPr>
        <w:t>interprètent les</w:t>
      </w:r>
      <w:r w:rsidRPr="00A55ED2">
        <w:rPr>
          <w:lang w:val="fr-FR"/>
        </w:rPr>
        <w:t xml:space="preserve"> dispositions des règles 4.18 et 20.5 et 20.6 concernant l</w:t>
      </w:r>
      <w:r w:rsidR="004642BB" w:rsidRPr="00A55ED2">
        <w:rPr>
          <w:lang w:val="fr-FR"/>
        </w:rPr>
        <w:t>’</w:t>
      </w:r>
      <w:r w:rsidRPr="00A55ED2">
        <w:rPr>
          <w:lang w:val="fr-FR"/>
        </w:rPr>
        <w:t>incorporation par renvoi de parties manquantes (voir les documents PCT/WG/6/20 et PCT/WG/7/19).</w:t>
      </w:r>
      <w:r w:rsidR="00AB48F0" w:rsidRPr="00A55ED2">
        <w:rPr>
          <w:lang w:val="fr-FR"/>
        </w:rPr>
        <w:t xml:space="preserve">  </w:t>
      </w:r>
      <w:r w:rsidRPr="00A55ED2">
        <w:rPr>
          <w:lang w:val="fr-FR"/>
        </w:rPr>
        <w:t>Dans le</w:t>
      </w:r>
      <w:r w:rsidR="009F6260">
        <w:rPr>
          <w:lang w:val="fr-FR"/>
        </w:rPr>
        <w:t xml:space="preserve"> </w:t>
      </w:r>
    </w:p>
    <w:p w:rsidR="00785FC5" w:rsidRPr="00A55ED2" w:rsidRDefault="00CD048E" w:rsidP="009F6260">
      <w:pPr>
        <w:pStyle w:val="ONUME"/>
        <w:numPr>
          <w:ilvl w:val="0"/>
          <w:numId w:val="0"/>
        </w:numPr>
        <w:rPr>
          <w:lang w:val="fr-FR"/>
        </w:rPr>
      </w:pPr>
      <w:proofErr w:type="gramStart"/>
      <w:r w:rsidRPr="00A55ED2">
        <w:rPr>
          <w:lang w:val="fr-FR"/>
        </w:rPr>
        <w:lastRenderedPageBreak/>
        <w:t>contexte</w:t>
      </w:r>
      <w:proofErr w:type="gramEnd"/>
      <w:r w:rsidRPr="00A55ED2">
        <w:rPr>
          <w:lang w:val="fr-FR"/>
        </w:rPr>
        <w:t xml:space="preserve"> de ces discussions, la question s</w:t>
      </w:r>
      <w:r w:rsidR="004642BB" w:rsidRPr="00A55ED2">
        <w:rPr>
          <w:lang w:val="fr-FR"/>
        </w:rPr>
        <w:t>’</w:t>
      </w:r>
      <w:r w:rsidRPr="00A55ED2">
        <w:rPr>
          <w:lang w:val="fr-FR"/>
        </w:rPr>
        <w:t>est posée de savoir si une revendication de priorité portant sur la même date était une revendication de priorité valable selon la Convention de Paris et, partant,</w:t>
      </w:r>
      <w:r w:rsidR="004642BB" w:rsidRPr="00A55ED2">
        <w:rPr>
          <w:lang w:val="fr-FR"/>
        </w:rPr>
        <w:t xml:space="preserve"> le PCT</w:t>
      </w:r>
      <w:r w:rsidRPr="00A55ED2">
        <w:rPr>
          <w:lang w:val="fr-FR"/>
        </w:rPr>
        <w:t>.</w:t>
      </w:r>
    </w:p>
    <w:p w:rsidR="00785FC5" w:rsidRPr="00A55ED2" w:rsidRDefault="002D5BBD" w:rsidP="005413B1">
      <w:pPr>
        <w:pStyle w:val="ONUME"/>
        <w:keepLines/>
        <w:rPr>
          <w:lang w:val="fr-FR"/>
        </w:rPr>
      </w:pPr>
      <w:bookmarkStart w:id="4" w:name="_Ref404608231"/>
      <w:r w:rsidRPr="00A55ED2">
        <w:rPr>
          <w:lang w:val="fr-FR"/>
        </w:rPr>
        <w:t>Les réponses à un questionnaire adressé par le Bureau international à tous les États membres sur l</w:t>
      </w:r>
      <w:r w:rsidR="004642BB" w:rsidRPr="00A55ED2">
        <w:rPr>
          <w:lang w:val="fr-FR"/>
        </w:rPr>
        <w:t>’</w:t>
      </w:r>
      <w:r w:rsidRPr="00A55ED2">
        <w:rPr>
          <w:lang w:val="fr-FR"/>
        </w:rPr>
        <w:t>incorporation par renvoi de parties manquantes, qui traitait aussi des revendications de priorité portant sur la même date, ont fait apparaître qu</w:t>
      </w:r>
      <w:r w:rsidR="004642BB" w:rsidRPr="00A55ED2">
        <w:rPr>
          <w:lang w:val="fr-FR"/>
        </w:rPr>
        <w:t>’</w:t>
      </w:r>
      <w:r w:rsidRPr="00A55ED2">
        <w:rPr>
          <w:lang w:val="fr-FR"/>
        </w:rPr>
        <w:t>il n</w:t>
      </w:r>
      <w:r w:rsidR="004642BB" w:rsidRPr="00A55ED2">
        <w:rPr>
          <w:lang w:val="fr-FR"/>
        </w:rPr>
        <w:t>’</w:t>
      </w:r>
      <w:r w:rsidRPr="00A55ED2">
        <w:rPr>
          <w:lang w:val="fr-FR"/>
        </w:rPr>
        <w:t>existait pas de consensus parmi les États membres sur cette question.</w:t>
      </w:r>
      <w:r w:rsidR="00AB48F0" w:rsidRPr="00A55ED2">
        <w:rPr>
          <w:lang w:val="fr-FR"/>
        </w:rPr>
        <w:t xml:space="preserve">  </w:t>
      </w:r>
      <w:bookmarkEnd w:id="4"/>
      <w:r w:rsidR="005413B1" w:rsidRPr="00A55ED2">
        <w:rPr>
          <w:lang w:val="fr-FR"/>
        </w:rPr>
        <w:t>Tout en reconnaissant que l</w:t>
      </w:r>
      <w:r w:rsidR="004642BB" w:rsidRPr="00A55ED2">
        <w:rPr>
          <w:lang w:val="fr-FR"/>
        </w:rPr>
        <w:t>’</w:t>
      </w:r>
      <w:r w:rsidR="005413B1" w:rsidRPr="00A55ED2">
        <w:rPr>
          <w:lang w:val="fr-FR"/>
        </w:rPr>
        <w:t>organe de l</w:t>
      </w:r>
      <w:r w:rsidR="004642BB" w:rsidRPr="00A55ED2">
        <w:rPr>
          <w:lang w:val="fr-FR"/>
        </w:rPr>
        <w:t>’</w:t>
      </w:r>
      <w:r w:rsidR="005413B1" w:rsidRPr="00A55ED2">
        <w:rPr>
          <w:lang w:val="fr-FR"/>
        </w:rPr>
        <w:t>OMPI compétent pour prendre une décision sur cette question serait l</w:t>
      </w:r>
      <w:r w:rsidR="004642BB" w:rsidRPr="00A55ED2">
        <w:rPr>
          <w:lang w:val="fr-FR"/>
        </w:rPr>
        <w:t>’</w:t>
      </w:r>
      <w:r w:rsidR="005413B1" w:rsidRPr="00A55ED2">
        <w:rPr>
          <w:lang w:val="fr-FR"/>
        </w:rPr>
        <w:t>Assemblée de l</w:t>
      </w:r>
      <w:r w:rsidR="004642BB" w:rsidRPr="00A55ED2">
        <w:rPr>
          <w:lang w:val="fr-FR"/>
        </w:rPr>
        <w:t>’</w:t>
      </w:r>
      <w:r w:rsidR="005413B1" w:rsidRPr="00A55ED2">
        <w:rPr>
          <w:lang w:val="fr-FR"/>
        </w:rPr>
        <w:t>Union de Paris, le groupe de travail à sa septième</w:t>
      </w:r>
      <w:r w:rsidR="00FE5352" w:rsidRPr="00A55ED2">
        <w:rPr>
          <w:lang w:val="fr-FR"/>
        </w:rPr>
        <w:t> </w:t>
      </w:r>
      <w:r w:rsidR="005413B1" w:rsidRPr="00A55ED2">
        <w:rPr>
          <w:lang w:val="fr-FR"/>
        </w:rPr>
        <w:t>session a néanmoins prié le Bureau international d</w:t>
      </w:r>
      <w:r w:rsidR="004642BB" w:rsidRPr="00A55ED2">
        <w:rPr>
          <w:lang w:val="fr-FR"/>
        </w:rPr>
        <w:t>’</w:t>
      </w:r>
      <w:r w:rsidR="005413B1" w:rsidRPr="00A55ED2">
        <w:rPr>
          <w:lang w:val="fr-FR"/>
        </w:rPr>
        <w:t xml:space="preserve">établir un document de travail sur les revendications de priorité portant sur la même date pour examen par le groupe de travail à sa </w:t>
      </w:r>
      <w:r w:rsidR="00330E49" w:rsidRPr="00A55ED2">
        <w:rPr>
          <w:lang w:val="fr-FR"/>
        </w:rPr>
        <w:t xml:space="preserve">présente </w:t>
      </w:r>
      <w:r w:rsidR="005413B1" w:rsidRPr="00A55ED2">
        <w:rPr>
          <w:lang w:val="fr-FR"/>
        </w:rPr>
        <w:t>session.</w:t>
      </w:r>
    </w:p>
    <w:p w:rsidR="00785FC5" w:rsidRPr="00A55ED2" w:rsidRDefault="005413B1" w:rsidP="005413B1">
      <w:pPr>
        <w:pStyle w:val="Heading1"/>
        <w:rPr>
          <w:lang w:val="fr-FR"/>
        </w:rPr>
      </w:pPr>
      <w:r w:rsidRPr="00A55ED2">
        <w:rPr>
          <w:lang w:val="fr-FR"/>
        </w:rPr>
        <w:t>revendications de priorité portant sur la même date</w:t>
      </w:r>
    </w:p>
    <w:p w:rsidR="00785FC5" w:rsidRPr="00A55ED2" w:rsidRDefault="005413B1" w:rsidP="005413B1">
      <w:pPr>
        <w:pStyle w:val="Heading2"/>
        <w:rPr>
          <w:lang w:val="fr-FR"/>
        </w:rPr>
      </w:pPr>
      <w:bookmarkStart w:id="5" w:name="_Ref402961320"/>
      <w:r w:rsidRPr="00A55ED2">
        <w:rPr>
          <w:lang w:val="fr-FR"/>
        </w:rPr>
        <w:t>DISCUSSIONs précédentes de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p>
    <w:p w:rsidR="00785FC5" w:rsidRPr="00A55ED2" w:rsidRDefault="00A328AF" w:rsidP="001F2338">
      <w:pPr>
        <w:pStyle w:val="ONUME"/>
        <w:rPr>
          <w:lang w:val="fr-FR"/>
        </w:rPr>
      </w:pPr>
      <w:bookmarkStart w:id="6" w:name="_Ref403996118"/>
      <w:r w:rsidRPr="00A55ED2">
        <w:rPr>
          <w:lang w:val="fr-FR"/>
        </w:rPr>
        <w:t xml:space="preserve">La question des revendications de priorité portant sur la même date a été précédemment examinée (sans </w:t>
      </w:r>
      <w:r w:rsidR="00330E49" w:rsidRPr="00A55ED2">
        <w:rPr>
          <w:lang w:val="fr-FR"/>
        </w:rPr>
        <w:t>toutefois être tranchée</w:t>
      </w:r>
      <w:r w:rsidRPr="00A55ED2">
        <w:rPr>
          <w:lang w:val="fr-FR"/>
        </w:rPr>
        <w:t>) par les États contractants</w:t>
      </w:r>
      <w:r w:rsidR="004642BB" w:rsidRPr="00A55ED2">
        <w:rPr>
          <w:lang w:val="fr-FR"/>
        </w:rPr>
        <w:t xml:space="preserve"> du PCT</w:t>
      </w:r>
      <w:r w:rsidRPr="00A55ED2">
        <w:rPr>
          <w:lang w:val="fr-FR"/>
        </w:rPr>
        <w:t xml:space="preserve"> à la dix</w:t>
      </w:r>
      <w:r w:rsidR="00AD57E7" w:rsidRPr="00A55ED2">
        <w:rPr>
          <w:lang w:val="fr-FR"/>
        </w:rPr>
        <w:noBreakHyphen/>
      </w:r>
      <w:r w:rsidRPr="00A55ED2">
        <w:rPr>
          <w:lang w:val="fr-FR"/>
        </w:rPr>
        <w:t>huitième</w:t>
      </w:r>
      <w:r w:rsidR="00FE5352" w:rsidRPr="00A55ED2">
        <w:rPr>
          <w:lang w:val="fr-FR"/>
        </w:rPr>
        <w:t> </w:t>
      </w:r>
      <w:r w:rsidRPr="00A55ED2">
        <w:rPr>
          <w:lang w:val="fr-FR"/>
        </w:rPr>
        <w:t>session de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r w:rsidRPr="00A55ED2">
        <w:rPr>
          <w:lang w:val="fr-FR"/>
        </w:rPr>
        <w:t xml:space="preserve"> tenue à Genève en juillet 1991, sur la base d</w:t>
      </w:r>
      <w:r w:rsidR="004642BB" w:rsidRPr="00A55ED2">
        <w:rPr>
          <w:lang w:val="fr-FR"/>
        </w:rPr>
        <w:t>’</w:t>
      </w:r>
      <w:r w:rsidRPr="00A55ED2">
        <w:rPr>
          <w:lang w:val="fr-FR"/>
        </w:rPr>
        <w:t>un document établi par le Bureau international (document PCT/A/XVIII/4).</w:t>
      </w:r>
      <w:r w:rsidR="00AB48F0" w:rsidRPr="00A55ED2">
        <w:rPr>
          <w:lang w:val="fr-FR"/>
        </w:rPr>
        <w:t xml:space="preserve">  </w:t>
      </w:r>
      <w:r w:rsidR="002D1943" w:rsidRPr="00A55ED2">
        <w:rPr>
          <w:lang w:val="fr-FR"/>
        </w:rPr>
        <w:t>Malheureusement,</w:t>
      </w:r>
      <w:r w:rsidRPr="00A55ED2">
        <w:rPr>
          <w:lang w:val="fr-FR"/>
        </w:rPr>
        <w:t xml:space="preserve"> à sa dix</w:t>
      </w:r>
      <w:r w:rsidR="00AD57E7" w:rsidRPr="00A55ED2">
        <w:rPr>
          <w:lang w:val="fr-FR"/>
        </w:rPr>
        <w:noBreakHyphen/>
      </w:r>
      <w:r w:rsidRPr="00A55ED2">
        <w:rPr>
          <w:lang w:val="fr-FR"/>
        </w:rPr>
        <w:t>huitième</w:t>
      </w:r>
      <w:r w:rsidR="00FE5352" w:rsidRPr="00A55ED2">
        <w:rPr>
          <w:lang w:val="fr-FR"/>
        </w:rPr>
        <w:t> </w:t>
      </w:r>
      <w:r w:rsidRPr="00A55ED2">
        <w:rPr>
          <w:lang w:val="fr-FR"/>
        </w:rPr>
        <w:t xml:space="preserve">session tenue en </w:t>
      </w:r>
      <w:r w:rsidR="004642BB" w:rsidRPr="00A55ED2">
        <w:rPr>
          <w:lang w:val="fr-FR"/>
        </w:rPr>
        <w:t>juillet 19</w:t>
      </w:r>
      <w:r w:rsidRPr="00A55ED2">
        <w:rPr>
          <w:lang w:val="fr-FR"/>
        </w:rPr>
        <w:t>91,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r w:rsidRPr="00A55ED2">
        <w:rPr>
          <w:lang w:val="fr-FR"/>
        </w:rPr>
        <w:t xml:space="preserve"> n</w:t>
      </w:r>
      <w:r w:rsidR="004642BB" w:rsidRPr="00A55ED2">
        <w:rPr>
          <w:lang w:val="fr-FR"/>
        </w:rPr>
        <w:t>’</w:t>
      </w:r>
      <w:r w:rsidRPr="00A55ED2">
        <w:rPr>
          <w:lang w:val="fr-FR"/>
        </w:rPr>
        <w:t>a pu se prononcer sur la question faute de temps.</w:t>
      </w:r>
      <w:r w:rsidR="00251624" w:rsidRPr="00A55ED2">
        <w:rPr>
          <w:lang w:val="fr-FR"/>
        </w:rPr>
        <w:t xml:space="preserve">  </w:t>
      </w:r>
      <w:bookmarkEnd w:id="5"/>
      <w:bookmarkEnd w:id="6"/>
      <w:r w:rsidR="001F2338" w:rsidRPr="00A55ED2">
        <w:rPr>
          <w:lang w:val="fr-FR"/>
        </w:rPr>
        <w:t xml:space="preserve">Par commodité, ce document sera mis à la disposition du groupe de travail en tant que document informel;  il est également disponible sur le site Web de </w:t>
      </w:r>
      <w:r w:rsidR="00330E49" w:rsidRPr="00A55ED2">
        <w:rPr>
          <w:lang w:val="fr-FR"/>
        </w:rPr>
        <w:t>l</w:t>
      </w:r>
      <w:r w:rsidR="004642BB" w:rsidRPr="00A55ED2">
        <w:rPr>
          <w:lang w:val="fr-FR"/>
        </w:rPr>
        <w:t>’</w:t>
      </w:r>
      <w:r w:rsidR="00330E49" w:rsidRPr="00A55ED2">
        <w:rPr>
          <w:lang w:val="fr-FR"/>
        </w:rPr>
        <w:t>OMPI</w:t>
      </w:r>
      <w:r w:rsidR="001F2338" w:rsidRPr="00A55ED2">
        <w:rPr>
          <w:lang w:val="fr-FR"/>
        </w:rPr>
        <w:t>, à l</w:t>
      </w:r>
      <w:r w:rsidR="004642BB" w:rsidRPr="00A55ED2">
        <w:rPr>
          <w:lang w:val="fr-FR"/>
        </w:rPr>
        <w:t>’</w:t>
      </w:r>
      <w:r w:rsidR="001F2338" w:rsidRPr="00A55ED2">
        <w:rPr>
          <w:lang w:val="fr-FR"/>
        </w:rPr>
        <w:t>adresse</w:t>
      </w:r>
      <w:r w:rsidR="00334E5F" w:rsidRPr="00A55ED2">
        <w:rPr>
          <w:lang w:val="fr-FR"/>
        </w:rPr>
        <w:t xml:space="preserve"> </w:t>
      </w:r>
      <w:r w:rsidR="001F2338" w:rsidRPr="00A55ED2">
        <w:rPr>
          <w:lang w:val="fr-FR"/>
        </w:rPr>
        <w:t>http://www.wipo.int/meetings/en/details.jsp?meeting_id=35593.</w:t>
      </w:r>
    </w:p>
    <w:p w:rsidR="00785FC5" w:rsidRPr="00A55ED2" w:rsidRDefault="001F2338" w:rsidP="001F2338">
      <w:pPr>
        <w:pStyle w:val="Heading2"/>
        <w:rPr>
          <w:lang w:val="fr-FR"/>
        </w:rPr>
      </w:pPr>
      <w:r w:rsidRPr="00A55ED2">
        <w:rPr>
          <w:lang w:val="fr-FR"/>
        </w:rPr>
        <w:t>SITUATION actuelle</w:t>
      </w:r>
    </w:p>
    <w:p w:rsidR="00785FC5" w:rsidRPr="00A55ED2" w:rsidRDefault="003955D9" w:rsidP="003955D9">
      <w:pPr>
        <w:pStyle w:val="ONUME"/>
        <w:rPr>
          <w:lang w:val="fr-FR"/>
        </w:rPr>
      </w:pPr>
      <w:r w:rsidRPr="00A55ED2">
        <w:rPr>
          <w:lang w:val="fr-FR"/>
        </w:rPr>
        <w:t>Le Bureau international est d</w:t>
      </w:r>
      <w:r w:rsidR="004642BB" w:rsidRPr="00A55ED2">
        <w:rPr>
          <w:lang w:val="fr-FR"/>
        </w:rPr>
        <w:t>’</w:t>
      </w:r>
      <w:r w:rsidRPr="00A55ED2">
        <w:rPr>
          <w:lang w:val="fr-FR"/>
        </w:rPr>
        <w:t>avis que, pour l</w:t>
      </w:r>
      <w:r w:rsidR="004642BB" w:rsidRPr="00A55ED2">
        <w:rPr>
          <w:lang w:val="fr-FR"/>
        </w:rPr>
        <w:t>’</w:t>
      </w:r>
      <w:r w:rsidRPr="00A55ED2">
        <w:rPr>
          <w:lang w:val="fr-FR"/>
        </w:rPr>
        <w:t xml:space="preserve">essentiel, les considérations exposées dans le </w:t>
      </w:r>
      <w:r w:rsidR="004642BB" w:rsidRPr="00A55ED2">
        <w:rPr>
          <w:lang w:val="fr-FR"/>
        </w:rPr>
        <w:t>document PC</w:t>
      </w:r>
      <w:r w:rsidRPr="00A55ED2">
        <w:rPr>
          <w:lang w:val="fr-FR"/>
        </w:rPr>
        <w:t>T/A/XVIII/4 devraient continuer de guider les discussions sur cette question.</w:t>
      </w:r>
    </w:p>
    <w:p w:rsidR="00785FC5" w:rsidRPr="00A55ED2" w:rsidRDefault="00C10AF4" w:rsidP="00403ABB">
      <w:pPr>
        <w:pStyle w:val="ONUME"/>
        <w:rPr>
          <w:lang w:val="fr-FR"/>
        </w:rPr>
      </w:pPr>
      <w:r w:rsidRPr="00A55ED2">
        <w:rPr>
          <w:lang w:val="fr-FR"/>
        </w:rPr>
        <w:t>Toutefois, par rapport à la situation de</w:t>
      </w:r>
      <w:r w:rsidR="00FE5352" w:rsidRPr="00A55ED2">
        <w:rPr>
          <w:lang w:val="fr-FR"/>
        </w:rPr>
        <w:t> </w:t>
      </w:r>
      <w:r w:rsidRPr="00A55ED2">
        <w:rPr>
          <w:lang w:val="fr-FR"/>
        </w:rPr>
        <w:t>1991, il s</w:t>
      </w:r>
      <w:r w:rsidR="004642BB" w:rsidRPr="00A55ED2">
        <w:rPr>
          <w:lang w:val="fr-FR"/>
        </w:rPr>
        <w:t>’</w:t>
      </w:r>
      <w:r w:rsidRPr="00A55ED2">
        <w:rPr>
          <w:lang w:val="fr-FR"/>
        </w:rPr>
        <w:t>avère qu</w:t>
      </w:r>
      <w:r w:rsidR="004642BB" w:rsidRPr="00A55ED2">
        <w:rPr>
          <w:lang w:val="fr-FR"/>
        </w:rPr>
        <w:t>’</w:t>
      </w:r>
      <w:r w:rsidRPr="00A55ED2">
        <w:rPr>
          <w:lang w:val="fr-FR"/>
        </w:rPr>
        <w:t xml:space="preserve">une hypothèse particulière </w:t>
      </w:r>
      <w:r w:rsidR="00330E49" w:rsidRPr="00A55ED2">
        <w:rPr>
          <w:lang w:val="fr-FR"/>
        </w:rPr>
        <w:t>sur laquelle se fondaient les</w:t>
      </w:r>
      <w:r w:rsidRPr="00A55ED2">
        <w:rPr>
          <w:lang w:val="fr-FR"/>
        </w:rPr>
        <w:t xml:space="preserve"> considérations exposées aux paragraphes 5 et 8 du </w:t>
      </w:r>
      <w:r w:rsidR="004642BB" w:rsidRPr="00A55ED2">
        <w:rPr>
          <w:lang w:val="fr-FR"/>
        </w:rPr>
        <w:t>document PC</w:t>
      </w:r>
      <w:r w:rsidRPr="00A55ED2">
        <w:rPr>
          <w:lang w:val="fr-FR"/>
        </w:rPr>
        <w:t>T/A/XVIII/4 a changé.</w:t>
      </w:r>
      <w:r w:rsidR="00AB48F0" w:rsidRPr="00A55ED2">
        <w:rPr>
          <w:lang w:val="fr-FR"/>
        </w:rPr>
        <w:t xml:space="preserve">  </w:t>
      </w:r>
      <w:r w:rsidR="00403ABB" w:rsidRPr="00A55ED2">
        <w:rPr>
          <w:lang w:val="fr-FR"/>
        </w:rPr>
        <w:t>Plus précisément, comme l</w:t>
      </w:r>
      <w:r w:rsidR="004642BB" w:rsidRPr="00A55ED2">
        <w:rPr>
          <w:lang w:val="fr-FR"/>
        </w:rPr>
        <w:t>’</w:t>
      </w:r>
      <w:r w:rsidR="00403ABB" w:rsidRPr="00A55ED2">
        <w:rPr>
          <w:lang w:val="fr-FR"/>
        </w:rPr>
        <w:t>ont montré les discussions sur la question de l</w:t>
      </w:r>
      <w:r w:rsidR="004642BB" w:rsidRPr="00A55ED2">
        <w:rPr>
          <w:lang w:val="fr-FR"/>
        </w:rPr>
        <w:t>’</w:t>
      </w:r>
      <w:r w:rsidR="00403ABB" w:rsidRPr="00A55ED2">
        <w:rPr>
          <w:lang w:val="fr-FR"/>
        </w:rPr>
        <w:t>incorporation par renvoi de parties manquantes, à l</w:t>
      </w:r>
      <w:r w:rsidR="004642BB" w:rsidRPr="00A55ED2">
        <w:rPr>
          <w:lang w:val="fr-FR"/>
        </w:rPr>
        <w:t>’</w:t>
      </w:r>
      <w:r w:rsidR="00403ABB" w:rsidRPr="00A55ED2">
        <w:rPr>
          <w:lang w:val="fr-FR"/>
        </w:rPr>
        <w:t>heure actuelle, les offices d</w:t>
      </w:r>
      <w:r w:rsidR="004642BB" w:rsidRPr="00A55ED2">
        <w:rPr>
          <w:lang w:val="fr-FR"/>
        </w:rPr>
        <w:t>’</w:t>
      </w:r>
      <w:r w:rsidR="00403ABB" w:rsidRPr="00A55ED2">
        <w:rPr>
          <w:lang w:val="fr-FR"/>
        </w:rPr>
        <w:t>un certain nombre d</w:t>
      </w:r>
      <w:r w:rsidR="004642BB" w:rsidRPr="00A55ED2">
        <w:rPr>
          <w:lang w:val="fr-FR"/>
        </w:rPr>
        <w:t>’</w:t>
      </w:r>
      <w:r w:rsidR="00403ABB" w:rsidRPr="00A55ED2">
        <w:rPr>
          <w:lang w:val="fr-FR"/>
        </w:rPr>
        <w:t>États contractants</w:t>
      </w:r>
      <w:r w:rsidR="004642BB" w:rsidRPr="00A55ED2">
        <w:rPr>
          <w:lang w:val="fr-FR"/>
        </w:rPr>
        <w:t xml:space="preserve"> du PCT</w:t>
      </w:r>
      <w:r w:rsidR="00403ABB" w:rsidRPr="00A55ED2">
        <w:rPr>
          <w:lang w:val="fr-FR"/>
        </w:rPr>
        <w:t>, en leur qualité à la fois d</w:t>
      </w:r>
      <w:r w:rsidR="004642BB" w:rsidRPr="00A55ED2">
        <w:rPr>
          <w:lang w:val="fr-FR"/>
        </w:rPr>
        <w:t>’</w:t>
      </w:r>
      <w:r w:rsidR="00403ABB" w:rsidRPr="00A55ED2">
        <w:rPr>
          <w:lang w:val="fr-FR"/>
        </w:rPr>
        <w:t>offices récepteurs et d</w:t>
      </w:r>
      <w:r w:rsidR="004642BB" w:rsidRPr="00A55ED2">
        <w:rPr>
          <w:lang w:val="fr-FR"/>
        </w:rPr>
        <w:t>’</w:t>
      </w:r>
      <w:r w:rsidR="00403ABB" w:rsidRPr="00A55ED2">
        <w:rPr>
          <w:lang w:val="fr-FR"/>
        </w:rPr>
        <w:t>offices désignés, ont adopté l</w:t>
      </w:r>
      <w:r w:rsidR="004642BB" w:rsidRPr="00A55ED2">
        <w:rPr>
          <w:lang w:val="fr-FR"/>
        </w:rPr>
        <w:t>’</w:t>
      </w:r>
      <w:r w:rsidR="00403ABB" w:rsidRPr="00A55ED2">
        <w:rPr>
          <w:lang w:val="fr-FR"/>
        </w:rPr>
        <w:t>interprétation selon laquelle les revendications de priorité portant sur la même date sont autorisées en vertu de la Convention de Paris, et donc</w:t>
      </w:r>
      <w:r w:rsidR="004642BB" w:rsidRPr="00A55ED2">
        <w:rPr>
          <w:lang w:val="fr-FR"/>
        </w:rPr>
        <w:t xml:space="preserve"> du PCT</w:t>
      </w:r>
      <w:r w:rsidR="00403ABB" w:rsidRPr="00A55ED2">
        <w:rPr>
          <w:lang w:val="fr-FR"/>
        </w:rPr>
        <w:t>.</w:t>
      </w:r>
    </w:p>
    <w:p w:rsidR="00785FC5" w:rsidRPr="00A55ED2" w:rsidRDefault="002D5599" w:rsidP="002D5599">
      <w:pPr>
        <w:pStyle w:val="ONUME"/>
        <w:rPr>
          <w:lang w:val="fr-FR"/>
        </w:rPr>
      </w:pPr>
      <w:bookmarkStart w:id="7" w:name="_Ref404004242"/>
      <w:r w:rsidRPr="00A55ED2">
        <w:rPr>
          <w:lang w:val="fr-FR"/>
        </w:rPr>
        <w:t>En conséquence, à l</w:t>
      </w:r>
      <w:r w:rsidR="004642BB" w:rsidRPr="00A55ED2">
        <w:rPr>
          <w:lang w:val="fr-FR"/>
        </w:rPr>
        <w:t>’</w:t>
      </w:r>
      <w:r w:rsidRPr="00A55ED2">
        <w:rPr>
          <w:lang w:val="fr-FR"/>
        </w:rPr>
        <w:t>heure actuelle, les déposants de demandes selon</w:t>
      </w:r>
      <w:r w:rsidR="004642BB" w:rsidRPr="00A55ED2">
        <w:rPr>
          <w:lang w:val="fr-FR"/>
        </w:rPr>
        <w:t xml:space="preserve"> le PCT</w:t>
      </w:r>
      <w:r w:rsidRPr="00A55ED2">
        <w:rPr>
          <w:lang w:val="fr-FR"/>
        </w:rPr>
        <w:t xml:space="preserve"> qui s</w:t>
      </w:r>
      <w:r w:rsidR="004642BB" w:rsidRPr="00A55ED2">
        <w:rPr>
          <w:lang w:val="fr-FR"/>
        </w:rPr>
        <w:t>’</w:t>
      </w:r>
      <w:r w:rsidRPr="00A55ED2">
        <w:rPr>
          <w:lang w:val="fr-FR"/>
        </w:rPr>
        <w:t xml:space="preserve">appuient sur une telle </w:t>
      </w:r>
      <w:r w:rsidR="002D1943" w:rsidRPr="00A55ED2">
        <w:rPr>
          <w:lang w:val="fr-FR"/>
        </w:rPr>
        <w:t>interprétation</w:t>
      </w:r>
      <w:r w:rsidRPr="00A55ED2">
        <w:rPr>
          <w:lang w:val="fr-FR"/>
        </w:rPr>
        <w:t xml:space="preserve"> d</w:t>
      </w:r>
      <w:r w:rsidR="004642BB" w:rsidRPr="00A55ED2">
        <w:rPr>
          <w:lang w:val="fr-FR"/>
        </w:rPr>
        <w:t>’</w:t>
      </w:r>
      <w:r w:rsidRPr="00A55ED2">
        <w:rPr>
          <w:lang w:val="fr-FR"/>
        </w:rPr>
        <w:t xml:space="preserve">un office récepteur retirent effectivement un </w:t>
      </w:r>
      <w:r w:rsidR="00AC7F1A" w:rsidRPr="00A55ED2">
        <w:rPr>
          <w:lang w:val="fr-FR"/>
        </w:rPr>
        <w:t>“</w:t>
      </w:r>
      <w:r w:rsidRPr="00A55ED2">
        <w:rPr>
          <w:lang w:val="fr-FR"/>
        </w:rPr>
        <w:t xml:space="preserve">avantage </w:t>
      </w:r>
      <w:r w:rsidR="00330E49" w:rsidRPr="00A55ED2">
        <w:rPr>
          <w:lang w:val="fr-FR"/>
        </w:rPr>
        <w:t>pratique</w:t>
      </w:r>
      <w:r w:rsidR="00AC7F1A" w:rsidRPr="00A55ED2">
        <w:rPr>
          <w:lang w:val="fr-FR"/>
        </w:rPr>
        <w:t>”</w:t>
      </w:r>
      <w:r w:rsidRPr="00A55ED2">
        <w:rPr>
          <w:lang w:val="fr-FR"/>
        </w:rPr>
        <w:t xml:space="preserve"> de cette </w:t>
      </w:r>
      <w:r w:rsidR="002D1943" w:rsidRPr="00A55ED2">
        <w:rPr>
          <w:lang w:val="fr-FR"/>
        </w:rPr>
        <w:t>interprétation</w:t>
      </w:r>
      <w:r w:rsidRPr="00A55ED2">
        <w:rPr>
          <w:lang w:val="fr-FR"/>
        </w:rPr>
        <w:t>, qui leur permet d</w:t>
      </w:r>
      <w:r w:rsidR="004642BB" w:rsidRPr="00A55ED2">
        <w:rPr>
          <w:lang w:val="fr-FR"/>
        </w:rPr>
        <w:t>’</w:t>
      </w:r>
      <w:r w:rsidRPr="00A55ED2">
        <w:rPr>
          <w:lang w:val="fr-FR"/>
        </w:rPr>
        <w:t xml:space="preserve">incorporer par renvoi un élément manquant ou une partie manquante figurant dans une demande </w:t>
      </w:r>
      <w:r w:rsidR="00AC7F1A" w:rsidRPr="00A55ED2">
        <w:rPr>
          <w:lang w:val="fr-FR"/>
        </w:rPr>
        <w:t>“</w:t>
      </w:r>
      <w:r w:rsidRPr="00A55ED2">
        <w:rPr>
          <w:lang w:val="fr-FR"/>
        </w:rPr>
        <w:t>antérieure</w:t>
      </w:r>
      <w:r w:rsidR="00AC7F1A" w:rsidRPr="00A55ED2">
        <w:rPr>
          <w:lang w:val="fr-FR"/>
        </w:rPr>
        <w:t>”</w:t>
      </w:r>
      <w:r w:rsidRPr="00A55ED2">
        <w:rPr>
          <w:lang w:val="fr-FR"/>
        </w:rPr>
        <w:t xml:space="preserve"> déposée le même jour que la demande internationale (étant entendu que l</w:t>
      </w:r>
      <w:r w:rsidR="004642BB" w:rsidRPr="00A55ED2">
        <w:rPr>
          <w:lang w:val="fr-FR"/>
        </w:rPr>
        <w:t>’</w:t>
      </w:r>
      <w:r w:rsidRPr="00A55ED2">
        <w:rPr>
          <w:lang w:val="fr-FR"/>
        </w:rPr>
        <w:t>inclusion dans la demande internationale de la revendication de la priorité de cette demande antérieure est exigée pour demander valablement l</w:t>
      </w:r>
      <w:r w:rsidR="004642BB" w:rsidRPr="00A55ED2">
        <w:rPr>
          <w:lang w:val="fr-FR"/>
        </w:rPr>
        <w:t>’</w:t>
      </w:r>
      <w:r w:rsidRPr="00A55ED2">
        <w:rPr>
          <w:lang w:val="fr-FR"/>
        </w:rPr>
        <w:t>incorporation par renvoi d</w:t>
      </w:r>
      <w:r w:rsidR="004642BB" w:rsidRPr="00A55ED2">
        <w:rPr>
          <w:lang w:val="fr-FR"/>
        </w:rPr>
        <w:t>’</w:t>
      </w:r>
      <w:r w:rsidRPr="00A55ED2">
        <w:rPr>
          <w:lang w:val="fr-FR"/>
        </w:rPr>
        <w:t>éléments manquants ou de parties manquantes).</w:t>
      </w:r>
    </w:p>
    <w:p w:rsidR="00AB48F0" w:rsidRPr="00A55ED2" w:rsidRDefault="002D5599" w:rsidP="002D5599">
      <w:pPr>
        <w:pStyle w:val="ONUME"/>
        <w:rPr>
          <w:lang w:val="fr-FR"/>
        </w:rPr>
      </w:pPr>
      <w:bookmarkStart w:id="8" w:name="_Ref404083784"/>
      <w:r w:rsidRPr="00A55ED2">
        <w:rPr>
          <w:lang w:val="fr-FR"/>
        </w:rPr>
        <w:t>Pour autant, les réponses des États membres au questionnaire ont clairement montré que l</w:t>
      </w:r>
      <w:r w:rsidR="004642BB" w:rsidRPr="00A55ED2">
        <w:rPr>
          <w:lang w:val="fr-FR"/>
        </w:rPr>
        <w:t>’</w:t>
      </w:r>
      <w:r w:rsidRPr="00A55ED2">
        <w:rPr>
          <w:lang w:val="fr-FR"/>
        </w:rPr>
        <w:t>interprétation de la Convention de Paris selon laquelle les revendications de priorité portant sur la même date doivent être autorisées en vertu de la Convention de Paris (et donc</w:t>
      </w:r>
      <w:r w:rsidR="004642BB" w:rsidRPr="00A55ED2">
        <w:rPr>
          <w:lang w:val="fr-FR"/>
        </w:rPr>
        <w:t xml:space="preserve"> du PCT</w:t>
      </w:r>
      <w:r w:rsidRPr="00A55ED2">
        <w:rPr>
          <w:lang w:val="fr-FR"/>
        </w:rPr>
        <w:t>) n</w:t>
      </w:r>
      <w:r w:rsidR="004642BB" w:rsidRPr="00A55ED2">
        <w:rPr>
          <w:lang w:val="fr-FR"/>
        </w:rPr>
        <w:t>’</w:t>
      </w:r>
      <w:r w:rsidRPr="00A55ED2">
        <w:rPr>
          <w:lang w:val="fr-FR"/>
        </w:rPr>
        <w:t>est pas partagée par tous les offices.</w:t>
      </w:r>
      <w:r w:rsidR="00AB48F0" w:rsidRPr="00A55ED2">
        <w:rPr>
          <w:lang w:val="fr-FR"/>
        </w:rPr>
        <w:t xml:space="preserve">  </w:t>
      </w:r>
      <w:r w:rsidRPr="00A55ED2">
        <w:rPr>
          <w:lang w:val="fr-FR"/>
        </w:rPr>
        <w:t>Ainsi, à l</w:t>
      </w:r>
      <w:r w:rsidR="004642BB" w:rsidRPr="00A55ED2">
        <w:rPr>
          <w:lang w:val="fr-FR"/>
        </w:rPr>
        <w:t>’</w:t>
      </w:r>
      <w:r w:rsidRPr="00A55ED2">
        <w:rPr>
          <w:lang w:val="fr-FR"/>
        </w:rPr>
        <w:t>heure actuelle, les déposants sont tributaires de l</w:t>
      </w:r>
      <w:r w:rsidR="004642BB" w:rsidRPr="00A55ED2">
        <w:rPr>
          <w:lang w:val="fr-FR"/>
        </w:rPr>
        <w:t>’</w:t>
      </w:r>
      <w:r w:rsidR="002D1943" w:rsidRPr="00A55ED2">
        <w:rPr>
          <w:lang w:val="fr-FR"/>
        </w:rPr>
        <w:t>interprétation</w:t>
      </w:r>
      <w:r w:rsidRPr="00A55ED2">
        <w:rPr>
          <w:lang w:val="fr-FR"/>
        </w:rPr>
        <w:t xml:space="preserve"> de l</w:t>
      </w:r>
      <w:r w:rsidR="004642BB" w:rsidRPr="00A55ED2">
        <w:rPr>
          <w:lang w:val="fr-FR"/>
        </w:rPr>
        <w:t>’</w:t>
      </w:r>
      <w:r w:rsidRPr="00A55ED2">
        <w:rPr>
          <w:lang w:val="fr-FR"/>
        </w:rPr>
        <w:t>office récepteur auprès duquel la demande est déposée et des offices désignés et de leur législation nationale applicable en ce qui concerne l</w:t>
      </w:r>
      <w:r w:rsidR="00330E49" w:rsidRPr="00A55ED2">
        <w:rPr>
          <w:lang w:val="fr-FR"/>
        </w:rPr>
        <w:t>e</w:t>
      </w:r>
      <w:r w:rsidRPr="00A55ED2">
        <w:rPr>
          <w:lang w:val="fr-FR"/>
        </w:rPr>
        <w:t xml:space="preserve"> </w:t>
      </w:r>
      <w:r w:rsidR="00AC7F1A" w:rsidRPr="00A55ED2">
        <w:rPr>
          <w:lang w:val="fr-FR"/>
        </w:rPr>
        <w:t>“</w:t>
      </w:r>
      <w:r w:rsidRPr="00A55ED2">
        <w:rPr>
          <w:lang w:val="fr-FR"/>
        </w:rPr>
        <w:t>s</w:t>
      </w:r>
      <w:r w:rsidR="00330E49" w:rsidRPr="00A55ED2">
        <w:rPr>
          <w:lang w:val="fr-FR"/>
        </w:rPr>
        <w:t>ort</w:t>
      </w:r>
      <w:r w:rsidR="00AC7F1A" w:rsidRPr="00A55ED2">
        <w:rPr>
          <w:lang w:val="fr-FR"/>
        </w:rPr>
        <w:t>”</w:t>
      </w:r>
      <w:r w:rsidR="00330E49" w:rsidRPr="00A55ED2">
        <w:rPr>
          <w:lang w:val="fr-FR"/>
        </w:rPr>
        <w:t xml:space="preserve"> de</w:t>
      </w:r>
      <w:r w:rsidRPr="00A55ED2">
        <w:rPr>
          <w:lang w:val="fr-FR"/>
        </w:rPr>
        <w:t xml:space="preserve"> toute revendication de priorité portant sur la même date qui figure dans la demande internationale.</w:t>
      </w:r>
      <w:r w:rsidR="00AB48F0" w:rsidRPr="00A55ED2">
        <w:rPr>
          <w:lang w:val="fr-FR"/>
        </w:rPr>
        <w:t xml:space="preserve">  </w:t>
      </w:r>
      <w:bookmarkEnd w:id="8"/>
      <w:r w:rsidRPr="00A55ED2">
        <w:rPr>
          <w:lang w:val="fr-FR"/>
        </w:rPr>
        <w:t>Les résultats peuvent être récapitulés de la manière suivante :</w:t>
      </w:r>
    </w:p>
    <w:tbl>
      <w:tblPr>
        <w:tblStyle w:val="TableGrid"/>
        <w:tblW w:w="0" w:type="auto"/>
        <w:tblLook w:val="04A0" w:firstRow="1" w:lastRow="0" w:firstColumn="1" w:lastColumn="0" w:noHBand="0" w:noVBand="1"/>
      </w:tblPr>
      <w:tblGrid>
        <w:gridCol w:w="3190"/>
        <w:gridCol w:w="3190"/>
        <w:gridCol w:w="3191"/>
      </w:tblGrid>
      <w:tr w:rsidR="00A55ED2" w:rsidRPr="00A55ED2" w:rsidTr="00A64DCF">
        <w:trPr>
          <w:cantSplit/>
        </w:trPr>
        <w:tc>
          <w:tcPr>
            <w:tcW w:w="3190" w:type="dxa"/>
            <w:vMerge w:val="restart"/>
            <w:tcBorders>
              <w:top w:val="nil"/>
              <w:left w:val="nil"/>
            </w:tcBorders>
          </w:tcPr>
          <w:p w:rsidR="00AB48F0" w:rsidRPr="00A55ED2" w:rsidRDefault="00AB48F0" w:rsidP="00A64DCF">
            <w:pPr>
              <w:keepNext/>
              <w:spacing w:before="120" w:after="120"/>
              <w:jc w:val="center"/>
              <w:rPr>
                <w:b/>
                <w:bCs/>
                <w:lang w:val="fr-FR"/>
              </w:rPr>
            </w:pPr>
          </w:p>
        </w:tc>
        <w:tc>
          <w:tcPr>
            <w:tcW w:w="6381" w:type="dxa"/>
            <w:gridSpan w:val="2"/>
            <w:tcBorders>
              <w:bottom w:val="single" w:sz="4" w:space="0" w:color="auto"/>
            </w:tcBorders>
          </w:tcPr>
          <w:p w:rsidR="00AB48F0" w:rsidRPr="00A55ED2" w:rsidRDefault="002D5599" w:rsidP="002D5599">
            <w:pPr>
              <w:keepNext/>
              <w:spacing w:before="120" w:after="120"/>
              <w:jc w:val="center"/>
              <w:rPr>
                <w:b/>
                <w:bCs/>
                <w:lang w:val="fr-FR"/>
              </w:rPr>
            </w:pPr>
            <w:r w:rsidRPr="00A55ED2">
              <w:rPr>
                <w:b/>
                <w:bCs/>
                <w:lang w:val="fr-FR"/>
              </w:rPr>
              <w:t>Position de l</w:t>
            </w:r>
            <w:r w:rsidR="004642BB" w:rsidRPr="00A55ED2">
              <w:rPr>
                <w:b/>
                <w:bCs/>
                <w:lang w:val="fr-FR"/>
              </w:rPr>
              <w:t>’</w:t>
            </w:r>
            <w:r w:rsidRPr="00A55ED2">
              <w:rPr>
                <w:b/>
                <w:bCs/>
                <w:lang w:val="fr-FR"/>
              </w:rPr>
              <w:t>office récepteur</w:t>
            </w:r>
          </w:p>
        </w:tc>
      </w:tr>
      <w:tr w:rsidR="00A55ED2" w:rsidRPr="009F6260" w:rsidTr="00A64DCF">
        <w:trPr>
          <w:cantSplit/>
        </w:trPr>
        <w:tc>
          <w:tcPr>
            <w:tcW w:w="3190" w:type="dxa"/>
            <w:vMerge/>
            <w:tcBorders>
              <w:left w:val="nil"/>
              <w:bottom w:val="single" w:sz="4" w:space="0" w:color="auto"/>
            </w:tcBorders>
          </w:tcPr>
          <w:p w:rsidR="00AB48F0" w:rsidRPr="00A55ED2" w:rsidRDefault="00AB48F0" w:rsidP="00A64DCF">
            <w:pPr>
              <w:keepNext/>
              <w:spacing w:before="120" w:after="120"/>
              <w:jc w:val="center"/>
              <w:rPr>
                <w:b/>
                <w:bCs/>
                <w:lang w:val="fr-FR"/>
              </w:rPr>
            </w:pPr>
          </w:p>
        </w:tc>
        <w:tc>
          <w:tcPr>
            <w:tcW w:w="3190" w:type="dxa"/>
            <w:tcBorders>
              <w:bottom w:val="single" w:sz="4" w:space="0" w:color="auto"/>
            </w:tcBorders>
          </w:tcPr>
          <w:p w:rsidR="00AB48F0" w:rsidRPr="00A55ED2" w:rsidRDefault="002D5599" w:rsidP="002D5599">
            <w:pPr>
              <w:keepNext/>
              <w:spacing w:before="120" w:after="120"/>
              <w:jc w:val="center"/>
              <w:rPr>
                <w:b/>
                <w:bCs/>
                <w:lang w:val="fr-FR"/>
              </w:rPr>
            </w:pPr>
            <w:r w:rsidRPr="00A55ED2">
              <w:rPr>
                <w:b/>
                <w:bCs/>
                <w:lang w:val="fr-FR"/>
              </w:rPr>
              <w:t>Autorise les revendications de priorité portant sur la même date</w:t>
            </w:r>
          </w:p>
        </w:tc>
        <w:tc>
          <w:tcPr>
            <w:tcW w:w="3191" w:type="dxa"/>
            <w:tcBorders>
              <w:bottom w:val="single" w:sz="4" w:space="0" w:color="auto"/>
            </w:tcBorders>
          </w:tcPr>
          <w:p w:rsidR="00AB48F0" w:rsidRPr="00A55ED2" w:rsidRDefault="00C61C38" w:rsidP="00C61C38">
            <w:pPr>
              <w:keepNext/>
              <w:spacing w:before="120" w:after="120"/>
              <w:jc w:val="center"/>
              <w:rPr>
                <w:b/>
                <w:bCs/>
                <w:lang w:val="fr-FR"/>
              </w:rPr>
            </w:pPr>
            <w:r w:rsidRPr="00A55ED2">
              <w:rPr>
                <w:b/>
                <w:bCs/>
                <w:lang w:val="fr-FR"/>
              </w:rPr>
              <w:t>N</w:t>
            </w:r>
            <w:r w:rsidR="004642BB" w:rsidRPr="00A55ED2">
              <w:rPr>
                <w:b/>
                <w:bCs/>
                <w:lang w:val="fr-FR"/>
              </w:rPr>
              <w:t>’</w:t>
            </w:r>
            <w:r w:rsidRPr="00A55ED2">
              <w:rPr>
                <w:b/>
                <w:bCs/>
                <w:lang w:val="fr-FR"/>
              </w:rPr>
              <w:t>autorise pas les revendications de priorité portant sur la même date</w:t>
            </w:r>
          </w:p>
        </w:tc>
      </w:tr>
      <w:tr w:rsidR="00A55ED2" w:rsidRPr="009F6260" w:rsidTr="00A64DCF">
        <w:trPr>
          <w:cantSplit/>
        </w:trPr>
        <w:tc>
          <w:tcPr>
            <w:tcW w:w="3190" w:type="dxa"/>
            <w:tcBorders>
              <w:bottom w:val="nil"/>
            </w:tcBorders>
          </w:tcPr>
          <w:p w:rsidR="00AB48F0" w:rsidRPr="00A55ED2" w:rsidRDefault="00C61C38" w:rsidP="00C61C38">
            <w:pPr>
              <w:keepNext/>
              <w:spacing w:before="60" w:after="60"/>
              <w:rPr>
                <w:b/>
                <w:bCs/>
                <w:lang w:val="fr-FR"/>
              </w:rPr>
            </w:pPr>
            <w:r w:rsidRPr="00A55ED2">
              <w:rPr>
                <w:b/>
                <w:bCs/>
                <w:lang w:val="fr-FR"/>
              </w:rPr>
              <w:t>Effet dans la phase internationale</w:t>
            </w:r>
          </w:p>
        </w:tc>
        <w:tc>
          <w:tcPr>
            <w:tcW w:w="3190" w:type="dxa"/>
            <w:tcBorders>
              <w:bottom w:val="nil"/>
            </w:tcBorders>
          </w:tcPr>
          <w:p w:rsidR="00AB48F0" w:rsidRPr="00A55ED2" w:rsidRDefault="00AB48F0" w:rsidP="00A64DCF">
            <w:pPr>
              <w:keepNext/>
              <w:spacing w:before="60" w:after="60"/>
              <w:rPr>
                <w:lang w:val="fr-FR"/>
              </w:rPr>
            </w:pPr>
          </w:p>
        </w:tc>
        <w:tc>
          <w:tcPr>
            <w:tcW w:w="3191" w:type="dxa"/>
            <w:tcBorders>
              <w:bottom w:val="nil"/>
            </w:tcBorders>
          </w:tcPr>
          <w:p w:rsidR="00AB48F0" w:rsidRPr="00A55ED2" w:rsidRDefault="00AB48F0" w:rsidP="00A64DCF">
            <w:pPr>
              <w:keepNext/>
              <w:spacing w:before="60" w:after="60"/>
              <w:rPr>
                <w:lang w:val="fr-FR"/>
              </w:rPr>
            </w:pPr>
          </w:p>
        </w:tc>
      </w:tr>
      <w:tr w:rsidR="00A55ED2" w:rsidRPr="00A55ED2" w:rsidTr="00A64DCF">
        <w:trPr>
          <w:cantSplit/>
        </w:trPr>
        <w:tc>
          <w:tcPr>
            <w:tcW w:w="3190" w:type="dxa"/>
            <w:tcBorders>
              <w:top w:val="nil"/>
              <w:bottom w:val="nil"/>
            </w:tcBorders>
          </w:tcPr>
          <w:p w:rsidR="00AB48F0" w:rsidRPr="00A55ED2" w:rsidRDefault="00FE5352" w:rsidP="00C61C38">
            <w:pPr>
              <w:keepNext/>
              <w:spacing w:before="60" w:after="60"/>
              <w:rPr>
                <w:i/>
                <w:iCs/>
                <w:lang w:val="fr-FR"/>
              </w:rPr>
            </w:pPr>
            <w:r w:rsidRPr="00A55ED2">
              <w:rPr>
                <w:i/>
                <w:iCs/>
                <w:lang w:val="fr-FR"/>
              </w:rPr>
              <w:t xml:space="preserve"> </w:t>
            </w:r>
            <w:r w:rsidR="00C61C38" w:rsidRPr="00A55ED2">
              <w:rPr>
                <w:i/>
                <w:iCs/>
                <w:lang w:val="fr-FR"/>
              </w:rPr>
              <w:t>revendication de priorité</w:t>
            </w:r>
          </w:p>
        </w:tc>
        <w:tc>
          <w:tcPr>
            <w:tcW w:w="3190" w:type="dxa"/>
            <w:tcBorders>
              <w:top w:val="nil"/>
              <w:bottom w:val="nil"/>
            </w:tcBorders>
          </w:tcPr>
          <w:p w:rsidR="00AB48F0" w:rsidRPr="00A55ED2" w:rsidRDefault="00330E49" w:rsidP="00C61C38">
            <w:pPr>
              <w:keepNext/>
              <w:spacing w:before="60" w:after="60"/>
              <w:rPr>
                <w:lang w:val="fr-FR"/>
              </w:rPr>
            </w:pPr>
            <w:r w:rsidRPr="00A55ED2">
              <w:rPr>
                <w:lang w:val="fr-FR"/>
              </w:rPr>
              <w:t>Maintenue</w:t>
            </w:r>
            <w:r w:rsidR="00C61C38" w:rsidRPr="00A55ED2">
              <w:rPr>
                <w:lang w:val="fr-FR"/>
              </w:rPr>
              <w:t>.</w:t>
            </w:r>
          </w:p>
        </w:tc>
        <w:tc>
          <w:tcPr>
            <w:tcW w:w="3191" w:type="dxa"/>
            <w:tcBorders>
              <w:top w:val="nil"/>
              <w:bottom w:val="nil"/>
            </w:tcBorders>
          </w:tcPr>
          <w:p w:rsidR="00AB48F0" w:rsidRPr="00A55ED2" w:rsidRDefault="00C61C38" w:rsidP="00C61C38">
            <w:pPr>
              <w:keepNext/>
              <w:spacing w:before="60" w:after="60"/>
              <w:rPr>
                <w:lang w:val="fr-FR"/>
              </w:rPr>
            </w:pPr>
            <w:r w:rsidRPr="00A55ED2">
              <w:rPr>
                <w:lang w:val="fr-FR"/>
              </w:rPr>
              <w:t>Déclarée nulle.</w:t>
            </w:r>
          </w:p>
        </w:tc>
      </w:tr>
      <w:tr w:rsidR="00A55ED2" w:rsidRPr="00A55ED2" w:rsidTr="00A64DCF">
        <w:trPr>
          <w:cantSplit/>
        </w:trPr>
        <w:tc>
          <w:tcPr>
            <w:tcW w:w="3190" w:type="dxa"/>
            <w:tcBorders>
              <w:top w:val="nil"/>
              <w:bottom w:val="nil"/>
            </w:tcBorders>
          </w:tcPr>
          <w:p w:rsidR="00AB48F0" w:rsidRPr="00A55ED2" w:rsidRDefault="00FE5352" w:rsidP="00C61C38">
            <w:pPr>
              <w:keepNext/>
              <w:spacing w:before="60" w:after="60"/>
              <w:rPr>
                <w:i/>
                <w:iCs/>
                <w:lang w:val="fr-FR"/>
              </w:rPr>
            </w:pPr>
            <w:r w:rsidRPr="00A55ED2">
              <w:rPr>
                <w:i/>
                <w:iCs/>
                <w:lang w:val="fr-FR"/>
              </w:rPr>
              <w:t xml:space="preserve"> </w:t>
            </w:r>
            <w:r w:rsidR="00C61C38" w:rsidRPr="00A55ED2">
              <w:rPr>
                <w:i/>
                <w:iCs/>
                <w:lang w:val="fr-FR"/>
              </w:rPr>
              <w:t>incorporation par renvoi</w:t>
            </w:r>
          </w:p>
        </w:tc>
        <w:tc>
          <w:tcPr>
            <w:tcW w:w="3190" w:type="dxa"/>
            <w:tcBorders>
              <w:top w:val="nil"/>
              <w:bottom w:val="nil"/>
            </w:tcBorders>
          </w:tcPr>
          <w:p w:rsidR="00AB48F0" w:rsidRPr="00A55ED2" w:rsidRDefault="00C1556F" w:rsidP="00C1556F">
            <w:pPr>
              <w:keepNext/>
              <w:spacing w:before="60" w:after="60"/>
              <w:rPr>
                <w:lang w:val="fr-FR"/>
              </w:rPr>
            </w:pPr>
            <w:r w:rsidRPr="00A55ED2">
              <w:rPr>
                <w:lang w:val="fr-FR"/>
              </w:rPr>
              <w:t>Autorisée (sauf notification de l</w:t>
            </w:r>
            <w:r w:rsidR="004642BB" w:rsidRPr="00A55ED2">
              <w:rPr>
                <w:lang w:val="fr-FR"/>
              </w:rPr>
              <w:t>’</w:t>
            </w:r>
            <w:r w:rsidRPr="00A55ED2">
              <w:rPr>
                <w:lang w:val="fr-FR"/>
              </w:rPr>
              <w:t>office récepteur selon la règle 20.8.a)).</w:t>
            </w:r>
          </w:p>
        </w:tc>
        <w:tc>
          <w:tcPr>
            <w:tcW w:w="3191" w:type="dxa"/>
            <w:tcBorders>
              <w:top w:val="nil"/>
              <w:bottom w:val="nil"/>
            </w:tcBorders>
          </w:tcPr>
          <w:p w:rsidR="00AB48F0" w:rsidRPr="00A55ED2" w:rsidRDefault="00C1556F" w:rsidP="00C1556F">
            <w:pPr>
              <w:keepNext/>
              <w:spacing w:before="60" w:after="60"/>
              <w:rPr>
                <w:lang w:val="fr-FR"/>
              </w:rPr>
            </w:pPr>
            <w:r w:rsidRPr="00A55ED2">
              <w:rPr>
                <w:lang w:val="fr-FR"/>
              </w:rPr>
              <w:t>Impossible.</w:t>
            </w:r>
          </w:p>
        </w:tc>
      </w:tr>
      <w:tr w:rsidR="00A55ED2" w:rsidRPr="009F6260" w:rsidTr="00A64DCF">
        <w:trPr>
          <w:cantSplit/>
        </w:trPr>
        <w:tc>
          <w:tcPr>
            <w:tcW w:w="3190" w:type="dxa"/>
            <w:tcBorders>
              <w:top w:val="nil"/>
              <w:bottom w:val="single" w:sz="4" w:space="0" w:color="auto"/>
            </w:tcBorders>
          </w:tcPr>
          <w:p w:rsidR="00AB48F0" w:rsidRPr="00A55ED2" w:rsidRDefault="00FE5352" w:rsidP="00C1556F">
            <w:pPr>
              <w:keepNext/>
              <w:spacing w:before="60" w:after="60"/>
              <w:rPr>
                <w:i/>
                <w:iCs/>
                <w:lang w:val="fr-FR"/>
              </w:rPr>
            </w:pPr>
            <w:r w:rsidRPr="00A55ED2">
              <w:rPr>
                <w:i/>
                <w:iCs/>
                <w:lang w:val="fr-FR"/>
              </w:rPr>
              <w:t xml:space="preserve"> </w:t>
            </w:r>
            <w:r w:rsidR="00C1556F" w:rsidRPr="00A55ED2">
              <w:rPr>
                <w:i/>
                <w:iCs/>
                <w:lang w:val="fr-FR"/>
              </w:rPr>
              <w:t>recherche internationale</w:t>
            </w:r>
          </w:p>
        </w:tc>
        <w:tc>
          <w:tcPr>
            <w:tcW w:w="3190" w:type="dxa"/>
            <w:tcBorders>
              <w:top w:val="nil"/>
              <w:bottom w:val="single" w:sz="4" w:space="0" w:color="auto"/>
            </w:tcBorders>
          </w:tcPr>
          <w:p w:rsidR="00AB48F0" w:rsidRPr="00A55ED2" w:rsidRDefault="00C1556F" w:rsidP="00C1556F">
            <w:pPr>
              <w:keepNext/>
              <w:spacing w:before="60" w:after="60"/>
              <w:rPr>
                <w:lang w:val="fr-FR"/>
              </w:rPr>
            </w:pPr>
            <w:r w:rsidRPr="00A55ED2">
              <w:rPr>
                <w:lang w:val="fr-FR"/>
              </w:rPr>
              <w:t>Tient compte de toute incorporation par renvoi.</w:t>
            </w:r>
          </w:p>
        </w:tc>
        <w:tc>
          <w:tcPr>
            <w:tcW w:w="3191" w:type="dxa"/>
            <w:tcBorders>
              <w:top w:val="nil"/>
              <w:bottom w:val="single" w:sz="4" w:space="0" w:color="auto"/>
            </w:tcBorders>
          </w:tcPr>
          <w:p w:rsidR="00AB48F0" w:rsidRPr="00A55ED2" w:rsidRDefault="00C1556F" w:rsidP="00C1556F">
            <w:pPr>
              <w:keepNext/>
              <w:spacing w:before="60" w:after="60"/>
              <w:rPr>
                <w:lang w:val="fr-FR"/>
              </w:rPr>
            </w:pPr>
            <w:r w:rsidRPr="00A55ED2">
              <w:rPr>
                <w:lang w:val="fr-FR"/>
              </w:rPr>
              <w:t>Effectuée sur la base de la demande internationale telle qu</w:t>
            </w:r>
            <w:r w:rsidR="004642BB" w:rsidRPr="00A55ED2">
              <w:rPr>
                <w:lang w:val="fr-FR"/>
              </w:rPr>
              <w:t>’</w:t>
            </w:r>
            <w:r w:rsidRPr="00A55ED2">
              <w:rPr>
                <w:lang w:val="fr-FR"/>
              </w:rPr>
              <w:t>elle a été déposée.</w:t>
            </w:r>
          </w:p>
        </w:tc>
      </w:tr>
      <w:tr w:rsidR="00A55ED2" w:rsidRPr="009F6260" w:rsidTr="00A64DCF">
        <w:trPr>
          <w:cantSplit/>
        </w:trPr>
        <w:tc>
          <w:tcPr>
            <w:tcW w:w="3190" w:type="dxa"/>
            <w:tcBorders>
              <w:bottom w:val="nil"/>
            </w:tcBorders>
          </w:tcPr>
          <w:p w:rsidR="00AB48F0" w:rsidRPr="00A55ED2" w:rsidRDefault="00C1556F" w:rsidP="00C1556F">
            <w:pPr>
              <w:keepNext/>
              <w:spacing w:before="60" w:after="60"/>
              <w:rPr>
                <w:b/>
                <w:bCs/>
                <w:lang w:val="fr-FR"/>
              </w:rPr>
            </w:pPr>
            <w:r w:rsidRPr="00A55ED2">
              <w:rPr>
                <w:b/>
                <w:bCs/>
                <w:lang w:val="fr-FR"/>
              </w:rPr>
              <w:t>Risques pour les déposants dans la phase nationale</w:t>
            </w:r>
          </w:p>
        </w:tc>
        <w:tc>
          <w:tcPr>
            <w:tcW w:w="3190" w:type="dxa"/>
            <w:tcBorders>
              <w:bottom w:val="nil"/>
            </w:tcBorders>
          </w:tcPr>
          <w:p w:rsidR="00AB48F0" w:rsidRPr="00A55ED2" w:rsidRDefault="00AB48F0" w:rsidP="00A64DCF">
            <w:pPr>
              <w:keepNext/>
              <w:spacing w:before="60" w:after="60"/>
              <w:rPr>
                <w:lang w:val="fr-FR"/>
              </w:rPr>
            </w:pPr>
          </w:p>
        </w:tc>
        <w:tc>
          <w:tcPr>
            <w:tcW w:w="3191" w:type="dxa"/>
            <w:tcBorders>
              <w:bottom w:val="nil"/>
            </w:tcBorders>
          </w:tcPr>
          <w:p w:rsidR="00AB48F0" w:rsidRPr="00A55ED2" w:rsidRDefault="00AB48F0" w:rsidP="00A64DCF">
            <w:pPr>
              <w:keepNext/>
              <w:spacing w:before="60" w:after="60"/>
              <w:rPr>
                <w:lang w:val="fr-FR"/>
              </w:rPr>
            </w:pPr>
          </w:p>
        </w:tc>
      </w:tr>
      <w:tr w:rsidR="00A55ED2" w:rsidRPr="009F6260" w:rsidTr="00A64DCF">
        <w:trPr>
          <w:cantSplit/>
        </w:trPr>
        <w:tc>
          <w:tcPr>
            <w:tcW w:w="3190" w:type="dxa"/>
            <w:tcBorders>
              <w:top w:val="nil"/>
              <w:bottom w:val="nil"/>
            </w:tcBorders>
          </w:tcPr>
          <w:p w:rsidR="00AB48F0" w:rsidRPr="00A55ED2" w:rsidRDefault="00FE5352" w:rsidP="00C1556F">
            <w:pPr>
              <w:keepNext/>
              <w:spacing w:before="60" w:after="60"/>
              <w:rPr>
                <w:i/>
                <w:iCs/>
                <w:lang w:val="fr-FR"/>
              </w:rPr>
            </w:pPr>
            <w:r w:rsidRPr="00A55ED2">
              <w:rPr>
                <w:i/>
                <w:iCs/>
                <w:lang w:val="fr-FR"/>
              </w:rPr>
              <w:t xml:space="preserve"> </w:t>
            </w:r>
            <w:r w:rsidR="00C1556F" w:rsidRPr="00A55ED2">
              <w:rPr>
                <w:i/>
                <w:iCs/>
                <w:lang w:val="fr-FR"/>
              </w:rPr>
              <w:t>revendication de priorité</w:t>
            </w:r>
          </w:p>
        </w:tc>
        <w:tc>
          <w:tcPr>
            <w:tcW w:w="3190" w:type="dxa"/>
            <w:tcBorders>
              <w:top w:val="nil"/>
              <w:bottom w:val="nil"/>
            </w:tcBorders>
          </w:tcPr>
          <w:p w:rsidR="00AB48F0" w:rsidRPr="00A55ED2" w:rsidRDefault="00164094" w:rsidP="00330E49">
            <w:pPr>
              <w:keepNext/>
              <w:spacing w:before="60" w:after="60"/>
              <w:rPr>
                <w:lang w:val="fr-FR"/>
              </w:rPr>
            </w:pPr>
            <w:proofErr w:type="gramStart"/>
            <w:r w:rsidRPr="00A55ED2">
              <w:rPr>
                <w:lang w:val="fr-FR"/>
              </w:rPr>
              <w:t>Peut être</w:t>
            </w:r>
            <w:proofErr w:type="gramEnd"/>
            <w:r w:rsidRPr="00A55ED2">
              <w:rPr>
                <w:lang w:val="fr-FR"/>
              </w:rPr>
              <w:t xml:space="preserve"> déclarée </w:t>
            </w:r>
            <w:r w:rsidR="00330E49" w:rsidRPr="00A55ED2">
              <w:rPr>
                <w:lang w:val="fr-FR"/>
              </w:rPr>
              <w:t>nulle</w:t>
            </w:r>
            <w:r w:rsidRPr="00A55ED2">
              <w:rPr>
                <w:lang w:val="fr-FR"/>
              </w:rPr>
              <w:t xml:space="preserve"> dans certains offices désignés (entraînant pour l</w:t>
            </w:r>
            <w:r w:rsidR="004642BB" w:rsidRPr="00A55ED2">
              <w:rPr>
                <w:lang w:val="fr-FR"/>
              </w:rPr>
              <w:t>’</w:t>
            </w:r>
            <w:r w:rsidRPr="00A55ED2">
              <w:rPr>
                <w:lang w:val="fr-FR"/>
              </w:rPr>
              <w:t>office et le déposant des formalités administratives sans intérêt pratique), mais sans effet matériel en l</w:t>
            </w:r>
            <w:r w:rsidR="004642BB" w:rsidRPr="00A55ED2">
              <w:rPr>
                <w:lang w:val="fr-FR"/>
              </w:rPr>
              <w:t>’</w:t>
            </w:r>
            <w:r w:rsidRPr="00A55ED2">
              <w:rPr>
                <w:lang w:val="fr-FR"/>
              </w:rPr>
              <w:t>absence d</w:t>
            </w:r>
            <w:r w:rsidR="004642BB" w:rsidRPr="00A55ED2">
              <w:rPr>
                <w:lang w:val="fr-FR"/>
              </w:rPr>
              <w:t>’</w:t>
            </w:r>
            <w:r w:rsidRPr="00A55ED2">
              <w:rPr>
                <w:lang w:val="fr-FR"/>
              </w:rPr>
              <w:t>incorporation par renvoi.</w:t>
            </w:r>
          </w:p>
        </w:tc>
        <w:tc>
          <w:tcPr>
            <w:tcW w:w="3191" w:type="dxa"/>
            <w:tcBorders>
              <w:top w:val="nil"/>
              <w:bottom w:val="nil"/>
            </w:tcBorders>
          </w:tcPr>
          <w:p w:rsidR="00AB48F0" w:rsidRPr="00A55ED2" w:rsidRDefault="00C95494" w:rsidP="00C95494">
            <w:pPr>
              <w:keepNext/>
              <w:spacing w:before="60" w:after="60"/>
              <w:rPr>
                <w:lang w:val="fr-FR"/>
              </w:rPr>
            </w:pPr>
            <w:r w:rsidRPr="00A55ED2">
              <w:rPr>
                <w:lang w:val="fr-FR"/>
              </w:rPr>
              <w:t>Il faudra s</w:t>
            </w:r>
            <w:r w:rsidR="004642BB" w:rsidRPr="00A55ED2">
              <w:rPr>
                <w:lang w:val="fr-FR"/>
              </w:rPr>
              <w:t>’</w:t>
            </w:r>
            <w:r w:rsidRPr="00A55ED2">
              <w:rPr>
                <w:lang w:val="fr-FR"/>
              </w:rPr>
              <w:t>informer des possibilités</w:t>
            </w:r>
            <w:r w:rsidR="00164094" w:rsidRPr="00A55ED2">
              <w:rPr>
                <w:lang w:val="fr-FR"/>
              </w:rPr>
              <w:t xml:space="preserve"> en matière de restauration de</w:t>
            </w:r>
            <w:r w:rsidRPr="00A55ED2">
              <w:rPr>
                <w:lang w:val="fr-FR"/>
              </w:rPr>
              <w:t>s</w:t>
            </w:r>
            <w:r w:rsidR="00164094" w:rsidRPr="00A55ED2">
              <w:rPr>
                <w:lang w:val="fr-FR"/>
              </w:rPr>
              <w:t xml:space="preserve"> revendication</w:t>
            </w:r>
            <w:r w:rsidRPr="00A55ED2">
              <w:rPr>
                <w:lang w:val="fr-FR"/>
              </w:rPr>
              <w:t>s</w:t>
            </w:r>
            <w:r w:rsidR="00164094" w:rsidRPr="00A55ED2">
              <w:rPr>
                <w:lang w:val="fr-FR"/>
              </w:rPr>
              <w:t xml:space="preserve"> de priorité</w:t>
            </w:r>
            <w:r w:rsidRPr="00A55ED2">
              <w:rPr>
                <w:lang w:val="fr-FR"/>
              </w:rPr>
              <w:t xml:space="preserve"> </w:t>
            </w:r>
            <w:r w:rsidR="00164094" w:rsidRPr="00A55ED2">
              <w:rPr>
                <w:lang w:val="fr-FR"/>
              </w:rPr>
              <w:t>dans chaque office désigné (pas d</w:t>
            </w:r>
            <w:r w:rsidR="004642BB" w:rsidRPr="00A55ED2">
              <w:rPr>
                <w:lang w:val="fr-FR"/>
              </w:rPr>
              <w:t>’</w:t>
            </w:r>
            <w:r w:rsidR="00164094" w:rsidRPr="00A55ED2">
              <w:rPr>
                <w:lang w:val="fr-FR"/>
              </w:rPr>
              <w:t>effet matériel – nécessaire uniquement en cas d</w:t>
            </w:r>
            <w:r w:rsidR="004642BB" w:rsidRPr="00A55ED2">
              <w:rPr>
                <w:lang w:val="fr-FR"/>
              </w:rPr>
              <w:t>’</w:t>
            </w:r>
            <w:r w:rsidR="00164094" w:rsidRPr="00A55ED2">
              <w:rPr>
                <w:lang w:val="fr-FR"/>
              </w:rPr>
              <w:t>incorporation par renvoi pour rectifier une erreur).</w:t>
            </w:r>
          </w:p>
        </w:tc>
      </w:tr>
      <w:tr w:rsidR="00AB48F0" w:rsidRPr="009F6260" w:rsidTr="00A64DCF">
        <w:trPr>
          <w:cantSplit/>
        </w:trPr>
        <w:tc>
          <w:tcPr>
            <w:tcW w:w="3190" w:type="dxa"/>
            <w:tcBorders>
              <w:top w:val="nil"/>
            </w:tcBorders>
          </w:tcPr>
          <w:p w:rsidR="00AB48F0" w:rsidRPr="00A55ED2" w:rsidRDefault="00FE5352" w:rsidP="00164094">
            <w:pPr>
              <w:spacing w:before="60" w:after="60"/>
              <w:ind w:left="-86"/>
              <w:rPr>
                <w:i/>
                <w:iCs/>
                <w:lang w:val="fr-FR"/>
              </w:rPr>
            </w:pPr>
            <w:r w:rsidRPr="00A55ED2">
              <w:rPr>
                <w:i/>
                <w:iCs/>
                <w:lang w:val="fr-FR"/>
              </w:rPr>
              <w:t xml:space="preserve"> </w:t>
            </w:r>
            <w:r w:rsidR="00164094" w:rsidRPr="00A55ED2">
              <w:rPr>
                <w:i/>
                <w:iCs/>
                <w:lang w:val="fr-FR"/>
              </w:rPr>
              <w:t>incorporation par renvoi</w:t>
            </w:r>
          </w:p>
        </w:tc>
        <w:tc>
          <w:tcPr>
            <w:tcW w:w="3190" w:type="dxa"/>
            <w:tcBorders>
              <w:top w:val="nil"/>
            </w:tcBorders>
          </w:tcPr>
          <w:p w:rsidR="00AB48F0" w:rsidRPr="00A55ED2" w:rsidRDefault="00164094" w:rsidP="00330E49">
            <w:pPr>
              <w:spacing w:before="60" w:after="60"/>
              <w:rPr>
                <w:lang w:val="fr-FR"/>
              </w:rPr>
            </w:pPr>
            <w:r w:rsidRPr="00A55ED2">
              <w:rPr>
                <w:lang w:val="fr-FR"/>
              </w:rPr>
              <w:t xml:space="preserve">Peut être </w:t>
            </w:r>
            <w:r w:rsidR="00330E49" w:rsidRPr="00A55ED2">
              <w:rPr>
                <w:lang w:val="fr-FR"/>
              </w:rPr>
              <w:t>déclarée nulle</w:t>
            </w:r>
            <w:r w:rsidRPr="00A55ED2">
              <w:rPr>
                <w:lang w:val="fr-FR"/>
              </w:rPr>
              <w:t>, même dans les offices qui autorisent normalement l</w:t>
            </w:r>
            <w:r w:rsidR="004642BB" w:rsidRPr="00A55ED2">
              <w:rPr>
                <w:lang w:val="fr-FR"/>
              </w:rPr>
              <w:t>’</w:t>
            </w:r>
            <w:r w:rsidRPr="00A55ED2">
              <w:rPr>
                <w:lang w:val="fr-FR"/>
              </w:rPr>
              <w:t>incorporation – soit la date de dépôt effectif sera modifiée, soit les éléments incorporés par renvoi ne seront pas pris en considération.</w:t>
            </w:r>
          </w:p>
        </w:tc>
        <w:tc>
          <w:tcPr>
            <w:tcW w:w="3191" w:type="dxa"/>
            <w:tcBorders>
              <w:top w:val="nil"/>
            </w:tcBorders>
          </w:tcPr>
          <w:p w:rsidR="00AB48F0" w:rsidRPr="00A55ED2" w:rsidRDefault="00172AED" w:rsidP="00C95494">
            <w:pPr>
              <w:spacing w:before="60" w:after="60"/>
              <w:rPr>
                <w:lang w:val="fr-FR"/>
              </w:rPr>
            </w:pPr>
            <w:r w:rsidRPr="00A55ED2">
              <w:rPr>
                <w:lang w:val="fr-FR"/>
              </w:rPr>
              <w:t xml:space="preserve">Devra être </w:t>
            </w:r>
            <w:r w:rsidR="00C95494" w:rsidRPr="00A55ED2">
              <w:rPr>
                <w:lang w:val="fr-FR"/>
              </w:rPr>
              <w:t>envisagée séparément</w:t>
            </w:r>
            <w:r w:rsidRPr="00A55ED2">
              <w:rPr>
                <w:lang w:val="fr-FR"/>
              </w:rPr>
              <w:t xml:space="preserve"> dans chaque office désigné autorisant à la fois la restauration de</w:t>
            </w:r>
            <w:r w:rsidR="00C95494" w:rsidRPr="00A55ED2">
              <w:rPr>
                <w:lang w:val="fr-FR"/>
              </w:rPr>
              <w:t>s</w:t>
            </w:r>
            <w:r w:rsidRPr="00A55ED2">
              <w:rPr>
                <w:lang w:val="fr-FR"/>
              </w:rPr>
              <w:t xml:space="preserve"> revendication</w:t>
            </w:r>
            <w:r w:rsidR="00C95494" w:rsidRPr="00A55ED2">
              <w:rPr>
                <w:lang w:val="fr-FR"/>
              </w:rPr>
              <w:t>s</w:t>
            </w:r>
            <w:r w:rsidRPr="00A55ED2">
              <w:rPr>
                <w:lang w:val="fr-FR"/>
              </w:rPr>
              <w:t xml:space="preserve"> de priorité portant sur la même date et l</w:t>
            </w:r>
            <w:r w:rsidR="004642BB" w:rsidRPr="00A55ED2">
              <w:rPr>
                <w:lang w:val="fr-FR"/>
              </w:rPr>
              <w:t>’</w:t>
            </w:r>
            <w:r w:rsidRPr="00A55ED2">
              <w:rPr>
                <w:lang w:val="fr-FR"/>
              </w:rPr>
              <w:t>incorporation par renvoi.</w:t>
            </w:r>
          </w:p>
        </w:tc>
      </w:tr>
    </w:tbl>
    <w:p w:rsidR="00785FC5" w:rsidRPr="00A55ED2" w:rsidRDefault="00785FC5" w:rsidP="001E622F">
      <w:pPr>
        <w:pStyle w:val="ONUME"/>
        <w:numPr>
          <w:ilvl w:val="0"/>
          <w:numId w:val="0"/>
        </w:numPr>
        <w:rPr>
          <w:lang w:val="fr-FR"/>
        </w:rPr>
      </w:pPr>
    </w:p>
    <w:p w:rsidR="00785FC5" w:rsidRPr="00A55ED2" w:rsidRDefault="00172AED" w:rsidP="00751DD3">
      <w:pPr>
        <w:pStyle w:val="ONUME"/>
        <w:rPr>
          <w:lang w:val="fr-FR"/>
        </w:rPr>
      </w:pPr>
      <w:r w:rsidRPr="00A55ED2">
        <w:rPr>
          <w:lang w:val="fr-FR"/>
        </w:rPr>
        <w:t xml:space="preserve">Les revendications de priorité portant sur la même date sont relativement peu nombreuses (à </w:t>
      </w:r>
      <w:r w:rsidR="002D1943" w:rsidRPr="00A55ED2">
        <w:rPr>
          <w:lang w:val="fr-FR"/>
        </w:rPr>
        <w:t>peine</w:t>
      </w:r>
      <w:r w:rsidRPr="00A55ED2">
        <w:rPr>
          <w:lang w:val="fr-FR"/>
        </w:rPr>
        <w:t xml:space="preserve"> plus de 200 </w:t>
      </w:r>
      <w:r w:rsidR="00AF26D2" w:rsidRPr="00A55ED2">
        <w:rPr>
          <w:lang w:val="fr-FR"/>
        </w:rPr>
        <w:t>en</w:t>
      </w:r>
      <w:r w:rsidR="00FE5352" w:rsidRPr="00A55ED2">
        <w:rPr>
          <w:lang w:val="fr-FR"/>
        </w:rPr>
        <w:t> </w:t>
      </w:r>
      <w:r w:rsidRPr="00A55ED2">
        <w:rPr>
          <w:lang w:val="fr-FR"/>
        </w:rPr>
        <w:t>2013) et proviennent principalement (par ordre décroissant) des offices récepteurs de la République de Corée, des États</w:t>
      </w:r>
      <w:r w:rsidR="00AD57E7" w:rsidRPr="00A55ED2">
        <w:rPr>
          <w:lang w:val="fr-FR"/>
        </w:rPr>
        <w:noBreakHyphen/>
      </w:r>
      <w:r w:rsidRPr="00A55ED2">
        <w:rPr>
          <w:lang w:val="fr-FR"/>
        </w:rPr>
        <w:t>Unis d</w:t>
      </w:r>
      <w:r w:rsidR="004642BB" w:rsidRPr="00A55ED2">
        <w:rPr>
          <w:lang w:val="fr-FR"/>
        </w:rPr>
        <w:t>’</w:t>
      </w:r>
      <w:r w:rsidRPr="00A55ED2">
        <w:rPr>
          <w:lang w:val="fr-FR"/>
        </w:rPr>
        <w:t>Amérique et de la Chine.</w:t>
      </w:r>
      <w:r w:rsidR="00AB48F0" w:rsidRPr="00A55ED2">
        <w:rPr>
          <w:lang w:val="fr-FR"/>
        </w:rPr>
        <w:t xml:space="preserve">  </w:t>
      </w:r>
      <w:r w:rsidRPr="00A55ED2">
        <w:rPr>
          <w:lang w:val="fr-FR"/>
        </w:rPr>
        <w:t>Sur celles</w:t>
      </w:r>
      <w:r w:rsidR="00AD57E7" w:rsidRPr="00A55ED2">
        <w:rPr>
          <w:lang w:val="fr-FR"/>
        </w:rPr>
        <w:noBreakHyphen/>
      </w:r>
      <w:r w:rsidRPr="00A55ED2">
        <w:rPr>
          <w:lang w:val="fr-FR"/>
        </w:rPr>
        <w:t>ci, il s</w:t>
      </w:r>
      <w:r w:rsidR="004642BB" w:rsidRPr="00A55ED2">
        <w:rPr>
          <w:lang w:val="fr-FR"/>
        </w:rPr>
        <w:t>’</w:t>
      </w:r>
      <w:r w:rsidRPr="00A55ED2">
        <w:rPr>
          <w:lang w:val="fr-FR"/>
        </w:rPr>
        <w:t>avère que, en</w:t>
      </w:r>
      <w:r w:rsidR="00FE5352" w:rsidRPr="00A55ED2">
        <w:rPr>
          <w:lang w:val="fr-FR"/>
        </w:rPr>
        <w:t> </w:t>
      </w:r>
      <w:r w:rsidRPr="00A55ED2">
        <w:rPr>
          <w:lang w:val="fr-FR"/>
        </w:rPr>
        <w:t>2013, deux</w:t>
      </w:r>
      <w:r w:rsidR="00FE5352" w:rsidRPr="00A55ED2">
        <w:rPr>
          <w:lang w:val="fr-FR"/>
        </w:rPr>
        <w:t> </w:t>
      </w:r>
      <w:r w:rsidRPr="00A55ED2">
        <w:rPr>
          <w:lang w:val="fr-FR"/>
        </w:rPr>
        <w:t xml:space="preserve">seulement ont </w:t>
      </w:r>
      <w:r w:rsidR="00C95494" w:rsidRPr="00A55ED2">
        <w:rPr>
          <w:lang w:val="fr-FR"/>
        </w:rPr>
        <w:t xml:space="preserve">donné lieu à </w:t>
      </w:r>
      <w:r w:rsidRPr="00A55ED2">
        <w:rPr>
          <w:lang w:val="fr-FR"/>
        </w:rPr>
        <w:t>une confirmation de l</w:t>
      </w:r>
      <w:r w:rsidR="004642BB" w:rsidRPr="00A55ED2">
        <w:rPr>
          <w:lang w:val="fr-FR"/>
        </w:rPr>
        <w:t>’</w:t>
      </w:r>
      <w:r w:rsidRPr="00A55ED2">
        <w:rPr>
          <w:lang w:val="fr-FR"/>
        </w:rPr>
        <w:t>incorporation par renvoi.</w:t>
      </w:r>
      <w:r w:rsidR="00AB48F0" w:rsidRPr="00A55ED2">
        <w:rPr>
          <w:lang w:val="fr-FR"/>
        </w:rPr>
        <w:t xml:space="preserve">  </w:t>
      </w:r>
      <w:r w:rsidR="00751DD3" w:rsidRPr="00A55ED2">
        <w:rPr>
          <w:lang w:val="fr-FR"/>
        </w:rPr>
        <w:t>On voit par conséquent que le problème est limité et ne devrait pas représenter une charge de travail trop importante pour les offices récepteurs ou les offices désignés.</w:t>
      </w:r>
      <w:r w:rsidR="00AB48F0" w:rsidRPr="00A55ED2">
        <w:rPr>
          <w:lang w:val="fr-FR"/>
        </w:rPr>
        <w:t xml:space="preserve">  </w:t>
      </w:r>
      <w:r w:rsidR="00751DD3" w:rsidRPr="00A55ED2">
        <w:rPr>
          <w:lang w:val="fr-FR"/>
        </w:rPr>
        <w:t xml:space="preserve">Néanmoins, </w:t>
      </w:r>
      <w:r w:rsidR="00C95494" w:rsidRPr="00A55ED2">
        <w:rPr>
          <w:lang w:val="fr-FR"/>
        </w:rPr>
        <w:t>“</w:t>
      </w:r>
      <w:r w:rsidR="00751DD3" w:rsidRPr="00A55ED2">
        <w:rPr>
          <w:lang w:val="fr-FR"/>
        </w:rPr>
        <w:t>l</w:t>
      </w:r>
      <w:r w:rsidR="004642BB" w:rsidRPr="00A55ED2">
        <w:rPr>
          <w:lang w:val="fr-FR"/>
        </w:rPr>
        <w:t>’</w:t>
      </w:r>
      <w:r w:rsidR="00751DD3" w:rsidRPr="00A55ED2">
        <w:rPr>
          <w:lang w:val="fr-FR"/>
        </w:rPr>
        <w:t>incorporation par renvoi</w:t>
      </w:r>
      <w:r w:rsidR="00AC7F1A" w:rsidRPr="00A55ED2">
        <w:rPr>
          <w:lang w:val="fr-FR"/>
        </w:rPr>
        <w:t>”</w:t>
      </w:r>
      <w:r w:rsidR="00751DD3" w:rsidRPr="00A55ED2">
        <w:rPr>
          <w:lang w:val="fr-FR"/>
        </w:rPr>
        <w:t xml:space="preserve"> est </w:t>
      </w:r>
      <w:r w:rsidR="00C95494" w:rsidRPr="00A55ED2">
        <w:rPr>
          <w:lang w:val="fr-FR"/>
        </w:rPr>
        <w:t xml:space="preserve">un instrument </w:t>
      </w:r>
      <w:r w:rsidR="00751DD3" w:rsidRPr="00A55ED2">
        <w:rPr>
          <w:lang w:val="fr-FR"/>
        </w:rPr>
        <w:t>utilisé par quelques déposants, qui</w:t>
      </w:r>
      <w:r w:rsidR="00C95494" w:rsidRPr="00A55ED2">
        <w:rPr>
          <w:lang w:val="fr-FR"/>
        </w:rPr>
        <w:t xml:space="preserve"> y attachent de l</w:t>
      </w:r>
      <w:r w:rsidR="004642BB" w:rsidRPr="00A55ED2">
        <w:rPr>
          <w:lang w:val="fr-FR"/>
        </w:rPr>
        <w:t>’</w:t>
      </w:r>
      <w:r w:rsidR="00C95494" w:rsidRPr="00A55ED2">
        <w:rPr>
          <w:lang w:val="fr-FR"/>
        </w:rPr>
        <w:t>importance.</w:t>
      </w:r>
    </w:p>
    <w:bookmarkEnd w:id="7"/>
    <w:p w:rsidR="00785FC5" w:rsidRPr="00A55ED2" w:rsidRDefault="00751DD3" w:rsidP="00751DD3">
      <w:pPr>
        <w:pStyle w:val="Heading2"/>
        <w:rPr>
          <w:lang w:val="fr-FR"/>
        </w:rPr>
      </w:pPr>
      <w:r w:rsidRPr="00A55ED2">
        <w:rPr>
          <w:lang w:val="fr-FR"/>
        </w:rPr>
        <w:t>OPTIONS</w:t>
      </w:r>
    </w:p>
    <w:p w:rsidR="00785FC5" w:rsidRPr="00A55ED2" w:rsidRDefault="00E464AF" w:rsidP="00E464AF">
      <w:pPr>
        <w:pStyle w:val="ONUME"/>
        <w:rPr>
          <w:lang w:val="fr-FR"/>
        </w:rPr>
      </w:pPr>
      <w:r w:rsidRPr="00A55ED2">
        <w:rPr>
          <w:lang w:val="fr-FR"/>
        </w:rPr>
        <w:t>Les paragraphes ci</w:t>
      </w:r>
      <w:r w:rsidR="00AD57E7" w:rsidRPr="00A55ED2">
        <w:rPr>
          <w:lang w:val="fr-FR"/>
        </w:rPr>
        <w:noBreakHyphen/>
      </w:r>
      <w:r w:rsidRPr="00A55ED2">
        <w:rPr>
          <w:lang w:val="fr-FR"/>
        </w:rPr>
        <w:t>après présentent les quatre</w:t>
      </w:r>
      <w:r w:rsidR="00FE5352" w:rsidRPr="00A55ED2">
        <w:rPr>
          <w:lang w:val="fr-FR"/>
        </w:rPr>
        <w:t> </w:t>
      </w:r>
      <w:r w:rsidRPr="00A55ED2">
        <w:rPr>
          <w:lang w:val="fr-FR"/>
        </w:rPr>
        <w:t>principales options possibles pour remédier aux différences d</w:t>
      </w:r>
      <w:r w:rsidR="004642BB" w:rsidRPr="00A55ED2">
        <w:rPr>
          <w:lang w:val="fr-FR"/>
        </w:rPr>
        <w:t>’</w:t>
      </w:r>
      <w:r w:rsidRPr="00A55ED2">
        <w:rPr>
          <w:lang w:val="fr-FR"/>
        </w:rPr>
        <w:t>interprétation de la Convention de Paris par les offices des États contractants</w:t>
      </w:r>
      <w:r w:rsidR="004642BB" w:rsidRPr="00A55ED2">
        <w:rPr>
          <w:lang w:val="fr-FR"/>
        </w:rPr>
        <w:t xml:space="preserve"> du PCT</w:t>
      </w:r>
      <w:r w:rsidRPr="00A55ED2">
        <w:rPr>
          <w:lang w:val="fr-FR"/>
        </w:rPr>
        <w:t xml:space="preserve"> quant </w:t>
      </w:r>
      <w:r w:rsidR="004642BB" w:rsidRPr="00A55ED2">
        <w:rPr>
          <w:lang w:val="fr-FR"/>
        </w:rPr>
        <w:t>à savoir</w:t>
      </w:r>
      <w:r w:rsidRPr="00A55ED2">
        <w:rPr>
          <w:lang w:val="fr-FR"/>
        </w:rPr>
        <w:t xml:space="preserve"> si les revendications de priorité portant sur la même date sont autorisées.</w:t>
      </w:r>
    </w:p>
    <w:p w:rsidR="004642BB" w:rsidRPr="00A55ED2" w:rsidRDefault="00E464AF" w:rsidP="00E464AF">
      <w:pPr>
        <w:pStyle w:val="Heading3"/>
        <w:keepLines/>
        <w:rPr>
          <w:lang w:val="fr-FR"/>
        </w:rPr>
      </w:pPr>
      <w:r w:rsidRPr="00A55ED2">
        <w:rPr>
          <w:lang w:val="fr-FR"/>
        </w:rPr>
        <w:lastRenderedPageBreak/>
        <w:t>Option 1 : Renvoyer la question à l</w:t>
      </w:r>
      <w:r w:rsidR="004642BB" w:rsidRPr="00A55ED2">
        <w:rPr>
          <w:lang w:val="fr-FR"/>
        </w:rPr>
        <w:t>’</w:t>
      </w:r>
      <w:r w:rsidRPr="00A55ED2">
        <w:rPr>
          <w:lang w:val="fr-FR"/>
        </w:rPr>
        <w:t>Assemblée de l</w:t>
      </w:r>
      <w:r w:rsidR="004642BB" w:rsidRPr="00A55ED2">
        <w:rPr>
          <w:lang w:val="fr-FR"/>
        </w:rPr>
        <w:t>’</w:t>
      </w:r>
      <w:r w:rsidRPr="00A55ED2">
        <w:rPr>
          <w:lang w:val="fr-FR"/>
        </w:rPr>
        <w:t>Union de Paris</w:t>
      </w:r>
    </w:p>
    <w:p w:rsidR="00785FC5" w:rsidRPr="00A55ED2" w:rsidRDefault="00E464AF" w:rsidP="00E464AF">
      <w:pPr>
        <w:pStyle w:val="ONUME"/>
        <w:rPr>
          <w:lang w:val="fr-FR"/>
        </w:rPr>
      </w:pPr>
      <w:bookmarkStart w:id="9" w:name="_Ref406486876"/>
      <w:r w:rsidRPr="00A55ED2">
        <w:rPr>
          <w:lang w:val="fr-FR"/>
        </w:rPr>
        <w:t>La première option pour les États contractants</w:t>
      </w:r>
      <w:r w:rsidR="004642BB" w:rsidRPr="00A55ED2">
        <w:rPr>
          <w:lang w:val="fr-FR"/>
        </w:rPr>
        <w:t xml:space="preserve"> du PCT</w:t>
      </w:r>
      <w:r w:rsidRPr="00A55ED2">
        <w:rPr>
          <w:lang w:val="fr-FR"/>
        </w:rPr>
        <w:t xml:space="preserve"> serait de faire en sorte que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r w:rsidRPr="00A55ED2">
        <w:rPr>
          <w:lang w:val="fr-FR"/>
        </w:rPr>
        <w:t xml:space="preserve"> renvoie la question à l</w:t>
      </w:r>
      <w:r w:rsidR="004642BB" w:rsidRPr="00A55ED2">
        <w:rPr>
          <w:lang w:val="fr-FR"/>
        </w:rPr>
        <w:t>’</w:t>
      </w:r>
      <w:r w:rsidRPr="00A55ED2">
        <w:rPr>
          <w:lang w:val="fr-FR"/>
        </w:rPr>
        <w:t>Assemblée de l</w:t>
      </w:r>
      <w:r w:rsidR="004642BB" w:rsidRPr="00A55ED2">
        <w:rPr>
          <w:lang w:val="fr-FR"/>
        </w:rPr>
        <w:t>’</w:t>
      </w:r>
      <w:r w:rsidRPr="00A55ED2">
        <w:rPr>
          <w:lang w:val="fr-FR"/>
        </w:rPr>
        <w:t>Union de Paris pour parvenir à une interprétation commune de l</w:t>
      </w:r>
      <w:r w:rsidR="004642BB" w:rsidRPr="00A55ED2">
        <w:rPr>
          <w:lang w:val="fr-FR"/>
        </w:rPr>
        <w:t>’</w:t>
      </w:r>
      <w:r w:rsidRPr="00A55ED2">
        <w:rPr>
          <w:lang w:val="fr-FR"/>
        </w:rPr>
        <w:t>article 4 de la Convention de Paris par tous les États membres de l</w:t>
      </w:r>
      <w:r w:rsidR="004642BB" w:rsidRPr="00A55ED2">
        <w:rPr>
          <w:lang w:val="fr-FR"/>
        </w:rPr>
        <w:t>’</w:t>
      </w:r>
      <w:r w:rsidRPr="00A55ED2">
        <w:rPr>
          <w:lang w:val="fr-FR"/>
        </w:rPr>
        <w:t>Union de Paris.</w:t>
      </w:r>
      <w:r w:rsidR="00AB48F0" w:rsidRPr="00A55ED2">
        <w:rPr>
          <w:lang w:val="fr-FR"/>
        </w:rPr>
        <w:t xml:space="preserve">  </w:t>
      </w:r>
      <w:r w:rsidRPr="00A55ED2">
        <w:rPr>
          <w:lang w:val="fr-FR"/>
        </w:rPr>
        <w:t>Ce faisant,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r w:rsidRPr="00A55ED2">
        <w:rPr>
          <w:lang w:val="fr-FR"/>
        </w:rPr>
        <w:t xml:space="preserve"> pourrait éventuellement faire une recommandation sur cette question à l</w:t>
      </w:r>
      <w:r w:rsidR="004642BB" w:rsidRPr="00A55ED2">
        <w:rPr>
          <w:lang w:val="fr-FR"/>
        </w:rPr>
        <w:t>’</w:t>
      </w:r>
      <w:r w:rsidRPr="00A55ED2">
        <w:rPr>
          <w:lang w:val="fr-FR"/>
        </w:rPr>
        <w:t>Assemblée de l</w:t>
      </w:r>
      <w:r w:rsidR="004642BB" w:rsidRPr="00A55ED2">
        <w:rPr>
          <w:lang w:val="fr-FR"/>
        </w:rPr>
        <w:t>’</w:t>
      </w:r>
      <w:r w:rsidRPr="00A55ED2">
        <w:rPr>
          <w:lang w:val="fr-FR"/>
        </w:rPr>
        <w:t>Union de Paris.</w:t>
      </w:r>
      <w:r w:rsidR="001F724E" w:rsidRPr="00A55ED2">
        <w:rPr>
          <w:lang w:val="fr-FR"/>
        </w:rPr>
        <w:t xml:space="preserve">  </w:t>
      </w:r>
      <w:bookmarkEnd w:id="9"/>
      <w:r w:rsidRPr="00A55ED2">
        <w:rPr>
          <w:lang w:val="fr-FR"/>
        </w:rPr>
        <w:t xml:space="preserve">Il convient toutefois de noter que les vues divergentes </w:t>
      </w:r>
      <w:r w:rsidR="002D1943" w:rsidRPr="00A55ED2">
        <w:rPr>
          <w:lang w:val="fr-FR"/>
        </w:rPr>
        <w:t>exprimées</w:t>
      </w:r>
      <w:r w:rsidRPr="00A55ED2">
        <w:rPr>
          <w:lang w:val="fr-FR"/>
        </w:rPr>
        <w:t xml:space="preserve"> par les États contractants</w:t>
      </w:r>
      <w:r w:rsidR="004642BB" w:rsidRPr="00A55ED2">
        <w:rPr>
          <w:lang w:val="fr-FR"/>
        </w:rPr>
        <w:t xml:space="preserve"> du PCT</w:t>
      </w:r>
      <w:r w:rsidRPr="00A55ED2">
        <w:rPr>
          <w:lang w:val="fr-FR"/>
        </w:rPr>
        <w:t xml:space="preserve"> en réponse au questionnaire laissent à penser que des précisions et des discussions plus approfondies seraient nécessaires pour parvenir à un tel accord.</w:t>
      </w:r>
    </w:p>
    <w:p w:rsidR="004642BB" w:rsidRPr="00A55ED2" w:rsidRDefault="00E464AF" w:rsidP="00E464AF">
      <w:pPr>
        <w:pStyle w:val="ONUME"/>
        <w:keepLines/>
        <w:rPr>
          <w:lang w:val="fr-FR"/>
        </w:rPr>
      </w:pPr>
      <w:r w:rsidRPr="00A55ED2">
        <w:rPr>
          <w:lang w:val="fr-FR"/>
        </w:rPr>
        <w:t>Si la question devait être renvoyée à l</w:t>
      </w:r>
      <w:r w:rsidR="004642BB" w:rsidRPr="00A55ED2">
        <w:rPr>
          <w:lang w:val="fr-FR"/>
        </w:rPr>
        <w:t>’</w:t>
      </w:r>
      <w:r w:rsidRPr="00A55ED2">
        <w:rPr>
          <w:lang w:val="fr-FR"/>
        </w:rPr>
        <w:t>Assemblée de l</w:t>
      </w:r>
      <w:r w:rsidR="004642BB" w:rsidRPr="00A55ED2">
        <w:rPr>
          <w:lang w:val="fr-FR"/>
        </w:rPr>
        <w:t>’</w:t>
      </w:r>
      <w:r w:rsidRPr="00A55ED2">
        <w:rPr>
          <w:lang w:val="fr-FR"/>
        </w:rPr>
        <w:t xml:space="preserve">Union de Paris, </w:t>
      </w:r>
      <w:r w:rsidR="00C95494" w:rsidRPr="00A55ED2">
        <w:rPr>
          <w:lang w:val="fr-FR"/>
        </w:rPr>
        <w:t>celle</w:t>
      </w:r>
      <w:r w:rsidR="00AD57E7" w:rsidRPr="00A55ED2">
        <w:rPr>
          <w:lang w:val="fr-FR"/>
        </w:rPr>
        <w:noBreakHyphen/>
      </w:r>
      <w:r w:rsidR="00C95494" w:rsidRPr="00A55ED2">
        <w:rPr>
          <w:lang w:val="fr-FR"/>
        </w:rPr>
        <w:t xml:space="preserve">ci pourrait par exemple </w:t>
      </w:r>
      <w:r w:rsidRPr="00A55ED2">
        <w:rPr>
          <w:lang w:val="fr-FR"/>
        </w:rPr>
        <w:t>adopter un accord de principe sur la manière d</w:t>
      </w:r>
      <w:r w:rsidR="004642BB" w:rsidRPr="00A55ED2">
        <w:rPr>
          <w:lang w:val="fr-FR"/>
        </w:rPr>
        <w:t>’</w:t>
      </w:r>
      <w:r w:rsidRPr="00A55ED2">
        <w:rPr>
          <w:lang w:val="fr-FR"/>
        </w:rPr>
        <w:t>interpréter la Convention de Paris en ce qui concerne les revendications de priorité portant sur la même date.</w:t>
      </w:r>
    </w:p>
    <w:p w:rsidR="00785FC5" w:rsidRPr="00A55ED2" w:rsidRDefault="005513CB" w:rsidP="006E3DEA">
      <w:pPr>
        <w:pStyle w:val="ONUME"/>
        <w:keepLines/>
        <w:rPr>
          <w:lang w:val="fr-FR"/>
        </w:rPr>
      </w:pPr>
      <w:r w:rsidRPr="00A55ED2">
        <w:rPr>
          <w:lang w:val="fr-FR"/>
        </w:rPr>
        <w:t>L</w:t>
      </w:r>
      <w:r w:rsidR="004642BB" w:rsidRPr="00A55ED2">
        <w:rPr>
          <w:lang w:val="fr-FR"/>
        </w:rPr>
        <w:t>’</w:t>
      </w:r>
      <w:r w:rsidRPr="00A55ED2">
        <w:rPr>
          <w:lang w:val="fr-FR"/>
        </w:rPr>
        <w:t>autre solution consisterait en une modification officielle de l</w:t>
      </w:r>
      <w:r w:rsidR="004642BB" w:rsidRPr="00A55ED2">
        <w:rPr>
          <w:lang w:val="fr-FR"/>
        </w:rPr>
        <w:t>’</w:t>
      </w:r>
      <w:r w:rsidR="00C95494" w:rsidRPr="00A55ED2">
        <w:rPr>
          <w:lang w:val="fr-FR"/>
        </w:rPr>
        <w:t>a</w:t>
      </w:r>
      <w:r w:rsidRPr="00A55ED2">
        <w:rPr>
          <w:lang w:val="fr-FR"/>
        </w:rPr>
        <w:t>rticle 4 de la Convention de Paris par l</w:t>
      </w:r>
      <w:r w:rsidR="004642BB" w:rsidRPr="00A55ED2">
        <w:rPr>
          <w:lang w:val="fr-FR"/>
        </w:rPr>
        <w:t>’</w:t>
      </w:r>
      <w:r w:rsidRPr="00A55ED2">
        <w:rPr>
          <w:lang w:val="fr-FR"/>
        </w:rPr>
        <w:t>Union de Paris.</w:t>
      </w:r>
      <w:r w:rsidR="00AB48F0" w:rsidRPr="00A55ED2">
        <w:rPr>
          <w:lang w:val="fr-FR"/>
        </w:rPr>
        <w:t xml:space="preserve">  </w:t>
      </w:r>
      <w:r w:rsidRPr="00A55ED2">
        <w:rPr>
          <w:lang w:val="fr-FR"/>
        </w:rPr>
        <w:t>Cela supposerait la convocation d</w:t>
      </w:r>
      <w:r w:rsidR="004642BB" w:rsidRPr="00A55ED2">
        <w:rPr>
          <w:lang w:val="fr-FR"/>
        </w:rPr>
        <w:t>’</w:t>
      </w:r>
      <w:r w:rsidRPr="00A55ED2">
        <w:rPr>
          <w:lang w:val="fr-FR"/>
        </w:rPr>
        <w:t>une conférence de révision et un vote à l</w:t>
      </w:r>
      <w:r w:rsidR="004642BB" w:rsidRPr="00A55ED2">
        <w:rPr>
          <w:lang w:val="fr-FR"/>
        </w:rPr>
        <w:t>’</w:t>
      </w:r>
      <w:r w:rsidRPr="00A55ED2">
        <w:rPr>
          <w:lang w:val="fr-FR"/>
        </w:rPr>
        <w:t>unanimité de tous les États participant à cette conférence de révision</w:t>
      </w:r>
      <w:r w:rsidRPr="00A55ED2">
        <w:rPr>
          <w:rStyle w:val="FootnoteReference"/>
          <w:lang w:val="fr-FR"/>
        </w:rPr>
        <w:footnoteReference w:id="2"/>
      </w:r>
      <w:r w:rsidRPr="00A55ED2">
        <w:rPr>
          <w:lang w:val="fr-FR"/>
        </w:rPr>
        <w:t>.</w:t>
      </w:r>
      <w:r w:rsidR="00AB48F0" w:rsidRPr="00A55ED2">
        <w:rPr>
          <w:lang w:val="fr-FR"/>
        </w:rPr>
        <w:t xml:space="preserve">  </w:t>
      </w:r>
      <w:r w:rsidR="006E3DEA" w:rsidRPr="00A55ED2">
        <w:rPr>
          <w:lang w:val="fr-FR"/>
        </w:rPr>
        <w:t>Par ailleurs, étant donné que la question de l</w:t>
      </w:r>
      <w:r w:rsidR="004642BB" w:rsidRPr="00A55ED2">
        <w:rPr>
          <w:lang w:val="fr-FR"/>
        </w:rPr>
        <w:t>’</w:t>
      </w:r>
      <w:r w:rsidR="006E3DEA" w:rsidRPr="00A55ED2">
        <w:rPr>
          <w:lang w:val="fr-FR"/>
        </w:rPr>
        <w:t>interprétation de l</w:t>
      </w:r>
      <w:r w:rsidR="004642BB" w:rsidRPr="00A55ED2">
        <w:rPr>
          <w:lang w:val="fr-FR"/>
        </w:rPr>
        <w:t>’</w:t>
      </w:r>
      <w:r w:rsidR="00A55ED2">
        <w:rPr>
          <w:lang w:val="fr-FR"/>
        </w:rPr>
        <w:t>article 4 de la C</w:t>
      </w:r>
      <w:r w:rsidR="006E3DEA" w:rsidRPr="00A55ED2">
        <w:rPr>
          <w:lang w:val="fr-FR"/>
        </w:rPr>
        <w:t xml:space="preserve">onvention, et notamment de ses dispositions relatives au </w:t>
      </w:r>
      <w:r w:rsidR="00AC7F1A" w:rsidRPr="00A55ED2">
        <w:rPr>
          <w:lang w:val="fr-FR"/>
        </w:rPr>
        <w:t>“</w:t>
      </w:r>
      <w:r w:rsidR="006E3DEA" w:rsidRPr="00A55ED2">
        <w:rPr>
          <w:lang w:val="fr-FR"/>
        </w:rPr>
        <w:t>délai de priorité</w:t>
      </w:r>
      <w:r w:rsidR="00AC7F1A" w:rsidRPr="00A55ED2">
        <w:rPr>
          <w:lang w:val="fr-FR"/>
        </w:rPr>
        <w:t>”</w:t>
      </w:r>
      <w:r w:rsidR="006E3DEA" w:rsidRPr="00A55ED2">
        <w:rPr>
          <w:lang w:val="fr-FR"/>
        </w:rPr>
        <w:t xml:space="preserve"> figurant à l</w:t>
      </w:r>
      <w:r w:rsidR="004642BB" w:rsidRPr="00A55ED2">
        <w:rPr>
          <w:lang w:val="fr-FR"/>
        </w:rPr>
        <w:t>’</w:t>
      </w:r>
      <w:r w:rsidR="006E3DEA" w:rsidRPr="00A55ED2">
        <w:rPr>
          <w:lang w:val="fr-FR"/>
        </w:rPr>
        <w:t>article 4.C), concernent également les dessins et modèles industriels et les marques, en vertu de l</w:t>
      </w:r>
      <w:r w:rsidR="004642BB" w:rsidRPr="00A55ED2">
        <w:rPr>
          <w:lang w:val="fr-FR"/>
        </w:rPr>
        <w:t>’</w:t>
      </w:r>
      <w:r w:rsidR="006E3DEA" w:rsidRPr="00A55ED2">
        <w:rPr>
          <w:lang w:val="fr-FR"/>
        </w:rPr>
        <w:t>article 13.2)b) de la Convention de Paris</w:t>
      </w:r>
      <w:r w:rsidR="006E3DEA" w:rsidRPr="00A55ED2">
        <w:rPr>
          <w:rStyle w:val="FootnoteReference"/>
          <w:lang w:val="fr-FR"/>
        </w:rPr>
        <w:footnoteReference w:id="3"/>
      </w:r>
      <w:r w:rsidR="006E3DEA" w:rsidRPr="00A55ED2">
        <w:rPr>
          <w:lang w:val="fr-FR"/>
        </w:rPr>
        <w:t>, l</w:t>
      </w:r>
      <w:r w:rsidR="004642BB" w:rsidRPr="00A55ED2">
        <w:rPr>
          <w:lang w:val="fr-FR"/>
        </w:rPr>
        <w:t>’</w:t>
      </w:r>
      <w:r w:rsidR="006E3DEA" w:rsidRPr="00A55ED2">
        <w:rPr>
          <w:lang w:val="fr-FR"/>
        </w:rPr>
        <w:t>Assemblée de l</w:t>
      </w:r>
      <w:r w:rsidR="004642BB" w:rsidRPr="00A55ED2">
        <w:rPr>
          <w:lang w:val="fr-FR"/>
        </w:rPr>
        <w:t>’</w:t>
      </w:r>
      <w:r w:rsidR="006E3DEA" w:rsidRPr="00A55ED2">
        <w:rPr>
          <w:lang w:val="fr-FR"/>
        </w:rPr>
        <w:t>Union de Paris ne pourrait prendre de décision qu</w:t>
      </w:r>
      <w:r w:rsidR="004642BB" w:rsidRPr="00A55ED2">
        <w:rPr>
          <w:lang w:val="fr-FR"/>
        </w:rPr>
        <w:t>’</w:t>
      </w:r>
      <w:r w:rsidR="006E3DEA" w:rsidRPr="00A55ED2">
        <w:rPr>
          <w:lang w:val="fr-FR"/>
        </w:rPr>
        <w:t>après avoir pris l</w:t>
      </w:r>
      <w:r w:rsidR="004642BB" w:rsidRPr="00A55ED2">
        <w:rPr>
          <w:lang w:val="fr-FR"/>
        </w:rPr>
        <w:t>’</w:t>
      </w:r>
      <w:r w:rsidR="006E3DEA" w:rsidRPr="00A55ED2">
        <w:rPr>
          <w:lang w:val="fr-FR"/>
        </w:rPr>
        <w:t xml:space="preserve">avis du Comité de coordination, la question </w:t>
      </w:r>
      <w:r w:rsidR="00AC7F1A" w:rsidRPr="00A55ED2">
        <w:rPr>
          <w:lang w:val="fr-FR"/>
        </w:rPr>
        <w:t>“</w:t>
      </w:r>
      <w:r w:rsidR="006E3DEA" w:rsidRPr="00A55ED2">
        <w:rPr>
          <w:lang w:val="fr-FR"/>
        </w:rPr>
        <w:t>intéressant</w:t>
      </w:r>
      <w:r w:rsidR="00AC7F1A" w:rsidRPr="00A55ED2">
        <w:rPr>
          <w:lang w:val="fr-FR"/>
        </w:rPr>
        <w:t>”</w:t>
      </w:r>
      <w:r w:rsidR="006E3DEA" w:rsidRPr="00A55ED2">
        <w:rPr>
          <w:lang w:val="fr-FR"/>
        </w:rPr>
        <w:t xml:space="preserve"> aussi manifestement l</w:t>
      </w:r>
      <w:r w:rsidR="004642BB" w:rsidRPr="00A55ED2">
        <w:rPr>
          <w:lang w:val="fr-FR"/>
        </w:rPr>
        <w:t>’</w:t>
      </w:r>
      <w:r w:rsidR="006E3DEA" w:rsidRPr="00A55ED2">
        <w:rPr>
          <w:lang w:val="fr-FR"/>
        </w:rPr>
        <w:t xml:space="preserve">Union de </w:t>
      </w:r>
      <w:r w:rsidR="004642BB" w:rsidRPr="00A55ED2">
        <w:rPr>
          <w:lang w:val="fr-FR"/>
        </w:rPr>
        <w:t>La Haye</w:t>
      </w:r>
      <w:r w:rsidR="006E3DEA" w:rsidRPr="00A55ED2">
        <w:rPr>
          <w:lang w:val="fr-FR"/>
        </w:rPr>
        <w:t xml:space="preserve"> et l</w:t>
      </w:r>
      <w:r w:rsidR="004642BB" w:rsidRPr="00A55ED2">
        <w:rPr>
          <w:lang w:val="fr-FR"/>
        </w:rPr>
        <w:t>’</w:t>
      </w:r>
      <w:r w:rsidR="006E3DEA" w:rsidRPr="00A55ED2">
        <w:rPr>
          <w:lang w:val="fr-FR"/>
        </w:rPr>
        <w:t>Union de Madrid, respectivement.</w:t>
      </w:r>
    </w:p>
    <w:p w:rsidR="004642BB" w:rsidRPr="00A55ED2" w:rsidRDefault="00945182" w:rsidP="00945182">
      <w:pPr>
        <w:pStyle w:val="ONUME"/>
        <w:rPr>
          <w:lang w:val="fr-FR"/>
        </w:rPr>
      </w:pPr>
      <w:r w:rsidRPr="00A55ED2">
        <w:rPr>
          <w:lang w:val="fr-FR"/>
        </w:rPr>
        <w:t xml:space="preserve">Tout </w:t>
      </w:r>
      <w:r w:rsidR="00C95494" w:rsidRPr="00A55ED2">
        <w:rPr>
          <w:lang w:val="fr-FR"/>
        </w:rPr>
        <w:t>a</w:t>
      </w:r>
      <w:r w:rsidRPr="00A55ED2">
        <w:rPr>
          <w:lang w:val="fr-FR"/>
        </w:rPr>
        <w:t>cte révisé de la convention ainsi adopté devrait avoir recueilli les ratifications ou adhésions d</w:t>
      </w:r>
      <w:r w:rsidR="004642BB" w:rsidRPr="00A55ED2">
        <w:rPr>
          <w:lang w:val="fr-FR"/>
        </w:rPr>
        <w:t>’</w:t>
      </w:r>
      <w:r w:rsidRPr="00A55ED2">
        <w:rPr>
          <w:lang w:val="fr-FR"/>
        </w:rPr>
        <w:t>un certain nombre d</w:t>
      </w:r>
      <w:r w:rsidR="004642BB" w:rsidRPr="00A55ED2">
        <w:rPr>
          <w:lang w:val="fr-FR"/>
        </w:rPr>
        <w:t>’</w:t>
      </w:r>
      <w:r w:rsidRPr="00A55ED2">
        <w:rPr>
          <w:lang w:val="fr-FR"/>
        </w:rPr>
        <w:t xml:space="preserve">États déjà parties à un </w:t>
      </w:r>
      <w:r w:rsidR="00C95494" w:rsidRPr="00A55ED2">
        <w:rPr>
          <w:lang w:val="fr-FR"/>
        </w:rPr>
        <w:t>a</w:t>
      </w:r>
      <w:r w:rsidR="00A55ED2">
        <w:rPr>
          <w:lang w:val="fr-FR"/>
        </w:rPr>
        <w:t>cte antérieur de la c</w:t>
      </w:r>
      <w:r w:rsidRPr="00A55ED2">
        <w:rPr>
          <w:lang w:val="fr-FR"/>
        </w:rPr>
        <w:t>onvention — le nombre exac</w:t>
      </w:r>
      <w:r w:rsidR="00C95494" w:rsidRPr="00A55ED2">
        <w:rPr>
          <w:lang w:val="fr-FR"/>
        </w:rPr>
        <w:t>t devant être déterminé par la c</w:t>
      </w:r>
      <w:r w:rsidRPr="00A55ED2">
        <w:rPr>
          <w:lang w:val="fr-FR"/>
        </w:rPr>
        <w:t>onférence de révision — avant d</w:t>
      </w:r>
      <w:r w:rsidR="004642BB" w:rsidRPr="00A55ED2">
        <w:rPr>
          <w:lang w:val="fr-FR"/>
        </w:rPr>
        <w:t>’</w:t>
      </w:r>
      <w:r w:rsidRPr="00A55ED2">
        <w:rPr>
          <w:lang w:val="fr-FR"/>
        </w:rPr>
        <w:t>entrer en vigueur.</w:t>
      </w:r>
    </w:p>
    <w:p w:rsidR="00785FC5" w:rsidRPr="00A55ED2" w:rsidRDefault="00945182" w:rsidP="00945182">
      <w:pPr>
        <w:pStyle w:val="ONUME"/>
        <w:rPr>
          <w:lang w:val="fr-FR"/>
        </w:rPr>
      </w:pPr>
      <w:r w:rsidRPr="00A55ED2">
        <w:rPr>
          <w:lang w:val="fr-FR"/>
        </w:rPr>
        <w:t>Il est donc clair qu</w:t>
      </w:r>
      <w:r w:rsidR="004642BB" w:rsidRPr="00A55ED2">
        <w:rPr>
          <w:lang w:val="fr-FR"/>
        </w:rPr>
        <w:t>’</w:t>
      </w:r>
      <w:r w:rsidRPr="00A55ED2">
        <w:rPr>
          <w:lang w:val="fr-FR"/>
        </w:rPr>
        <w:t xml:space="preserve">une révision officielle de la Convention de Paris supposerait une procédure lourde et longue, qui pourrait sembler </w:t>
      </w:r>
      <w:r w:rsidR="002D1943" w:rsidRPr="00A55ED2">
        <w:rPr>
          <w:lang w:val="fr-FR"/>
        </w:rPr>
        <w:t>disproportionnée</w:t>
      </w:r>
      <w:r w:rsidRPr="00A55ED2">
        <w:rPr>
          <w:lang w:val="fr-FR"/>
        </w:rPr>
        <w:t xml:space="preserve"> par rapport à l</w:t>
      </w:r>
      <w:r w:rsidR="004642BB" w:rsidRPr="00A55ED2">
        <w:rPr>
          <w:lang w:val="fr-FR"/>
        </w:rPr>
        <w:t>’</w:t>
      </w:r>
      <w:r w:rsidRPr="00A55ED2">
        <w:rPr>
          <w:lang w:val="fr-FR"/>
        </w:rPr>
        <w:t>ampleur du problème.</w:t>
      </w:r>
    </w:p>
    <w:p w:rsidR="00785FC5" w:rsidRPr="00A55ED2" w:rsidRDefault="00C716F4" w:rsidP="00C716F4">
      <w:pPr>
        <w:pStyle w:val="Heading3"/>
        <w:rPr>
          <w:lang w:val="fr-FR"/>
        </w:rPr>
      </w:pPr>
      <w:r w:rsidRPr="00A55ED2">
        <w:rPr>
          <w:lang w:val="fr-FR"/>
        </w:rPr>
        <w:t>Option 2</w:t>
      </w:r>
      <w:r w:rsidR="00FE5352" w:rsidRPr="00A55ED2">
        <w:rPr>
          <w:lang w:val="fr-FR"/>
        </w:rPr>
        <w:t> </w:t>
      </w:r>
      <w:r w:rsidRPr="00A55ED2">
        <w:rPr>
          <w:lang w:val="fr-FR"/>
        </w:rPr>
        <w:t>: Laisser</w:t>
      </w:r>
      <w:r w:rsidR="00C95494" w:rsidRPr="00A55ED2">
        <w:rPr>
          <w:lang w:val="fr-FR"/>
        </w:rPr>
        <w:t xml:space="preserve"> à</w:t>
      </w:r>
      <w:r w:rsidRPr="00A55ED2">
        <w:rPr>
          <w:lang w:val="fr-FR"/>
        </w:rPr>
        <w:t xml:space="preserve">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r w:rsidR="00C95494" w:rsidRPr="00A55ED2">
        <w:rPr>
          <w:lang w:val="fr-FR"/>
        </w:rPr>
        <w:t xml:space="preserve"> le soin de statuer sur</w:t>
      </w:r>
      <w:r w:rsidRPr="00A55ED2">
        <w:rPr>
          <w:lang w:val="fr-FR"/>
        </w:rPr>
        <w:t xml:space="preserve"> la question</w:t>
      </w:r>
    </w:p>
    <w:p w:rsidR="00785FC5" w:rsidRPr="00A55ED2" w:rsidRDefault="00C716F4" w:rsidP="00C716F4">
      <w:pPr>
        <w:pStyle w:val="ONUME"/>
        <w:keepLines/>
        <w:rPr>
          <w:lang w:val="fr-FR"/>
        </w:rPr>
      </w:pPr>
      <w:r w:rsidRPr="00A55ED2">
        <w:rPr>
          <w:lang w:val="fr-FR"/>
        </w:rPr>
        <w:t xml:space="preserve">Une deuxième option possible </w:t>
      </w:r>
      <w:r w:rsidR="002D1943" w:rsidRPr="00A55ED2">
        <w:rPr>
          <w:lang w:val="fr-FR"/>
        </w:rPr>
        <w:t>pourrait</w:t>
      </w:r>
      <w:r w:rsidRPr="00A55ED2">
        <w:rPr>
          <w:lang w:val="fr-FR"/>
        </w:rPr>
        <w:t xml:space="preserve"> consister à rechercher un accord entre les États contractants</w:t>
      </w:r>
      <w:r w:rsidR="004642BB" w:rsidRPr="00A55ED2">
        <w:rPr>
          <w:lang w:val="fr-FR"/>
        </w:rPr>
        <w:t xml:space="preserve"> du PCT</w:t>
      </w:r>
      <w:r w:rsidR="002D1943" w:rsidRPr="00A55ED2">
        <w:rPr>
          <w:lang w:val="fr-FR"/>
        </w:rPr>
        <w:t xml:space="preserve"> </w:t>
      </w:r>
      <w:r w:rsidRPr="00A55ED2">
        <w:rPr>
          <w:lang w:val="fr-FR"/>
        </w:rPr>
        <w:t>sur la manière d</w:t>
      </w:r>
      <w:r w:rsidR="004642BB" w:rsidRPr="00A55ED2">
        <w:rPr>
          <w:lang w:val="fr-FR"/>
        </w:rPr>
        <w:t>’</w:t>
      </w:r>
      <w:r w:rsidRPr="00A55ED2">
        <w:rPr>
          <w:lang w:val="fr-FR"/>
        </w:rPr>
        <w:t>interpréter la Convention de Paris en ce qui concerne les revendications de priorité portant sur la même date, avec effet pour les demandes internationales.</w:t>
      </w:r>
      <w:r w:rsidR="00AB48F0" w:rsidRPr="00A55ED2">
        <w:rPr>
          <w:lang w:val="fr-FR"/>
        </w:rPr>
        <w:t xml:space="preserve">  </w:t>
      </w:r>
      <w:r w:rsidRPr="00A55ED2">
        <w:rPr>
          <w:lang w:val="fr-FR"/>
        </w:rPr>
        <w:t>Cette option soulève plusieurs questions.</w:t>
      </w:r>
    </w:p>
    <w:p w:rsidR="00785FC5" w:rsidRPr="00A55ED2" w:rsidRDefault="00C716F4" w:rsidP="00C716F4">
      <w:pPr>
        <w:pStyle w:val="Heading4"/>
        <w:rPr>
          <w:lang w:val="fr-FR"/>
        </w:rPr>
      </w:pPr>
      <w:r w:rsidRPr="00A55ED2">
        <w:rPr>
          <w:lang w:val="fr-FR"/>
        </w:rPr>
        <w:t>Compétence de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p>
    <w:p w:rsidR="00A46F99" w:rsidRPr="00A46F99" w:rsidRDefault="000078E4" w:rsidP="00FB600E">
      <w:pPr>
        <w:pStyle w:val="ONUME"/>
        <w:rPr>
          <w:lang w:val="fr-FR"/>
        </w:rPr>
      </w:pPr>
      <w:r w:rsidRPr="00A55ED2">
        <w:rPr>
          <w:lang w:val="fr-FR"/>
        </w:rPr>
        <w:t>La première question est de savoir si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r w:rsidRPr="00A55ED2">
        <w:rPr>
          <w:lang w:val="fr-FR"/>
        </w:rPr>
        <w:t xml:space="preserve"> serait compétente pour </w:t>
      </w:r>
      <w:r w:rsidR="00C95494" w:rsidRPr="00A55ED2">
        <w:rPr>
          <w:lang w:val="fr-FR"/>
        </w:rPr>
        <w:t>statuer sur</w:t>
      </w:r>
      <w:r w:rsidRPr="00A55ED2">
        <w:rPr>
          <w:lang w:val="fr-FR"/>
        </w:rPr>
        <w:t xml:space="preserve"> cette question.</w:t>
      </w:r>
      <w:r w:rsidR="00AB48F0" w:rsidRPr="00A55ED2">
        <w:rPr>
          <w:lang w:val="fr-FR"/>
        </w:rPr>
        <w:t xml:space="preserve">  </w:t>
      </w:r>
      <w:r w:rsidR="00FB600E" w:rsidRPr="00A55ED2">
        <w:rPr>
          <w:lang w:val="fr-FR"/>
        </w:rPr>
        <w:t>La réponse est largement une question d</w:t>
      </w:r>
      <w:r w:rsidR="004642BB" w:rsidRPr="00A55ED2">
        <w:rPr>
          <w:lang w:val="fr-FR"/>
        </w:rPr>
        <w:t>’</w:t>
      </w:r>
      <w:r w:rsidR="00FB600E" w:rsidRPr="00A55ED2">
        <w:rPr>
          <w:lang w:val="fr-FR"/>
        </w:rPr>
        <w:t>interprétation.</w:t>
      </w:r>
      <w:r w:rsidR="00AB48F0" w:rsidRPr="00A55ED2">
        <w:rPr>
          <w:lang w:val="fr-FR"/>
        </w:rPr>
        <w:t xml:space="preserve">  </w:t>
      </w:r>
      <w:r w:rsidR="00FB600E" w:rsidRPr="00A55ED2">
        <w:rPr>
          <w:szCs w:val="22"/>
          <w:lang w:val="fr-FR"/>
        </w:rPr>
        <w:t>D</w:t>
      </w:r>
      <w:r w:rsidR="004642BB" w:rsidRPr="00A55ED2">
        <w:rPr>
          <w:szCs w:val="22"/>
          <w:lang w:val="fr-FR"/>
        </w:rPr>
        <w:t>’</w:t>
      </w:r>
      <w:r w:rsidR="00FB600E" w:rsidRPr="00A55ED2">
        <w:rPr>
          <w:szCs w:val="22"/>
          <w:lang w:val="fr-FR"/>
        </w:rPr>
        <w:t>une part, l</w:t>
      </w:r>
      <w:r w:rsidR="004642BB" w:rsidRPr="00A55ED2">
        <w:rPr>
          <w:szCs w:val="22"/>
          <w:lang w:val="fr-FR"/>
        </w:rPr>
        <w:t>’</w:t>
      </w:r>
      <w:r w:rsidR="00FB600E" w:rsidRPr="00A55ED2">
        <w:rPr>
          <w:szCs w:val="22"/>
          <w:lang w:val="fr-FR"/>
        </w:rPr>
        <w:t>article 53.2)a)ii)</w:t>
      </w:r>
      <w:r w:rsidR="004642BB" w:rsidRPr="00A55ED2">
        <w:rPr>
          <w:szCs w:val="22"/>
          <w:lang w:val="fr-FR"/>
        </w:rPr>
        <w:t xml:space="preserve"> du PCT</w:t>
      </w:r>
      <w:r w:rsidR="00FB600E" w:rsidRPr="00A55ED2">
        <w:rPr>
          <w:szCs w:val="22"/>
          <w:lang w:val="fr-FR"/>
        </w:rPr>
        <w:t>, selon lequel l</w:t>
      </w:r>
      <w:r w:rsidR="004642BB" w:rsidRPr="00A55ED2">
        <w:rPr>
          <w:szCs w:val="22"/>
          <w:lang w:val="fr-FR"/>
        </w:rPr>
        <w:t>’</w:t>
      </w:r>
      <w:r w:rsidR="00FB600E" w:rsidRPr="00A55ED2">
        <w:rPr>
          <w:szCs w:val="22"/>
          <w:lang w:val="fr-FR"/>
        </w:rPr>
        <w:t>Assemblée de l</w:t>
      </w:r>
      <w:r w:rsidR="004642BB" w:rsidRPr="00A55ED2">
        <w:rPr>
          <w:szCs w:val="22"/>
          <w:lang w:val="fr-FR"/>
        </w:rPr>
        <w:t>’</w:t>
      </w:r>
      <w:r w:rsidR="00FB600E" w:rsidRPr="00A55ED2">
        <w:rPr>
          <w:szCs w:val="22"/>
          <w:lang w:val="fr-FR"/>
        </w:rPr>
        <w:t>Union</w:t>
      </w:r>
      <w:r w:rsidR="004642BB" w:rsidRPr="00A55ED2">
        <w:rPr>
          <w:szCs w:val="22"/>
          <w:lang w:val="fr-FR"/>
        </w:rPr>
        <w:t xml:space="preserve"> du PCT</w:t>
      </w:r>
      <w:r w:rsidR="00FB600E" w:rsidRPr="00A55ED2">
        <w:rPr>
          <w:szCs w:val="22"/>
          <w:lang w:val="fr-FR"/>
        </w:rPr>
        <w:t xml:space="preserve"> </w:t>
      </w:r>
      <w:r w:rsidR="00AC7F1A" w:rsidRPr="00A55ED2">
        <w:rPr>
          <w:szCs w:val="22"/>
          <w:lang w:val="fr-FR"/>
        </w:rPr>
        <w:t>“</w:t>
      </w:r>
      <w:r w:rsidR="00FB600E" w:rsidRPr="00A55ED2">
        <w:rPr>
          <w:szCs w:val="22"/>
          <w:lang w:val="fr-FR"/>
        </w:rPr>
        <w:t>traite de toutes les questions concernant … l</w:t>
      </w:r>
      <w:r w:rsidR="004642BB" w:rsidRPr="00A55ED2">
        <w:rPr>
          <w:szCs w:val="22"/>
          <w:lang w:val="fr-FR"/>
        </w:rPr>
        <w:t>’</w:t>
      </w:r>
      <w:r w:rsidR="00FB600E" w:rsidRPr="00A55ED2">
        <w:rPr>
          <w:szCs w:val="22"/>
          <w:lang w:val="fr-FR"/>
        </w:rPr>
        <w:t>application du présent traité</w:t>
      </w:r>
      <w:r w:rsidR="00AC7F1A" w:rsidRPr="00A55ED2">
        <w:rPr>
          <w:szCs w:val="22"/>
          <w:lang w:val="fr-FR"/>
        </w:rPr>
        <w:t>”</w:t>
      </w:r>
      <w:r w:rsidR="00FB600E" w:rsidRPr="00A55ED2">
        <w:rPr>
          <w:szCs w:val="22"/>
          <w:lang w:val="fr-FR"/>
        </w:rPr>
        <w:t xml:space="preserve">, pourrait être interprété comme </w:t>
      </w:r>
    </w:p>
    <w:p w:rsidR="00785FC5" w:rsidRPr="00A55ED2" w:rsidRDefault="00FB600E" w:rsidP="00A46F99">
      <w:pPr>
        <w:pStyle w:val="ONUME"/>
        <w:numPr>
          <w:ilvl w:val="0"/>
          <w:numId w:val="0"/>
        </w:numPr>
        <w:rPr>
          <w:lang w:val="fr-FR"/>
        </w:rPr>
      </w:pPr>
      <w:proofErr w:type="gramStart"/>
      <w:r w:rsidRPr="00A55ED2">
        <w:rPr>
          <w:szCs w:val="22"/>
          <w:lang w:val="fr-FR"/>
        </w:rPr>
        <w:lastRenderedPageBreak/>
        <w:t>fournissant</w:t>
      </w:r>
      <w:proofErr w:type="gramEnd"/>
      <w:r w:rsidRPr="00A55ED2">
        <w:rPr>
          <w:szCs w:val="22"/>
          <w:lang w:val="fr-FR"/>
        </w:rPr>
        <w:t xml:space="preserve"> la base pour toute décision de l</w:t>
      </w:r>
      <w:r w:rsidR="004642BB" w:rsidRPr="00A55ED2">
        <w:rPr>
          <w:szCs w:val="22"/>
          <w:lang w:val="fr-FR"/>
        </w:rPr>
        <w:t>’</w:t>
      </w:r>
      <w:r w:rsidRPr="00A55ED2">
        <w:rPr>
          <w:szCs w:val="22"/>
          <w:lang w:val="fr-FR"/>
        </w:rPr>
        <w:t>Assemblée de l</w:t>
      </w:r>
      <w:r w:rsidR="004642BB" w:rsidRPr="00A55ED2">
        <w:rPr>
          <w:szCs w:val="22"/>
          <w:lang w:val="fr-FR"/>
        </w:rPr>
        <w:t>’</w:t>
      </w:r>
      <w:r w:rsidRPr="00A55ED2">
        <w:rPr>
          <w:szCs w:val="22"/>
          <w:lang w:val="fr-FR"/>
        </w:rPr>
        <w:t>Union</w:t>
      </w:r>
      <w:r w:rsidR="004642BB" w:rsidRPr="00A55ED2">
        <w:rPr>
          <w:szCs w:val="22"/>
          <w:lang w:val="fr-FR"/>
        </w:rPr>
        <w:t xml:space="preserve"> du PCT</w:t>
      </w:r>
      <w:r w:rsidRPr="00A55ED2">
        <w:rPr>
          <w:szCs w:val="22"/>
          <w:lang w:val="fr-FR"/>
        </w:rPr>
        <w:t xml:space="preserve"> sur cette question, étant donné que</w:t>
      </w:r>
      <w:r w:rsidR="004642BB" w:rsidRPr="00A55ED2">
        <w:rPr>
          <w:szCs w:val="22"/>
          <w:lang w:val="fr-FR"/>
        </w:rPr>
        <w:t xml:space="preserve"> le PCT</w:t>
      </w:r>
      <w:r w:rsidRPr="00A55ED2">
        <w:rPr>
          <w:szCs w:val="22"/>
          <w:lang w:val="fr-FR"/>
        </w:rPr>
        <w:t xml:space="preserve"> et son règlement d</w:t>
      </w:r>
      <w:r w:rsidR="004642BB" w:rsidRPr="00A55ED2">
        <w:rPr>
          <w:szCs w:val="22"/>
          <w:lang w:val="fr-FR"/>
        </w:rPr>
        <w:t>’</w:t>
      </w:r>
      <w:r w:rsidRPr="00A55ED2">
        <w:rPr>
          <w:szCs w:val="22"/>
          <w:lang w:val="fr-FR"/>
        </w:rPr>
        <w:t>exécution contiennent certaines dispositions relatives aux questions de priorité.</w:t>
      </w:r>
    </w:p>
    <w:p w:rsidR="00785FC5" w:rsidRPr="00A55ED2" w:rsidRDefault="00FB600E" w:rsidP="007B102A">
      <w:pPr>
        <w:pStyle w:val="ONUME"/>
        <w:keepLines/>
        <w:rPr>
          <w:lang w:val="fr-FR"/>
        </w:rPr>
      </w:pPr>
      <w:r w:rsidRPr="00A55ED2">
        <w:rPr>
          <w:lang w:val="fr-FR"/>
        </w:rPr>
        <w:t>D</w:t>
      </w:r>
      <w:r w:rsidR="004642BB" w:rsidRPr="00A55ED2">
        <w:rPr>
          <w:lang w:val="fr-FR"/>
        </w:rPr>
        <w:t>’</w:t>
      </w:r>
      <w:r w:rsidRPr="00A55ED2">
        <w:rPr>
          <w:lang w:val="fr-FR"/>
        </w:rPr>
        <w:t xml:space="preserve">autre part, en ce qui concerne les principales questions relatives au droit de priorité, </w:t>
      </w:r>
      <w:r w:rsidR="004642BB" w:rsidRPr="00A55ED2">
        <w:rPr>
          <w:lang w:val="fr-FR"/>
        </w:rPr>
        <w:t>à savoir</w:t>
      </w:r>
      <w:r w:rsidRPr="00A55ED2">
        <w:rPr>
          <w:lang w:val="fr-FR"/>
        </w:rPr>
        <w:t xml:space="preserve"> les conditions et les effets de toute revendication de priorité figurant dans une demande internationale, l</w:t>
      </w:r>
      <w:r w:rsidR="004642BB" w:rsidRPr="00A55ED2">
        <w:rPr>
          <w:lang w:val="fr-FR"/>
        </w:rPr>
        <w:t>’</w:t>
      </w:r>
      <w:r w:rsidRPr="00A55ED2">
        <w:rPr>
          <w:lang w:val="fr-FR"/>
        </w:rPr>
        <w:t>article</w:t>
      </w:r>
      <w:r w:rsidR="00FE5352" w:rsidRPr="00A55ED2">
        <w:rPr>
          <w:lang w:val="fr-FR"/>
        </w:rPr>
        <w:t> </w:t>
      </w:r>
      <w:r w:rsidRPr="00A55ED2">
        <w:rPr>
          <w:lang w:val="fr-FR"/>
        </w:rPr>
        <w:t>8.2)a)</w:t>
      </w:r>
      <w:r w:rsidR="004642BB" w:rsidRPr="00A55ED2">
        <w:rPr>
          <w:lang w:val="fr-FR"/>
        </w:rPr>
        <w:t xml:space="preserve"> du PCT</w:t>
      </w:r>
      <w:r w:rsidRPr="00A55ED2">
        <w:rPr>
          <w:lang w:val="fr-FR"/>
        </w:rPr>
        <w:t xml:space="preserve"> renvoie simplement à l</w:t>
      </w:r>
      <w:r w:rsidR="004642BB" w:rsidRPr="00A55ED2">
        <w:rPr>
          <w:lang w:val="fr-FR"/>
        </w:rPr>
        <w:t>’</w:t>
      </w:r>
      <w:r w:rsidRPr="00A55ED2">
        <w:rPr>
          <w:lang w:val="fr-FR"/>
        </w:rPr>
        <w:t>article 4 de la Convention de Paris.</w:t>
      </w:r>
      <w:r w:rsidR="00AB48F0" w:rsidRPr="00A55ED2">
        <w:rPr>
          <w:lang w:val="fr-FR"/>
        </w:rPr>
        <w:t xml:space="preserve">  </w:t>
      </w:r>
      <w:r w:rsidR="00162322" w:rsidRPr="00A55ED2">
        <w:rPr>
          <w:lang w:val="fr-FR"/>
        </w:rPr>
        <w:t>On pourrait donc arguer que la question en jeu concerne non pas l</w:t>
      </w:r>
      <w:r w:rsidR="004642BB" w:rsidRPr="00A55ED2">
        <w:rPr>
          <w:lang w:val="fr-FR"/>
        </w:rPr>
        <w:t>’</w:t>
      </w:r>
      <w:r w:rsidR="00162322" w:rsidRPr="00A55ED2">
        <w:rPr>
          <w:lang w:val="fr-FR"/>
        </w:rPr>
        <w:t>application</w:t>
      </w:r>
      <w:r w:rsidR="004642BB" w:rsidRPr="00A55ED2">
        <w:rPr>
          <w:lang w:val="fr-FR"/>
        </w:rPr>
        <w:t xml:space="preserve"> du PCT</w:t>
      </w:r>
      <w:r w:rsidR="00162322" w:rsidRPr="00A55ED2">
        <w:rPr>
          <w:lang w:val="fr-FR"/>
        </w:rPr>
        <w:t xml:space="preserve"> mais seulement l</w:t>
      </w:r>
      <w:r w:rsidR="004642BB" w:rsidRPr="00A55ED2">
        <w:rPr>
          <w:lang w:val="fr-FR"/>
        </w:rPr>
        <w:t>’</w:t>
      </w:r>
      <w:r w:rsidR="00162322" w:rsidRPr="00A55ED2">
        <w:rPr>
          <w:lang w:val="fr-FR"/>
        </w:rPr>
        <w:t>application de la Convention de Paris, et qu</w:t>
      </w:r>
      <w:r w:rsidR="004642BB" w:rsidRPr="00A55ED2">
        <w:rPr>
          <w:lang w:val="fr-FR"/>
        </w:rPr>
        <w:t>’</w:t>
      </w:r>
      <w:r w:rsidR="00162322" w:rsidRPr="00A55ED2">
        <w:rPr>
          <w:lang w:val="fr-FR"/>
        </w:rPr>
        <w:t>elle devrait par conséquent être traitée uniquement par l</w:t>
      </w:r>
      <w:r w:rsidR="004642BB" w:rsidRPr="00A55ED2">
        <w:rPr>
          <w:lang w:val="fr-FR"/>
        </w:rPr>
        <w:t>’</w:t>
      </w:r>
      <w:r w:rsidR="00162322" w:rsidRPr="00A55ED2">
        <w:rPr>
          <w:lang w:val="fr-FR"/>
        </w:rPr>
        <w:t>Assemblée de l</w:t>
      </w:r>
      <w:r w:rsidR="004642BB" w:rsidRPr="00A55ED2">
        <w:rPr>
          <w:lang w:val="fr-FR"/>
        </w:rPr>
        <w:t>’</w:t>
      </w:r>
      <w:r w:rsidR="00162322" w:rsidRPr="00A55ED2">
        <w:rPr>
          <w:lang w:val="fr-FR"/>
        </w:rPr>
        <w:t>Union de Paris (voir l</w:t>
      </w:r>
      <w:r w:rsidR="004642BB" w:rsidRPr="00A55ED2">
        <w:rPr>
          <w:lang w:val="fr-FR"/>
        </w:rPr>
        <w:t>’</w:t>
      </w:r>
      <w:r w:rsidR="00162322" w:rsidRPr="00A55ED2">
        <w:rPr>
          <w:lang w:val="fr-FR"/>
        </w:rPr>
        <w:t>article 13.2)a)i) de la Convention de Paris).</w:t>
      </w:r>
      <w:r w:rsidR="00AB48F0" w:rsidRPr="00A55ED2">
        <w:rPr>
          <w:lang w:val="fr-FR"/>
        </w:rPr>
        <w:t xml:space="preserve">  </w:t>
      </w:r>
      <w:r w:rsidR="007B102A" w:rsidRPr="00A55ED2">
        <w:rPr>
          <w:lang w:val="fr-FR"/>
        </w:rPr>
        <w:t>Cet argument est en outre étayé par le fait que l</w:t>
      </w:r>
      <w:r w:rsidR="004642BB" w:rsidRPr="00A55ED2">
        <w:rPr>
          <w:lang w:val="fr-FR"/>
        </w:rPr>
        <w:t>’</w:t>
      </w:r>
      <w:r w:rsidR="007B102A" w:rsidRPr="00A55ED2">
        <w:rPr>
          <w:lang w:val="fr-FR"/>
        </w:rPr>
        <w:t>exigence selon laquelle tous les États contractants</w:t>
      </w:r>
      <w:r w:rsidR="004642BB" w:rsidRPr="00A55ED2">
        <w:rPr>
          <w:lang w:val="fr-FR"/>
        </w:rPr>
        <w:t xml:space="preserve"> du PCT</w:t>
      </w:r>
      <w:r w:rsidR="007B102A" w:rsidRPr="00A55ED2">
        <w:rPr>
          <w:lang w:val="fr-FR"/>
        </w:rPr>
        <w:t xml:space="preserve"> doivent respecter et appliquer les dispositions de la Convention de Paris n</w:t>
      </w:r>
      <w:r w:rsidR="004642BB" w:rsidRPr="00A55ED2">
        <w:rPr>
          <w:lang w:val="fr-FR"/>
        </w:rPr>
        <w:t>’</w:t>
      </w:r>
      <w:r w:rsidR="007B102A" w:rsidRPr="00A55ED2">
        <w:rPr>
          <w:lang w:val="fr-FR"/>
        </w:rPr>
        <w:t>est pas fondée sur le fait qu</w:t>
      </w:r>
      <w:r w:rsidR="004642BB" w:rsidRPr="00A55ED2">
        <w:rPr>
          <w:lang w:val="fr-FR"/>
        </w:rPr>
        <w:t>’</w:t>
      </w:r>
      <w:r w:rsidR="007B102A" w:rsidRPr="00A55ED2">
        <w:rPr>
          <w:lang w:val="fr-FR"/>
        </w:rPr>
        <w:t>ils sont des États contractants</w:t>
      </w:r>
      <w:r w:rsidR="004642BB" w:rsidRPr="00A55ED2">
        <w:rPr>
          <w:lang w:val="fr-FR"/>
        </w:rPr>
        <w:t xml:space="preserve"> du PCT</w:t>
      </w:r>
      <w:r w:rsidR="007B102A" w:rsidRPr="00A55ED2">
        <w:rPr>
          <w:lang w:val="fr-FR"/>
        </w:rPr>
        <w:t xml:space="preserve"> mais sur le fait qu</w:t>
      </w:r>
      <w:r w:rsidR="004642BB" w:rsidRPr="00A55ED2">
        <w:rPr>
          <w:lang w:val="fr-FR"/>
        </w:rPr>
        <w:t>’</w:t>
      </w:r>
      <w:r w:rsidR="007B102A" w:rsidRPr="00A55ED2">
        <w:rPr>
          <w:lang w:val="fr-FR"/>
        </w:rPr>
        <w:t>ils sont (et doivent être, voir l</w:t>
      </w:r>
      <w:r w:rsidR="004642BB" w:rsidRPr="00A55ED2">
        <w:rPr>
          <w:lang w:val="fr-FR"/>
        </w:rPr>
        <w:t>’</w:t>
      </w:r>
      <w:r w:rsidR="007B102A" w:rsidRPr="00A55ED2">
        <w:rPr>
          <w:lang w:val="fr-FR"/>
        </w:rPr>
        <w:t>article</w:t>
      </w:r>
      <w:r w:rsidR="00FE5352" w:rsidRPr="00A55ED2">
        <w:rPr>
          <w:lang w:val="fr-FR"/>
        </w:rPr>
        <w:t> </w:t>
      </w:r>
      <w:r w:rsidR="007B102A" w:rsidRPr="00A55ED2">
        <w:rPr>
          <w:lang w:val="fr-FR"/>
        </w:rPr>
        <w:t>62.1)</w:t>
      </w:r>
      <w:r w:rsidR="004642BB" w:rsidRPr="00A55ED2">
        <w:rPr>
          <w:lang w:val="fr-FR"/>
        </w:rPr>
        <w:t xml:space="preserve"> du PCT</w:t>
      </w:r>
      <w:r w:rsidR="007B102A" w:rsidRPr="00A55ED2">
        <w:rPr>
          <w:lang w:val="fr-FR"/>
        </w:rPr>
        <w:t>) des États membres de l</w:t>
      </w:r>
      <w:r w:rsidR="004642BB" w:rsidRPr="00A55ED2">
        <w:rPr>
          <w:lang w:val="fr-FR"/>
        </w:rPr>
        <w:t>’</w:t>
      </w:r>
      <w:r w:rsidR="007B102A" w:rsidRPr="00A55ED2">
        <w:rPr>
          <w:lang w:val="fr-FR"/>
        </w:rPr>
        <w:t>Union de Paris.</w:t>
      </w:r>
    </w:p>
    <w:p w:rsidR="00785FC5" w:rsidRPr="00A55ED2" w:rsidRDefault="007B102A" w:rsidP="007B102A">
      <w:pPr>
        <w:pStyle w:val="ONUME"/>
        <w:keepLines/>
        <w:rPr>
          <w:lang w:val="fr-FR"/>
        </w:rPr>
      </w:pPr>
      <w:r w:rsidRPr="00A55ED2">
        <w:rPr>
          <w:lang w:val="fr-FR"/>
        </w:rPr>
        <w:t>Là encore,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r w:rsidRPr="00A55ED2">
        <w:rPr>
          <w:lang w:val="fr-FR"/>
        </w:rPr>
        <w:t xml:space="preserve"> ne pourrait prendre de décision qu</w:t>
      </w:r>
      <w:r w:rsidR="004642BB" w:rsidRPr="00A55ED2">
        <w:rPr>
          <w:lang w:val="fr-FR"/>
        </w:rPr>
        <w:t>’</w:t>
      </w:r>
      <w:r w:rsidRPr="00A55ED2">
        <w:rPr>
          <w:lang w:val="fr-FR"/>
        </w:rPr>
        <w:t>après avoir pris l</w:t>
      </w:r>
      <w:r w:rsidR="004642BB" w:rsidRPr="00A55ED2">
        <w:rPr>
          <w:lang w:val="fr-FR"/>
        </w:rPr>
        <w:t>’</w:t>
      </w:r>
      <w:r w:rsidRPr="00A55ED2">
        <w:rPr>
          <w:lang w:val="fr-FR"/>
        </w:rPr>
        <w:t>avis du Comité de coordination.</w:t>
      </w:r>
    </w:p>
    <w:p w:rsidR="00785FC5" w:rsidRPr="00A55ED2" w:rsidRDefault="007B102A" w:rsidP="007B102A">
      <w:pPr>
        <w:pStyle w:val="Heading4"/>
        <w:keepNext w:val="0"/>
        <w:rPr>
          <w:lang w:val="fr-FR"/>
        </w:rPr>
      </w:pPr>
      <w:r w:rsidRPr="00A55ED2">
        <w:rPr>
          <w:lang w:val="fr-FR"/>
        </w:rPr>
        <w:t>Portée de la décision de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p>
    <w:p w:rsidR="00785FC5" w:rsidRPr="00A55ED2" w:rsidRDefault="007B102A" w:rsidP="007B102A">
      <w:pPr>
        <w:pStyle w:val="ONUME"/>
        <w:rPr>
          <w:lang w:val="fr-FR"/>
        </w:rPr>
      </w:pPr>
      <w:r w:rsidRPr="00A55ED2">
        <w:rPr>
          <w:lang w:val="fr-FR"/>
        </w:rPr>
        <w:t>La deuxième question qui se pose dans ce contexte — si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r w:rsidRPr="00A55ED2">
        <w:rPr>
          <w:lang w:val="fr-FR"/>
        </w:rPr>
        <w:t xml:space="preserve"> devait être considérée comme compétente sur la question de l</w:t>
      </w:r>
      <w:r w:rsidR="004642BB" w:rsidRPr="00A55ED2">
        <w:rPr>
          <w:lang w:val="fr-FR"/>
        </w:rPr>
        <w:t>’</w:t>
      </w:r>
      <w:r w:rsidRPr="00A55ED2">
        <w:rPr>
          <w:lang w:val="fr-FR"/>
        </w:rPr>
        <w:t>interprétation à donner à l</w:t>
      </w:r>
      <w:r w:rsidR="004642BB" w:rsidRPr="00A55ED2">
        <w:rPr>
          <w:lang w:val="fr-FR"/>
        </w:rPr>
        <w:t>’</w:t>
      </w:r>
      <w:r w:rsidRPr="00A55ED2">
        <w:rPr>
          <w:lang w:val="fr-FR"/>
        </w:rPr>
        <w:t>article 4 de la Convention de Paris concernant les revendications de priorité portant sur la même date dans le contexte</w:t>
      </w:r>
      <w:r w:rsidR="004642BB" w:rsidRPr="00A55ED2">
        <w:rPr>
          <w:lang w:val="fr-FR"/>
        </w:rPr>
        <w:t xml:space="preserve"> du PCT</w:t>
      </w:r>
      <w:r w:rsidRPr="00A55ED2">
        <w:rPr>
          <w:lang w:val="fr-FR"/>
        </w:rPr>
        <w:t xml:space="preserve"> — est de savoir si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r w:rsidRPr="00A55ED2">
        <w:rPr>
          <w:lang w:val="fr-FR"/>
        </w:rPr>
        <w:t xml:space="preserve"> pourrait traiter cette question avec effet à la fois pour la phase internationale et pour la phase nationale de la procédure selon</w:t>
      </w:r>
      <w:r w:rsidR="004642BB" w:rsidRPr="00A55ED2">
        <w:rPr>
          <w:lang w:val="fr-FR"/>
        </w:rPr>
        <w:t xml:space="preserve"> le PCT</w:t>
      </w:r>
      <w:r w:rsidRPr="00A55ED2">
        <w:rPr>
          <w:lang w:val="fr-FR"/>
        </w:rPr>
        <w:t>, ou si elle ne pourrait traiter cette question qu</w:t>
      </w:r>
      <w:r w:rsidR="004642BB" w:rsidRPr="00A55ED2">
        <w:rPr>
          <w:lang w:val="fr-FR"/>
        </w:rPr>
        <w:t>’</w:t>
      </w:r>
      <w:r w:rsidRPr="00A55ED2">
        <w:rPr>
          <w:lang w:val="fr-FR"/>
        </w:rPr>
        <w:t>avec un effet limité à la phase internationale.</w:t>
      </w:r>
    </w:p>
    <w:p w:rsidR="004642BB" w:rsidRPr="00A55ED2" w:rsidRDefault="007B102A" w:rsidP="009E51F9">
      <w:pPr>
        <w:pStyle w:val="ONUME"/>
        <w:keepLines/>
        <w:rPr>
          <w:szCs w:val="22"/>
          <w:lang w:val="fr-FR"/>
        </w:rPr>
      </w:pPr>
      <w:r w:rsidRPr="00A55ED2">
        <w:rPr>
          <w:szCs w:val="22"/>
          <w:lang w:val="fr-FR"/>
        </w:rPr>
        <w:t>Cette question se résume à la question de savoir si les dispositions</w:t>
      </w:r>
      <w:r w:rsidR="004642BB" w:rsidRPr="00A55ED2">
        <w:rPr>
          <w:szCs w:val="22"/>
          <w:lang w:val="fr-FR"/>
        </w:rPr>
        <w:t xml:space="preserve"> du PCT</w:t>
      </w:r>
      <w:r w:rsidRPr="00A55ED2">
        <w:rPr>
          <w:szCs w:val="22"/>
          <w:lang w:val="fr-FR"/>
        </w:rPr>
        <w:t xml:space="preserve"> et de son règlement d</w:t>
      </w:r>
      <w:r w:rsidR="004642BB" w:rsidRPr="00A55ED2">
        <w:rPr>
          <w:szCs w:val="22"/>
          <w:lang w:val="fr-FR"/>
        </w:rPr>
        <w:t>’</w:t>
      </w:r>
      <w:r w:rsidRPr="00A55ED2">
        <w:rPr>
          <w:szCs w:val="22"/>
          <w:lang w:val="fr-FR"/>
        </w:rPr>
        <w:t>exécution relatives aux questions de priorité, en particulier les dispositions de l</w:t>
      </w:r>
      <w:r w:rsidR="004642BB" w:rsidRPr="00A55ED2">
        <w:rPr>
          <w:szCs w:val="22"/>
          <w:lang w:val="fr-FR"/>
        </w:rPr>
        <w:t>’</w:t>
      </w:r>
      <w:r w:rsidRPr="00A55ED2">
        <w:rPr>
          <w:szCs w:val="22"/>
          <w:lang w:val="fr-FR"/>
        </w:rPr>
        <w:t>article 8.2)a)</w:t>
      </w:r>
      <w:r w:rsidR="004642BB" w:rsidRPr="00A55ED2">
        <w:rPr>
          <w:szCs w:val="22"/>
          <w:lang w:val="fr-FR"/>
        </w:rPr>
        <w:t xml:space="preserve"> du PCT</w:t>
      </w:r>
      <w:r w:rsidRPr="00A55ED2">
        <w:rPr>
          <w:szCs w:val="22"/>
          <w:lang w:val="fr-FR"/>
        </w:rPr>
        <w:t xml:space="preserve">, sont </w:t>
      </w:r>
      <w:r w:rsidR="00AC7F1A" w:rsidRPr="00A55ED2">
        <w:rPr>
          <w:szCs w:val="22"/>
          <w:lang w:val="fr-FR"/>
        </w:rPr>
        <w:t>“</w:t>
      </w:r>
      <w:r w:rsidRPr="00A55ED2">
        <w:rPr>
          <w:szCs w:val="22"/>
          <w:lang w:val="fr-FR"/>
        </w:rPr>
        <w:t>des exigences quant à la forme ou au contenu de la demande internationale</w:t>
      </w:r>
      <w:r w:rsidR="00AC7F1A" w:rsidRPr="00A55ED2">
        <w:rPr>
          <w:szCs w:val="22"/>
          <w:lang w:val="fr-FR"/>
        </w:rPr>
        <w:t>”</w:t>
      </w:r>
      <w:r w:rsidRPr="00A55ED2">
        <w:rPr>
          <w:szCs w:val="22"/>
          <w:lang w:val="fr-FR"/>
        </w:rPr>
        <w:t xml:space="preserve"> (article 27.1)</w:t>
      </w:r>
      <w:r w:rsidR="004642BB" w:rsidRPr="00A55ED2">
        <w:rPr>
          <w:szCs w:val="22"/>
          <w:lang w:val="fr-FR"/>
        </w:rPr>
        <w:t xml:space="preserve"> du PCT</w:t>
      </w:r>
      <w:r w:rsidRPr="00A55ED2">
        <w:rPr>
          <w:szCs w:val="22"/>
          <w:lang w:val="fr-FR"/>
        </w:rPr>
        <w:t>), ou s</w:t>
      </w:r>
      <w:r w:rsidR="004642BB" w:rsidRPr="00A55ED2">
        <w:rPr>
          <w:szCs w:val="22"/>
          <w:lang w:val="fr-FR"/>
        </w:rPr>
        <w:t>’</w:t>
      </w:r>
      <w:r w:rsidRPr="00A55ED2">
        <w:rPr>
          <w:szCs w:val="22"/>
          <w:lang w:val="fr-FR"/>
        </w:rPr>
        <w:t>il s</w:t>
      </w:r>
      <w:r w:rsidR="004642BB" w:rsidRPr="00A55ED2">
        <w:rPr>
          <w:szCs w:val="22"/>
          <w:lang w:val="fr-FR"/>
        </w:rPr>
        <w:t>’</w:t>
      </w:r>
      <w:r w:rsidRPr="00A55ED2">
        <w:rPr>
          <w:szCs w:val="22"/>
          <w:lang w:val="fr-FR"/>
        </w:rPr>
        <w:t xml:space="preserve">agit de dispositions relatives aux </w:t>
      </w:r>
      <w:r w:rsidR="00AC7F1A" w:rsidRPr="00A55ED2">
        <w:rPr>
          <w:szCs w:val="22"/>
          <w:lang w:val="fr-FR"/>
        </w:rPr>
        <w:t>“</w:t>
      </w:r>
      <w:r w:rsidRPr="00A55ED2">
        <w:rPr>
          <w:szCs w:val="22"/>
          <w:lang w:val="fr-FR"/>
        </w:rPr>
        <w:t>conditions matérielles de brevetabilité … concernant la définition de l</w:t>
      </w:r>
      <w:r w:rsidR="004642BB" w:rsidRPr="00A55ED2">
        <w:rPr>
          <w:szCs w:val="22"/>
          <w:lang w:val="fr-FR"/>
        </w:rPr>
        <w:t>’</w:t>
      </w:r>
      <w:r w:rsidRPr="00A55ED2">
        <w:rPr>
          <w:szCs w:val="22"/>
          <w:lang w:val="fr-FR"/>
        </w:rPr>
        <w:t>état de la technique</w:t>
      </w:r>
      <w:r w:rsidR="00AC7F1A" w:rsidRPr="00A55ED2">
        <w:rPr>
          <w:szCs w:val="22"/>
          <w:lang w:val="fr-FR"/>
        </w:rPr>
        <w:t>”</w:t>
      </w:r>
      <w:r w:rsidRPr="00A55ED2">
        <w:rPr>
          <w:szCs w:val="22"/>
          <w:lang w:val="fr-FR"/>
        </w:rPr>
        <w:t xml:space="preserve"> (article 27.5)</w:t>
      </w:r>
      <w:r w:rsidR="004642BB" w:rsidRPr="00A55ED2">
        <w:rPr>
          <w:szCs w:val="22"/>
          <w:lang w:val="fr-FR"/>
        </w:rPr>
        <w:t xml:space="preserve"> du PCT</w:t>
      </w:r>
      <w:r w:rsidRPr="00A55ED2">
        <w:rPr>
          <w:szCs w:val="22"/>
          <w:lang w:val="fr-FR"/>
        </w:rPr>
        <w:t>).</w:t>
      </w:r>
      <w:r w:rsidR="00AB48F0" w:rsidRPr="00A55ED2">
        <w:rPr>
          <w:lang w:val="fr-FR"/>
        </w:rPr>
        <w:t xml:space="preserve">  </w:t>
      </w:r>
      <w:r w:rsidRPr="00A55ED2">
        <w:rPr>
          <w:szCs w:val="22"/>
          <w:lang w:val="fr-FR"/>
        </w:rPr>
        <w:t>Dans le premier cas (</w:t>
      </w:r>
      <w:r w:rsidR="00AC7F1A" w:rsidRPr="00A55ED2">
        <w:rPr>
          <w:szCs w:val="22"/>
          <w:lang w:val="fr-FR"/>
        </w:rPr>
        <w:t>“</w:t>
      </w:r>
      <w:r w:rsidRPr="00A55ED2">
        <w:rPr>
          <w:szCs w:val="22"/>
          <w:lang w:val="fr-FR"/>
        </w:rPr>
        <w:t>forme ou contenu</w:t>
      </w:r>
      <w:r w:rsidR="00AC7F1A" w:rsidRPr="00A55ED2">
        <w:rPr>
          <w:szCs w:val="22"/>
          <w:lang w:val="fr-FR"/>
        </w:rPr>
        <w:t>”</w:t>
      </w:r>
      <w:r w:rsidRPr="00A55ED2">
        <w:rPr>
          <w:szCs w:val="22"/>
          <w:lang w:val="fr-FR"/>
        </w:rPr>
        <w:t>), l</w:t>
      </w:r>
      <w:r w:rsidR="004642BB" w:rsidRPr="00A55ED2">
        <w:rPr>
          <w:szCs w:val="22"/>
          <w:lang w:val="fr-FR"/>
        </w:rPr>
        <w:t>’</w:t>
      </w:r>
      <w:r w:rsidRPr="00A55ED2">
        <w:rPr>
          <w:szCs w:val="22"/>
          <w:lang w:val="fr-FR"/>
        </w:rPr>
        <w:t>Assemblée de l</w:t>
      </w:r>
      <w:r w:rsidR="004642BB" w:rsidRPr="00A55ED2">
        <w:rPr>
          <w:szCs w:val="22"/>
          <w:lang w:val="fr-FR"/>
        </w:rPr>
        <w:t>’</w:t>
      </w:r>
      <w:r w:rsidRPr="00A55ED2">
        <w:rPr>
          <w:szCs w:val="22"/>
          <w:lang w:val="fr-FR"/>
        </w:rPr>
        <w:t>Union</w:t>
      </w:r>
      <w:r w:rsidR="004642BB" w:rsidRPr="00A55ED2">
        <w:rPr>
          <w:szCs w:val="22"/>
          <w:lang w:val="fr-FR"/>
        </w:rPr>
        <w:t xml:space="preserve"> du PCT</w:t>
      </w:r>
      <w:r w:rsidRPr="00A55ED2">
        <w:rPr>
          <w:szCs w:val="22"/>
          <w:lang w:val="fr-FR"/>
        </w:rPr>
        <w:t xml:space="preserve"> — si elle est jugée compétente — pourrait adopter une interprétation commune de la Convention de Paris avec effet pour les phases internationale et nationale de la procédure selon</w:t>
      </w:r>
      <w:r w:rsidR="004642BB" w:rsidRPr="00A55ED2">
        <w:rPr>
          <w:szCs w:val="22"/>
          <w:lang w:val="fr-FR"/>
        </w:rPr>
        <w:t xml:space="preserve"> le PCT</w:t>
      </w:r>
      <w:r w:rsidRPr="00A55ED2">
        <w:rPr>
          <w:szCs w:val="22"/>
          <w:lang w:val="fr-FR"/>
        </w:rPr>
        <w:t>, conformément à l</w:t>
      </w:r>
      <w:r w:rsidR="004642BB" w:rsidRPr="00A55ED2">
        <w:rPr>
          <w:szCs w:val="22"/>
          <w:lang w:val="fr-FR"/>
        </w:rPr>
        <w:t>’</w:t>
      </w:r>
      <w:r w:rsidRPr="00A55ED2">
        <w:rPr>
          <w:szCs w:val="22"/>
          <w:lang w:val="fr-FR"/>
        </w:rPr>
        <w:t>article 27.1)</w:t>
      </w:r>
      <w:r w:rsidR="004642BB" w:rsidRPr="00A55ED2">
        <w:rPr>
          <w:szCs w:val="22"/>
          <w:lang w:val="fr-FR"/>
        </w:rPr>
        <w:t xml:space="preserve"> du PCT</w:t>
      </w:r>
      <w:r w:rsidRPr="00A55ED2">
        <w:rPr>
          <w:szCs w:val="22"/>
          <w:lang w:val="fr-FR"/>
        </w:rPr>
        <w:t>.</w:t>
      </w:r>
      <w:r w:rsidR="00AB48F0" w:rsidRPr="00A55ED2">
        <w:rPr>
          <w:lang w:val="fr-FR"/>
        </w:rPr>
        <w:t xml:space="preserve">  </w:t>
      </w:r>
      <w:r w:rsidR="009E51F9" w:rsidRPr="00A55ED2">
        <w:rPr>
          <w:szCs w:val="22"/>
          <w:lang w:val="fr-FR"/>
        </w:rPr>
        <w:t>Dans le deuxième cas (</w:t>
      </w:r>
      <w:r w:rsidR="00AC7F1A" w:rsidRPr="00A55ED2">
        <w:rPr>
          <w:szCs w:val="22"/>
          <w:lang w:val="fr-FR"/>
        </w:rPr>
        <w:t>“</w:t>
      </w:r>
      <w:r w:rsidR="009E51F9" w:rsidRPr="00A55ED2">
        <w:rPr>
          <w:szCs w:val="22"/>
          <w:lang w:val="fr-FR"/>
        </w:rPr>
        <w:t>conditions matérielle</w:t>
      </w:r>
      <w:r w:rsidR="00C95494" w:rsidRPr="00A55ED2">
        <w:rPr>
          <w:szCs w:val="22"/>
          <w:lang w:val="fr-FR"/>
        </w:rPr>
        <w:t>s</w:t>
      </w:r>
      <w:r w:rsidR="00AC7F1A" w:rsidRPr="00A55ED2">
        <w:rPr>
          <w:szCs w:val="22"/>
          <w:lang w:val="fr-FR"/>
        </w:rPr>
        <w:t>”</w:t>
      </w:r>
      <w:r w:rsidR="009E51F9" w:rsidRPr="00A55ED2">
        <w:rPr>
          <w:szCs w:val="22"/>
          <w:lang w:val="fr-FR"/>
        </w:rPr>
        <w:t>), en revanche, l</w:t>
      </w:r>
      <w:r w:rsidR="004642BB" w:rsidRPr="00A55ED2">
        <w:rPr>
          <w:szCs w:val="22"/>
          <w:lang w:val="fr-FR"/>
        </w:rPr>
        <w:t>’</w:t>
      </w:r>
      <w:r w:rsidR="009E51F9" w:rsidRPr="00A55ED2">
        <w:rPr>
          <w:szCs w:val="22"/>
          <w:lang w:val="fr-FR"/>
        </w:rPr>
        <w:t>Assemblée de l</w:t>
      </w:r>
      <w:r w:rsidR="004642BB" w:rsidRPr="00A55ED2">
        <w:rPr>
          <w:szCs w:val="22"/>
          <w:lang w:val="fr-FR"/>
        </w:rPr>
        <w:t>’</w:t>
      </w:r>
      <w:r w:rsidR="009E51F9" w:rsidRPr="00A55ED2">
        <w:rPr>
          <w:szCs w:val="22"/>
          <w:lang w:val="fr-FR"/>
        </w:rPr>
        <w:t>Union</w:t>
      </w:r>
      <w:r w:rsidR="004642BB" w:rsidRPr="00A55ED2">
        <w:rPr>
          <w:szCs w:val="22"/>
          <w:lang w:val="fr-FR"/>
        </w:rPr>
        <w:t xml:space="preserve"> du PCT</w:t>
      </w:r>
      <w:r w:rsidR="009E51F9" w:rsidRPr="00A55ED2">
        <w:rPr>
          <w:szCs w:val="22"/>
          <w:lang w:val="fr-FR"/>
        </w:rPr>
        <w:t xml:space="preserve"> ne pourrait adopter une telle interprétation qu</w:t>
      </w:r>
      <w:r w:rsidR="004642BB" w:rsidRPr="00A55ED2">
        <w:rPr>
          <w:szCs w:val="22"/>
          <w:lang w:val="fr-FR"/>
        </w:rPr>
        <w:t>’à l’égard</w:t>
      </w:r>
      <w:r w:rsidR="009E51F9" w:rsidRPr="00A55ED2">
        <w:rPr>
          <w:szCs w:val="22"/>
          <w:lang w:val="fr-FR"/>
        </w:rPr>
        <w:t xml:space="preserve"> de la phase internationale de la procédure selon</w:t>
      </w:r>
      <w:r w:rsidR="004642BB" w:rsidRPr="00A55ED2">
        <w:rPr>
          <w:szCs w:val="22"/>
          <w:lang w:val="fr-FR"/>
        </w:rPr>
        <w:t xml:space="preserve"> le PCT</w:t>
      </w:r>
      <w:r w:rsidR="009E51F9" w:rsidRPr="00A55ED2">
        <w:rPr>
          <w:szCs w:val="22"/>
          <w:lang w:val="fr-FR"/>
        </w:rPr>
        <w:t xml:space="preserve"> et devrait laisser la question, en ce qui concerne la phase nationale, à l</w:t>
      </w:r>
      <w:r w:rsidR="004642BB" w:rsidRPr="00A55ED2">
        <w:rPr>
          <w:szCs w:val="22"/>
          <w:lang w:val="fr-FR"/>
        </w:rPr>
        <w:t>’</w:t>
      </w:r>
      <w:r w:rsidR="009E51F9" w:rsidRPr="00A55ED2">
        <w:rPr>
          <w:szCs w:val="22"/>
          <w:lang w:val="fr-FR"/>
        </w:rPr>
        <w:t>appréciation de la législation nationale applicable par les offices désignés concernés, compte tenu de l</w:t>
      </w:r>
      <w:r w:rsidR="004642BB" w:rsidRPr="00A55ED2">
        <w:rPr>
          <w:szCs w:val="22"/>
          <w:lang w:val="fr-FR"/>
        </w:rPr>
        <w:t>’</w:t>
      </w:r>
      <w:r w:rsidR="009E51F9" w:rsidRPr="00A55ED2">
        <w:rPr>
          <w:szCs w:val="22"/>
          <w:lang w:val="fr-FR"/>
        </w:rPr>
        <w:t>article 27.5), dont le libellé est dépourvu d</w:t>
      </w:r>
      <w:r w:rsidR="004642BB" w:rsidRPr="00A55ED2">
        <w:rPr>
          <w:szCs w:val="22"/>
          <w:lang w:val="fr-FR"/>
        </w:rPr>
        <w:t>’</w:t>
      </w:r>
      <w:r w:rsidR="00C95494" w:rsidRPr="00A55ED2">
        <w:rPr>
          <w:szCs w:val="22"/>
          <w:lang w:val="fr-FR"/>
        </w:rPr>
        <w:t>ambiguï</w:t>
      </w:r>
      <w:r w:rsidR="009E51F9" w:rsidRPr="00A55ED2">
        <w:rPr>
          <w:szCs w:val="22"/>
          <w:lang w:val="fr-FR"/>
        </w:rPr>
        <w:t>té.</w:t>
      </w:r>
    </w:p>
    <w:p w:rsidR="00785FC5" w:rsidRPr="00A55ED2" w:rsidRDefault="00E2161A" w:rsidP="00E2161A">
      <w:pPr>
        <w:pStyle w:val="ONUME"/>
        <w:keepLines/>
        <w:rPr>
          <w:lang w:val="fr-FR"/>
        </w:rPr>
      </w:pPr>
      <w:r w:rsidRPr="00A55ED2">
        <w:rPr>
          <w:lang w:val="fr-FR"/>
        </w:rPr>
        <w:t xml:space="preserve">Si la réponse à cette question est là encore largement sujette à </w:t>
      </w:r>
      <w:r w:rsidR="002D1943" w:rsidRPr="00A55ED2">
        <w:rPr>
          <w:lang w:val="fr-FR"/>
        </w:rPr>
        <w:t>interprétation</w:t>
      </w:r>
      <w:r w:rsidRPr="00A55ED2">
        <w:rPr>
          <w:lang w:val="fr-FR"/>
        </w:rPr>
        <w:t xml:space="preserve">, on pourrait raisonnablement faire valoir que </w:t>
      </w:r>
      <w:r w:rsidR="00790AE3" w:rsidRPr="00A55ED2">
        <w:rPr>
          <w:lang w:val="fr-FR"/>
        </w:rPr>
        <w:t>la</w:t>
      </w:r>
      <w:r w:rsidRPr="00A55ED2">
        <w:rPr>
          <w:lang w:val="fr-FR"/>
        </w:rPr>
        <w:t xml:space="preserve"> question de savoir ce qui constitue une divulgation aux fins de la nouveauté, par exemple, est une condition matérielle de brevetabilité, qu</w:t>
      </w:r>
      <w:r w:rsidR="004642BB" w:rsidRPr="00A55ED2">
        <w:rPr>
          <w:lang w:val="fr-FR"/>
        </w:rPr>
        <w:t>’</w:t>
      </w:r>
      <w:r w:rsidRPr="00A55ED2">
        <w:rPr>
          <w:lang w:val="fr-FR"/>
        </w:rPr>
        <w:t>une divulgation antérieure effectuée le même jour que le dépôt de la demande pourrait être comprise dans l</w:t>
      </w:r>
      <w:r w:rsidR="004642BB" w:rsidRPr="00A55ED2">
        <w:rPr>
          <w:lang w:val="fr-FR"/>
        </w:rPr>
        <w:t>’</w:t>
      </w:r>
      <w:r w:rsidRPr="00A55ED2">
        <w:rPr>
          <w:lang w:val="fr-FR"/>
        </w:rPr>
        <w:t>état de la technique (ainsi qu</w:t>
      </w:r>
      <w:r w:rsidR="004642BB" w:rsidRPr="00A55ED2">
        <w:rPr>
          <w:lang w:val="fr-FR"/>
        </w:rPr>
        <w:t>’</w:t>
      </w:r>
      <w:r w:rsidRPr="00A55ED2">
        <w:rPr>
          <w:lang w:val="fr-FR"/>
        </w:rPr>
        <w:t>il est avancé au paragraphe</w:t>
      </w:r>
      <w:r w:rsidR="00FE5352" w:rsidRPr="00A55ED2">
        <w:rPr>
          <w:lang w:val="fr-FR"/>
        </w:rPr>
        <w:t> </w:t>
      </w:r>
      <w:r w:rsidRPr="00A55ED2">
        <w:rPr>
          <w:lang w:val="fr-FR"/>
        </w:rPr>
        <w:t xml:space="preserve">8 du document PCT/A/XVIII/4) et que les dispositions relatives aux </w:t>
      </w:r>
      <w:r w:rsidR="00AC7F1A" w:rsidRPr="00A55ED2">
        <w:rPr>
          <w:lang w:val="fr-FR"/>
        </w:rPr>
        <w:t>“</w:t>
      </w:r>
      <w:r w:rsidRPr="00A55ED2">
        <w:rPr>
          <w:lang w:val="fr-FR"/>
        </w:rPr>
        <w:t>délais de priorité</w:t>
      </w:r>
      <w:r w:rsidR="00AC7F1A" w:rsidRPr="00A55ED2">
        <w:rPr>
          <w:lang w:val="fr-FR"/>
        </w:rPr>
        <w:t>”</w:t>
      </w:r>
      <w:r w:rsidRPr="00A55ED2">
        <w:rPr>
          <w:lang w:val="fr-FR"/>
        </w:rPr>
        <w:t xml:space="preserve"> figurant à l</w:t>
      </w:r>
      <w:r w:rsidR="004642BB" w:rsidRPr="00A55ED2">
        <w:rPr>
          <w:lang w:val="fr-FR"/>
        </w:rPr>
        <w:t>’</w:t>
      </w:r>
      <w:r w:rsidRPr="00A55ED2">
        <w:rPr>
          <w:lang w:val="fr-FR"/>
        </w:rPr>
        <w:t>article</w:t>
      </w:r>
      <w:r w:rsidR="00FE5352" w:rsidRPr="00A55ED2">
        <w:rPr>
          <w:lang w:val="fr-FR"/>
        </w:rPr>
        <w:t> </w:t>
      </w:r>
      <w:r w:rsidRPr="00A55ED2">
        <w:rPr>
          <w:lang w:val="fr-FR"/>
        </w:rPr>
        <w:t>4.C) de la Convention de Paris, incorporées par renvoi dans</w:t>
      </w:r>
      <w:r w:rsidR="004642BB" w:rsidRPr="00A55ED2">
        <w:rPr>
          <w:lang w:val="fr-FR"/>
        </w:rPr>
        <w:t xml:space="preserve"> le PCT</w:t>
      </w:r>
      <w:r w:rsidRPr="00A55ED2">
        <w:rPr>
          <w:lang w:val="fr-FR"/>
        </w:rPr>
        <w:t xml:space="preserve"> en vertu de l</w:t>
      </w:r>
      <w:r w:rsidR="004642BB" w:rsidRPr="00A55ED2">
        <w:rPr>
          <w:lang w:val="fr-FR"/>
        </w:rPr>
        <w:t>’</w:t>
      </w:r>
      <w:r w:rsidRPr="00A55ED2">
        <w:rPr>
          <w:lang w:val="fr-FR"/>
        </w:rPr>
        <w:t>article 8.2)a)</w:t>
      </w:r>
      <w:r w:rsidR="004642BB" w:rsidRPr="00A55ED2">
        <w:rPr>
          <w:lang w:val="fr-FR"/>
        </w:rPr>
        <w:t xml:space="preserve"> du PCT</w:t>
      </w:r>
      <w:r w:rsidRPr="00A55ED2">
        <w:rPr>
          <w:lang w:val="fr-FR"/>
        </w:rPr>
        <w:t xml:space="preserve">, sont donc effectivement des dispositions énonçant des </w:t>
      </w:r>
      <w:r w:rsidR="00AC7F1A" w:rsidRPr="00A55ED2">
        <w:rPr>
          <w:lang w:val="fr-FR"/>
        </w:rPr>
        <w:t>“</w:t>
      </w:r>
      <w:r w:rsidRPr="00A55ED2">
        <w:rPr>
          <w:lang w:val="fr-FR"/>
        </w:rPr>
        <w:t>conditions matérielles de brevetabilité … concernant la définition de l</w:t>
      </w:r>
      <w:r w:rsidR="004642BB" w:rsidRPr="00A55ED2">
        <w:rPr>
          <w:lang w:val="fr-FR"/>
        </w:rPr>
        <w:t>’</w:t>
      </w:r>
      <w:r w:rsidRPr="00A55ED2">
        <w:rPr>
          <w:lang w:val="fr-FR"/>
        </w:rPr>
        <w:t>état de la technique</w:t>
      </w:r>
      <w:r w:rsidR="00AC7F1A" w:rsidRPr="00A55ED2">
        <w:rPr>
          <w:lang w:val="fr-FR"/>
        </w:rPr>
        <w:t>”</w:t>
      </w:r>
      <w:r w:rsidRPr="00A55ED2">
        <w:rPr>
          <w:lang w:val="fr-FR"/>
        </w:rPr>
        <w:t xml:space="preserve"> au sens de l</w:t>
      </w:r>
      <w:r w:rsidR="004642BB" w:rsidRPr="00A55ED2">
        <w:rPr>
          <w:lang w:val="fr-FR"/>
        </w:rPr>
        <w:t>’</w:t>
      </w:r>
      <w:r w:rsidRPr="00A55ED2">
        <w:rPr>
          <w:lang w:val="fr-FR"/>
        </w:rPr>
        <w:t>article 27.5)</w:t>
      </w:r>
      <w:r w:rsidR="004642BB" w:rsidRPr="00A55ED2">
        <w:rPr>
          <w:lang w:val="fr-FR"/>
        </w:rPr>
        <w:t xml:space="preserve"> du PCT</w:t>
      </w:r>
      <w:r w:rsidRPr="00A55ED2">
        <w:rPr>
          <w:lang w:val="fr-FR"/>
        </w:rPr>
        <w:t>.</w:t>
      </w:r>
    </w:p>
    <w:p w:rsidR="00785FC5" w:rsidRPr="00A55ED2" w:rsidRDefault="00E2161A" w:rsidP="00E2161A">
      <w:pPr>
        <w:pStyle w:val="ONUME"/>
        <w:rPr>
          <w:lang w:val="fr-FR"/>
        </w:rPr>
      </w:pPr>
      <w:r w:rsidRPr="00A55ED2">
        <w:rPr>
          <w:lang w:val="fr-FR"/>
        </w:rPr>
        <w:t>Dans l</w:t>
      </w:r>
      <w:r w:rsidR="004642BB" w:rsidRPr="00A55ED2">
        <w:rPr>
          <w:lang w:val="fr-FR"/>
        </w:rPr>
        <w:t>’</w:t>
      </w:r>
      <w:r w:rsidRPr="00A55ED2">
        <w:rPr>
          <w:lang w:val="fr-FR"/>
        </w:rPr>
        <w:t>affirmative,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r w:rsidRPr="00A55ED2">
        <w:rPr>
          <w:lang w:val="fr-FR"/>
        </w:rPr>
        <w:t xml:space="preserve"> ne pourrait pas se prononcer sur une interprétation à donner à l</w:t>
      </w:r>
      <w:r w:rsidR="004642BB" w:rsidRPr="00A55ED2">
        <w:rPr>
          <w:lang w:val="fr-FR"/>
        </w:rPr>
        <w:t>’</w:t>
      </w:r>
      <w:r w:rsidRPr="00A55ED2">
        <w:rPr>
          <w:lang w:val="fr-FR"/>
        </w:rPr>
        <w:t>article 4 de la Convention de Paris qui produirait des effets à la fois dans la phase internationale et dans la phase nationale de la procédure selon</w:t>
      </w:r>
      <w:r w:rsidR="004642BB" w:rsidRPr="00A55ED2">
        <w:rPr>
          <w:lang w:val="fr-FR"/>
        </w:rPr>
        <w:t xml:space="preserve"> le PCT</w:t>
      </w:r>
      <w:r w:rsidRPr="00A55ED2">
        <w:rPr>
          <w:lang w:val="fr-FR"/>
        </w:rPr>
        <w:t>.</w:t>
      </w:r>
      <w:r w:rsidR="00AB48F0" w:rsidRPr="00A55ED2">
        <w:rPr>
          <w:lang w:val="fr-FR"/>
        </w:rPr>
        <w:t xml:space="preserve">  </w:t>
      </w:r>
      <w:r w:rsidRPr="00A55ED2">
        <w:rPr>
          <w:lang w:val="fr-FR"/>
        </w:rPr>
        <w:t xml:space="preserve">Il </w:t>
      </w:r>
      <w:r w:rsidRPr="00A55ED2">
        <w:rPr>
          <w:lang w:val="fr-FR"/>
        </w:rPr>
        <w:lastRenderedPageBreak/>
        <w:t>relèverait plutôt — conformément à l</w:t>
      </w:r>
      <w:r w:rsidR="004642BB" w:rsidRPr="00A55ED2">
        <w:rPr>
          <w:lang w:val="fr-FR"/>
        </w:rPr>
        <w:t>’</w:t>
      </w:r>
      <w:r w:rsidRPr="00A55ED2">
        <w:rPr>
          <w:lang w:val="fr-FR"/>
        </w:rPr>
        <w:t>article 27.5) — de l</w:t>
      </w:r>
      <w:r w:rsidR="004642BB" w:rsidRPr="00A55ED2">
        <w:rPr>
          <w:lang w:val="fr-FR"/>
        </w:rPr>
        <w:t>’</w:t>
      </w:r>
      <w:r w:rsidRPr="00A55ED2">
        <w:rPr>
          <w:lang w:val="fr-FR"/>
        </w:rPr>
        <w:t>appréciation de chaque État contractant</w:t>
      </w:r>
      <w:r w:rsidR="004642BB" w:rsidRPr="00A55ED2">
        <w:rPr>
          <w:lang w:val="fr-FR"/>
        </w:rPr>
        <w:t xml:space="preserve"> du PCT</w:t>
      </w:r>
      <w:r w:rsidRPr="00A55ED2">
        <w:rPr>
          <w:lang w:val="fr-FR"/>
        </w:rPr>
        <w:t xml:space="preserve"> de prescrire, lorsqu</w:t>
      </w:r>
      <w:r w:rsidR="004642BB" w:rsidRPr="00A55ED2">
        <w:rPr>
          <w:lang w:val="fr-FR"/>
        </w:rPr>
        <w:t>’</w:t>
      </w:r>
      <w:r w:rsidRPr="00A55ED2">
        <w:rPr>
          <w:lang w:val="fr-FR"/>
        </w:rPr>
        <w:t>il détermine la brevetabilité d</w:t>
      </w:r>
      <w:r w:rsidR="004642BB" w:rsidRPr="00A55ED2">
        <w:rPr>
          <w:lang w:val="fr-FR"/>
        </w:rPr>
        <w:t>’</w:t>
      </w:r>
      <w:r w:rsidRPr="00A55ED2">
        <w:rPr>
          <w:lang w:val="fr-FR"/>
        </w:rPr>
        <w:t>une invention faisant l</w:t>
      </w:r>
      <w:r w:rsidR="004642BB" w:rsidRPr="00A55ED2">
        <w:rPr>
          <w:lang w:val="fr-FR"/>
        </w:rPr>
        <w:t>’</w:t>
      </w:r>
      <w:r w:rsidRPr="00A55ED2">
        <w:rPr>
          <w:lang w:val="fr-FR"/>
        </w:rPr>
        <w:t>objet d</w:t>
      </w:r>
      <w:r w:rsidR="004642BB" w:rsidRPr="00A55ED2">
        <w:rPr>
          <w:lang w:val="fr-FR"/>
        </w:rPr>
        <w:t>’</w:t>
      </w:r>
      <w:r w:rsidRPr="00A55ED2">
        <w:rPr>
          <w:lang w:val="fr-FR"/>
        </w:rPr>
        <w:t xml:space="preserve">une demande internationale, les critères de sa législation nationale </w:t>
      </w:r>
      <w:r w:rsidR="00C95494" w:rsidRPr="00A55ED2">
        <w:rPr>
          <w:lang w:val="fr-FR"/>
        </w:rPr>
        <w:t>définissant</w:t>
      </w:r>
      <w:r w:rsidRPr="00A55ED2">
        <w:rPr>
          <w:lang w:val="fr-FR"/>
        </w:rPr>
        <w:t xml:space="preserve"> le terme </w:t>
      </w:r>
      <w:r w:rsidR="00AC7F1A" w:rsidRPr="00A55ED2">
        <w:rPr>
          <w:lang w:val="fr-FR"/>
        </w:rPr>
        <w:t>“</w:t>
      </w:r>
      <w:r w:rsidRPr="00A55ED2">
        <w:rPr>
          <w:lang w:val="fr-FR"/>
        </w:rPr>
        <w:t>délai de priorité</w:t>
      </w:r>
      <w:r w:rsidR="00AC7F1A" w:rsidRPr="00A55ED2">
        <w:rPr>
          <w:lang w:val="fr-FR"/>
        </w:rPr>
        <w:t>”</w:t>
      </w:r>
      <w:r w:rsidRPr="00A55ED2">
        <w:rPr>
          <w:lang w:val="fr-FR"/>
        </w:rPr>
        <w:t xml:space="preserve"> et, partant, le </w:t>
      </w:r>
      <w:r w:rsidR="00AC7F1A" w:rsidRPr="00A55ED2">
        <w:rPr>
          <w:lang w:val="fr-FR"/>
        </w:rPr>
        <w:t>“</w:t>
      </w:r>
      <w:r w:rsidRPr="00A55ED2">
        <w:rPr>
          <w:lang w:val="fr-FR"/>
        </w:rPr>
        <w:t>sort</w:t>
      </w:r>
      <w:r w:rsidR="00AC7F1A" w:rsidRPr="00A55ED2">
        <w:rPr>
          <w:lang w:val="fr-FR"/>
        </w:rPr>
        <w:t>”</w:t>
      </w:r>
      <w:r w:rsidRPr="00A55ED2">
        <w:rPr>
          <w:lang w:val="fr-FR"/>
        </w:rPr>
        <w:t xml:space="preserve"> des revendications de priorité portant sur la même date.</w:t>
      </w:r>
    </w:p>
    <w:p w:rsidR="00785FC5" w:rsidRPr="00A55ED2" w:rsidRDefault="00F837CC" w:rsidP="00F837CC">
      <w:pPr>
        <w:pStyle w:val="ONUME"/>
        <w:keepLines/>
        <w:rPr>
          <w:szCs w:val="22"/>
          <w:lang w:val="fr-FR"/>
        </w:rPr>
      </w:pPr>
      <w:r w:rsidRPr="00A55ED2">
        <w:rPr>
          <w:szCs w:val="22"/>
          <w:lang w:val="fr-FR"/>
        </w:rPr>
        <w:t>Une autre façon d</w:t>
      </w:r>
      <w:r w:rsidR="004642BB" w:rsidRPr="00A55ED2">
        <w:rPr>
          <w:szCs w:val="22"/>
          <w:lang w:val="fr-FR"/>
        </w:rPr>
        <w:t>’</w:t>
      </w:r>
      <w:r w:rsidRPr="00A55ED2">
        <w:rPr>
          <w:szCs w:val="22"/>
          <w:lang w:val="fr-FR"/>
        </w:rPr>
        <w:t>envisager la question à l</w:t>
      </w:r>
      <w:r w:rsidR="004642BB" w:rsidRPr="00A55ED2">
        <w:rPr>
          <w:szCs w:val="22"/>
          <w:lang w:val="fr-FR"/>
        </w:rPr>
        <w:t>’</w:t>
      </w:r>
      <w:r w:rsidRPr="00A55ED2">
        <w:rPr>
          <w:szCs w:val="22"/>
          <w:lang w:val="fr-FR"/>
        </w:rPr>
        <w:t>examen serait de considérer que les dispositions de l</w:t>
      </w:r>
      <w:r w:rsidR="004642BB" w:rsidRPr="00A55ED2">
        <w:rPr>
          <w:szCs w:val="22"/>
          <w:lang w:val="fr-FR"/>
        </w:rPr>
        <w:t>’</w:t>
      </w:r>
      <w:r w:rsidRPr="00A55ED2">
        <w:rPr>
          <w:szCs w:val="22"/>
          <w:lang w:val="fr-FR"/>
        </w:rPr>
        <w:t>article 8.2)a)</w:t>
      </w:r>
      <w:r w:rsidR="004642BB" w:rsidRPr="00A55ED2">
        <w:rPr>
          <w:szCs w:val="22"/>
          <w:lang w:val="fr-FR"/>
        </w:rPr>
        <w:t xml:space="preserve"> du PCT</w:t>
      </w:r>
      <w:r w:rsidRPr="00A55ED2">
        <w:rPr>
          <w:szCs w:val="22"/>
          <w:lang w:val="fr-FR"/>
        </w:rPr>
        <w:t xml:space="preserve"> ne relèvent tout simplement pas des catégories </w:t>
      </w:r>
      <w:r w:rsidR="00AC7F1A" w:rsidRPr="00A55ED2">
        <w:rPr>
          <w:szCs w:val="22"/>
          <w:lang w:val="fr-FR"/>
        </w:rPr>
        <w:t>“</w:t>
      </w:r>
      <w:r w:rsidRPr="00A55ED2">
        <w:rPr>
          <w:szCs w:val="22"/>
          <w:lang w:val="fr-FR"/>
        </w:rPr>
        <w:t>forme ou contenu</w:t>
      </w:r>
      <w:r w:rsidR="00AC7F1A" w:rsidRPr="00A55ED2">
        <w:rPr>
          <w:szCs w:val="22"/>
          <w:lang w:val="fr-FR"/>
        </w:rPr>
        <w:t>”</w:t>
      </w:r>
      <w:r w:rsidRPr="00A55ED2">
        <w:rPr>
          <w:szCs w:val="22"/>
          <w:lang w:val="fr-FR"/>
        </w:rPr>
        <w:t xml:space="preserve"> ou </w:t>
      </w:r>
      <w:r w:rsidR="00AC7F1A" w:rsidRPr="00A55ED2">
        <w:rPr>
          <w:szCs w:val="22"/>
          <w:lang w:val="fr-FR"/>
        </w:rPr>
        <w:t>“</w:t>
      </w:r>
      <w:r w:rsidRPr="00A55ED2">
        <w:rPr>
          <w:szCs w:val="22"/>
          <w:lang w:val="fr-FR"/>
        </w:rPr>
        <w:t>conditions matérielles</w:t>
      </w:r>
      <w:r w:rsidR="00AC7F1A" w:rsidRPr="00A55ED2">
        <w:rPr>
          <w:szCs w:val="22"/>
          <w:lang w:val="fr-FR"/>
        </w:rPr>
        <w:t>”</w:t>
      </w:r>
      <w:r w:rsidRPr="00A55ED2">
        <w:rPr>
          <w:szCs w:val="22"/>
          <w:lang w:val="fr-FR"/>
        </w:rPr>
        <w:t xml:space="preserve"> au sens des articles 27.1) et 5), respectivement,</w:t>
      </w:r>
      <w:r w:rsidR="004642BB" w:rsidRPr="00A55ED2">
        <w:rPr>
          <w:szCs w:val="22"/>
          <w:lang w:val="fr-FR"/>
        </w:rPr>
        <w:t xml:space="preserve"> du PCT</w:t>
      </w:r>
      <w:r w:rsidRPr="00A55ED2">
        <w:rPr>
          <w:szCs w:val="22"/>
          <w:lang w:val="fr-FR"/>
        </w:rPr>
        <w:t xml:space="preserve"> et que l</w:t>
      </w:r>
      <w:r w:rsidR="004642BB" w:rsidRPr="00A55ED2">
        <w:rPr>
          <w:szCs w:val="22"/>
          <w:lang w:val="fr-FR"/>
        </w:rPr>
        <w:t>’</w:t>
      </w:r>
      <w:r w:rsidRPr="00A55ED2">
        <w:rPr>
          <w:szCs w:val="22"/>
          <w:lang w:val="fr-FR"/>
        </w:rPr>
        <w:t>article 8.2)a)</w:t>
      </w:r>
      <w:r w:rsidR="004642BB" w:rsidRPr="00A55ED2">
        <w:rPr>
          <w:szCs w:val="22"/>
          <w:lang w:val="fr-FR"/>
        </w:rPr>
        <w:t xml:space="preserve"> du PCT</w:t>
      </w:r>
      <w:r w:rsidRPr="00A55ED2">
        <w:rPr>
          <w:szCs w:val="22"/>
          <w:lang w:val="fr-FR"/>
        </w:rPr>
        <w:t xml:space="preserve"> devrait simplement être pris pour ce qu</w:t>
      </w:r>
      <w:r w:rsidR="004642BB" w:rsidRPr="00A55ED2">
        <w:rPr>
          <w:szCs w:val="22"/>
          <w:lang w:val="fr-FR"/>
        </w:rPr>
        <w:t>’</w:t>
      </w:r>
      <w:r w:rsidRPr="00A55ED2">
        <w:rPr>
          <w:szCs w:val="22"/>
          <w:lang w:val="fr-FR"/>
        </w:rPr>
        <w:t xml:space="preserve">il est, </w:t>
      </w:r>
      <w:r w:rsidR="004642BB" w:rsidRPr="00A55ED2">
        <w:rPr>
          <w:szCs w:val="22"/>
          <w:lang w:val="fr-FR"/>
        </w:rPr>
        <w:t>à savoir</w:t>
      </w:r>
      <w:r w:rsidRPr="00A55ED2">
        <w:rPr>
          <w:szCs w:val="22"/>
          <w:lang w:val="fr-FR"/>
        </w:rPr>
        <w:t xml:space="preserve"> un simple renvoi aux dispositions de la Convention de Paris.</w:t>
      </w:r>
      <w:r w:rsidR="00AB48F0" w:rsidRPr="00A55ED2">
        <w:rPr>
          <w:lang w:val="fr-FR"/>
        </w:rPr>
        <w:t xml:space="preserve">  </w:t>
      </w:r>
      <w:r w:rsidRPr="00A55ED2">
        <w:rPr>
          <w:szCs w:val="22"/>
          <w:lang w:val="fr-FR"/>
        </w:rPr>
        <w:t>Si l</w:t>
      </w:r>
      <w:r w:rsidR="004642BB" w:rsidRPr="00A55ED2">
        <w:rPr>
          <w:szCs w:val="22"/>
          <w:lang w:val="fr-FR"/>
        </w:rPr>
        <w:t>’</w:t>
      </w:r>
      <w:r w:rsidRPr="00A55ED2">
        <w:rPr>
          <w:szCs w:val="22"/>
          <w:lang w:val="fr-FR"/>
        </w:rPr>
        <w:t>on devait suivre ce raisonnement, l</w:t>
      </w:r>
      <w:r w:rsidR="004642BB" w:rsidRPr="00A55ED2">
        <w:rPr>
          <w:szCs w:val="22"/>
          <w:lang w:val="fr-FR"/>
        </w:rPr>
        <w:t>’</w:t>
      </w:r>
      <w:r w:rsidRPr="00A55ED2">
        <w:rPr>
          <w:szCs w:val="22"/>
          <w:lang w:val="fr-FR"/>
        </w:rPr>
        <w:t>action la plus plausible en cas de doute sur la manière de donner l</w:t>
      </w:r>
      <w:r w:rsidR="004642BB" w:rsidRPr="00A55ED2">
        <w:rPr>
          <w:szCs w:val="22"/>
          <w:lang w:val="fr-FR"/>
        </w:rPr>
        <w:t>’</w:t>
      </w:r>
      <w:r w:rsidRPr="00A55ED2">
        <w:rPr>
          <w:szCs w:val="22"/>
          <w:lang w:val="fr-FR"/>
        </w:rPr>
        <w:t>effet voulu à une disposition de la Convention de Paris serait de renvoyer la question à l</w:t>
      </w:r>
      <w:r w:rsidR="004642BB" w:rsidRPr="00A55ED2">
        <w:rPr>
          <w:szCs w:val="22"/>
          <w:lang w:val="fr-FR"/>
        </w:rPr>
        <w:t>’</w:t>
      </w:r>
      <w:r w:rsidRPr="00A55ED2">
        <w:rPr>
          <w:szCs w:val="22"/>
          <w:lang w:val="fr-FR"/>
        </w:rPr>
        <w:t>Assemblée de l</w:t>
      </w:r>
      <w:r w:rsidR="004642BB" w:rsidRPr="00A55ED2">
        <w:rPr>
          <w:szCs w:val="22"/>
          <w:lang w:val="fr-FR"/>
        </w:rPr>
        <w:t>’</w:t>
      </w:r>
      <w:r w:rsidRPr="00A55ED2">
        <w:rPr>
          <w:szCs w:val="22"/>
          <w:lang w:val="fr-FR"/>
        </w:rPr>
        <w:t xml:space="preserve">Union de Paris, en sa qualité </w:t>
      </w:r>
      <w:proofErr w:type="gramStart"/>
      <w:r w:rsidRPr="00A55ED2">
        <w:rPr>
          <w:szCs w:val="22"/>
          <w:lang w:val="fr-FR"/>
        </w:rPr>
        <w:t>d</w:t>
      </w:r>
      <w:r w:rsidR="004642BB" w:rsidRPr="00A55ED2">
        <w:rPr>
          <w:szCs w:val="22"/>
          <w:lang w:val="fr-FR"/>
        </w:rPr>
        <w:t>’</w:t>
      </w:r>
      <w:r w:rsidRPr="00A55ED2">
        <w:rPr>
          <w:szCs w:val="22"/>
          <w:lang w:val="fr-FR"/>
        </w:rPr>
        <w:t>(</w:t>
      </w:r>
      <w:proofErr w:type="gramEnd"/>
      <w:r w:rsidRPr="00A55ED2">
        <w:rPr>
          <w:szCs w:val="22"/>
          <w:lang w:val="fr-FR"/>
        </w:rPr>
        <w:t>unique) organe de décision compétent.</w:t>
      </w:r>
    </w:p>
    <w:p w:rsidR="00785FC5" w:rsidRPr="00A55ED2" w:rsidRDefault="00F837CC" w:rsidP="00F837CC">
      <w:pPr>
        <w:pStyle w:val="Heading4"/>
        <w:keepNext w:val="0"/>
        <w:rPr>
          <w:lang w:val="fr-FR"/>
        </w:rPr>
      </w:pPr>
      <w:r w:rsidRPr="00A55ED2">
        <w:rPr>
          <w:lang w:val="fr-FR"/>
        </w:rPr>
        <w:t>Opportunité d</w:t>
      </w:r>
      <w:r w:rsidR="004642BB" w:rsidRPr="00A55ED2">
        <w:rPr>
          <w:lang w:val="fr-FR"/>
        </w:rPr>
        <w:t>’</w:t>
      </w:r>
      <w:r w:rsidRPr="00A55ED2">
        <w:rPr>
          <w:lang w:val="fr-FR"/>
        </w:rPr>
        <w:t>une décision de l</w:t>
      </w:r>
      <w:r w:rsidR="004642BB" w:rsidRPr="00A55ED2">
        <w:rPr>
          <w:lang w:val="fr-FR"/>
        </w:rPr>
        <w:t>’</w:t>
      </w:r>
      <w:r w:rsidRPr="00A55ED2">
        <w:rPr>
          <w:lang w:val="fr-FR"/>
        </w:rPr>
        <w:t>Assemblée de l</w:t>
      </w:r>
      <w:r w:rsidR="004642BB" w:rsidRPr="00A55ED2">
        <w:rPr>
          <w:lang w:val="fr-FR"/>
        </w:rPr>
        <w:t>’</w:t>
      </w:r>
      <w:r w:rsidRPr="00A55ED2">
        <w:rPr>
          <w:lang w:val="fr-FR"/>
        </w:rPr>
        <w:t>Union</w:t>
      </w:r>
      <w:r w:rsidR="004642BB" w:rsidRPr="00A55ED2">
        <w:rPr>
          <w:lang w:val="fr-FR"/>
        </w:rPr>
        <w:t xml:space="preserve"> du PCT</w:t>
      </w:r>
    </w:p>
    <w:p w:rsidR="00785FC5" w:rsidRPr="00A55ED2" w:rsidRDefault="00F837CC" w:rsidP="00F837CC">
      <w:pPr>
        <w:pStyle w:val="ONUME"/>
        <w:rPr>
          <w:lang w:val="fr-FR"/>
        </w:rPr>
      </w:pPr>
      <w:r w:rsidRPr="00A55ED2">
        <w:rPr>
          <w:lang w:val="fr-FR"/>
        </w:rPr>
        <w:t>La troisième et dernière question qui se pose dans ce contexte est de savoir s</w:t>
      </w:r>
      <w:r w:rsidR="004642BB" w:rsidRPr="00A55ED2">
        <w:rPr>
          <w:lang w:val="fr-FR"/>
        </w:rPr>
        <w:t>’</w:t>
      </w:r>
      <w:r w:rsidRPr="00A55ED2">
        <w:rPr>
          <w:lang w:val="fr-FR"/>
        </w:rPr>
        <w:t>il serait même souhaitable d</w:t>
      </w:r>
      <w:r w:rsidR="004642BB" w:rsidRPr="00A55ED2">
        <w:rPr>
          <w:lang w:val="fr-FR"/>
        </w:rPr>
        <w:t>’</w:t>
      </w:r>
      <w:r w:rsidRPr="00A55ED2">
        <w:rPr>
          <w:lang w:val="fr-FR"/>
        </w:rPr>
        <w:t>essayer de parvenir à un tel accord entre les seuls États contractants</w:t>
      </w:r>
      <w:r w:rsidR="004642BB" w:rsidRPr="00A55ED2">
        <w:rPr>
          <w:lang w:val="fr-FR"/>
        </w:rPr>
        <w:t xml:space="preserve"> du PCT</w:t>
      </w:r>
      <w:r w:rsidRPr="00A55ED2">
        <w:rPr>
          <w:lang w:val="fr-FR"/>
        </w:rPr>
        <w:t>, qui ne constituent qu</w:t>
      </w:r>
      <w:r w:rsidR="004642BB" w:rsidRPr="00A55ED2">
        <w:rPr>
          <w:lang w:val="fr-FR"/>
        </w:rPr>
        <w:t>’</w:t>
      </w:r>
      <w:r w:rsidRPr="00A55ED2">
        <w:rPr>
          <w:lang w:val="fr-FR"/>
        </w:rPr>
        <w:t xml:space="preserve">un </w:t>
      </w:r>
      <w:r w:rsidR="00AC7F1A" w:rsidRPr="00A55ED2">
        <w:rPr>
          <w:lang w:val="fr-FR"/>
        </w:rPr>
        <w:t>“</w:t>
      </w:r>
      <w:r w:rsidRPr="00A55ED2">
        <w:rPr>
          <w:lang w:val="fr-FR"/>
        </w:rPr>
        <w:t>sous</w:t>
      </w:r>
      <w:r w:rsidR="00AD57E7" w:rsidRPr="00A55ED2">
        <w:rPr>
          <w:lang w:val="fr-FR"/>
        </w:rPr>
        <w:noBreakHyphen/>
      </w:r>
      <w:r w:rsidRPr="00A55ED2">
        <w:rPr>
          <w:lang w:val="fr-FR"/>
        </w:rPr>
        <w:t>ensemble</w:t>
      </w:r>
      <w:r w:rsidR="00AC7F1A" w:rsidRPr="00A55ED2">
        <w:rPr>
          <w:lang w:val="fr-FR"/>
        </w:rPr>
        <w:t>”</w:t>
      </w:r>
      <w:r w:rsidRPr="00A55ED2">
        <w:rPr>
          <w:lang w:val="fr-FR"/>
        </w:rPr>
        <w:t xml:space="preserve"> des États membres de l</w:t>
      </w:r>
      <w:r w:rsidR="004642BB" w:rsidRPr="00A55ED2">
        <w:rPr>
          <w:lang w:val="fr-FR"/>
        </w:rPr>
        <w:t>’</w:t>
      </w:r>
      <w:r w:rsidRPr="00A55ED2">
        <w:rPr>
          <w:lang w:val="fr-FR"/>
        </w:rPr>
        <w:t>Assemblée de l</w:t>
      </w:r>
      <w:r w:rsidR="004642BB" w:rsidRPr="00A55ED2">
        <w:rPr>
          <w:lang w:val="fr-FR"/>
        </w:rPr>
        <w:t>’</w:t>
      </w:r>
      <w:r w:rsidRPr="00A55ED2">
        <w:rPr>
          <w:lang w:val="fr-FR"/>
        </w:rPr>
        <w:t>Union de Paris.</w:t>
      </w:r>
    </w:p>
    <w:p w:rsidR="00785FC5" w:rsidRPr="00A55ED2" w:rsidRDefault="00156120" w:rsidP="00156120">
      <w:pPr>
        <w:pStyle w:val="ONUME"/>
        <w:keepLines/>
        <w:rPr>
          <w:lang w:val="fr-FR"/>
        </w:rPr>
      </w:pPr>
      <w:r w:rsidRPr="00A55ED2">
        <w:rPr>
          <w:lang w:val="fr-FR"/>
        </w:rPr>
        <w:t>Compte tenu de l</w:t>
      </w:r>
      <w:r w:rsidR="004642BB" w:rsidRPr="00A55ED2">
        <w:rPr>
          <w:lang w:val="fr-FR"/>
        </w:rPr>
        <w:t>’</w:t>
      </w:r>
      <w:r w:rsidRPr="00A55ED2">
        <w:rPr>
          <w:lang w:val="fr-FR"/>
        </w:rPr>
        <w:t xml:space="preserve">importance de la considération exprimée au paragraphe 9 du document PCT/A/XVIII/4 selon laquelle </w:t>
      </w:r>
      <w:r w:rsidR="00AC7F1A" w:rsidRPr="00A55ED2">
        <w:rPr>
          <w:lang w:val="fr-FR"/>
        </w:rPr>
        <w:t>“</w:t>
      </w:r>
      <w:r w:rsidRPr="00A55ED2">
        <w:rPr>
          <w:lang w:val="fr-FR"/>
        </w:rPr>
        <w:t xml:space="preserve">il ne devrait pas y avoir de conflit </w:t>
      </w:r>
      <w:r w:rsidR="00C95494" w:rsidRPr="00A55ED2">
        <w:rPr>
          <w:lang w:val="fr-FR"/>
        </w:rPr>
        <w:t>évident</w:t>
      </w:r>
      <w:r w:rsidRPr="00A55ED2">
        <w:rPr>
          <w:lang w:val="fr-FR"/>
        </w:rPr>
        <w:t xml:space="preserve"> avec la Convention de Paris et </w:t>
      </w:r>
      <w:r w:rsidR="00C95494" w:rsidRPr="00A55ED2">
        <w:rPr>
          <w:lang w:val="fr-FR"/>
        </w:rPr>
        <w:t xml:space="preserve">toute </w:t>
      </w:r>
      <w:r w:rsidRPr="00A55ED2">
        <w:rPr>
          <w:lang w:val="fr-FR"/>
        </w:rPr>
        <w:t>incertitude devrait être</w:t>
      </w:r>
      <w:r w:rsidR="00C95494" w:rsidRPr="00A55ED2">
        <w:rPr>
          <w:lang w:val="fr-FR"/>
        </w:rPr>
        <w:t xml:space="preserve"> réduite au minimum</w:t>
      </w:r>
      <w:r w:rsidRPr="00A55ED2">
        <w:rPr>
          <w:lang w:val="fr-FR"/>
        </w:rPr>
        <w:t xml:space="preserve"> possible</w:t>
      </w:r>
      <w:r w:rsidR="00AC7F1A" w:rsidRPr="00A55ED2">
        <w:rPr>
          <w:lang w:val="fr-FR"/>
        </w:rPr>
        <w:t>”</w:t>
      </w:r>
      <w:r w:rsidRPr="00A55ED2">
        <w:rPr>
          <w:lang w:val="fr-FR"/>
        </w:rPr>
        <w:t>, une interprétation commune de la Convention de Paris adoptée uniquement par un sous</w:t>
      </w:r>
      <w:r w:rsidR="00AD57E7" w:rsidRPr="00A55ED2">
        <w:rPr>
          <w:lang w:val="fr-FR"/>
        </w:rPr>
        <w:noBreakHyphen/>
      </w:r>
      <w:r w:rsidRPr="00A55ED2">
        <w:rPr>
          <w:lang w:val="fr-FR"/>
        </w:rPr>
        <w:t>ensemble des membres de l</w:t>
      </w:r>
      <w:r w:rsidR="004642BB" w:rsidRPr="00A55ED2">
        <w:rPr>
          <w:lang w:val="fr-FR"/>
        </w:rPr>
        <w:t>’</w:t>
      </w:r>
      <w:r w:rsidRPr="00A55ED2">
        <w:rPr>
          <w:lang w:val="fr-FR"/>
        </w:rPr>
        <w:t>Assemblée de l</w:t>
      </w:r>
      <w:r w:rsidR="004642BB" w:rsidRPr="00A55ED2">
        <w:rPr>
          <w:lang w:val="fr-FR"/>
        </w:rPr>
        <w:t>’</w:t>
      </w:r>
      <w:r w:rsidRPr="00A55ED2">
        <w:rPr>
          <w:lang w:val="fr-FR"/>
        </w:rPr>
        <w:t>Union de Paris aurait peu d</w:t>
      </w:r>
      <w:r w:rsidR="004642BB" w:rsidRPr="00A55ED2">
        <w:rPr>
          <w:lang w:val="fr-FR"/>
        </w:rPr>
        <w:t>’</w:t>
      </w:r>
      <w:r w:rsidRPr="00A55ED2">
        <w:rPr>
          <w:lang w:val="fr-FR"/>
        </w:rPr>
        <w:t xml:space="preserve">effet </w:t>
      </w:r>
      <w:r w:rsidR="00345110" w:rsidRPr="00A55ED2">
        <w:rPr>
          <w:lang w:val="fr-FR"/>
        </w:rPr>
        <w:t>s</w:t>
      </w:r>
      <w:r w:rsidR="004642BB" w:rsidRPr="00A55ED2">
        <w:rPr>
          <w:lang w:val="fr-FR"/>
        </w:rPr>
        <w:t>’</w:t>
      </w:r>
      <w:r w:rsidR="00345110" w:rsidRPr="00A55ED2">
        <w:rPr>
          <w:lang w:val="fr-FR"/>
        </w:rPr>
        <w:t>agissant de</w:t>
      </w:r>
      <w:r w:rsidRPr="00A55ED2">
        <w:rPr>
          <w:lang w:val="fr-FR"/>
        </w:rPr>
        <w:t xml:space="preserve"> lever les incertitudes liées à l</w:t>
      </w:r>
      <w:r w:rsidR="004642BB" w:rsidRPr="00A55ED2">
        <w:rPr>
          <w:lang w:val="fr-FR"/>
        </w:rPr>
        <w:t>’</w:t>
      </w:r>
      <w:r w:rsidRPr="00A55ED2">
        <w:rPr>
          <w:lang w:val="fr-FR"/>
        </w:rPr>
        <w:t>interprétation de la Convention de Paris concernant les revendications de priorité portant sur la même date.</w:t>
      </w:r>
    </w:p>
    <w:p w:rsidR="00785FC5" w:rsidRPr="00A55ED2" w:rsidRDefault="00156120" w:rsidP="00156120">
      <w:pPr>
        <w:pStyle w:val="ONUME"/>
        <w:rPr>
          <w:lang w:val="fr-FR"/>
        </w:rPr>
      </w:pPr>
      <w:r w:rsidRPr="00A55ED2">
        <w:rPr>
          <w:lang w:val="fr-FR"/>
        </w:rPr>
        <w:t>En outre, une interprétation commune de la Convention de Paris adoptée uniquement par un sous</w:t>
      </w:r>
      <w:r w:rsidR="00AD57E7" w:rsidRPr="00A55ED2">
        <w:rPr>
          <w:lang w:val="fr-FR"/>
        </w:rPr>
        <w:noBreakHyphen/>
      </w:r>
      <w:r w:rsidRPr="00A55ED2">
        <w:rPr>
          <w:lang w:val="fr-FR"/>
        </w:rPr>
        <w:t>ensemble des membres de l</w:t>
      </w:r>
      <w:r w:rsidR="004642BB" w:rsidRPr="00A55ED2">
        <w:rPr>
          <w:lang w:val="fr-FR"/>
        </w:rPr>
        <w:t>’</w:t>
      </w:r>
      <w:r w:rsidRPr="00A55ED2">
        <w:rPr>
          <w:lang w:val="fr-FR"/>
        </w:rPr>
        <w:t>Assemblée de l</w:t>
      </w:r>
      <w:r w:rsidR="004642BB" w:rsidRPr="00A55ED2">
        <w:rPr>
          <w:lang w:val="fr-FR"/>
        </w:rPr>
        <w:t>’</w:t>
      </w:r>
      <w:r w:rsidRPr="00A55ED2">
        <w:rPr>
          <w:lang w:val="fr-FR"/>
        </w:rPr>
        <w:t>Union de Paris, même si elle produit des effets à la fois sur la phase internationale et sur la phase nationale de la procédure selon</w:t>
      </w:r>
      <w:r w:rsidR="004642BB" w:rsidRPr="00A55ED2">
        <w:rPr>
          <w:lang w:val="fr-FR"/>
        </w:rPr>
        <w:t xml:space="preserve"> le PCT</w:t>
      </w:r>
      <w:r w:rsidRPr="00A55ED2">
        <w:rPr>
          <w:lang w:val="fr-FR"/>
        </w:rPr>
        <w:t>, aurait peu de chances de réduire la complexité du système international des brevets pour les déposants comme pour les offices, étant donné qu</w:t>
      </w:r>
      <w:r w:rsidR="004642BB" w:rsidRPr="00A55ED2">
        <w:rPr>
          <w:lang w:val="fr-FR"/>
        </w:rPr>
        <w:t>’</w:t>
      </w:r>
      <w:r w:rsidRPr="00A55ED2">
        <w:rPr>
          <w:lang w:val="fr-FR"/>
        </w:rPr>
        <w:t>elle ne traiterait pas la question de manière globale à la fois pour les dépôts nationaux (Convention de Paris) et internationaux (PCT), et indépendamment de la qualité (nationale ou internationale) en laquelle un office a agi.</w:t>
      </w:r>
      <w:r w:rsidR="00AB48F0" w:rsidRPr="00A55ED2">
        <w:rPr>
          <w:lang w:val="fr-FR"/>
        </w:rPr>
        <w:t xml:space="preserve">  </w:t>
      </w:r>
      <w:r w:rsidRPr="00A55ED2">
        <w:rPr>
          <w:lang w:val="fr-FR"/>
        </w:rPr>
        <w:t>Une solution aussi exhaustive ne pourrait être obtenue qu</w:t>
      </w:r>
      <w:r w:rsidR="004642BB" w:rsidRPr="00A55ED2">
        <w:rPr>
          <w:lang w:val="fr-FR"/>
        </w:rPr>
        <w:t>’</w:t>
      </w:r>
      <w:r w:rsidRPr="00A55ED2">
        <w:rPr>
          <w:lang w:val="fr-FR"/>
        </w:rPr>
        <w:t xml:space="preserve">au moyen </w:t>
      </w:r>
      <w:r w:rsidR="002D1943" w:rsidRPr="00A55ED2">
        <w:rPr>
          <w:lang w:val="fr-FR"/>
        </w:rPr>
        <w:t>d</w:t>
      </w:r>
      <w:r w:rsidR="004642BB" w:rsidRPr="00A55ED2">
        <w:rPr>
          <w:lang w:val="fr-FR"/>
        </w:rPr>
        <w:t>’</w:t>
      </w:r>
      <w:r w:rsidR="002D1943" w:rsidRPr="00A55ED2">
        <w:rPr>
          <w:lang w:val="fr-FR"/>
        </w:rPr>
        <w:t>une</w:t>
      </w:r>
      <w:r w:rsidRPr="00A55ED2">
        <w:rPr>
          <w:lang w:val="fr-FR"/>
        </w:rPr>
        <w:t xml:space="preserve"> interprétation commune de la Convention de Paris par l</w:t>
      </w:r>
      <w:r w:rsidR="004642BB" w:rsidRPr="00A55ED2">
        <w:rPr>
          <w:lang w:val="fr-FR"/>
        </w:rPr>
        <w:t>’</w:t>
      </w:r>
      <w:r w:rsidRPr="00A55ED2">
        <w:rPr>
          <w:lang w:val="fr-FR"/>
        </w:rPr>
        <w:t>Assemblée de l</w:t>
      </w:r>
      <w:r w:rsidR="004642BB" w:rsidRPr="00A55ED2">
        <w:rPr>
          <w:lang w:val="fr-FR"/>
        </w:rPr>
        <w:t>’</w:t>
      </w:r>
      <w:r w:rsidRPr="00A55ED2">
        <w:rPr>
          <w:lang w:val="fr-FR"/>
        </w:rPr>
        <w:t>Union de Paris.</w:t>
      </w:r>
    </w:p>
    <w:p w:rsidR="00785FC5" w:rsidRPr="00A55ED2" w:rsidRDefault="00156120" w:rsidP="00156120">
      <w:pPr>
        <w:pStyle w:val="Heading3"/>
        <w:keepNext w:val="0"/>
        <w:rPr>
          <w:lang w:val="fr-FR"/>
        </w:rPr>
      </w:pPr>
      <w:r w:rsidRPr="00A55ED2">
        <w:rPr>
          <w:lang w:val="fr-FR"/>
        </w:rPr>
        <w:t>Option 3</w:t>
      </w:r>
      <w:r w:rsidR="00FE5352" w:rsidRPr="00A55ED2">
        <w:rPr>
          <w:lang w:val="fr-FR"/>
        </w:rPr>
        <w:t> </w:t>
      </w:r>
      <w:r w:rsidRPr="00A55ED2">
        <w:rPr>
          <w:lang w:val="fr-FR"/>
        </w:rPr>
        <w:t>: Modifier le règlement d</w:t>
      </w:r>
      <w:r w:rsidR="004642BB" w:rsidRPr="00A55ED2">
        <w:rPr>
          <w:lang w:val="fr-FR"/>
        </w:rPr>
        <w:t>’</w:t>
      </w:r>
      <w:r w:rsidRPr="00A55ED2">
        <w:rPr>
          <w:lang w:val="fr-FR"/>
        </w:rPr>
        <w:t>exécution</w:t>
      </w:r>
      <w:r w:rsidR="004642BB" w:rsidRPr="00A55ED2">
        <w:rPr>
          <w:lang w:val="fr-FR"/>
        </w:rPr>
        <w:t xml:space="preserve"> du PCT</w:t>
      </w:r>
      <w:r w:rsidRPr="00A55ED2">
        <w:rPr>
          <w:lang w:val="fr-FR"/>
        </w:rPr>
        <w:t xml:space="preserve"> pour préparer le terrain à une décision sur la question par les offices désignés dans la phase nationale</w:t>
      </w:r>
    </w:p>
    <w:p w:rsidR="00785FC5" w:rsidRPr="00A55ED2" w:rsidRDefault="00510D19" w:rsidP="00510D19">
      <w:pPr>
        <w:pStyle w:val="ONUME"/>
        <w:rPr>
          <w:lang w:val="fr-FR"/>
        </w:rPr>
      </w:pPr>
      <w:r w:rsidRPr="00A55ED2">
        <w:rPr>
          <w:lang w:val="fr-FR"/>
        </w:rPr>
        <w:t>Une troisième option possible — conformément aux considérations figurant au paragraphe 9 du document PCT/A/XVIII/4 quant à la nécessité d</w:t>
      </w:r>
      <w:r w:rsidR="004642BB" w:rsidRPr="00A55ED2">
        <w:rPr>
          <w:lang w:val="fr-FR"/>
        </w:rPr>
        <w:t>’</w:t>
      </w:r>
      <w:r w:rsidRPr="00A55ED2">
        <w:rPr>
          <w:lang w:val="fr-FR"/>
        </w:rPr>
        <w:t xml:space="preserve">une évaluation quant au fond </w:t>
      </w:r>
      <w:r w:rsidR="00345110" w:rsidRPr="00A55ED2">
        <w:rPr>
          <w:lang w:val="fr-FR"/>
        </w:rPr>
        <w:t>de la validité d</w:t>
      </w:r>
      <w:r w:rsidR="004642BB" w:rsidRPr="00A55ED2">
        <w:rPr>
          <w:lang w:val="fr-FR"/>
        </w:rPr>
        <w:t>’</w:t>
      </w:r>
      <w:r w:rsidR="00345110" w:rsidRPr="00A55ED2">
        <w:rPr>
          <w:lang w:val="fr-FR"/>
        </w:rPr>
        <w:t xml:space="preserve">une revendication de priorité </w:t>
      </w:r>
      <w:r w:rsidRPr="00A55ED2">
        <w:rPr>
          <w:lang w:val="fr-FR"/>
        </w:rPr>
        <w:t>au cours de la phase internationale— consisterait à au moins mettre fin aux pratiques différentes des offices récepteurs en ce qui concerne les revendications de priorité portant sur la même date.</w:t>
      </w:r>
      <w:r w:rsidR="00AB48F0" w:rsidRPr="00A55ED2">
        <w:rPr>
          <w:lang w:val="fr-FR"/>
        </w:rPr>
        <w:t xml:space="preserve">  </w:t>
      </w:r>
      <w:r w:rsidRPr="00A55ED2">
        <w:rPr>
          <w:lang w:val="fr-FR"/>
        </w:rPr>
        <w:t>Le règlement d</w:t>
      </w:r>
      <w:r w:rsidR="004642BB" w:rsidRPr="00A55ED2">
        <w:rPr>
          <w:lang w:val="fr-FR"/>
        </w:rPr>
        <w:t>’</w:t>
      </w:r>
      <w:r w:rsidRPr="00A55ED2">
        <w:rPr>
          <w:lang w:val="fr-FR"/>
        </w:rPr>
        <w:t>exécution</w:t>
      </w:r>
      <w:r w:rsidR="004642BB" w:rsidRPr="00A55ED2">
        <w:rPr>
          <w:lang w:val="fr-FR"/>
        </w:rPr>
        <w:t xml:space="preserve"> du PCT</w:t>
      </w:r>
      <w:r w:rsidRPr="00A55ED2">
        <w:rPr>
          <w:lang w:val="fr-FR"/>
        </w:rPr>
        <w:t xml:space="preserve"> pourrait être modifié de manière à exiger expressément des offices récepteurs qu</w:t>
      </w:r>
      <w:r w:rsidR="004642BB" w:rsidRPr="00A55ED2">
        <w:rPr>
          <w:lang w:val="fr-FR"/>
        </w:rPr>
        <w:t>’</w:t>
      </w:r>
      <w:r w:rsidRPr="00A55ED2">
        <w:rPr>
          <w:lang w:val="fr-FR"/>
        </w:rPr>
        <w:t>ils n</w:t>
      </w:r>
      <w:r w:rsidR="004642BB" w:rsidRPr="00A55ED2">
        <w:rPr>
          <w:lang w:val="fr-FR"/>
        </w:rPr>
        <w:t>’</w:t>
      </w:r>
      <w:r w:rsidRPr="00A55ED2">
        <w:rPr>
          <w:lang w:val="fr-FR"/>
        </w:rPr>
        <w:t>invalident aucune revendication portant sur la même date, afin de préparer le terrain pour que les décisions sur la question soient prises par les offices désignés dans la phase nationale de la procédure selon</w:t>
      </w:r>
      <w:r w:rsidR="004642BB" w:rsidRPr="00A55ED2">
        <w:rPr>
          <w:lang w:val="fr-FR"/>
        </w:rPr>
        <w:t xml:space="preserve"> le PCT</w:t>
      </w:r>
      <w:r w:rsidRPr="00A55ED2">
        <w:rPr>
          <w:lang w:val="fr-FR"/>
        </w:rPr>
        <w:t>, en vertu de leur législation nationale applicable, comme cela avait été proposé et discuté en</w:t>
      </w:r>
      <w:r w:rsidR="00FE5352" w:rsidRPr="00A55ED2">
        <w:rPr>
          <w:lang w:val="fr-FR"/>
        </w:rPr>
        <w:t> </w:t>
      </w:r>
      <w:r w:rsidRPr="00A55ED2">
        <w:rPr>
          <w:lang w:val="fr-FR"/>
        </w:rPr>
        <w:t>1991.</w:t>
      </w:r>
      <w:r w:rsidR="00AB48F0" w:rsidRPr="00A55ED2">
        <w:rPr>
          <w:lang w:val="fr-FR"/>
        </w:rPr>
        <w:t xml:space="preserve">  </w:t>
      </w:r>
      <w:r w:rsidRPr="00A55ED2">
        <w:rPr>
          <w:lang w:val="fr-FR"/>
        </w:rPr>
        <w:t xml:space="preserve">Tous les déposants seraient ainsi sur un </w:t>
      </w:r>
      <w:r w:rsidR="00AC7F1A" w:rsidRPr="00A55ED2">
        <w:rPr>
          <w:lang w:val="fr-FR"/>
        </w:rPr>
        <w:t>“</w:t>
      </w:r>
      <w:r w:rsidRPr="00A55ED2">
        <w:rPr>
          <w:lang w:val="fr-FR"/>
        </w:rPr>
        <w:t>pied d</w:t>
      </w:r>
      <w:r w:rsidR="004642BB" w:rsidRPr="00A55ED2">
        <w:rPr>
          <w:lang w:val="fr-FR"/>
        </w:rPr>
        <w:t>’</w:t>
      </w:r>
      <w:r w:rsidRPr="00A55ED2">
        <w:rPr>
          <w:lang w:val="fr-FR"/>
        </w:rPr>
        <w:t>égalité</w:t>
      </w:r>
      <w:r w:rsidR="00AC7F1A" w:rsidRPr="00A55ED2">
        <w:rPr>
          <w:lang w:val="fr-FR"/>
        </w:rPr>
        <w:t>”</w:t>
      </w:r>
      <w:r w:rsidRPr="00A55ED2">
        <w:rPr>
          <w:lang w:val="fr-FR"/>
        </w:rPr>
        <w:t xml:space="preserve"> en ce qui concerne la validité de revendications de priorité portant sur la même date aux fins de la phase internationale, quel que soit l</w:t>
      </w:r>
      <w:r w:rsidR="004642BB" w:rsidRPr="00A55ED2">
        <w:rPr>
          <w:lang w:val="fr-FR"/>
        </w:rPr>
        <w:t>’</w:t>
      </w:r>
      <w:r w:rsidRPr="00A55ED2">
        <w:rPr>
          <w:lang w:val="fr-FR"/>
        </w:rPr>
        <w:t xml:space="preserve">office récepteur auprès duquel la demande internationale a été </w:t>
      </w:r>
      <w:proofErr w:type="gramStart"/>
      <w:r w:rsidRPr="00A55ED2">
        <w:rPr>
          <w:lang w:val="fr-FR"/>
        </w:rPr>
        <w:t>déposée</w:t>
      </w:r>
      <w:proofErr w:type="gramEnd"/>
      <w:r w:rsidRPr="00A55ED2">
        <w:rPr>
          <w:lang w:val="fr-FR"/>
        </w:rPr>
        <w:t>.</w:t>
      </w:r>
    </w:p>
    <w:p w:rsidR="004642BB" w:rsidRPr="00A55ED2" w:rsidRDefault="00510D19" w:rsidP="00A46F99">
      <w:pPr>
        <w:pStyle w:val="ONUME"/>
        <w:keepLines/>
        <w:rPr>
          <w:lang w:val="fr-FR"/>
        </w:rPr>
      </w:pPr>
      <w:r w:rsidRPr="00A55ED2">
        <w:rPr>
          <w:lang w:val="fr-FR"/>
        </w:rPr>
        <w:lastRenderedPageBreak/>
        <w:t>Selon cette option, en l</w:t>
      </w:r>
      <w:r w:rsidR="004642BB" w:rsidRPr="00A55ED2">
        <w:rPr>
          <w:lang w:val="fr-FR"/>
        </w:rPr>
        <w:t>’</w:t>
      </w:r>
      <w:r w:rsidRPr="00A55ED2">
        <w:rPr>
          <w:lang w:val="fr-FR"/>
        </w:rPr>
        <w:t>absence de révision officielle de la Convention de Paris (voir l</w:t>
      </w:r>
      <w:r w:rsidR="004642BB" w:rsidRPr="00A55ED2">
        <w:rPr>
          <w:lang w:val="fr-FR"/>
        </w:rPr>
        <w:t>’</w:t>
      </w:r>
      <w:r w:rsidRPr="00A55ED2">
        <w:rPr>
          <w:lang w:val="fr-FR"/>
        </w:rPr>
        <w:t>option 1), la décision finale sur la question de savoir si les revendications de priorité portant sur la même date doivent être autorisées en vertu de la Convention de Paris resterait du ressort de la législation nationale</w:t>
      </w:r>
      <w:r w:rsidR="00345110" w:rsidRPr="00A55ED2">
        <w:rPr>
          <w:lang w:val="fr-FR"/>
        </w:rPr>
        <w:t xml:space="preserve"> de chaque État</w:t>
      </w:r>
      <w:r w:rsidRPr="00A55ED2">
        <w:rPr>
          <w:lang w:val="fr-FR"/>
        </w:rPr>
        <w:t xml:space="preserve"> désigné.</w:t>
      </w:r>
      <w:r w:rsidR="00AB48F0" w:rsidRPr="00A55ED2">
        <w:rPr>
          <w:lang w:val="fr-FR"/>
        </w:rPr>
        <w:t xml:space="preserve">  </w:t>
      </w:r>
      <w:r w:rsidR="00B47C3A" w:rsidRPr="00A55ED2">
        <w:rPr>
          <w:lang w:val="fr-FR"/>
        </w:rPr>
        <w:t>Cette option maintiendrait donc toute la complexité visée au paragraphe 9, tant pour les déposants que pour les offices, étant donné qu</w:t>
      </w:r>
      <w:r w:rsidR="004642BB" w:rsidRPr="00A55ED2">
        <w:rPr>
          <w:lang w:val="fr-FR"/>
        </w:rPr>
        <w:t>’</w:t>
      </w:r>
      <w:r w:rsidR="00B47C3A" w:rsidRPr="00A55ED2">
        <w:rPr>
          <w:lang w:val="fr-FR"/>
        </w:rPr>
        <w:t>elle ne traiterait pas la question des revendications de priorité portant sur la même date d</w:t>
      </w:r>
      <w:r w:rsidR="004642BB" w:rsidRPr="00A55ED2">
        <w:rPr>
          <w:lang w:val="fr-FR"/>
        </w:rPr>
        <w:t>’</w:t>
      </w:r>
      <w:r w:rsidR="00B47C3A" w:rsidRPr="00A55ED2">
        <w:rPr>
          <w:lang w:val="fr-FR"/>
        </w:rPr>
        <w:t>une manière exhaustive produisant des effets à la fois dans la phase internationale et dans la phase nationale de la procédure selon</w:t>
      </w:r>
      <w:r w:rsidR="004642BB" w:rsidRPr="00A55ED2">
        <w:rPr>
          <w:lang w:val="fr-FR"/>
        </w:rPr>
        <w:t xml:space="preserve"> le PCT</w:t>
      </w:r>
      <w:r w:rsidR="00B47C3A" w:rsidRPr="00A55ED2">
        <w:rPr>
          <w:lang w:val="fr-FR"/>
        </w:rPr>
        <w:t xml:space="preserve">;  elle ne traiterait pas non plus la question </w:t>
      </w:r>
      <w:r w:rsidR="00345110" w:rsidRPr="00A55ED2">
        <w:rPr>
          <w:lang w:val="fr-FR"/>
        </w:rPr>
        <w:t>en ce qui concerne</w:t>
      </w:r>
      <w:r w:rsidR="00B47C3A" w:rsidRPr="00A55ED2">
        <w:rPr>
          <w:lang w:val="fr-FR"/>
        </w:rPr>
        <w:t xml:space="preserve"> les dépôts nationaux (Convention de Paris).</w:t>
      </w:r>
    </w:p>
    <w:p w:rsidR="00785FC5" w:rsidRPr="00A55ED2" w:rsidRDefault="00B47C3A" w:rsidP="00B47C3A">
      <w:pPr>
        <w:pStyle w:val="ONUME"/>
        <w:rPr>
          <w:lang w:val="fr-FR"/>
        </w:rPr>
      </w:pPr>
      <w:r w:rsidRPr="00A55ED2">
        <w:rPr>
          <w:lang w:val="fr-FR"/>
        </w:rPr>
        <w:t>Néanmoins, compte tenu des considérations exposées aux paragraphes 12 à 16, cette option pourrait, malgré ses insuffisances, être considérée</w:t>
      </w:r>
      <w:bookmarkStart w:id="10" w:name="_GoBack"/>
      <w:bookmarkEnd w:id="10"/>
      <w:r w:rsidRPr="00A55ED2">
        <w:rPr>
          <w:lang w:val="fr-FR"/>
        </w:rPr>
        <w:t xml:space="preserve"> comme la manière la plus réaliste de procéder, du moins à court terme.</w:t>
      </w:r>
    </w:p>
    <w:p w:rsidR="00785FC5" w:rsidRPr="00A55ED2" w:rsidRDefault="00B47C3A" w:rsidP="00B47C3A">
      <w:pPr>
        <w:pStyle w:val="Heading3"/>
        <w:rPr>
          <w:lang w:val="fr-FR"/>
        </w:rPr>
      </w:pPr>
      <w:r w:rsidRPr="00A55ED2">
        <w:rPr>
          <w:lang w:val="fr-FR"/>
        </w:rPr>
        <w:t>Option 4</w:t>
      </w:r>
      <w:r w:rsidR="00FE5352" w:rsidRPr="00A55ED2">
        <w:rPr>
          <w:lang w:val="fr-FR"/>
        </w:rPr>
        <w:t> </w:t>
      </w:r>
      <w:r w:rsidRPr="00A55ED2">
        <w:rPr>
          <w:lang w:val="fr-FR"/>
        </w:rPr>
        <w:t>: Laisser l</w:t>
      </w:r>
      <w:r w:rsidR="004642BB" w:rsidRPr="00A55ED2">
        <w:rPr>
          <w:lang w:val="fr-FR"/>
        </w:rPr>
        <w:t>’</w:t>
      </w:r>
      <w:r w:rsidRPr="00A55ED2">
        <w:rPr>
          <w:lang w:val="fr-FR"/>
        </w:rPr>
        <w:t>interprétation au soin des différents offices récepteurs</w:t>
      </w:r>
    </w:p>
    <w:p w:rsidR="00785FC5" w:rsidRPr="00A55ED2" w:rsidRDefault="002D1943" w:rsidP="002D1943">
      <w:pPr>
        <w:pStyle w:val="ONUME"/>
        <w:rPr>
          <w:lang w:val="fr-FR"/>
        </w:rPr>
      </w:pPr>
      <w:r w:rsidRPr="00A55ED2">
        <w:rPr>
          <w:lang w:val="fr-FR"/>
        </w:rPr>
        <w:t xml:space="preserve">Une quatrième et dernière option consisterait à ne rien faire et à laisser la situation actuelle décrite au paragraphe 9 </w:t>
      </w:r>
      <w:r w:rsidR="00AC7F1A" w:rsidRPr="00A55ED2">
        <w:rPr>
          <w:lang w:val="fr-FR"/>
        </w:rPr>
        <w:t>“</w:t>
      </w:r>
      <w:r w:rsidRPr="00A55ED2">
        <w:rPr>
          <w:lang w:val="fr-FR"/>
        </w:rPr>
        <w:t>en l</w:t>
      </w:r>
      <w:r w:rsidR="004642BB" w:rsidRPr="00A55ED2">
        <w:rPr>
          <w:lang w:val="fr-FR"/>
        </w:rPr>
        <w:t>’</w:t>
      </w:r>
      <w:r w:rsidRPr="00A55ED2">
        <w:rPr>
          <w:lang w:val="fr-FR"/>
        </w:rPr>
        <w:t>état</w:t>
      </w:r>
      <w:r w:rsidR="00AC7F1A" w:rsidRPr="00A55ED2">
        <w:rPr>
          <w:lang w:val="fr-FR"/>
        </w:rPr>
        <w:t>”</w:t>
      </w:r>
      <w:r w:rsidRPr="00A55ED2">
        <w:rPr>
          <w:lang w:val="fr-FR"/>
        </w:rPr>
        <w:t xml:space="preserve">, laissant le </w:t>
      </w:r>
      <w:r w:rsidR="00AC7F1A" w:rsidRPr="00A55ED2">
        <w:rPr>
          <w:lang w:val="fr-FR"/>
        </w:rPr>
        <w:t>“</w:t>
      </w:r>
      <w:r w:rsidRPr="00A55ED2">
        <w:rPr>
          <w:lang w:val="fr-FR"/>
        </w:rPr>
        <w:t>sort</w:t>
      </w:r>
      <w:r w:rsidR="00AC7F1A" w:rsidRPr="00A55ED2">
        <w:rPr>
          <w:lang w:val="fr-FR"/>
        </w:rPr>
        <w:t>”</w:t>
      </w:r>
      <w:r w:rsidRPr="00A55ED2">
        <w:rPr>
          <w:lang w:val="fr-FR"/>
        </w:rPr>
        <w:t xml:space="preserve"> des revendications de priorité portant sur la même date, en ce qui concerne la phase internationale, à l</w:t>
      </w:r>
      <w:r w:rsidR="004642BB" w:rsidRPr="00A55ED2">
        <w:rPr>
          <w:lang w:val="fr-FR"/>
        </w:rPr>
        <w:t>’</w:t>
      </w:r>
      <w:r w:rsidRPr="00A55ED2">
        <w:rPr>
          <w:lang w:val="fr-FR"/>
        </w:rPr>
        <w:t>interprétation de l</w:t>
      </w:r>
      <w:r w:rsidR="004642BB" w:rsidRPr="00A55ED2">
        <w:rPr>
          <w:lang w:val="fr-FR"/>
        </w:rPr>
        <w:t>’</w:t>
      </w:r>
      <w:r w:rsidRPr="00A55ED2">
        <w:rPr>
          <w:lang w:val="fr-FR"/>
        </w:rPr>
        <w:t>office récepteur auprès duquel la demande internationale est déposée et, en ce qui concerne la phase nationale, aux interprétations divergentes des offices désignés conformément aux législations nationales applicables.</w:t>
      </w:r>
      <w:r w:rsidR="00AB48F0" w:rsidRPr="00A55ED2">
        <w:rPr>
          <w:lang w:val="fr-FR"/>
        </w:rPr>
        <w:t xml:space="preserve">  </w:t>
      </w:r>
      <w:r w:rsidRPr="00A55ED2">
        <w:rPr>
          <w:lang w:val="fr-FR"/>
        </w:rPr>
        <w:t>Si cette solution est retenue, il pourrait néanmoins être souhaitable de modifier les Directives à l</w:t>
      </w:r>
      <w:r w:rsidR="004642BB" w:rsidRPr="00A55ED2">
        <w:rPr>
          <w:lang w:val="fr-FR"/>
        </w:rPr>
        <w:t>’</w:t>
      </w:r>
      <w:r w:rsidRPr="00A55ED2">
        <w:rPr>
          <w:lang w:val="fr-FR"/>
        </w:rPr>
        <w:t>usage des offices récepteurs</w:t>
      </w:r>
      <w:r w:rsidR="004642BB" w:rsidRPr="00A55ED2">
        <w:rPr>
          <w:lang w:val="fr-FR"/>
        </w:rPr>
        <w:t xml:space="preserve"> du PCT</w:t>
      </w:r>
      <w:r w:rsidRPr="00A55ED2">
        <w:rPr>
          <w:lang w:val="fr-FR"/>
        </w:rPr>
        <w:t xml:space="preserve"> et le Guide du déposant</w:t>
      </w:r>
      <w:r w:rsidR="004642BB" w:rsidRPr="00A55ED2">
        <w:rPr>
          <w:lang w:val="fr-FR"/>
        </w:rPr>
        <w:t xml:space="preserve"> du PCT</w:t>
      </w:r>
      <w:r w:rsidRPr="00A55ED2">
        <w:rPr>
          <w:lang w:val="fr-FR"/>
        </w:rPr>
        <w:t xml:space="preserve"> afin d</w:t>
      </w:r>
      <w:r w:rsidR="004642BB" w:rsidRPr="00A55ED2">
        <w:rPr>
          <w:lang w:val="fr-FR"/>
        </w:rPr>
        <w:t>’</w:t>
      </w:r>
      <w:r w:rsidRPr="00A55ED2">
        <w:rPr>
          <w:lang w:val="fr-FR"/>
        </w:rPr>
        <w:t>indiquer qu</w:t>
      </w:r>
      <w:r w:rsidR="004642BB" w:rsidRPr="00A55ED2">
        <w:rPr>
          <w:lang w:val="fr-FR"/>
        </w:rPr>
        <w:t>’</w:t>
      </w:r>
      <w:r w:rsidRPr="00A55ED2">
        <w:rPr>
          <w:lang w:val="fr-FR"/>
        </w:rPr>
        <w:t>il s</w:t>
      </w:r>
      <w:r w:rsidR="004642BB" w:rsidRPr="00A55ED2">
        <w:rPr>
          <w:lang w:val="fr-FR"/>
        </w:rPr>
        <w:t>’</w:t>
      </w:r>
      <w:r w:rsidRPr="00A55ED2">
        <w:rPr>
          <w:lang w:val="fr-FR"/>
        </w:rPr>
        <w:t>agit d</w:t>
      </w:r>
      <w:r w:rsidR="004642BB" w:rsidRPr="00A55ED2">
        <w:rPr>
          <w:lang w:val="fr-FR"/>
        </w:rPr>
        <w:t>’</w:t>
      </w:r>
      <w:r w:rsidRPr="00A55ED2">
        <w:rPr>
          <w:lang w:val="fr-FR"/>
        </w:rPr>
        <w:t>un domaine où les pratiques varient selon les offices récepteurs.</w:t>
      </w:r>
    </w:p>
    <w:p w:rsidR="00785FC5" w:rsidRPr="00A55ED2" w:rsidRDefault="002D1943" w:rsidP="00F214D2">
      <w:pPr>
        <w:pStyle w:val="ONUME"/>
        <w:spacing w:after="0"/>
        <w:ind w:left="5533"/>
        <w:rPr>
          <w:i/>
          <w:lang w:val="fr-FR"/>
        </w:rPr>
      </w:pPr>
      <w:r w:rsidRPr="00A55ED2">
        <w:rPr>
          <w:i/>
          <w:lang w:val="fr-FR"/>
        </w:rPr>
        <w:t>Le groupe de travail est invité à faire part de ses observations sur les questions soulevées dans le présent document.</w:t>
      </w:r>
    </w:p>
    <w:p w:rsidR="00F214D2" w:rsidRPr="00A55ED2" w:rsidRDefault="00F214D2" w:rsidP="00F214D2">
      <w:pPr>
        <w:pStyle w:val="ONUME"/>
        <w:numPr>
          <w:ilvl w:val="0"/>
          <w:numId w:val="0"/>
        </w:numPr>
        <w:spacing w:after="0"/>
        <w:rPr>
          <w:i/>
          <w:lang w:val="fr-FR"/>
        </w:rPr>
      </w:pPr>
    </w:p>
    <w:p w:rsidR="00F214D2" w:rsidRPr="00A55ED2" w:rsidRDefault="00F214D2" w:rsidP="00F214D2">
      <w:pPr>
        <w:pStyle w:val="ONUME"/>
        <w:numPr>
          <w:ilvl w:val="0"/>
          <w:numId w:val="0"/>
        </w:numPr>
        <w:spacing w:after="0"/>
        <w:rPr>
          <w:i/>
          <w:lang w:val="fr-FR"/>
        </w:rPr>
      </w:pPr>
    </w:p>
    <w:p w:rsidR="00F214D2" w:rsidRPr="00A55ED2" w:rsidRDefault="00F214D2" w:rsidP="00F214D2">
      <w:pPr>
        <w:pStyle w:val="ONUME"/>
        <w:numPr>
          <w:ilvl w:val="0"/>
          <w:numId w:val="0"/>
        </w:numPr>
        <w:spacing w:after="0"/>
        <w:rPr>
          <w:i/>
          <w:lang w:val="fr-FR"/>
        </w:rPr>
      </w:pPr>
    </w:p>
    <w:p w:rsidR="00785FC5" w:rsidRPr="00A55ED2" w:rsidRDefault="002D1943" w:rsidP="00F214D2">
      <w:pPr>
        <w:pStyle w:val="Endofdocument-Annex"/>
        <w:rPr>
          <w:lang w:val="fr-FR"/>
        </w:rPr>
      </w:pPr>
      <w:r w:rsidRPr="00A55ED2">
        <w:rPr>
          <w:lang w:val="fr-FR"/>
        </w:rPr>
        <w:t>[Fin du document]</w:t>
      </w:r>
    </w:p>
    <w:p w:rsidR="00785FC5" w:rsidRPr="00A55ED2" w:rsidRDefault="00785FC5" w:rsidP="00F214D2">
      <w:pPr>
        <w:pStyle w:val="Endofdocument-Annex"/>
        <w:rPr>
          <w:lang w:val="fr-FR"/>
        </w:rPr>
      </w:pPr>
    </w:p>
    <w:p w:rsidR="00785FC5" w:rsidRPr="00A55ED2" w:rsidRDefault="00785FC5" w:rsidP="00AB48F0">
      <w:pPr>
        <w:pStyle w:val="Endofdocument-Annex"/>
        <w:rPr>
          <w:lang w:val="fr-FR"/>
        </w:rPr>
      </w:pPr>
    </w:p>
    <w:p w:rsidR="00AB48F0" w:rsidRPr="00A55ED2" w:rsidRDefault="00AB48F0" w:rsidP="00AB48F0">
      <w:pPr>
        <w:pStyle w:val="Endofdocument-Annex"/>
        <w:rPr>
          <w:lang w:val="fr-FR"/>
        </w:rPr>
      </w:pPr>
    </w:p>
    <w:sectPr w:rsidR="00AB48F0" w:rsidRPr="00A55ED2" w:rsidSect="00790AE3">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8F0" w:rsidRDefault="00AB48F0">
      <w:r>
        <w:separator/>
      </w:r>
    </w:p>
  </w:endnote>
  <w:endnote w:type="continuationSeparator" w:id="0">
    <w:p w:rsidR="00AB48F0" w:rsidRDefault="00AB48F0" w:rsidP="003B38C1">
      <w:r>
        <w:separator/>
      </w:r>
    </w:p>
    <w:p w:rsidR="00AB48F0" w:rsidRPr="003B38C1" w:rsidRDefault="00AB48F0" w:rsidP="003B38C1">
      <w:pPr>
        <w:spacing w:after="60"/>
        <w:rPr>
          <w:sz w:val="17"/>
        </w:rPr>
      </w:pPr>
      <w:r>
        <w:rPr>
          <w:sz w:val="17"/>
        </w:rPr>
        <w:t>[Endnote continued from previous page]</w:t>
      </w:r>
    </w:p>
  </w:endnote>
  <w:endnote w:type="continuationNotice" w:id="1">
    <w:p w:rsidR="00AB48F0" w:rsidRPr="003B38C1" w:rsidRDefault="00AB48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E3" w:rsidRPr="00790AE3" w:rsidRDefault="00790AE3" w:rsidP="00790AE3">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8F0" w:rsidRDefault="00AB48F0">
      <w:r>
        <w:separator/>
      </w:r>
    </w:p>
  </w:footnote>
  <w:footnote w:type="continuationSeparator" w:id="0">
    <w:p w:rsidR="00AB48F0" w:rsidRDefault="00AB48F0" w:rsidP="008B60B2">
      <w:r>
        <w:separator/>
      </w:r>
    </w:p>
    <w:p w:rsidR="00AB48F0" w:rsidRPr="00ED77FB" w:rsidRDefault="00AB48F0" w:rsidP="008B60B2">
      <w:pPr>
        <w:spacing w:after="60"/>
        <w:rPr>
          <w:sz w:val="17"/>
          <w:szCs w:val="17"/>
        </w:rPr>
      </w:pPr>
      <w:r w:rsidRPr="00ED77FB">
        <w:rPr>
          <w:sz w:val="17"/>
          <w:szCs w:val="17"/>
        </w:rPr>
        <w:t>[Footnote continued from previous page]</w:t>
      </w:r>
    </w:p>
  </w:footnote>
  <w:footnote w:type="continuationNotice" w:id="1">
    <w:p w:rsidR="00AB48F0" w:rsidRPr="00ED77FB" w:rsidRDefault="00AB48F0" w:rsidP="008B60B2">
      <w:pPr>
        <w:spacing w:before="60"/>
        <w:jc w:val="right"/>
        <w:rPr>
          <w:sz w:val="17"/>
          <w:szCs w:val="17"/>
        </w:rPr>
      </w:pPr>
      <w:r w:rsidRPr="00ED77FB">
        <w:rPr>
          <w:sz w:val="17"/>
          <w:szCs w:val="17"/>
        </w:rPr>
        <w:t>[Footnote continued on next page]</w:t>
      </w:r>
    </w:p>
  </w:footnote>
  <w:footnote w:id="2">
    <w:p w:rsidR="005513CB" w:rsidRPr="005513CB" w:rsidRDefault="005513CB" w:rsidP="00945182">
      <w:pPr>
        <w:pStyle w:val="FootnoteText"/>
        <w:rPr>
          <w:lang w:val="fr-FR"/>
        </w:rPr>
      </w:pPr>
      <w:r>
        <w:rPr>
          <w:rStyle w:val="FootnoteReference"/>
        </w:rPr>
        <w:footnoteRef/>
      </w:r>
      <w:r w:rsidRPr="009F6260">
        <w:rPr>
          <w:lang w:val="fr-FR"/>
        </w:rPr>
        <w:t xml:space="preserve"> </w:t>
      </w:r>
      <w:r>
        <w:rPr>
          <w:lang w:val="fr-FR"/>
        </w:rPr>
        <w:tab/>
      </w:r>
      <w:r w:rsidR="00945182" w:rsidRPr="00945182">
        <w:rPr>
          <w:color w:val="000000"/>
          <w:lang w:val="fr-FR"/>
        </w:rPr>
        <w:t>Si l</w:t>
      </w:r>
      <w:r w:rsidR="00CD72AC">
        <w:rPr>
          <w:color w:val="000000"/>
          <w:lang w:val="fr-FR"/>
        </w:rPr>
        <w:t>’</w:t>
      </w:r>
      <w:r w:rsidR="00945182" w:rsidRPr="00945182">
        <w:rPr>
          <w:color w:val="000000"/>
          <w:lang w:val="fr-FR"/>
        </w:rPr>
        <w:t xml:space="preserve">article 18 de la </w:t>
      </w:r>
      <w:r w:rsidR="00945182" w:rsidRPr="009F6260">
        <w:rPr>
          <w:lang w:val="fr-FR"/>
        </w:rPr>
        <w:t xml:space="preserve">Convention de Paris </w:t>
      </w:r>
      <w:r w:rsidR="00945182" w:rsidRPr="00945182">
        <w:rPr>
          <w:color w:val="000000"/>
          <w:lang w:val="fr-FR"/>
        </w:rPr>
        <w:t xml:space="preserve">est muet sur la question de la majorité requise pour modifier un article de la </w:t>
      </w:r>
      <w:r w:rsidR="00945182" w:rsidRPr="009F6260">
        <w:rPr>
          <w:lang w:val="fr-FR"/>
        </w:rPr>
        <w:t>Convention de Paris autre que les a</w:t>
      </w:r>
      <w:r w:rsidR="00945182" w:rsidRPr="00945182">
        <w:rPr>
          <w:color w:val="000000"/>
          <w:lang w:val="fr-FR"/>
        </w:rPr>
        <w:t>rticles</w:t>
      </w:r>
      <w:r w:rsidR="00F84DA0" w:rsidRPr="009F6260">
        <w:rPr>
          <w:lang w:val="fr-FR"/>
        </w:rPr>
        <w:t> </w:t>
      </w:r>
      <w:r w:rsidR="00945182" w:rsidRPr="00945182">
        <w:rPr>
          <w:color w:val="000000"/>
          <w:lang w:val="fr-FR"/>
        </w:rPr>
        <w:t>13 à 17 (en ce qui concerne ces articles, voir l</w:t>
      </w:r>
      <w:r w:rsidR="00CD72AC">
        <w:rPr>
          <w:color w:val="000000"/>
          <w:lang w:val="fr-FR"/>
        </w:rPr>
        <w:t>’</w:t>
      </w:r>
      <w:r w:rsidR="00945182" w:rsidRPr="00945182">
        <w:rPr>
          <w:color w:val="000000"/>
          <w:lang w:val="fr-FR"/>
        </w:rPr>
        <w:t>article</w:t>
      </w:r>
      <w:r w:rsidR="00F84DA0">
        <w:rPr>
          <w:color w:val="000000"/>
          <w:lang w:val="fr-FR"/>
        </w:rPr>
        <w:t> </w:t>
      </w:r>
      <w:r w:rsidR="00945182" w:rsidRPr="00945182">
        <w:rPr>
          <w:color w:val="000000"/>
          <w:lang w:val="fr-FR"/>
        </w:rPr>
        <w:t xml:space="preserve">17 de la </w:t>
      </w:r>
      <w:r w:rsidR="00945182" w:rsidRPr="009F6260">
        <w:rPr>
          <w:lang w:val="fr-FR"/>
        </w:rPr>
        <w:t>Convention de Paris</w:t>
      </w:r>
      <w:r w:rsidR="00945182" w:rsidRPr="00945182">
        <w:rPr>
          <w:color w:val="000000"/>
          <w:lang w:val="fr-FR"/>
        </w:rPr>
        <w:t xml:space="preserve">), </w:t>
      </w:r>
      <w:proofErr w:type="spellStart"/>
      <w:r w:rsidR="00945182" w:rsidRPr="00945182">
        <w:rPr>
          <w:color w:val="000000"/>
          <w:lang w:val="fr-FR"/>
        </w:rPr>
        <w:t>Bodenhausen</w:t>
      </w:r>
      <w:proofErr w:type="spellEnd"/>
      <w:r w:rsidR="00945182" w:rsidRPr="00945182">
        <w:rPr>
          <w:color w:val="000000"/>
          <w:lang w:val="fr-FR"/>
        </w:rPr>
        <w:t xml:space="preserve">, dans son </w:t>
      </w:r>
      <w:r w:rsidR="00AC7F1A">
        <w:rPr>
          <w:color w:val="000000"/>
          <w:lang w:val="fr-FR"/>
        </w:rPr>
        <w:t>“</w:t>
      </w:r>
      <w:r w:rsidR="00945182" w:rsidRPr="00945182">
        <w:rPr>
          <w:color w:val="000000"/>
          <w:lang w:val="fr-FR"/>
        </w:rPr>
        <w:t>Guide d</w:t>
      </w:r>
      <w:r w:rsidR="00CD72AC">
        <w:rPr>
          <w:color w:val="000000"/>
          <w:lang w:val="fr-FR"/>
        </w:rPr>
        <w:t>’</w:t>
      </w:r>
      <w:r w:rsidR="00945182" w:rsidRPr="00945182">
        <w:rPr>
          <w:color w:val="000000"/>
          <w:lang w:val="fr-FR"/>
        </w:rPr>
        <w:t>application de la Convention de Paris pour la protection de la propriété industrielle</w:t>
      </w:r>
      <w:r w:rsidR="00AC7F1A">
        <w:rPr>
          <w:color w:val="000000"/>
          <w:lang w:val="fr-FR"/>
        </w:rPr>
        <w:t>”</w:t>
      </w:r>
      <w:r w:rsidR="00945182" w:rsidRPr="00945182">
        <w:rPr>
          <w:color w:val="000000"/>
          <w:lang w:val="fr-FR"/>
        </w:rPr>
        <w:t xml:space="preserve"> (publication OMPI n° 611), parle de la </w:t>
      </w:r>
      <w:r w:rsidR="00AC7F1A">
        <w:rPr>
          <w:color w:val="000000"/>
          <w:lang w:val="fr-FR"/>
        </w:rPr>
        <w:t>“</w:t>
      </w:r>
      <w:r w:rsidR="00945182" w:rsidRPr="00945182">
        <w:rPr>
          <w:color w:val="000000"/>
          <w:lang w:val="fr-FR"/>
        </w:rPr>
        <w:t>pratique établie</w:t>
      </w:r>
      <w:r w:rsidR="00AC7F1A">
        <w:rPr>
          <w:color w:val="000000"/>
          <w:lang w:val="fr-FR"/>
        </w:rPr>
        <w:t>”</w:t>
      </w:r>
      <w:r w:rsidR="00945182" w:rsidRPr="00945182">
        <w:rPr>
          <w:color w:val="000000"/>
          <w:lang w:val="fr-FR"/>
        </w:rPr>
        <w:t xml:space="preserve"> par les différentes conférences de révision selon laquelle un vote unanime de tous les États participant à de telles conférences… était nécessaire pour la révision de toutes les dispositions de la convention (selon le texte de Stockholm, à l</w:t>
      </w:r>
      <w:r w:rsidR="00CD72AC">
        <w:rPr>
          <w:color w:val="000000"/>
          <w:lang w:val="fr-FR"/>
        </w:rPr>
        <w:t>’</w:t>
      </w:r>
      <w:r w:rsidR="00945182" w:rsidRPr="00945182">
        <w:rPr>
          <w:color w:val="000000"/>
          <w:lang w:val="fr-FR"/>
        </w:rPr>
        <w:t>exception des articles 13 à 17 : voir l</w:t>
      </w:r>
      <w:r w:rsidR="00CD72AC">
        <w:rPr>
          <w:color w:val="000000"/>
          <w:lang w:val="fr-FR"/>
        </w:rPr>
        <w:t>’</w:t>
      </w:r>
      <w:r w:rsidR="00945182" w:rsidRPr="00945182">
        <w:rPr>
          <w:color w:val="000000"/>
          <w:lang w:val="fr-FR"/>
        </w:rPr>
        <w:t>article 17).</w:t>
      </w:r>
      <w:r w:rsidRPr="00AD57E7">
        <w:rPr>
          <w:color w:val="000000"/>
          <w:lang w:val="fr-FR"/>
        </w:rPr>
        <w:t xml:space="preserve">  </w:t>
      </w:r>
      <w:r w:rsidR="00945182" w:rsidRPr="00945182">
        <w:rPr>
          <w:color w:val="000000"/>
          <w:lang w:val="fr-FR"/>
        </w:rPr>
        <w:t>Ce principe établi doit être considéré comme une règle de l</w:t>
      </w:r>
      <w:r w:rsidR="00CD72AC">
        <w:rPr>
          <w:color w:val="000000"/>
          <w:lang w:val="fr-FR"/>
        </w:rPr>
        <w:t>’</w:t>
      </w:r>
      <w:r w:rsidR="00945182" w:rsidRPr="00945182">
        <w:rPr>
          <w:color w:val="000000"/>
          <w:lang w:val="fr-FR"/>
        </w:rPr>
        <w:t>Union, tant qu</w:t>
      </w:r>
      <w:r w:rsidR="00CD72AC">
        <w:rPr>
          <w:color w:val="000000"/>
          <w:lang w:val="fr-FR"/>
        </w:rPr>
        <w:t>’</w:t>
      </w:r>
      <w:r w:rsidR="00945182" w:rsidRPr="00945182">
        <w:rPr>
          <w:color w:val="000000"/>
          <w:lang w:val="fr-FR"/>
        </w:rPr>
        <w:t>il ne sera pas remplacé par une règle différente adoptée selon le même principe.</w:t>
      </w:r>
      <w:r w:rsidR="00AC7F1A">
        <w:rPr>
          <w:color w:val="000000"/>
          <w:lang w:val="fr-FR"/>
        </w:rPr>
        <w:t>”</w:t>
      </w:r>
    </w:p>
  </w:footnote>
  <w:footnote w:id="3">
    <w:p w:rsidR="006E3DEA" w:rsidRPr="006E3DEA" w:rsidRDefault="006E3DEA" w:rsidP="00945182">
      <w:pPr>
        <w:pStyle w:val="FootnoteText"/>
        <w:rPr>
          <w:lang w:val="fr-FR"/>
        </w:rPr>
      </w:pPr>
      <w:r>
        <w:rPr>
          <w:rStyle w:val="FootnoteReference"/>
        </w:rPr>
        <w:footnoteRef/>
      </w:r>
      <w:r w:rsidRPr="009F6260">
        <w:rPr>
          <w:lang w:val="fr-FR"/>
        </w:rPr>
        <w:t xml:space="preserve"> </w:t>
      </w:r>
      <w:r>
        <w:rPr>
          <w:lang w:val="fr-FR"/>
        </w:rPr>
        <w:tab/>
      </w:r>
      <w:r w:rsidR="00945182" w:rsidRPr="00945182">
        <w:rPr>
          <w:color w:val="000000"/>
          <w:lang w:val="fr-FR"/>
        </w:rPr>
        <w:t>Article 13.2)b) de la Convention de Paris</w:t>
      </w:r>
      <w:r w:rsidR="00F84DA0">
        <w:rPr>
          <w:color w:val="000000"/>
          <w:lang w:val="fr-FR"/>
        </w:rPr>
        <w:t> </w:t>
      </w:r>
      <w:r w:rsidR="00945182" w:rsidRPr="00945182">
        <w:rPr>
          <w:color w:val="000000"/>
          <w:lang w:val="fr-FR"/>
        </w:rPr>
        <w:t xml:space="preserve">: </w:t>
      </w:r>
      <w:r w:rsidR="00AC7F1A">
        <w:rPr>
          <w:color w:val="000000"/>
          <w:lang w:val="fr-FR"/>
        </w:rPr>
        <w:t>“</w:t>
      </w:r>
      <w:r w:rsidR="00945182" w:rsidRPr="009F6260">
        <w:rPr>
          <w:lang w:val="fr-FR"/>
        </w:rPr>
        <w:t>Sur les questions qui intéressent également d</w:t>
      </w:r>
      <w:r w:rsidR="00CD72AC" w:rsidRPr="009F6260">
        <w:rPr>
          <w:lang w:val="fr-FR"/>
        </w:rPr>
        <w:t>’</w:t>
      </w:r>
      <w:r w:rsidR="00945182" w:rsidRPr="009F6260">
        <w:rPr>
          <w:lang w:val="fr-FR"/>
        </w:rPr>
        <w:t>autres Unions administrées par l</w:t>
      </w:r>
      <w:r w:rsidR="00CD72AC" w:rsidRPr="009F6260">
        <w:rPr>
          <w:lang w:val="fr-FR"/>
        </w:rPr>
        <w:t>’</w:t>
      </w:r>
      <w:r w:rsidR="00945182" w:rsidRPr="009F6260">
        <w:rPr>
          <w:lang w:val="fr-FR"/>
        </w:rPr>
        <w:t>Organisation, l</w:t>
      </w:r>
      <w:r w:rsidR="00CD72AC" w:rsidRPr="009F6260">
        <w:rPr>
          <w:lang w:val="fr-FR"/>
        </w:rPr>
        <w:t>’</w:t>
      </w:r>
      <w:r w:rsidR="00945182" w:rsidRPr="009F6260">
        <w:rPr>
          <w:lang w:val="fr-FR"/>
        </w:rPr>
        <w:t>Assemblée statue connaissance prise de l</w:t>
      </w:r>
      <w:r w:rsidR="00CD72AC" w:rsidRPr="009F6260">
        <w:rPr>
          <w:lang w:val="fr-FR"/>
        </w:rPr>
        <w:t>’</w:t>
      </w:r>
      <w:r w:rsidR="00945182" w:rsidRPr="009F6260">
        <w:rPr>
          <w:lang w:val="fr-FR"/>
        </w:rPr>
        <w:t>avis du Comité de Coordination de l</w:t>
      </w:r>
      <w:r w:rsidR="00CD72AC" w:rsidRPr="009F6260">
        <w:rPr>
          <w:lang w:val="fr-FR"/>
        </w:rPr>
        <w:t>’</w:t>
      </w:r>
      <w:r w:rsidR="00945182" w:rsidRPr="009F6260">
        <w:rPr>
          <w:lang w:val="fr-FR"/>
        </w:rPr>
        <w:t>Organisation.</w:t>
      </w:r>
      <w:r w:rsidR="00AC7F1A">
        <w:rPr>
          <w:color w:val="000000"/>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B48F0" w:rsidP="00477D6B">
    <w:pPr>
      <w:jc w:val="right"/>
    </w:pPr>
    <w:bookmarkStart w:id="11" w:name="Code2"/>
    <w:bookmarkEnd w:id="11"/>
    <w:r>
      <w:t>PCT/WG/8/</w:t>
    </w:r>
    <w:r w:rsidR="0087797B">
      <w:t>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46F99">
      <w:rPr>
        <w:noProof/>
      </w:rPr>
      <w:t>7</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FTS_Glossar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Glossaries\EN-FR|Patents\Meetings|Patents\Other|Patents\Publications|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AB48F0"/>
    <w:rsid w:val="000078E4"/>
    <w:rsid w:val="00043CAA"/>
    <w:rsid w:val="000550A1"/>
    <w:rsid w:val="00075432"/>
    <w:rsid w:val="000960BA"/>
    <w:rsid w:val="000968ED"/>
    <w:rsid w:val="00097563"/>
    <w:rsid w:val="000B50A3"/>
    <w:rsid w:val="000F5E56"/>
    <w:rsid w:val="001362EE"/>
    <w:rsid w:val="00152C7E"/>
    <w:rsid w:val="00156120"/>
    <w:rsid w:val="00162322"/>
    <w:rsid w:val="00164094"/>
    <w:rsid w:val="00172AED"/>
    <w:rsid w:val="001832A6"/>
    <w:rsid w:val="00192329"/>
    <w:rsid w:val="001A776D"/>
    <w:rsid w:val="001E622F"/>
    <w:rsid w:val="001F2338"/>
    <w:rsid w:val="001F724E"/>
    <w:rsid w:val="002469F8"/>
    <w:rsid w:val="00251624"/>
    <w:rsid w:val="002634C4"/>
    <w:rsid w:val="0027629D"/>
    <w:rsid w:val="0028159F"/>
    <w:rsid w:val="002928D3"/>
    <w:rsid w:val="002D1943"/>
    <w:rsid w:val="002D5599"/>
    <w:rsid w:val="002D5BBD"/>
    <w:rsid w:val="002F1FE6"/>
    <w:rsid w:val="002F4E68"/>
    <w:rsid w:val="00312F7F"/>
    <w:rsid w:val="00330E49"/>
    <w:rsid w:val="00333635"/>
    <w:rsid w:val="00334E5F"/>
    <w:rsid w:val="00345110"/>
    <w:rsid w:val="00361450"/>
    <w:rsid w:val="00361D0B"/>
    <w:rsid w:val="003633B0"/>
    <w:rsid w:val="00366028"/>
    <w:rsid w:val="003673CF"/>
    <w:rsid w:val="003845C1"/>
    <w:rsid w:val="003955D9"/>
    <w:rsid w:val="003A2A01"/>
    <w:rsid w:val="003A6F89"/>
    <w:rsid w:val="003B38C1"/>
    <w:rsid w:val="003D2AE5"/>
    <w:rsid w:val="003D51F6"/>
    <w:rsid w:val="00403ABB"/>
    <w:rsid w:val="00422CB0"/>
    <w:rsid w:val="00423E3E"/>
    <w:rsid w:val="00424263"/>
    <w:rsid w:val="00427AF4"/>
    <w:rsid w:val="004642BB"/>
    <w:rsid w:val="004647DA"/>
    <w:rsid w:val="00474062"/>
    <w:rsid w:val="00477D6B"/>
    <w:rsid w:val="004E3F07"/>
    <w:rsid w:val="005019FF"/>
    <w:rsid w:val="00510D19"/>
    <w:rsid w:val="0053057A"/>
    <w:rsid w:val="00535290"/>
    <w:rsid w:val="005413B1"/>
    <w:rsid w:val="005513CB"/>
    <w:rsid w:val="00560A29"/>
    <w:rsid w:val="005C6649"/>
    <w:rsid w:val="005E6DD7"/>
    <w:rsid w:val="00605827"/>
    <w:rsid w:val="00646050"/>
    <w:rsid w:val="006713CA"/>
    <w:rsid w:val="00676C5C"/>
    <w:rsid w:val="006E3DEA"/>
    <w:rsid w:val="006E723B"/>
    <w:rsid w:val="006F6181"/>
    <w:rsid w:val="00751DD3"/>
    <w:rsid w:val="00764CD6"/>
    <w:rsid w:val="007849D8"/>
    <w:rsid w:val="00785FC5"/>
    <w:rsid w:val="00790AE3"/>
    <w:rsid w:val="007949E9"/>
    <w:rsid w:val="007A37DE"/>
    <w:rsid w:val="007B102A"/>
    <w:rsid w:val="007D1613"/>
    <w:rsid w:val="008609B8"/>
    <w:rsid w:val="0087797B"/>
    <w:rsid w:val="008B2CC1"/>
    <w:rsid w:val="008B60B2"/>
    <w:rsid w:val="0090731E"/>
    <w:rsid w:val="00916EE2"/>
    <w:rsid w:val="00945182"/>
    <w:rsid w:val="00966A22"/>
    <w:rsid w:val="0096722F"/>
    <w:rsid w:val="009738A1"/>
    <w:rsid w:val="00980843"/>
    <w:rsid w:val="009E2791"/>
    <w:rsid w:val="009E3F6F"/>
    <w:rsid w:val="009E51F9"/>
    <w:rsid w:val="009F499F"/>
    <w:rsid w:val="009F6260"/>
    <w:rsid w:val="00A328AF"/>
    <w:rsid w:val="00A42DAF"/>
    <w:rsid w:val="00A43ACC"/>
    <w:rsid w:val="00A45BD8"/>
    <w:rsid w:val="00A46F99"/>
    <w:rsid w:val="00A55695"/>
    <w:rsid w:val="00A55ED2"/>
    <w:rsid w:val="00A869B7"/>
    <w:rsid w:val="00AB48F0"/>
    <w:rsid w:val="00AC205C"/>
    <w:rsid w:val="00AC5E28"/>
    <w:rsid w:val="00AC7F1A"/>
    <w:rsid w:val="00AD57E7"/>
    <w:rsid w:val="00AF0A6B"/>
    <w:rsid w:val="00AF26D2"/>
    <w:rsid w:val="00B05A69"/>
    <w:rsid w:val="00B47C3A"/>
    <w:rsid w:val="00B934E0"/>
    <w:rsid w:val="00B9734B"/>
    <w:rsid w:val="00BD55FD"/>
    <w:rsid w:val="00BF3287"/>
    <w:rsid w:val="00C10AF4"/>
    <w:rsid w:val="00C11BFE"/>
    <w:rsid w:val="00C1556F"/>
    <w:rsid w:val="00C61C38"/>
    <w:rsid w:val="00C716F4"/>
    <w:rsid w:val="00C834D6"/>
    <w:rsid w:val="00C95494"/>
    <w:rsid w:val="00CD048E"/>
    <w:rsid w:val="00CD2A35"/>
    <w:rsid w:val="00CD72AC"/>
    <w:rsid w:val="00D45252"/>
    <w:rsid w:val="00D71B4D"/>
    <w:rsid w:val="00D93D55"/>
    <w:rsid w:val="00DB372A"/>
    <w:rsid w:val="00DD1EA7"/>
    <w:rsid w:val="00E2161A"/>
    <w:rsid w:val="00E335FE"/>
    <w:rsid w:val="00E464AF"/>
    <w:rsid w:val="00EC4E49"/>
    <w:rsid w:val="00ED77FB"/>
    <w:rsid w:val="00EE45FA"/>
    <w:rsid w:val="00F214D2"/>
    <w:rsid w:val="00F66152"/>
    <w:rsid w:val="00F837CC"/>
    <w:rsid w:val="00F84DA0"/>
    <w:rsid w:val="00FB600E"/>
    <w:rsid w:val="00FE5352"/>
    <w:rsid w:val="00FF26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B48F0"/>
    <w:rPr>
      <w:rFonts w:ascii="Tahoma" w:hAnsi="Tahoma" w:cs="Tahoma"/>
      <w:sz w:val="16"/>
      <w:szCs w:val="16"/>
    </w:rPr>
  </w:style>
  <w:style w:type="character" w:customStyle="1" w:styleId="BalloonTextChar">
    <w:name w:val="Balloon Text Char"/>
    <w:basedOn w:val="DefaultParagraphFont"/>
    <w:link w:val="BalloonText"/>
    <w:rsid w:val="00AB48F0"/>
    <w:rPr>
      <w:rFonts w:ascii="Tahoma" w:eastAsia="SimSun" w:hAnsi="Tahoma" w:cs="Tahoma"/>
      <w:sz w:val="16"/>
      <w:szCs w:val="16"/>
      <w:lang w:eastAsia="zh-CN"/>
    </w:rPr>
  </w:style>
  <w:style w:type="character" w:styleId="FootnoteReference">
    <w:name w:val="footnote reference"/>
    <w:basedOn w:val="DefaultParagraphFont"/>
    <w:rsid w:val="00AB48F0"/>
    <w:rPr>
      <w:vertAlign w:val="superscript"/>
    </w:rPr>
  </w:style>
  <w:style w:type="character" w:customStyle="1" w:styleId="ONUMEChar">
    <w:name w:val="ONUM E Char"/>
    <w:basedOn w:val="DefaultParagraphFont"/>
    <w:link w:val="ONUME"/>
    <w:rsid w:val="00AB48F0"/>
    <w:rPr>
      <w:rFonts w:ascii="Arial" w:eastAsia="SimSun" w:hAnsi="Arial" w:cs="Arial"/>
      <w:sz w:val="22"/>
      <w:lang w:eastAsia="zh-CN"/>
    </w:rPr>
  </w:style>
  <w:style w:type="table" w:styleId="TableGrid">
    <w:name w:val="Table Grid"/>
    <w:basedOn w:val="TableNormal"/>
    <w:rsid w:val="00AB4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90A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B48F0"/>
    <w:rPr>
      <w:rFonts w:ascii="Tahoma" w:hAnsi="Tahoma" w:cs="Tahoma"/>
      <w:sz w:val="16"/>
      <w:szCs w:val="16"/>
    </w:rPr>
  </w:style>
  <w:style w:type="character" w:customStyle="1" w:styleId="BalloonTextChar">
    <w:name w:val="Balloon Text Char"/>
    <w:basedOn w:val="DefaultParagraphFont"/>
    <w:link w:val="BalloonText"/>
    <w:rsid w:val="00AB48F0"/>
    <w:rPr>
      <w:rFonts w:ascii="Tahoma" w:eastAsia="SimSun" w:hAnsi="Tahoma" w:cs="Tahoma"/>
      <w:sz w:val="16"/>
      <w:szCs w:val="16"/>
      <w:lang w:eastAsia="zh-CN"/>
    </w:rPr>
  </w:style>
  <w:style w:type="character" w:styleId="FootnoteReference">
    <w:name w:val="footnote reference"/>
    <w:basedOn w:val="DefaultParagraphFont"/>
    <w:rsid w:val="00AB48F0"/>
    <w:rPr>
      <w:vertAlign w:val="superscript"/>
    </w:rPr>
  </w:style>
  <w:style w:type="character" w:customStyle="1" w:styleId="ONUMEChar">
    <w:name w:val="ONUM E Char"/>
    <w:basedOn w:val="DefaultParagraphFont"/>
    <w:link w:val="ONUME"/>
    <w:rsid w:val="00AB48F0"/>
    <w:rPr>
      <w:rFonts w:ascii="Arial" w:eastAsia="SimSun" w:hAnsi="Arial" w:cs="Arial"/>
      <w:sz w:val="22"/>
      <w:lang w:eastAsia="zh-CN"/>
    </w:rPr>
  </w:style>
  <w:style w:type="table" w:styleId="TableGrid">
    <w:name w:val="Table Grid"/>
    <w:basedOn w:val="TableNormal"/>
    <w:rsid w:val="00AB4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90A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7924D-C284-4FFF-B341-B9350C286336}">
  <ds:schemaRefs>
    <ds:schemaRef ds:uri="http://schemas.openxmlformats.org/officeDocument/2006/bibliography"/>
  </ds:schemaRefs>
</ds:datastoreItem>
</file>

<file path=customXml/itemProps2.xml><?xml version="1.0" encoding="utf-8"?>
<ds:datastoreItem xmlns:ds="http://schemas.openxmlformats.org/officeDocument/2006/customXml" ds:itemID="{7E8A11AE-AE2F-4A95-82DA-87675BCD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9</TotalTime>
  <Pages>7</Pages>
  <Words>3227</Words>
  <Characters>18397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Same Day Priority Claims</dc:subject>
  <dc:creator>MATTHES Claus</dc:creator>
  <cp:keywords>JCH/mhf</cp:keywords>
  <cp:lastModifiedBy>MARLOW Thomas</cp:lastModifiedBy>
  <cp:revision>3</cp:revision>
  <cp:lastPrinted>2015-03-18T10:13:00Z</cp:lastPrinted>
  <dcterms:created xsi:type="dcterms:W3CDTF">2015-03-18T11:14:00Z</dcterms:created>
  <dcterms:modified xsi:type="dcterms:W3CDTF">2015-03-18T11:24:00Z</dcterms:modified>
</cp:coreProperties>
</file>