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213F4" w:rsidRPr="002213F4" w:rsidTr="00CC2EB6">
        <w:tc>
          <w:tcPr>
            <w:tcW w:w="4513" w:type="dxa"/>
            <w:tcBorders>
              <w:bottom w:val="single" w:sz="4" w:space="0" w:color="auto"/>
            </w:tcBorders>
            <w:tcMar>
              <w:bottom w:w="170" w:type="dxa"/>
            </w:tcMar>
          </w:tcPr>
          <w:p w:rsidR="009B3A89" w:rsidRPr="002213F4" w:rsidRDefault="009B3A89" w:rsidP="008C7C69">
            <w:pPr>
              <w:rPr>
                <w:lang w:val="fr-FR"/>
              </w:rPr>
            </w:pPr>
          </w:p>
        </w:tc>
        <w:tc>
          <w:tcPr>
            <w:tcW w:w="4337" w:type="dxa"/>
            <w:tcBorders>
              <w:bottom w:val="single" w:sz="4" w:space="0" w:color="auto"/>
            </w:tcBorders>
            <w:tcMar>
              <w:left w:w="0" w:type="dxa"/>
              <w:right w:w="0" w:type="dxa"/>
            </w:tcMar>
          </w:tcPr>
          <w:p w:rsidR="009B3A89" w:rsidRPr="002213F4" w:rsidRDefault="009B3A89" w:rsidP="008C7C69">
            <w:pPr>
              <w:rPr>
                <w:lang w:val="fr-FR"/>
              </w:rPr>
            </w:pPr>
            <w:r w:rsidRPr="002213F4">
              <w:rPr>
                <w:noProof/>
                <w:lang w:eastAsia="en-US"/>
              </w:rPr>
              <w:drawing>
                <wp:inline distT="0" distB="0" distL="0" distR="0" wp14:anchorId="6C833A31" wp14:editId="015C485D">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B3A89" w:rsidRPr="002213F4" w:rsidRDefault="009B3A89" w:rsidP="008C7C69">
            <w:pPr>
              <w:jc w:val="right"/>
              <w:rPr>
                <w:lang w:val="fr-FR"/>
              </w:rPr>
            </w:pPr>
            <w:r w:rsidRPr="002213F4">
              <w:rPr>
                <w:b/>
                <w:sz w:val="40"/>
                <w:szCs w:val="40"/>
                <w:lang w:val="fr-FR"/>
              </w:rPr>
              <w:t>F</w:t>
            </w:r>
          </w:p>
        </w:tc>
      </w:tr>
      <w:tr w:rsidR="002213F4" w:rsidRPr="002213F4" w:rsidTr="008C7C69">
        <w:trPr>
          <w:trHeight w:hRule="exact" w:val="340"/>
        </w:trPr>
        <w:tc>
          <w:tcPr>
            <w:tcW w:w="9356" w:type="dxa"/>
            <w:gridSpan w:val="3"/>
            <w:tcBorders>
              <w:top w:val="single" w:sz="4" w:space="0" w:color="auto"/>
            </w:tcBorders>
            <w:tcMar>
              <w:top w:w="170" w:type="dxa"/>
              <w:left w:w="0" w:type="dxa"/>
              <w:right w:w="0" w:type="dxa"/>
            </w:tcMar>
            <w:vAlign w:val="bottom"/>
          </w:tcPr>
          <w:p w:rsidR="009B3A89" w:rsidRPr="002213F4" w:rsidRDefault="009B3A89" w:rsidP="008C7C69">
            <w:pPr>
              <w:jc w:val="right"/>
              <w:rPr>
                <w:rFonts w:ascii="Arial Black" w:hAnsi="Arial Black"/>
                <w:caps/>
                <w:sz w:val="15"/>
                <w:lang w:val="fr-FR"/>
              </w:rPr>
            </w:pPr>
            <w:r w:rsidRPr="002213F4">
              <w:rPr>
                <w:rFonts w:ascii="Arial Black" w:hAnsi="Arial Black"/>
                <w:caps/>
                <w:sz w:val="15"/>
                <w:lang w:val="fr-FR"/>
              </w:rPr>
              <w:t>PCT/WG/9/</w:t>
            </w:r>
            <w:bookmarkStart w:id="0" w:name="Code"/>
            <w:bookmarkEnd w:id="0"/>
            <w:r w:rsidRPr="002213F4">
              <w:rPr>
                <w:rFonts w:ascii="Arial Black" w:hAnsi="Arial Black"/>
                <w:caps/>
                <w:sz w:val="15"/>
                <w:lang w:val="fr-FR"/>
              </w:rPr>
              <w:t xml:space="preserve">3 </w:t>
            </w:r>
          </w:p>
        </w:tc>
      </w:tr>
      <w:tr w:rsidR="002213F4" w:rsidRPr="002213F4" w:rsidTr="008C7C69">
        <w:trPr>
          <w:trHeight w:hRule="exact" w:val="170"/>
        </w:trPr>
        <w:tc>
          <w:tcPr>
            <w:tcW w:w="9356" w:type="dxa"/>
            <w:gridSpan w:val="3"/>
            <w:noWrap/>
            <w:tcMar>
              <w:left w:w="0" w:type="dxa"/>
              <w:right w:w="0" w:type="dxa"/>
            </w:tcMar>
            <w:vAlign w:val="bottom"/>
          </w:tcPr>
          <w:p w:rsidR="009B3A89" w:rsidRPr="002213F4" w:rsidRDefault="009B3A89" w:rsidP="008C7C69">
            <w:pPr>
              <w:jc w:val="right"/>
              <w:rPr>
                <w:rFonts w:ascii="Arial Black" w:hAnsi="Arial Black"/>
                <w:caps/>
                <w:sz w:val="15"/>
                <w:lang w:val="fr-FR"/>
              </w:rPr>
            </w:pPr>
            <w:r w:rsidRPr="002213F4">
              <w:rPr>
                <w:rFonts w:ascii="Arial Black" w:hAnsi="Arial Black"/>
                <w:caps/>
                <w:sz w:val="15"/>
                <w:lang w:val="fr-FR"/>
              </w:rPr>
              <w:t>ORIGINAL</w:t>
            </w:r>
            <w:r w:rsidR="002A191C" w:rsidRPr="002213F4">
              <w:rPr>
                <w:rFonts w:ascii="Arial Black" w:hAnsi="Arial Black"/>
                <w:caps/>
                <w:sz w:val="15"/>
                <w:lang w:val="fr-FR"/>
              </w:rPr>
              <w:t> </w:t>
            </w:r>
            <w:r w:rsidRPr="002213F4">
              <w:rPr>
                <w:rFonts w:ascii="Arial Black" w:hAnsi="Arial Black"/>
                <w:caps/>
                <w:sz w:val="15"/>
                <w:lang w:val="fr-FR"/>
              </w:rPr>
              <w:t>:</w:t>
            </w:r>
            <w:r w:rsidR="008E4D16" w:rsidRPr="002213F4">
              <w:rPr>
                <w:rFonts w:ascii="Arial Black" w:hAnsi="Arial Black"/>
                <w:caps/>
                <w:sz w:val="15"/>
                <w:lang w:val="fr-FR"/>
              </w:rPr>
              <w:t xml:space="preserve"> anglais</w:t>
            </w:r>
            <w:r w:rsidRPr="002213F4">
              <w:rPr>
                <w:rFonts w:ascii="Arial Black" w:hAnsi="Arial Black"/>
                <w:caps/>
                <w:sz w:val="15"/>
                <w:lang w:val="fr-FR"/>
              </w:rPr>
              <w:t xml:space="preserve"> </w:t>
            </w:r>
            <w:bookmarkStart w:id="1" w:name="Original"/>
            <w:bookmarkEnd w:id="1"/>
          </w:p>
        </w:tc>
      </w:tr>
      <w:tr w:rsidR="00816F6E" w:rsidRPr="002213F4" w:rsidTr="008C7C69">
        <w:trPr>
          <w:trHeight w:hRule="exact" w:val="198"/>
        </w:trPr>
        <w:tc>
          <w:tcPr>
            <w:tcW w:w="9356" w:type="dxa"/>
            <w:gridSpan w:val="3"/>
            <w:tcMar>
              <w:left w:w="0" w:type="dxa"/>
              <w:right w:w="0" w:type="dxa"/>
            </w:tcMar>
            <w:vAlign w:val="bottom"/>
          </w:tcPr>
          <w:p w:rsidR="009B3A89" w:rsidRPr="002213F4" w:rsidRDefault="009B3A89" w:rsidP="008C7C69">
            <w:pPr>
              <w:jc w:val="right"/>
              <w:rPr>
                <w:rFonts w:ascii="Arial Black" w:hAnsi="Arial Black"/>
                <w:caps/>
                <w:sz w:val="15"/>
                <w:lang w:val="fr-FR"/>
              </w:rPr>
            </w:pPr>
            <w:r w:rsidRPr="002213F4">
              <w:rPr>
                <w:rFonts w:ascii="Arial Black" w:hAnsi="Arial Black"/>
                <w:caps/>
                <w:sz w:val="15"/>
                <w:lang w:val="fr-FR"/>
              </w:rPr>
              <w:t>DATE</w:t>
            </w:r>
            <w:r w:rsidR="002A191C" w:rsidRPr="002213F4">
              <w:rPr>
                <w:rFonts w:ascii="Arial Black" w:hAnsi="Arial Black"/>
                <w:caps/>
                <w:sz w:val="15"/>
                <w:lang w:val="fr-FR"/>
              </w:rPr>
              <w:t> </w:t>
            </w:r>
            <w:r w:rsidRPr="002213F4">
              <w:rPr>
                <w:rFonts w:ascii="Arial Black" w:hAnsi="Arial Black"/>
                <w:caps/>
                <w:sz w:val="15"/>
                <w:lang w:val="fr-FR"/>
              </w:rPr>
              <w:t xml:space="preserve">: </w:t>
            </w:r>
            <w:bookmarkStart w:id="2" w:name="Date"/>
            <w:bookmarkEnd w:id="2"/>
            <w:r w:rsidRPr="002213F4">
              <w:rPr>
                <w:rFonts w:ascii="Arial Black" w:hAnsi="Arial Black"/>
                <w:caps/>
                <w:sz w:val="15"/>
                <w:lang w:val="fr-FR"/>
              </w:rPr>
              <w:t>1</w:t>
            </w:r>
            <w:r w:rsidR="009D1B7B" w:rsidRPr="002213F4">
              <w:rPr>
                <w:rFonts w:ascii="Arial Black" w:hAnsi="Arial Black"/>
                <w:caps/>
                <w:sz w:val="15"/>
                <w:lang w:val="fr-FR"/>
              </w:rPr>
              <w:t>2 février 20</w:t>
            </w:r>
            <w:r w:rsidRPr="002213F4">
              <w:rPr>
                <w:rFonts w:ascii="Arial Black" w:hAnsi="Arial Black"/>
                <w:caps/>
                <w:sz w:val="15"/>
                <w:lang w:val="fr-FR"/>
              </w:rPr>
              <w:t>16</w:t>
            </w:r>
          </w:p>
        </w:tc>
      </w:tr>
    </w:tbl>
    <w:p w:rsidR="003837A1" w:rsidRPr="002213F4" w:rsidRDefault="003837A1" w:rsidP="009B3A89">
      <w:pPr>
        <w:rPr>
          <w:lang w:val="fr-FR"/>
        </w:rPr>
      </w:pPr>
    </w:p>
    <w:p w:rsidR="003837A1" w:rsidRPr="002213F4" w:rsidRDefault="003837A1" w:rsidP="009B3A89">
      <w:pPr>
        <w:rPr>
          <w:lang w:val="fr-FR"/>
        </w:rPr>
      </w:pPr>
    </w:p>
    <w:p w:rsidR="003837A1" w:rsidRPr="002213F4" w:rsidRDefault="003837A1" w:rsidP="009B3A89">
      <w:pPr>
        <w:rPr>
          <w:lang w:val="fr-FR"/>
        </w:rPr>
      </w:pPr>
    </w:p>
    <w:p w:rsidR="003837A1" w:rsidRPr="002213F4" w:rsidRDefault="003837A1" w:rsidP="009B3A89">
      <w:pPr>
        <w:rPr>
          <w:lang w:val="fr-FR"/>
        </w:rPr>
      </w:pPr>
    </w:p>
    <w:p w:rsidR="003837A1" w:rsidRPr="002213F4" w:rsidRDefault="003837A1" w:rsidP="009B3A89">
      <w:pPr>
        <w:rPr>
          <w:lang w:val="fr-FR"/>
        </w:rPr>
      </w:pPr>
    </w:p>
    <w:p w:rsidR="003837A1" w:rsidRPr="002213F4" w:rsidRDefault="009B3A89" w:rsidP="009B3A89">
      <w:pPr>
        <w:rPr>
          <w:b/>
          <w:sz w:val="28"/>
          <w:szCs w:val="28"/>
          <w:lang w:val="fr-FR"/>
        </w:rPr>
      </w:pPr>
      <w:r w:rsidRPr="002213F4">
        <w:rPr>
          <w:b/>
          <w:sz w:val="28"/>
          <w:szCs w:val="28"/>
          <w:lang w:val="fr-FR"/>
        </w:rPr>
        <w:t>Groupe de travail du Traité de coopération en matière de brevets (PCT)</w:t>
      </w:r>
    </w:p>
    <w:p w:rsidR="003837A1" w:rsidRPr="002213F4" w:rsidRDefault="003837A1" w:rsidP="009B3A89">
      <w:pPr>
        <w:rPr>
          <w:lang w:val="fr-FR"/>
        </w:rPr>
      </w:pPr>
    </w:p>
    <w:p w:rsidR="003837A1" w:rsidRPr="002213F4" w:rsidRDefault="003837A1" w:rsidP="009B3A89">
      <w:pPr>
        <w:rPr>
          <w:lang w:val="fr-FR"/>
        </w:rPr>
      </w:pPr>
    </w:p>
    <w:p w:rsidR="003837A1" w:rsidRPr="002213F4" w:rsidRDefault="009B3A89" w:rsidP="009B3A89">
      <w:pPr>
        <w:rPr>
          <w:b/>
          <w:sz w:val="24"/>
          <w:szCs w:val="24"/>
          <w:lang w:val="fr-FR"/>
        </w:rPr>
      </w:pPr>
      <w:r w:rsidRPr="002213F4">
        <w:rPr>
          <w:b/>
          <w:sz w:val="24"/>
          <w:szCs w:val="24"/>
          <w:lang w:val="fr-FR"/>
        </w:rPr>
        <w:t>Neuvième</w:t>
      </w:r>
      <w:r w:rsidR="002A191C" w:rsidRPr="002213F4">
        <w:rPr>
          <w:b/>
          <w:sz w:val="24"/>
          <w:szCs w:val="24"/>
          <w:lang w:val="fr-FR"/>
        </w:rPr>
        <w:t> </w:t>
      </w:r>
      <w:r w:rsidRPr="002213F4">
        <w:rPr>
          <w:b/>
          <w:sz w:val="24"/>
          <w:szCs w:val="24"/>
          <w:lang w:val="fr-FR"/>
        </w:rPr>
        <w:t>session</w:t>
      </w:r>
    </w:p>
    <w:p w:rsidR="003837A1" w:rsidRPr="002213F4" w:rsidRDefault="009B3A89" w:rsidP="009B3A89">
      <w:pPr>
        <w:rPr>
          <w:b/>
          <w:sz w:val="24"/>
          <w:szCs w:val="24"/>
          <w:lang w:val="fr-FR"/>
        </w:rPr>
      </w:pPr>
      <w:r w:rsidRPr="002213F4">
        <w:rPr>
          <w:b/>
          <w:sz w:val="24"/>
          <w:szCs w:val="24"/>
          <w:lang w:val="fr-FR"/>
        </w:rPr>
        <w:t>Genève, 17 – 2</w:t>
      </w:r>
      <w:r w:rsidR="009D1B7B" w:rsidRPr="002213F4">
        <w:rPr>
          <w:b/>
          <w:sz w:val="24"/>
          <w:szCs w:val="24"/>
          <w:lang w:val="fr-FR"/>
        </w:rPr>
        <w:t>0 mai 20</w:t>
      </w:r>
      <w:r w:rsidRPr="002213F4">
        <w:rPr>
          <w:b/>
          <w:sz w:val="24"/>
          <w:szCs w:val="24"/>
          <w:lang w:val="fr-FR"/>
        </w:rPr>
        <w:t>16</w:t>
      </w:r>
    </w:p>
    <w:p w:rsidR="003837A1" w:rsidRPr="002213F4" w:rsidRDefault="003837A1" w:rsidP="008B2CC1">
      <w:pPr>
        <w:rPr>
          <w:lang w:val="fr-FR"/>
        </w:rPr>
      </w:pPr>
    </w:p>
    <w:p w:rsidR="003837A1" w:rsidRPr="002213F4" w:rsidRDefault="003837A1" w:rsidP="008B2CC1">
      <w:pPr>
        <w:rPr>
          <w:lang w:val="fr-FR"/>
        </w:rPr>
      </w:pPr>
    </w:p>
    <w:p w:rsidR="003837A1" w:rsidRPr="002213F4" w:rsidRDefault="003837A1" w:rsidP="008B2CC1">
      <w:pPr>
        <w:rPr>
          <w:lang w:val="fr-FR"/>
        </w:rPr>
      </w:pPr>
    </w:p>
    <w:p w:rsidR="003837A1" w:rsidRPr="002213F4" w:rsidRDefault="002213F4" w:rsidP="00665AF5">
      <w:pPr>
        <w:rPr>
          <w:caps/>
          <w:sz w:val="24"/>
          <w:lang w:val="fr-FR"/>
        </w:rPr>
      </w:pPr>
      <w:bookmarkStart w:id="3" w:name="TitleOfDoc"/>
      <w:bookmarkEnd w:id="3"/>
      <w:r>
        <w:rPr>
          <w:caps/>
          <w:sz w:val="24"/>
          <w:lang w:val="fr-FR"/>
        </w:rPr>
        <w:t>R</w:t>
      </w:r>
      <w:r w:rsidR="00665AF5" w:rsidRPr="002213F4">
        <w:rPr>
          <w:caps/>
          <w:sz w:val="24"/>
          <w:lang w:val="fr-FR"/>
        </w:rPr>
        <w:t xml:space="preserve">evendications de priorité </w:t>
      </w:r>
      <w:r>
        <w:rPr>
          <w:caps/>
          <w:sz w:val="24"/>
          <w:lang w:val="fr-FR"/>
        </w:rPr>
        <w:t>portant sur</w:t>
      </w:r>
      <w:r w:rsidR="00665AF5" w:rsidRPr="002213F4">
        <w:rPr>
          <w:caps/>
          <w:sz w:val="24"/>
          <w:lang w:val="fr-FR"/>
        </w:rPr>
        <w:t xml:space="preserve"> la même date</w:t>
      </w:r>
    </w:p>
    <w:p w:rsidR="003837A1" w:rsidRPr="002213F4" w:rsidRDefault="003837A1" w:rsidP="008B2CC1">
      <w:pPr>
        <w:rPr>
          <w:lang w:val="fr-FR"/>
        </w:rPr>
      </w:pPr>
    </w:p>
    <w:p w:rsidR="003837A1" w:rsidRPr="002213F4" w:rsidRDefault="00665AF5" w:rsidP="00665AF5">
      <w:pPr>
        <w:rPr>
          <w:i/>
          <w:lang w:val="fr-FR"/>
        </w:rPr>
      </w:pPr>
      <w:bookmarkStart w:id="4" w:name="Prepared"/>
      <w:bookmarkEnd w:id="4"/>
      <w:r w:rsidRPr="002213F4">
        <w:rPr>
          <w:i/>
          <w:lang w:val="fr-FR"/>
        </w:rPr>
        <w:t>Document établi par le Bureau international</w:t>
      </w:r>
    </w:p>
    <w:p w:rsidR="003837A1" w:rsidRPr="002213F4" w:rsidRDefault="003837A1">
      <w:pPr>
        <w:rPr>
          <w:lang w:val="fr-FR"/>
        </w:rPr>
      </w:pPr>
    </w:p>
    <w:p w:rsidR="003837A1" w:rsidRPr="002213F4" w:rsidRDefault="003837A1">
      <w:pPr>
        <w:rPr>
          <w:lang w:val="fr-FR"/>
        </w:rPr>
      </w:pPr>
    </w:p>
    <w:p w:rsidR="003837A1" w:rsidRPr="002213F4" w:rsidRDefault="003837A1">
      <w:pPr>
        <w:rPr>
          <w:lang w:val="fr-FR"/>
        </w:rPr>
      </w:pPr>
    </w:p>
    <w:p w:rsidR="003837A1" w:rsidRDefault="008E4D16" w:rsidP="008E4D16">
      <w:pPr>
        <w:pStyle w:val="Heading1"/>
        <w:rPr>
          <w:lang w:val="fr-FR"/>
        </w:rPr>
      </w:pPr>
      <w:r w:rsidRPr="002213F4">
        <w:rPr>
          <w:lang w:val="fr-FR"/>
        </w:rPr>
        <w:t>Résumé</w:t>
      </w:r>
    </w:p>
    <w:p w:rsidR="003837A1" w:rsidRPr="008B1668" w:rsidRDefault="002A3E6A" w:rsidP="002213F4">
      <w:pPr>
        <w:pStyle w:val="ONUMFS"/>
        <w:rPr>
          <w:spacing w:val="-4"/>
          <w:lang w:val="fr-FR"/>
        </w:rPr>
      </w:pPr>
      <w:r w:rsidRPr="008B1668">
        <w:rPr>
          <w:spacing w:val="-4"/>
          <w:lang w:val="fr-FR"/>
        </w:rPr>
        <w:t xml:space="preserve">À </w:t>
      </w:r>
      <w:r w:rsidR="00665AF5" w:rsidRPr="008B1668">
        <w:rPr>
          <w:spacing w:val="-4"/>
          <w:lang w:val="fr-FR"/>
        </w:rPr>
        <w:t>sa huitième</w:t>
      </w:r>
      <w:r w:rsidR="002A191C" w:rsidRPr="008B1668">
        <w:rPr>
          <w:spacing w:val="-4"/>
          <w:lang w:val="fr-FR"/>
        </w:rPr>
        <w:t> </w:t>
      </w:r>
      <w:r w:rsidR="00665AF5" w:rsidRPr="008B1668">
        <w:rPr>
          <w:spacing w:val="-4"/>
          <w:lang w:val="fr-FR"/>
        </w:rPr>
        <w:t>session, le groupe de travail a demandé au Bureau internation</w:t>
      </w:r>
      <w:r w:rsidR="00DC7A25" w:rsidRPr="008B1668">
        <w:rPr>
          <w:spacing w:val="-4"/>
          <w:lang w:val="fr-FR"/>
        </w:rPr>
        <w:t>al d</w:t>
      </w:r>
      <w:r w:rsidR="009D1B7B" w:rsidRPr="008B1668">
        <w:rPr>
          <w:spacing w:val="-4"/>
          <w:lang w:val="fr-FR"/>
        </w:rPr>
        <w:t>’</w:t>
      </w:r>
      <w:r w:rsidR="00DC7A25" w:rsidRPr="008B1668">
        <w:rPr>
          <w:spacing w:val="-4"/>
          <w:lang w:val="fr-FR"/>
        </w:rPr>
        <w:t xml:space="preserve">établir, pour examen à sa </w:t>
      </w:r>
      <w:r w:rsidR="00665AF5" w:rsidRPr="008B1668">
        <w:rPr>
          <w:spacing w:val="-4"/>
          <w:lang w:val="fr-FR"/>
        </w:rPr>
        <w:t>session de</w:t>
      </w:r>
      <w:r w:rsidR="002A191C" w:rsidRPr="008B1668">
        <w:rPr>
          <w:spacing w:val="-4"/>
          <w:lang w:val="fr-FR"/>
        </w:rPr>
        <w:t> </w:t>
      </w:r>
      <w:r w:rsidR="00665AF5" w:rsidRPr="008B1668">
        <w:rPr>
          <w:spacing w:val="-4"/>
          <w:lang w:val="fr-FR"/>
        </w:rPr>
        <w:t>2016, une proposition de modification du règlement d</w:t>
      </w:r>
      <w:r w:rsidR="009D1B7B" w:rsidRPr="008B1668">
        <w:rPr>
          <w:spacing w:val="-4"/>
          <w:lang w:val="fr-FR"/>
        </w:rPr>
        <w:t>’</w:t>
      </w:r>
      <w:r w:rsidR="00665AF5" w:rsidRPr="008B1668">
        <w:rPr>
          <w:spacing w:val="-4"/>
          <w:lang w:val="fr-FR"/>
        </w:rPr>
        <w:t>exécution</w:t>
      </w:r>
      <w:r w:rsidR="009D1B7B" w:rsidRPr="008B1668">
        <w:rPr>
          <w:spacing w:val="-4"/>
          <w:lang w:val="fr-FR"/>
        </w:rPr>
        <w:t xml:space="preserve"> du PCT</w:t>
      </w:r>
      <w:r w:rsidR="00665AF5" w:rsidRPr="008B1668">
        <w:rPr>
          <w:spacing w:val="-4"/>
          <w:lang w:val="fr-FR"/>
        </w:rPr>
        <w:t xml:space="preserve"> visant à exiger expressément des offices récepteurs qu</w:t>
      </w:r>
      <w:r w:rsidR="009D1B7B" w:rsidRPr="008B1668">
        <w:rPr>
          <w:spacing w:val="-4"/>
          <w:lang w:val="fr-FR"/>
        </w:rPr>
        <w:t>’</w:t>
      </w:r>
      <w:r w:rsidR="00665AF5" w:rsidRPr="008B1668">
        <w:rPr>
          <w:spacing w:val="-4"/>
          <w:lang w:val="fr-FR"/>
        </w:rPr>
        <w:t>ils n</w:t>
      </w:r>
      <w:r w:rsidR="009D1B7B" w:rsidRPr="008B1668">
        <w:rPr>
          <w:spacing w:val="-4"/>
          <w:lang w:val="fr-FR"/>
        </w:rPr>
        <w:t>’</w:t>
      </w:r>
      <w:r w:rsidR="00665AF5" w:rsidRPr="008B1668">
        <w:rPr>
          <w:spacing w:val="-4"/>
          <w:lang w:val="fr-FR"/>
        </w:rPr>
        <w:t>invalident pas les revendications de priorité portant sur la même date de façon à préparer le terrain pour que les décisions sur la question soient prises par les offices désignés dans la phase nationale conformément à leur législation nationale applicab</w:t>
      </w:r>
      <w:r w:rsidR="007870EA" w:rsidRPr="008B1668">
        <w:rPr>
          <w:spacing w:val="-4"/>
          <w:lang w:val="fr-FR"/>
        </w:rPr>
        <w:t>le.  La</w:t>
      </w:r>
      <w:r w:rsidR="00BF1A4B" w:rsidRPr="008B1668">
        <w:rPr>
          <w:spacing w:val="-4"/>
          <w:lang w:val="fr-FR"/>
        </w:rPr>
        <w:t>dite proposition fait l</w:t>
      </w:r>
      <w:r w:rsidR="009D1B7B" w:rsidRPr="008B1668">
        <w:rPr>
          <w:spacing w:val="-4"/>
          <w:lang w:val="fr-FR"/>
        </w:rPr>
        <w:t>’</w:t>
      </w:r>
      <w:r w:rsidR="00BF1A4B" w:rsidRPr="008B1668">
        <w:rPr>
          <w:spacing w:val="-4"/>
          <w:lang w:val="fr-FR"/>
        </w:rPr>
        <w:t>objet du présent document.</w:t>
      </w:r>
    </w:p>
    <w:p w:rsidR="003837A1" w:rsidRDefault="00665AF5" w:rsidP="00665AF5">
      <w:pPr>
        <w:pStyle w:val="Heading1"/>
        <w:keepNext w:val="0"/>
        <w:rPr>
          <w:lang w:val="fr-FR"/>
        </w:rPr>
      </w:pPr>
      <w:r w:rsidRPr="002213F4">
        <w:rPr>
          <w:lang w:val="fr-FR"/>
        </w:rPr>
        <w:t>Rappel</w:t>
      </w:r>
    </w:p>
    <w:p w:rsidR="003837A1" w:rsidRPr="008B1668" w:rsidRDefault="00665AF5" w:rsidP="002213F4">
      <w:pPr>
        <w:pStyle w:val="ONUMFS"/>
        <w:rPr>
          <w:spacing w:val="-2"/>
          <w:lang w:val="fr-FR"/>
        </w:rPr>
      </w:pPr>
      <w:r w:rsidRPr="008B1668">
        <w:rPr>
          <w:spacing w:val="-2"/>
          <w:lang w:val="fr-FR"/>
        </w:rPr>
        <w:t>À ses sixième et septième</w:t>
      </w:r>
      <w:r w:rsidR="002A191C" w:rsidRPr="008B1668">
        <w:rPr>
          <w:spacing w:val="-2"/>
          <w:lang w:val="fr-FR"/>
        </w:rPr>
        <w:t> </w:t>
      </w:r>
      <w:r w:rsidRPr="008B1668">
        <w:rPr>
          <w:spacing w:val="-2"/>
          <w:lang w:val="fr-FR"/>
        </w:rPr>
        <w:t>sessions, le groupe de travail a examiné les moyens de remédier aux différences dans la manière dont les offices récepteurs et les offices désignés ou élus interprètent les dispositions des règles</w:t>
      </w:r>
      <w:r w:rsidR="002A191C" w:rsidRPr="008B1668">
        <w:rPr>
          <w:spacing w:val="-2"/>
          <w:lang w:val="fr-FR"/>
        </w:rPr>
        <w:t> </w:t>
      </w:r>
      <w:r w:rsidRPr="008B1668">
        <w:rPr>
          <w:spacing w:val="-2"/>
          <w:lang w:val="fr-FR"/>
        </w:rPr>
        <w:t>4.18 et 20</w:t>
      </w:r>
      <w:r w:rsidR="00BF1A4B" w:rsidRPr="008B1668">
        <w:rPr>
          <w:spacing w:val="-2"/>
          <w:lang w:val="fr-FR"/>
        </w:rPr>
        <w:t>.</w:t>
      </w:r>
      <w:r w:rsidRPr="008B1668">
        <w:rPr>
          <w:spacing w:val="-2"/>
          <w:lang w:val="fr-FR"/>
        </w:rPr>
        <w:t>5 et 20</w:t>
      </w:r>
      <w:r w:rsidR="00BF1A4B" w:rsidRPr="008B1668">
        <w:rPr>
          <w:spacing w:val="-2"/>
          <w:lang w:val="fr-FR"/>
        </w:rPr>
        <w:t>.</w:t>
      </w:r>
      <w:r w:rsidRPr="008B1668">
        <w:rPr>
          <w:spacing w:val="-2"/>
          <w:lang w:val="fr-FR"/>
        </w:rPr>
        <w:t>6 concernant l</w:t>
      </w:r>
      <w:r w:rsidR="009D1B7B" w:rsidRPr="008B1668">
        <w:rPr>
          <w:spacing w:val="-2"/>
          <w:lang w:val="fr-FR"/>
        </w:rPr>
        <w:t>’</w:t>
      </w:r>
      <w:r w:rsidRPr="008B1668">
        <w:rPr>
          <w:spacing w:val="-2"/>
          <w:lang w:val="fr-FR"/>
        </w:rPr>
        <w:t>incorporation par renvoi de parties manquantes (voir les documents PCT/WG/6/20 et PCT/WG/7/19).</w:t>
      </w:r>
      <w:r w:rsidR="0082207B" w:rsidRPr="008B1668">
        <w:rPr>
          <w:spacing w:val="-2"/>
          <w:lang w:val="fr-FR"/>
        </w:rPr>
        <w:t xml:space="preserve">  </w:t>
      </w:r>
      <w:r w:rsidR="00AC054A" w:rsidRPr="008B1668">
        <w:rPr>
          <w:spacing w:val="-2"/>
          <w:lang w:val="fr-FR"/>
        </w:rPr>
        <w:t>Dans le contexte de ces discussions, la question s</w:t>
      </w:r>
      <w:r w:rsidR="009D1B7B" w:rsidRPr="008B1668">
        <w:rPr>
          <w:spacing w:val="-2"/>
          <w:lang w:val="fr-FR"/>
        </w:rPr>
        <w:t>’</w:t>
      </w:r>
      <w:r w:rsidR="00AC054A" w:rsidRPr="008B1668">
        <w:rPr>
          <w:spacing w:val="-2"/>
          <w:lang w:val="fr-FR"/>
        </w:rPr>
        <w:t>est posée de savoir si une revendication de priorité figurant dans une demande internationale</w:t>
      </w:r>
      <w:r w:rsidR="008E4D16" w:rsidRPr="008B1668">
        <w:rPr>
          <w:spacing w:val="-2"/>
          <w:lang w:val="fr-FR"/>
        </w:rPr>
        <w:t xml:space="preserve"> sur la base d</w:t>
      </w:r>
      <w:r w:rsidR="009D1B7B" w:rsidRPr="008B1668">
        <w:rPr>
          <w:spacing w:val="-2"/>
          <w:lang w:val="fr-FR"/>
        </w:rPr>
        <w:t>’</w:t>
      </w:r>
      <w:r w:rsidR="00AC054A" w:rsidRPr="008B1668">
        <w:rPr>
          <w:spacing w:val="-2"/>
          <w:lang w:val="fr-FR"/>
        </w:rPr>
        <w:t>une demande antérieure ayant la même date de dépôt que la demande internationale (</w:t>
      </w:r>
      <w:r w:rsidR="000E530E" w:rsidRPr="008B1668">
        <w:rPr>
          <w:spacing w:val="-2"/>
          <w:lang w:val="fr-FR"/>
        </w:rPr>
        <w:t>“</w:t>
      </w:r>
      <w:r w:rsidR="00AC054A" w:rsidRPr="008B1668">
        <w:rPr>
          <w:spacing w:val="-2"/>
          <w:lang w:val="fr-FR"/>
        </w:rPr>
        <w:t>revendication de priorité portant sur l</w:t>
      </w:r>
      <w:r w:rsidR="008E4D16" w:rsidRPr="008B1668">
        <w:rPr>
          <w:spacing w:val="-2"/>
          <w:lang w:val="fr-FR"/>
        </w:rPr>
        <w:t>a</w:t>
      </w:r>
      <w:r w:rsidR="00AC054A" w:rsidRPr="008B1668">
        <w:rPr>
          <w:spacing w:val="-2"/>
          <w:lang w:val="fr-FR"/>
        </w:rPr>
        <w:t xml:space="preserve"> même </w:t>
      </w:r>
      <w:r w:rsidR="008E4D16" w:rsidRPr="008B1668">
        <w:rPr>
          <w:spacing w:val="-2"/>
          <w:lang w:val="fr-FR"/>
        </w:rPr>
        <w:t>date</w:t>
      </w:r>
      <w:r w:rsidR="000E530E" w:rsidRPr="008B1668">
        <w:rPr>
          <w:spacing w:val="-2"/>
          <w:lang w:val="fr-FR"/>
        </w:rPr>
        <w:t>”</w:t>
      </w:r>
      <w:r w:rsidR="00AC054A" w:rsidRPr="008B1668">
        <w:rPr>
          <w:spacing w:val="-2"/>
          <w:lang w:val="fr-FR"/>
        </w:rPr>
        <w:t>) est une revendication de priorité valable au sens de la Convention de Paris, et donc</w:t>
      </w:r>
      <w:r w:rsidR="009D1B7B" w:rsidRPr="008B1668">
        <w:rPr>
          <w:spacing w:val="-2"/>
          <w:lang w:val="fr-FR"/>
        </w:rPr>
        <w:t xml:space="preserve"> du PCT</w:t>
      </w:r>
      <w:r w:rsidR="00AC054A" w:rsidRPr="008B1668">
        <w:rPr>
          <w:spacing w:val="-2"/>
          <w:lang w:val="fr-FR"/>
        </w:rPr>
        <w:t>.</w:t>
      </w:r>
    </w:p>
    <w:p w:rsidR="003837A1" w:rsidRPr="008B1668" w:rsidRDefault="00AC054A" w:rsidP="008B1668">
      <w:pPr>
        <w:pStyle w:val="ONUMFS"/>
        <w:rPr>
          <w:spacing w:val="-2"/>
          <w:lang w:val="fr-FR"/>
        </w:rPr>
      </w:pPr>
      <w:bookmarkStart w:id="5" w:name="_Ref404608231"/>
      <w:r w:rsidRPr="008B1668">
        <w:rPr>
          <w:spacing w:val="-2"/>
          <w:lang w:val="fr-FR"/>
        </w:rPr>
        <w:t>Plus précisément, les discussions relatives à l</w:t>
      </w:r>
      <w:r w:rsidR="009D1B7B" w:rsidRPr="008B1668">
        <w:rPr>
          <w:spacing w:val="-2"/>
          <w:lang w:val="fr-FR"/>
        </w:rPr>
        <w:t>’</w:t>
      </w:r>
      <w:r w:rsidRPr="008B1668">
        <w:rPr>
          <w:spacing w:val="-2"/>
          <w:lang w:val="fr-FR"/>
        </w:rPr>
        <w:t>incorporation par renvoi de parties manquantes ont fait apparaître que, à l</w:t>
      </w:r>
      <w:r w:rsidR="009D1B7B" w:rsidRPr="008B1668">
        <w:rPr>
          <w:spacing w:val="-2"/>
          <w:lang w:val="fr-FR"/>
        </w:rPr>
        <w:t>’</w:t>
      </w:r>
      <w:r w:rsidRPr="008B1668">
        <w:rPr>
          <w:spacing w:val="-2"/>
          <w:lang w:val="fr-FR"/>
        </w:rPr>
        <w:t>heure actuelle, un certain nombre d</w:t>
      </w:r>
      <w:r w:rsidR="009D1B7B" w:rsidRPr="008B1668">
        <w:rPr>
          <w:spacing w:val="-2"/>
          <w:lang w:val="fr-FR"/>
        </w:rPr>
        <w:t>’</w:t>
      </w:r>
      <w:r w:rsidRPr="008B1668">
        <w:rPr>
          <w:spacing w:val="-2"/>
          <w:lang w:val="fr-FR"/>
        </w:rPr>
        <w:t>offices d</w:t>
      </w:r>
      <w:r w:rsidR="009D1B7B" w:rsidRPr="008B1668">
        <w:rPr>
          <w:spacing w:val="-2"/>
          <w:lang w:val="fr-FR"/>
        </w:rPr>
        <w:t>’</w:t>
      </w:r>
      <w:r w:rsidRPr="008B1668">
        <w:rPr>
          <w:spacing w:val="-2"/>
          <w:lang w:val="fr-FR"/>
        </w:rPr>
        <w:t>États contractants</w:t>
      </w:r>
      <w:r w:rsidR="009D1B7B" w:rsidRPr="008B1668">
        <w:rPr>
          <w:spacing w:val="-2"/>
          <w:lang w:val="fr-FR"/>
        </w:rPr>
        <w:t xml:space="preserve"> du PCT</w:t>
      </w:r>
      <w:r w:rsidRPr="008B1668">
        <w:rPr>
          <w:spacing w:val="-2"/>
          <w:lang w:val="fr-FR"/>
        </w:rPr>
        <w:t>, en leur qualité à la fois d</w:t>
      </w:r>
      <w:r w:rsidR="009D1B7B" w:rsidRPr="008B1668">
        <w:rPr>
          <w:spacing w:val="-2"/>
          <w:lang w:val="fr-FR"/>
        </w:rPr>
        <w:t>’</w:t>
      </w:r>
      <w:r w:rsidRPr="008B1668">
        <w:rPr>
          <w:spacing w:val="-2"/>
          <w:lang w:val="fr-FR"/>
        </w:rPr>
        <w:t>offices récepteurs et d</w:t>
      </w:r>
      <w:r w:rsidR="009D1B7B" w:rsidRPr="008B1668">
        <w:rPr>
          <w:spacing w:val="-2"/>
          <w:lang w:val="fr-FR"/>
        </w:rPr>
        <w:t>’</w:t>
      </w:r>
      <w:r w:rsidRPr="008B1668">
        <w:rPr>
          <w:spacing w:val="-2"/>
          <w:lang w:val="fr-FR"/>
        </w:rPr>
        <w:t>offices désignés, ont adopté l</w:t>
      </w:r>
      <w:r w:rsidR="009D1B7B" w:rsidRPr="008B1668">
        <w:rPr>
          <w:spacing w:val="-2"/>
          <w:lang w:val="fr-FR"/>
        </w:rPr>
        <w:t>’</w:t>
      </w:r>
      <w:r w:rsidRPr="008B1668">
        <w:rPr>
          <w:spacing w:val="-2"/>
          <w:lang w:val="fr-FR"/>
        </w:rPr>
        <w:t>interprétation selon laquelle les revendications de priorité portant sur la même date doivent être autorisées selon la Convention de Paris, et donc selon</w:t>
      </w:r>
      <w:r w:rsidR="009D1B7B" w:rsidRPr="008B1668">
        <w:rPr>
          <w:spacing w:val="-2"/>
          <w:lang w:val="fr-FR"/>
        </w:rPr>
        <w:t xml:space="preserve"> le </w:t>
      </w:r>
      <w:r w:rsidR="007870EA" w:rsidRPr="008B1668">
        <w:rPr>
          <w:spacing w:val="-2"/>
          <w:lang w:val="fr-FR"/>
        </w:rPr>
        <w:t>PCT.  Ce</w:t>
      </w:r>
      <w:r w:rsidRPr="008B1668">
        <w:rPr>
          <w:spacing w:val="-2"/>
          <w:lang w:val="fr-FR"/>
        </w:rPr>
        <w:t>s offices, en leur qualité d</w:t>
      </w:r>
      <w:r w:rsidR="009D1B7B" w:rsidRPr="008B1668">
        <w:rPr>
          <w:spacing w:val="-2"/>
          <w:lang w:val="fr-FR"/>
        </w:rPr>
        <w:t>’</w:t>
      </w:r>
      <w:r w:rsidRPr="008B1668">
        <w:rPr>
          <w:spacing w:val="-2"/>
          <w:lang w:val="fr-FR"/>
        </w:rPr>
        <w:t xml:space="preserve">offices récepteurs, autorisent donc les déposants à incorporer par renvoi un élément manquant </w:t>
      </w:r>
      <w:r w:rsidRPr="008B1668">
        <w:rPr>
          <w:spacing w:val="-2"/>
          <w:lang w:val="fr-FR"/>
        </w:rPr>
        <w:lastRenderedPageBreak/>
        <w:t xml:space="preserve">ou une partie manquante figurant dans une demande </w:t>
      </w:r>
      <w:r w:rsidR="000E530E" w:rsidRPr="008B1668">
        <w:rPr>
          <w:spacing w:val="-2"/>
          <w:lang w:val="fr-FR"/>
        </w:rPr>
        <w:t>“</w:t>
      </w:r>
      <w:r w:rsidRPr="008B1668">
        <w:rPr>
          <w:spacing w:val="-2"/>
          <w:lang w:val="fr-FR"/>
        </w:rPr>
        <w:t>antérieure</w:t>
      </w:r>
      <w:r w:rsidR="000E530E" w:rsidRPr="008B1668">
        <w:rPr>
          <w:spacing w:val="-2"/>
          <w:lang w:val="fr-FR"/>
        </w:rPr>
        <w:t>”</w:t>
      </w:r>
      <w:r w:rsidRPr="008B1668">
        <w:rPr>
          <w:spacing w:val="-2"/>
          <w:lang w:val="fr-FR"/>
        </w:rPr>
        <w:t xml:space="preserve"> déposée le même jour que la demande internationale (étant entendu que l</w:t>
      </w:r>
      <w:r w:rsidR="009D1B7B" w:rsidRPr="008B1668">
        <w:rPr>
          <w:spacing w:val="-2"/>
          <w:lang w:val="fr-FR"/>
        </w:rPr>
        <w:t>’</w:t>
      </w:r>
      <w:r w:rsidRPr="008B1668">
        <w:rPr>
          <w:spacing w:val="-2"/>
          <w:lang w:val="fr-FR"/>
        </w:rPr>
        <w:t>inclusion dans la demande internationale d</w:t>
      </w:r>
      <w:r w:rsidR="009D1B7B" w:rsidRPr="008B1668">
        <w:rPr>
          <w:spacing w:val="-2"/>
          <w:lang w:val="fr-FR"/>
        </w:rPr>
        <w:t>’</w:t>
      </w:r>
      <w:r w:rsidRPr="008B1668">
        <w:rPr>
          <w:spacing w:val="-2"/>
          <w:lang w:val="fr-FR"/>
        </w:rPr>
        <w:t>une revendication de priorité d</w:t>
      </w:r>
      <w:r w:rsidR="009D1B7B" w:rsidRPr="008B1668">
        <w:rPr>
          <w:spacing w:val="-2"/>
          <w:lang w:val="fr-FR"/>
        </w:rPr>
        <w:t>’</w:t>
      </w:r>
      <w:r w:rsidRPr="008B1668">
        <w:rPr>
          <w:spacing w:val="-2"/>
          <w:lang w:val="fr-FR"/>
        </w:rPr>
        <w:t>une telle demande antérieure est une condition nécessaire pour demander valablement l</w:t>
      </w:r>
      <w:r w:rsidR="009D1B7B" w:rsidRPr="008B1668">
        <w:rPr>
          <w:spacing w:val="-2"/>
          <w:lang w:val="fr-FR"/>
        </w:rPr>
        <w:t>’</w:t>
      </w:r>
      <w:r w:rsidRPr="008B1668">
        <w:rPr>
          <w:spacing w:val="-2"/>
          <w:lang w:val="fr-FR"/>
        </w:rPr>
        <w:t>incorporation par renvoi d</w:t>
      </w:r>
      <w:r w:rsidR="009D1B7B" w:rsidRPr="008B1668">
        <w:rPr>
          <w:spacing w:val="-2"/>
          <w:lang w:val="fr-FR"/>
        </w:rPr>
        <w:t>’</w:t>
      </w:r>
      <w:r w:rsidRPr="008B1668">
        <w:rPr>
          <w:spacing w:val="-2"/>
          <w:lang w:val="fr-FR"/>
        </w:rPr>
        <w:t>éléments manquants ou de parties manquantes).</w:t>
      </w:r>
    </w:p>
    <w:p w:rsidR="003837A1" w:rsidRPr="008B1668" w:rsidRDefault="00AC054A" w:rsidP="002213F4">
      <w:pPr>
        <w:pStyle w:val="ONUMFS"/>
        <w:rPr>
          <w:spacing w:val="-2"/>
          <w:lang w:val="fr-FR"/>
        </w:rPr>
      </w:pPr>
      <w:r w:rsidRPr="008B1668">
        <w:rPr>
          <w:spacing w:val="-2"/>
          <w:lang w:val="fr-FR"/>
        </w:rPr>
        <w:t>Pour autant, cette interprétation de la Convention de Paris selon laquelle les revendications de priorité portant sur la même date doivent être autorisées selon la Convention de Paris (et donc, selon</w:t>
      </w:r>
      <w:r w:rsidR="009D1B7B" w:rsidRPr="008B1668">
        <w:rPr>
          <w:spacing w:val="-2"/>
          <w:lang w:val="fr-FR"/>
        </w:rPr>
        <w:t xml:space="preserve"> le PCT</w:t>
      </w:r>
      <w:r w:rsidRPr="008B1668">
        <w:rPr>
          <w:spacing w:val="-2"/>
          <w:lang w:val="fr-FR"/>
        </w:rPr>
        <w:t>) n</w:t>
      </w:r>
      <w:r w:rsidR="009D1B7B" w:rsidRPr="008B1668">
        <w:rPr>
          <w:spacing w:val="-2"/>
          <w:lang w:val="fr-FR"/>
        </w:rPr>
        <w:t>’</w:t>
      </w:r>
      <w:r w:rsidRPr="008B1668">
        <w:rPr>
          <w:spacing w:val="-2"/>
          <w:lang w:val="fr-FR"/>
        </w:rPr>
        <w:t>est pas partagée par tous les offic</w:t>
      </w:r>
      <w:r w:rsidR="007870EA" w:rsidRPr="008B1668">
        <w:rPr>
          <w:spacing w:val="-2"/>
          <w:lang w:val="fr-FR"/>
        </w:rPr>
        <w:t>es.  Ai</w:t>
      </w:r>
      <w:r w:rsidR="008A72BB" w:rsidRPr="008B1668">
        <w:rPr>
          <w:spacing w:val="-2"/>
          <w:lang w:val="fr-FR"/>
        </w:rPr>
        <w:t>nsi, à l</w:t>
      </w:r>
      <w:r w:rsidR="009D1B7B" w:rsidRPr="008B1668">
        <w:rPr>
          <w:spacing w:val="-2"/>
          <w:lang w:val="fr-FR"/>
        </w:rPr>
        <w:t>’</w:t>
      </w:r>
      <w:r w:rsidR="008A72BB" w:rsidRPr="008B1668">
        <w:rPr>
          <w:spacing w:val="-2"/>
          <w:lang w:val="fr-FR"/>
        </w:rPr>
        <w:t>heure actuelle, les déposants sont tributaires de l</w:t>
      </w:r>
      <w:r w:rsidR="009D1B7B" w:rsidRPr="008B1668">
        <w:rPr>
          <w:spacing w:val="-2"/>
          <w:lang w:val="fr-FR"/>
        </w:rPr>
        <w:t>’</w:t>
      </w:r>
      <w:r w:rsidR="000E530E" w:rsidRPr="008B1668">
        <w:rPr>
          <w:spacing w:val="-2"/>
          <w:lang w:val="fr-FR"/>
        </w:rPr>
        <w:t>interprétation</w:t>
      </w:r>
      <w:r w:rsidR="008A72BB" w:rsidRPr="008B1668">
        <w:rPr>
          <w:spacing w:val="-2"/>
          <w:lang w:val="fr-FR"/>
        </w:rPr>
        <w:t xml:space="preserve"> de l</w:t>
      </w:r>
      <w:r w:rsidR="009D1B7B" w:rsidRPr="008B1668">
        <w:rPr>
          <w:spacing w:val="-2"/>
          <w:lang w:val="fr-FR"/>
        </w:rPr>
        <w:t>’</w:t>
      </w:r>
      <w:r w:rsidR="008A72BB" w:rsidRPr="008B1668">
        <w:rPr>
          <w:spacing w:val="-2"/>
          <w:lang w:val="fr-FR"/>
        </w:rPr>
        <w:t xml:space="preserve">office récepteur auprès duquel la demande est déposée ainsi que de celle des offices désignés et de leur législation nationale applicable pour ce qui est du </w:t>
      </w:r>
      <w:r w:rsidR="000E530E" w:rsidRPr="008B1668">
        <w:rPr>
          <w:spacing w:val="-2"/>
          <w:lang w:val="fr-FR"/>
        </w:rPr>
        <w:t>“</w:t>
      </w:r>
      <w:r w:rsidR="008A72BB" w:rsidRPr="008B1668">
        <w:rPr>
          <w:spacing w:val="-2"/>
          <w:lang w:val="fr-FR"/>
        </w:rPr>
        <w:t>sort</w:t>
      </w:r>
      <w:r w:rsidR="000E530E" w:rsidRPr="008B1668">
        <w:rPr>
          <w:spacing w:val="-2"/>
          <w:lang w:val="fr-FR"/>
        </w:rPr>
        <w:t>”</w:t>
      </w:r>
      <w:r w:rsidR="008A72BB" w:rsidRPr="008B1668">
        <w:rPr>
          <w:spacing w:val="-2"/>
          <w:lang w:val="fr-FR"/>
        </w:rPr>
        <w:t xml:space="preserve"> de toute revendication de priorité portant sur la même date figurant dans la demande internationale et, de fait, pour ce qui est du sort de toute requête en incorporation par renvoi de tout élément manquant ou partie manquante figurant dans une demande antérieure déposée à la date du dépôt international.</w:t>
      </w:r>
    </w:p>
    <w:p w:rsidR="003837A1" w:rsidRPr="008B1668" w:rsidRDefault="00C07CC7" w:rsidP="002213F4">
      <w:pPr>
        <w:pStyle w:val="ONUMFS"/>
        <w:rPr>
          <w:spacing w:val="-2"/>
          <w:lang w:val="fr-FR"/>
        </w:rPr>
      </w:pPr>
      <w:r w:rsidRPr="008B1668">
        <w:rPr>
          <w:spacing w:val="-2"/>
          <w:lang w:val="fr-FR"/>
        </w:rPr>
        <w:t>Le document PCT/WG/8/5 présentait quatre</w:t>
      </w:r>
      <w:r w:rsidR="002A191C" w:rsidRPr="008B1668">
        <w:rPr>
          <w:spacing w:val="-2"/>
          <w:lang w:val="fr-FR"/>
        </w:rPr>
        <w:t> </w:t>
      </w:r>
      <w:r w:rsidRPr="008B1668">
        <w:rPr>
          <w:spacing w:val="-2"/>
          <w:lang w:val="fr-FR"/>
        </w:rPr>
        <w:t>options possibles pour remédier aux différences d</w:t>
      </w:r>
      <w:r w:rsidR="009D1B7B" w:rsidRPr="008B1668">
        <w:rPr>
          <w:spacing w:val="-2"/>
          <w:lang w:val="fr-FR"/>
        </w:rPr>
        <w:t>’</w:t>
      </w:r>
      <w:r w:rsidRPr="008B1668">
        <w:rPr>
          <w:spacing w:val="-2"/>
          <w:lang w:val="fr-FR"/>
        </w:rPr>
        <w:t>interprétation de la Convention de Paris par les offices des États contractants</w:t>
      </w:r>
      <w:r w:rsidR="009D1B7B" w:rsidRPr="008B1668">
        <w:rPr>
          <w:spacing w:val="-2"/>
          <w:lang w:val="fr-FR"/>
        </w:rPr>
        <w:t xml:space="preserve"> du PCT</w:t>
      </w:r>
      <w:r w:rsidRPr="008B1668">
        <w:rPr>
          <w:spacing w:val="-2"/>
          <w:lang w:val="fr-FR"/>
        </w:rPr>
        <w:t xml:space="preserve"> quant </w:t>
      </w:r>
      <w:r w:rsidR="009D1B7B" w:rsidRPr="008B1668">
        <w:rPr>
          <w:spacing w:val="-2"/>
          <w:lang w:val="fr-FR"/>
        </w:rPr>
        <w:t>à savoir</w:t>
      </w:r>
      <w:r w:rsidRPr="008B1668">
        <w:rPr>
          <w:spacing w:val="-2"/>
          <w:lang w:val="fr-FR"/>
        </w:rPr>
        <w:t xml:space="preserve"> si les revendications de priorité portant sur la même date sont autorisées, </w:t>
      </w:r>
      <w:r w:rsidR="009D1B7B" w:rsidRPr="008B1668">
        <w:rPr>
          <w:spacing w:val="-2"/>
          <w:lang w:val="fr-FR"/>
        </w:rPr>
        <w:t>à savoir</w:t>
      </w:r>
      <w:r w:rsidRPr="008B1668">
        <w:rPr>
          <w:spacing w:val="-2"/>
          <w:lang w:val="fr-FR"/>
        </w:rPr>
        <w:t> : option</w:t>
      </w:r>
      <w:r w:rsidR="007870EA" w:rsidRPr="008B1668">
        <w:rPr>
          <w:spacing w:val="-2"/>
          <w:lang w:val="fr-FR"/>
        </w:rPr>
        <w:t> </w:t>
      </w:r>
      <w:r w:rsidRPr="008B1668">
        <w:rPr>
          <w:spacing w:val="-2"/>
          <w:lang w:val="fr-FR"/>
        </w:rPr>
        <w:t>1 : renvoyer la question à l</w:t>
      </w:r>
      <w:r w:rsidR="009D1B7B" w:rsidRPr="008B1668">
        <w:rPr>
          <w:spacing w:val="-2"/>
          <w:lang w:val="fr-FR"/>
        </w:rPr>
        <w:t>’</w:t>
      </w:r>
      <w:r w:rsidRPr="008B1668">
        <w:rPr>
          <w:spacing w:val="-2"/>
          <w:lang w:val="fr-FR"/>
        </w:rPr>
        <w:t>Assemblée de l</w:t>
      </w:r>
      <w:r w:rsidR="009D1B7B" w:rsidRPr="008B1668">
        <w:rPr>
          <w:spacing w:val="-2"/>
          <w:lang w:val="fr-FR"/>
        </w:rPr>
        <w:t>’</w:t>
      </w:r>
      <w:r w:rsidRPr="008B1668">
        <w:rPr>
          <w:spacing w:val="-2"/>
          <w:lang w:val="fr-FR"/>
        </w:rPr>
        <w:t>Union de Paris;  option</w:t>
      </w:r>
      <w:r w:rsidR="007870EA" w:rsidRPr="008B1668">
        <w:rPr>
          <w:spacing w:val="-2"/>
          <w:lang w:val="fr-FR"/>
        </w:rPr>
        <w:t> </w:t>
      </w:r>
      <w:r w:rsidRPr="008B1668">
        <w:rPr>
          <w:spacing w:val="-2"/>
          <w:lang w:val="fr-FR"/>
        </w:rPr>
        <w:t>2 :</w:t>
      </w:r>
      <w:r w:rsidR="002A191C" w:rsidRPr="008B1668">
        <w:rPr>
          <w:spacing w:val="-2"/>
          <w:lang w:val="fr-FR"/>
        </w:rPr>
        <w:t xml:space="preserve"> </w:t>
      </w:r>
      <w:r w:rsidRPr="008B1668">
        <w:rPr>
          <w:spacing w:val="-2"/>
          <w:lang w:val="fr-FR"/>
        </w:rPr>
        <w:t>laisser à l</w:t>
      </w:r>
      <w:r w:rsidR="009D1B7B" w:rsidRPr="008B1668">
        <w:rPr>
          <w:spacing w:val="-2"/>
          <w:lang w:val="fr-FR"/>
        </w:rPr>
        <w:t>’</w:t>
      </w:r>
      <w:r w:rsidRPr="008B1668">
        <w:rPr>
          <w:spacing w:val="-2"/>
          <w:lang w:val="fr-FR"/>
        </w:rPr>
        <w:t>Assemblée de l</w:t>
      </w:r>
      <w:r w:rsidR="009D1B7B" w:rsidRPr="008B1668">
        <w:rPr>
          <w:spacing w:val="-2"/>
          <w:lang w:val="fr-FR"/>
        </w:rPr>
        <w:t>’</w:t>
      </w:r>
      <w:r w:rsidRPr="008B1668">
        <w:rPr>
          <w:spacing w:val="-2"/>
          <w:lang w:val="fr-FR"/>
        </w:rPr>
        <w:t>Union</w:t>
      </w:r>
      <w:r w:rsidR="009D1B7B" w:rsidRPr="008B1668">
        <w:rPr>
          <w:spacing w:val="-2"/>
          <w:lang w:val="fr-FR"/>
        </w:rPr>
        <w:t xml:space="preserve"> du PCT</w:t>
      </w:r>
      <w:r w:rsidRPr="008B1668">
        <w:rPr>
          <w:spacing w:val="-2"/>
          <w:lang w:val="fr-FR"/>
        </w:rPr>
        <w:t xml:space="preserve"> le soin de statu</w:t>
      </w:r>
      <w:r w:rsidR="007870EA" w:rsidRPr="008B1668">
        <w:rPr>
          <w:spacing w:val="-2"/>
          <w:lang w:val="fr-FR"/>
        </w:rPr>
        <w:t>er sur la question;  option 3 : </w:t>
      </w:r>
      <w:r w:rsidRPr="008B1668">
        <w:rPr>
          <w:spacing w:val="-2"/>
          <w:lang w:val="fr-FR"/>
        </w:rPr>
        <w:t>modifier le règlement d</w:t>
      </w:r>
      <w:r w:rsidR="009D1B7B" w:rsidRPr="008B1668">
        <w:rPr>
          <w:spacing w:val="-2"/>
          <w:lang w:val="fr-FR"/>
        </w:rPr>
        <w:t>’</w:t>
      </w:r>
      <w:r w:rsidRPr="008B1668">
        <w:rPr>
          <w:spacing w:val="-2"/>
          <w:lang w:val="fr-FR"/>
        </w:rPr>
        <w:t>exécution</w:t>
      </w:r>
      <w:r w:rsidR="009D1B7B" w:rsidRPr="008B1668">
        <w:rPr>
          <w:spacing w:val="-2"/>
          <w:lang w:val="fr-FR"/>
        </w:rPr>
        <w:t xml:space="preserve"> du PCT</w:t>
      </w:r>
      <w:r w:rsidRPr="008B1668">
        <w:rPr>
          <w:spacing w:val="-2"/>
          <w:lang w:val="fr-FR"/>
        </w:rPr>
        <w:t xml:space="preserve"> pour préparer le terrain à une décision sur la question par les offices désignés dans</w:t>
      </w:r>
      <w:r w:rsidR="007870EA" w:rsidRPr="008B1668">
        <w:rPr>
          <w:spacing w:val="-2"/>
          <w:lang w:val="fr-FR"/>
        </w:rPr>
        <w:t xml:space="preserve"> la phase nationale;  et option </w:t>
      </w:r>
      <w:r w:rsidRPr="008B1668">
        <w:rPr>
          <w:spacing w:val="-2"/>
          <w:lang w:val="fr-FR"/>
        </w:rPr>
        <w:t>4 : laisser l</w:t>
      </w:r>
      <w:r w:rsidR="009D1B7B" w:rsidRPr="008B1668">
        <w:rPr>
          <w:spacing w:val="-2"/>
          <w:lang w:val="fr-FR"/>
        </w:rPr>
        <w:t>’</w:t>
      </w:r>
      <w:r w:rsidRPr="008B1668">
        <w:rPr>
          <w:spacing w:val="-2"/>
          <w:lang w:val="fr-FR"/>
        </w:rPr>
        <w:t>interprétation au soin des différents offices récepteu</w:t>
      </w:r>
      <w:r w:rsidR="007870EA" w:rsidRPr="008B1668">
        <w:rPr>
          <w:spacing w:val="-2"/>
          <w:lang w:val="fr-FR"/>
        </w:rPr>
        <w:t>rs.  Po</w:t>
      </w:r>
      <w:r w:rsidRPr="008B1668">
        <w:rPr>
          <w:spacing w:val="-2"/>
          <w:lang w:val="fr-FR"/>
        </w:rPr>
        <w:t>ur une description détaillée de ces quatre</w:t>
      </w:r>
      <w:r w:rsidR="002A191C" w:rsidRPr="008B1668">
        <w:rPr>
          <w:spacing w:val="-2"/>
          <w:lang w:val="fr-FR"/>
        </w:rPr>
        <w:t> </w:t>
      </w:r>
      <w:r w:rsidRPr="008B1668">
        <w:rPr>
          <w:spacing w:val="-2"/>
          <w:lang w:val="fr-FR"/>
        </w:rPr>
        <w:t>options possibles, voir le document PCT/WG/8/5.</w:t>
      </w:r>
    </w:p>
    <w:p w:rsidR="003837A1" w:rsidRPr="008B1668" w:rsidRDefault="00C07CC7" w:rsidP="002213F4">
      <w:pPr>
        <w:pStyle w:val="ONUMFS"/>
        <w:rPr>
          <w:spacing w:val="-2"/>
          <w:lang w:val="fr-FR"/>
        </w:rPr>
      </w:pPr>
      <w:r w:rsidRPr="008B1668">
        <w:rPr>
          <w:spacing w:val="-2"/>
          <w:lang w:val="fr-FR"/>
        </w:rPr>
        <w:t>Aucun consensus entre les États membres ne s</w:t>
      </w:r>
      <w:r w:rsidR="009D1B7B" w:rsidRPr="008B1668">
        <w:rPr>
          <w:spacing w:val="-2"/>
          <w:lang w:val="fr-FR"/>
        </w:rPr>
        <w:t>’</w:t>
      </w:r>
      <w:r w:rsidRPr="008B1668">
        <w:rPr>
          <w:spacing w:val="-2"/>
          <w:lang w:val="fr-FR"/>
        </w:rPr>
        <w:t>est dégagé sur cette question à la huitième</w:t>
      </w:r>
      <w:r w:rsidR="002A191C" w:rsidRPr="008B1668">
        <w:rPr>
          <w:spacing w:val="-2"/>
          <w:lang w:val="fr-FR"/>
        </w:rPr>
        <w:t> </w:t>
      </w:r>
      <w:r w:rsidRPr="008B1668">
        <w:rPr>
          <w:spacing w:val="-2"/>
          <w:lang w:val="fr-FR"/>
        </w:rPr>
        <w:t>session du groupe de trava</w:t>
      </w:r>
      <w:r w:rsidR="007870EA" w:rsidRPr="008B1668">
        <w:rPr>
          <w:spacing w:val="-2"/>
          <w:lang w:val="fr-FR"/>
        </w:rPr>
        <w:t>il.  Po</w:t>
      </w:r>
      <w:r w:rsidRPr="008B1668">
        <w:rPr>
          <w:spacing w:val="-2"/>
          <w:lang w:val="fr-FR"/>
        </w:rPr>
        <w:t>ur un compte rendu détaillé des discussions du groupe de travail à sa huitième</w:t>
      </w:r>
      <w:r w:rsidR="002A191C" w:rsidRPr="008B1668">
        <w:rPr>
          <w:spacing w:val="-2"/>
          <w:lang w:val="fr-FR"/>
        </w:rPr>
        <w:t> </w:t>
      </w:r>
      <w:r w:rsidRPr="008B1668">
        <w:rPr>
          <w:spacing w:val="-2"/>
          <w:lang w:val="fr-FR"/>
        </w:rPr>
        <w:t>session, voir le résumé présenté par le président de la session (paragraphes</w:t>
      </w:r>
      <w:r w:rsidR="002A191C" w:rsidRPr="008B1668">
        <w:rPr>
          <w:spacing w:val="-2"/>
          <w:lang w:val="fr-FR"/>
        </w:rPr>
        <w:t> </w:t>
      </w:r>
      <w:r w:rsidRPr="008B1668">
        <w:rPr>
          <w:spacing w:val="-2"/>
          <w:lang w:val="fr-FR"/>
        </w:rPr>
        <w:t>124 à</w:t>
      </w:r>
      <w:r w:rsidR="007870EA" w:rsidRPr="008B1668">
        <w:rPr>
          <w:spacing w:val="-2"/>
          <w:lang w:val="fr-FR"/>
        </w:rPr>
        <w:t> </w:t>
      </w:r>
      <w:r w:rsidRPr="008B1668">
        <w:rPr>
          <w:spacing w:val="-2"/>
          <w:lang w:val="fr-FR"/>
        </w:rPr>
        <w:t>131 du document PCT/WG/8/25) et le rapport de la session (paragraphes</w:t>
      </w:r>
      <w:r w:rsidR="002A191C" w:rsidRPr="008B1668">
        <w:rPr>
          <w:spacing w:val="-2"/>
          <w:lang w:val="fr-FR"/>
        </w:rPr>
        <w:t> </w:t>
      </w:r>
      <w:r w:rsidRPr="008B1668">
        <w:rPr>
          <w:spacing w:val="-2"/>
          <w:lang w:val="fr-FR"/>
        </w:rPr>
        <w:t>331 à</w:t>
      </w:r>
      <w:r w:rsidR="007870EA" w:rsidRPr="008B1668">
        <w:rPr>
          <w:spacing w:val="-2"/>
          <w:lang w:val="fr-FR"/>
        </w:rPr>
        <w:t> </w:t>
      </w:r>
      <w:r w:rsidRPr="008B1668">
        <w:rPr>
          <w:spacing w:val="-2"/>
          <w:lang w:val="fr-FR"/>
        </w:rPr>
        <w:t>352 du document PCT/WG/8/26).</w:t>
      </w:r>
      <w:r w:rsidR="0082207B" w:rsidRPr="008B1668">
        <w:rPr>
          <w:spacing w:val="-2"/>
          <w:lang w:val="fr-FR"/>
        </w:rPr>
        <w:t xml:space="preserve">  </w:t>
      </w:r>
      <w:r w:rsidR="00665AF5" w:rsidRPr="008B1668">
        <w:rPr>
          <w:spacing w:val="-2"/>
          <w:lang w:val="fr-FR"/>
        </w:rPr>
        <w:t>Compte tenu des divergences de vues, le groupe de travail a demandé au Bureau international d</w:t>
      </w:r>
      <w:r w:rsidR="009D1B7B" w:rsidRPr="008B1668">
        <w:rPr>
          <w:spacing w:val="-2"/>
          <w:lang w:val="fr-FR"/>
        </w:rPr>
        <w:t>’</w:t>
      </w:r>
      <w:r w:rsidR="00665AF5" w:rsidRPr="008B1668">
        <w:rPr>
          <w:spacing w:val="-2"/>
          <w:lang w:val="fr-FR"/>
        </w:rPr>
        <w:t>établir, pour examen à sa prochaine session, une proposition de modification du règlement d</w:t>
      </w:r>
      <w:r w:rsidR="009D1B7B" w:rsidRPr="008B1668">
        <w:rPr>
          <w:spacing w:val="-2"/>
          <w:lang w:val="fr-FR"/>
        </w:rPr>
        <w:t>’</w:t>
      </w:r>
      <w:r w:rsidR="00665AF5" w:rsidRPr="008B1668">
        <w:rPr>
          <w:spacing w:val="-2"/>
          <w:lang w:val="fr-FR"/>
        </w:rPr>
        <w:t>exécution</w:t>
      </w:r>
      <w:r w:rsidR="009D1B7B" w:rsidRPr="008B1668">
        <w:rPr>
          <w:spacing w:val="-2"/>
          <w:lang w:val="fr-FR"/>
        </w:rPr>
        <w:t xml:space="preserve"> du PCT</w:t>
      </w:r>
      <w:r w:rsidR="00665AF5" w:rsidRPr="008B1668">
        <w:rPr>
          <w:spacing w:val="-2"/>
          <w:lang w:val="fr-FR"/>
        </w:rPr>
        <w:t xml:space="preserve"> visant à exiger expressément des offices récepteurs qu</w:t>
      </w:r>
      <w:r w:rsidR="009D1B7B" w:rsidRPr="008B1668">
        <w:rPr>
          <w:spacing w:val="-2"/>
          <w:lang w:val="fr-FR"/>
        </w:rPr>
        <w:t>’</w:t>
      </w:r>
      <w:r w:rsidR="00665AF5" w:rsidRPr="008B1668">
        <w:rPr>
          <w:spacing w:val="-2"/>
          <w:lang w:val="fr-FR"/>
        </w:rPr>
        <w:t>ils n</w:t>
      </w:r>
      <w:r w:rsidR="009D1B7B" w:rsidRPr="008B1668">
        <w:rPr>
          <w:spacing w:val="-2"/>
          <w:lang w:val="fr-FR"/>
        </w:rPr>
        <w:t>’</w:t>
      </w:r>
      <w:r w:rsidR="00665AF5" w:rsidRPr="008B1668">
        <w:rPr>
          <w:spacing w:val="-2"/>
          <w:lang w:val="fr-FR"/>
        </w:rPr>
        <w:t>invalident pas les revendications de priorité portant sur la même date de façon à préparer le terrain pour que les décisions sur la question soient prises par les offices désignés dans la phase nationale conformément à leur législation nationale applicable.</w:t>
      </w:r>
    </w:p>
    <w:bookmarkEnd w:id="5"/>
    <w:p w:rsidR="003837A1" w:rsidRPr="008B1668" w:rsidRDefault="008E4D16" w:rsidP="0082207B">
      <w:pPr>
        <w:pStyle w:val="Heading1"/>
        <w:rPr>
          <w:spacing w:val="-2"/>
          <w:lang w:val="fr-FR"/>
        </w:rPr>
      </w:pPr>
      <w:r w:rsidRPr="008B1668">
        <w:rPr>
          <w:spacing w:val="-2"/>
          <w:lang w:val="fr-FR"/>
        </w:rPr>
        <w:t>P</w:t>
      </w:r>
      <w:r w:rsidR="00107E4C" w:rsidRPr="008B1668">
        <w:rPr>
          <w:spacing w:val="-2"/>
          <w:lang w:val="fr-FR"/>
        </w:rPr>
        <w:t>roposition</w:t>
      </w:r>
    </w:p>
    <w:p w:rsidR="003837A1" w:rsidRPr="008B1668" w:rsidRDefault="007F2550" w:rsidP="002213F4">
      <w:pPr>
        <w:pStyle w:val="ONUMFS"/>
        <w:rPr>
          <w:spacing w:val="-2"/>
          <w:lang w:val="fr-FR"/>
        </w:rPr>
      </w:pPr>
      <w:r w:rsidRPr="008B1668">
        <w:rPr>
          <w:spacing w:val="-2"/>
          <w:lang w:val="fr-FR"/>
        </w:rPr>
        <w:t>Comme suite à la demande du groupe de travail, et sur la base de ce qui était indiqué sous l</w:t>
      </w:r>
      <w:r w:rsidR="009D1B7B" w:rsidRPr="008B1668">
        <w:rPr>
          <w:spacing w:val="-2"/>
          <w:lang w:val="fr-FR"/>
        </w:rPr>
        <w:t>’</w:t>
      </w:r>
      <w:r w:rsidRPr="008B1668">
        <w:rPr>
          <w:spacing w:val="-2"/>
          <w:lang w:val="fr-FR"/>
        </w:rPr>
        <w:t>option</w:t>
      </w:r>
      <w:r w:rsidR="007870EA" w:rsidRPr="008B1668">
        <w:rPr>
          <w:spacing w:val="-2"/>
          <w:lang w:val="fr-FR"/>
        </w:rPr>
        <w:t> </w:t>
      </w:r>
      <w:r w:rsidRPr="008B1668">
        <w:rPr>
          <w:spacing w:val="-2"/>
          <w:lang w:val="fr-FR"/>
        </w:rPr>
        <w:t>3 dans le document PCT/WG/8/5, l</w:t>
      </w:r>
      <w:r w:rsidR="009D1B7B" w:rsidRPr="008B1668">
        <w:rPr>
          <w:spacing w:val="-2"/>
          <w:lang w:val="fr-FR"/>
        </w:rPr>
        <w:t>’</w:t>
      </w:r>
      <w:r w:rsidRPr="008B1668">
        <w:rPr>
          <w:spacing w:val="-2"/>
          <w:lang w:val="fr-FR"/>
        </w:rPr>
        <w:t>annexe du présent document contient une proposition de modification de la règle</w:t>
      </w:r>
      <w:r w:rsidR="002A191C" w:rsidRPr="008B1668">
        <w:rPr>
          <w:spacing w:val="-2"/>
          <w:lang w:val="fr-FR"/>
        </w:rPr>
        <w:t> </w:t>
      </w:r>
      <w:r w:rsidRPr="008B1668">
        <w:rPr>
          <w:spacing w:val="-2"/>
          <w:lang w:val="fr-FR"/>
        </w:rPr>
        <w:t>26</w:t>
      </w:r>
      <w:r w:rsidRPr="008B1668">
        <w:rPr>
          <w:i/>
          <w:spacing w:val="-2"/>
          <w:lang w:val="fr-FR"/>
        </w:rPr>
        <w:t>bis</w:t>
      </w:r>
      <w:r w:rsidRPr="008B1668">
        <w:rPr>
          <w:spacing w:val="-2"/>
          <w:lang w:val="fr-FR"/>
        </w:rPr>
        <w:t>.2.  Un nouvel alinéa a</w:t>
      </w:r>
      <w:r w:rsidR="007870EA" w:rsidRPr="008B1668">
        <w:rPr>
          <w:spacing w:val="-2"/>
          <w:lang w:val="fr-FR"/>
        </w:rPr>
        <w:noBreakHyphen/>
      </w:r>
      <w:r w:rsidRPr="008B1668">
        <w:rPr>
          <w:i/>
          <w:spacing w:val="-2"/>
          <w:lang w:val="fr-FR"/>
        </w:rPr>
        <w:t>bis</w:t>
      </w:r>
      <w:r w:rsidRPr="008B1668">
        <w:rPr>
          <w:spacing w:val="-2"/>
          <w:lang w:val="fr-FR"/>
        </w:rPr>
        <w:t>) a été ajouté à cette règle de façon à prévoir expressément que le fait que la date de dépôt de la demande antérieure visée à la règle 4.10.a)i) est la même que la date du dépôt international ne doit pas être considéré comme une irrégularité d</w:t>
      </w:r>
      <w:r w:rsidR="008E4D16" w:rsidRPr="008B1668">
        <w:rPr>
          <w:spacing w:val="-2"/>
          <w:lang w:val="fr-FR"/>
        </w:rPr>
        <w:t>ans</w:t>
      </w:r>
      <w:r w:rsidRPr="008B1668">
        <w:rPr>
          <w:spacing w:val="-2"/>
          <w:lang w:val="fr-FR"/>
        </w:rPr>
        <w:t xml:space="preserve"> la revendication de priorité </w:t>
      </w:r>
      <w:r w:rsidR="000E530E" w:rsidRPr="008B1668">
        <w:rPr>
          <w:spacing w:val="-2"/>
          <w:lang w:val="fr-FR"/>
        </w:rPr>
        <w:t>“</w:t>
      </w:r>
      <w:r w:rsidRPr="008B1668">
        <w:rPr>
          <w:spacing w:val="-2"/>
          <w:lang w:val="fr-FR"/>
        </w:rPr>
        <w:t>aux fins de la procédure prévue par le traité</w:t>
      </w:r>
      <w:r w:rsidR="000E530E" w:rsidRPr="008B1668">
        <w:rPr>
          <w:spacing w:val="-2"/>
          <w:lang w:val="fr-FR"/>
        </w:rPr>
        <w:t>”</w:t>
      </w:r>
      <w:r w:rsidRPr="008B1668">
        <w:rPr>
          <w:spacing w:val="-2"/>
          <w:lang w:val="fr-FR"/>
        </w:rPr>
        <w:t xml:space="preserve"> (c</w:t>
      </w:r>
      <w:r w:rsidR="009D1B7B" w:rsidRPr="008B1668">
        <w:rPr>
          <w:spacing w:val="-2"/>
          <w:lang w:val="fr-FR"/>
        </w:rPr>
        <w:t>’</w:t>
      </w:r>
      <w:r w:rsidRPr="008B1668">
        <w:rPr>
          <w:spacing w:val="-2"/>
          <w:lang w:val="fr-FR"/>
        </w:rPr>
        <w:t>est</w:t>
      </w:r>
      <w:r w:rsidR="007870EA" w:rsidRPr="008B1668">
        <w:rPr>
          <w:spacing w:val="-2"/>
          <w:lang w:val="fr-FR"/>
        </w:rPr>
        <w:noBreakHyphen/>
      </w:r>
      <w:r w:rsidRPr="008B1668">
        <w:rPr>
          <w:spacing w:val="-2"/>
          <w:lang w:val="fr-FR"/>
        </w:rPr>
        <w:t>à</w:t>
      </w:r>
      <w:r w:rsidR="007870EA" w:rsidRPr="008B1668">
        <w:rPr>
          <w:spacing w:val="-2"/>
          <w:lang w:val="fr-FR"/>
        </w:rPr>
        <w:noBreakHyphen/>
      </w:r>
      <w:r w:rsidRPr="008B1668">
        <w:rPr>
          <w:spacing w:val="-2"/>
          <w:lang w:val="fr-FR"/>
        </w:rPr>
        <w:t>dire, aux fins de la phase internationale de la procédure selon</w:t>
      </w:r>
      <w:r w:rsidR="009D1B7B" w:rsidRPr="008B1668">
        <w:rPr>
          <w:spacing w:val="-2"/>
          <w:lang w:val="fr-FR"/>
        </w:rPr>
        <w:t xml:space="preserve"> le PCT</w:t>
      </w:r>
      <w:r w:rsidRPr="008B1668">
        <w:rPr>
          <w:spacing w:val="-2"/>
          <w:lang w:val="fr-FR"/>
        </w:rPr>
        <w:t>;  voir le libellé de l</w:t>
      </w:r>
      <w:r w:rsidR="008E4D16" w:rsidRPr="008B1668">
        <w:rPr>
          <w:spacing w:val="-2"/>
          <w:lang w:val="fr-FR"/>
        </w:rPr>
        <w:t>a</w:t>
      </w:r>
      <w:r w:rsidRPr="008B1668">
        <w:rPr>
          <w:spacing w:val="-2"/>
          <w:lang w:val="fr-FR"/>
        </w:rPr>
        <w:t xml:space="preserve"> règle 26</w:t>
      </w:r>
      <w:r w:rsidRPr="008B1668">
        <w:rPr>
          <w:i/>
          <w:spacing w:val="-2"/>
          <w:lang w:val="fr-FR"/>
        </w:rPr>
        <w:t>bis</w:t>
      </w:r>
      <w:r w:rsidRPr="008B1668">
        <w:rPr>
          <w:spacing w:val="-2"/>
          <w:lang w:val="fr-FR"/>
        </w:rPr>
        <w:t>.2.b)</w:t>
      </w:r>
      <w:r w:rsidR="008E4D16" w:rsidRPr="008B1668">
        <w:rPr>
          <w:spacing w:val="-2"/>
          <w:lang w:val="fr-FR"/>
        </w:rPr>
        <w:t xml:space="preserve"> actuelle</w:t>
      </w:r>
      <w:r w:rsidRPr="008B1668">
        <w:rPr>
          <w:spacing w:val="-2"/>
          <w:lang w:val="fr-FR"/>
        </w:rPr>
        <w:t>).</w:t>
      </w:r>
    </w:p>
    <w:p w:rsidR="003837A1" w:rsidRPr="008B1668" w:rsidRDefault="007F2550" w:rsidP="008B1668">
      <w:pPr>
        <w:pStyle w:val="ONUMFS"/>
        <w:rPr>
          <w:spacing w:val="-2"/>
          <w:lang w:val="fr-FR"/>
        </w:rPr>
      </w:pPr>
      <w:r w:rsidRPr="008B1668">
        <w:rPr>
          <w:spacing w:val="-2"/>
          <w:lang w:val="fr-FR"/>
        </w:rPr>
        <w:t>En outre, il est proposé de modifier la règle 26</w:t>
      </w:r>
      <w:r w:rsidRPr="008B1668">
        <w:rPr>
          <w:i/>
          <w:spacing w:val="-2"/>
          <w:lang w:val="fr-FR"/>
        </w:rPr>
        <w:t>bis</w:t>
      </w:r>
      <w:r w:rsidRPr="008B1668">
        <w:rPr>
          <w:spacing w:val="-2"/>
          <w:lang w:val="fr-FR"/>
        </w:rPr>
        <w:t>.2.d) de manière à prévoir que le Bureau international publie, en même temps que la demande internationale, des informations sur toute revendication de priorité portant sur la même date, dont les modalités seraient prescrites par les instructions administratives, afin d</w:t>
      </w:r>
      <w:r w:rsidR="009D1B7B" w:rsidRPr="008B1668">
        <w:rPr>
          <w:spacing w:val="-2"/>
          <w:lang w:val="fr-FR"/>
        </w:rPr>
        <w:t>’</w:t>
      </w:r>
      <w:r w:rsidRPr="008B1668">
        <w:rPr>
          <w:spacing w:val="-2"/>
          <w:lang w:val="fr-FR"/>
        </w:rPr>
        <w:t>appeler spécifiquement l</w:t>
      </w:r>
      <w:r w:rsidR="009D1B7B" w:rsidRPr="008B1668">
        <w:rPr>
          <w:spacing w:val="-2"/>
          <w:lang w:val="fr-FR"/>
        </w:rPr>
        <w:t>’</w:t>
      </w:r>
      <w:r w:rsidRPr="008B1668">
        <w:rPr>
          <w:spacing w:val="-2"/>
          <w:lang w:val="fr-FR"/>
        </w:rPr>
        <w:t>intention sur le fait qu</w:t>
      </w:r>
      <w:r w:rsidR="009D1B7B" w:rsidRPr="008B1668">
        <w:rPr>
          <w:spacing w:val="-2"/>
          <w:lang w:val="fr-FR"/>
        </w:rPr>
        <w:t>’</w:t>
      </w:r>
      <w:r w:rsidRPr="008B1668">
        <w:rPr>
          <w:spacing w:val="-2"/>
          <w:lang w:val="fr-FR"/>
        </w:rPr>
        <w:t>une demande internationale contient une telle revendication de priorité (qui pourrait ne pas être reconnue par les offices désignés en vertu de la législation nationale applicable), dans l</w:t>
      </w:r>
      <w:r w:rsidR="009D1B7B" w:rsidRPr="008B1668">
        <w:rPr>
          <w:spacing w:val="-2"/>
          <w:lang w:val="fr-FR"/>
        </w:rPr>
        <w:t>’</w:t>
      </w:r>
      <w:r w:rsidRPr="008B1668">
        <w:rPr>
          <w:spacing w:val="-2"/>
          <w:lang w:val="fr-FR"/>
        </w:rPr>
        <w:t>intérêt des offices désignés et des tiers.</w:t>
      </w:r>
    </w:p>
    <w:p w:rsidR="003837A1" w:rsidRPr="008B1668" w:rsidRDefault="007F2550" w:rsidP="002213F4">
      <w:pPr>
        <w:pStyle w:val="ONUMFS"/>
        <w:rPr>
          <w:spacing w:val="-2"/>
          <w:lang w:val="fr-FR"/>
        </w:rPr>
      </w:pPr>
      <w:r w:rsidRPr="008B1668">
        <w:rPr>
          <w:spacing w:val="-2"/>
          <w:lang w:val="fr-FR"/>
        </w:rPr>
        <w:lastRenderedPageBreak/>
        <w:t>Le résultat de la modification proposée serait le suivant :</w:t>
      </w:r>
    </w:p>
    <w:p w:rsidR="003837A1" w:rsidRPr="008B1668" w:rsidRDefault="007F2550" w:rsidP="002213F4">
      <w:pPr>
        <w:pStyle w:val="ONUMFS"/>
        <w:numPr>
          <w:ilvl w:val="1"/>
          <w:numId w:val="6"/>
        </w:numPr>
        <w:rPr>
          <w:spacing w:val="-2"/>
          <w:lang w:val="fr-FR"/>
        </w:rPr>
      </w:pPr>
      <w:r w:rsidRPr="008B1668">
        <w:rPr>
          <w:spacing w:val="-2"/>
          <w:lang w:val="fr-FR"/>
        </w:rPr>
        <w:t>toute revendication de priorité portant sur le même jour serait maintenue dans la demande internationale;</w:t>
      </w:r>
    </w:p>
    <w:p w:rsidR="003837A1" w:rsidRPr="008B1668" w:rsidRDefault="006278C3" w:rsidP="002213F4">
      <w:pPr>
        <w:pStyle w:val="ONUMFS"/>
        <w:numPr>
          <w:ilvl w:val="1"/>
          <w:numId w:val="6"/>
        </w:numPr>
        <w:rPr>
          <w:spacing w:val="-2"/>
          <w:lang w:val="fr-FR"/>
        </w:rPr>
      </w:pPr>
      <w:r w:rsidRPr="008B1668">
        <w:rPr>
          <w:spacing w:val="-2"/>
          <w:lang w:val="fr-FR"/>
        </w:rPr>
        <w:t>toute revendication de priorité portant sur le même jour pourrait servir de base à l</w:t>
      </w:r>
      <w:r w:rsidR="009D1B7B" w:rsidRPr="008B1668">
        <w:rPr>
          <w:spacing w:val="-2"/>
          <w:lang w:val="fr-FR"/>
        </w:rPr>
        <w:t>’</w:t>
      </w:r>
      <w:r w:rsidRPr="008B1668">
        <w:rPr>
          <w:spacing w:val="-2"/>
          <w:lang w:val="fr-FR"/>
        </w:rPr>
        <w:t>incorporation par renvoi de tout élément manquant ou partie manquante (à moins que l</w:t>
      </w:r>
      <w:r w:rsidR="009D1B7B" w:rsidRPr="008B1668">
        <w:rPr>
          <w:spacing w:val="-2"/>
          <w:lang w:val="fr-FR"/>
        </w:rPr>
        <w:t>’</w:t>
      </w:r>
      <w:r w:rsidRPr="008B1668">
        <w:rPr>
          <w:spacing w:val="-2"/>
          <w:lang w:val="fr-FR"/>
        </w:rPr>
        <w:t>office récepteur a</w:t>
      </w:r>
      <w:r w:rsidR="008E4D16" w:rsidRPr="008B1668">
        <w:rPr>
          <w:spacing w:val="-2"/>
          <w:lang w:val="fr-FR"/>
        </w:rPr>
        <w:t>it</w:t>
      </w:r>
      <w:r w:rsidRPr="008B1668">
        <w:rPr>
          <w:spacing w:val="-2"/>
          <w:lang w:val="fr-FR"/>
        </w:rPr>
        <w:t xml:space="preserve"> notifié au Bureau international, en vertu de la règle 20.8.a) actuelle, que les dispositions</w:t>
      </w:r>
      <w:r w:rsidR="009D1B7B" w:rsidRPr="008B1668">
        <w:rPr>
          <w:spacing w:val="-2"/>
          <w:lang w:val="fr-FR"/>
        </w:rPr>
        <w:t xml:space="preserve"> du PCT</w:t>
      </w:r>
      <w:r w:rsidRPr="008B1668">
        <w:rPr>
          <w:spacing w:val="-2"/>
          <w:lang w:val="fr-FR"/>
        </w:rPr>
        <w:t xml:space="preserve"> concernant l</w:t>
      </w:r>
      <w:r w:rsidR="009D1B7B" w:rsidRPr="008B1668">
        <w:rPr>
          <w:spacing w:val="-2"/>
          <w:lang w:val="fr-FR"/>
        </w:rPr>
        <w:t>’</w:t>
      </w:r>
      <w:r w:rsidRPr="008B1668">
        <w:rPr>
          <w:spacing w:val="-2"/>
          <w:lang w:val="fr-FR"/>
        </w:rPr>
        <w:t>incorporation par renvoi ne sont pas compatibles avec la législation nationale appliqu</w:t>
      </w:r>
      <w:r w:rsidR="008E4D16" w:rsidRPr="008B1668">
        <w:rPr>
          <w:spacing w:val="-2"/>
          <w:lang w:val="fr-FR"/>
        </w:rPr>
        <w:t>é</w:t>
      </w:r>
      <w:r w:rsidRPr="008B1668">
        <w:rPr>
          <w:spacing w:val="-2"/>
          <w:lang w:val="fr-FR"/>
        </w:rPr>
        <w:t>e</w:t>
      </w:r>
      <w:r w:rsidR="008E4D16" w:rsidRPr="008B1668">
        <w:rPr>
          <w:spacing w:val="-2"/>
          <w:lang w:val="fr-FR"/>
        </w:rPr>
        <w:t xml:space="preserve"> par cet office</w:t>
      </w:r>
      <w:r w:rsidRPr="008B1668">
        <w:rPr>
          <w:spacing w:val="-2"/>
          <w:lang w:val="fr-FR"/>
        </w:rPr>
        <w:t>);</w:t>
      </w:r>
    </w:p>
    <w:p w:rsidR="003837A1" w:rsidRPr="008B1668" w:rsidRDefault="006278C3" w:rsidP="002213F4">
      <w:pPr>
        <w:pStyle w:val="ONUMFS"/>
        <w:numPr>
          <w:ilvl w:val="1"/>
          <w:numId w:val="6"/>
        </w:numPr>
        <w:rPr>
          <w:spacing w:val="-2"/>
          <w:lang w:val="fr-FR"/>
        </w:rPr>
      </w:pPr>
      <w:r w:rsidRPr="008B1668">
        <w:rPr>
          <w:spacing w:val="-2"/>
          <w:lang w:val="fr-FR"/>
        </w:rPr>
        <w:t>tout élément manquant ou partie manquante incorporé par renvoi par l</w:t>
      </w:r>
      <w:r w:rsidR="009D1B7B" w:rsidRPr="008B1668">
        <w:rPr>
          <w:spacing w:val="-2"/>
          <w:lang w:val="fr-FR"/>
        </w:rPr>
        <w:t>’</w:t>
      </w:r>
      <w:r w:rsidRPr="008B1668">
        <w:rPr>
          <w:spacing w:val="-2"/>
          <w:lang w:val="fr-FR"/>
        </w:rPr>
        <w:t>office récepteur serait pris en considération par l</w:t>
      </w:r>
      <w:r w:rsidR="009D1B7B" w:rsidRPr="008B1668">
        <w:rPr>
          <w:spacing w:val="-2"/>
          <w:lang w:val="fr-FR"/>
        </w:rPr>
        <w:t>’</w:t>
      </w:r>
      <w:r w:rsidRPr="008B1668">
        <w:rPr>
          <w:spacing w:val="-2"/>
          <w:lang w:val="fr-FR"/>
        </w:rPr>
        <w:t>administration chargée de la recherche internationale dans le cadre de la recherche internationale;</w:t>
      </w:r>
    </w:p>
    <w:p w:rsidR="003837A1" w:rsidRPr="008B1668" w:rsidRDefault="003837A1" w:rsidP="002213F4">
      <w:pPr>
        <w:pStyle w:val="ONUMFS"/>
        <w:numPr>
          <w:ilvl w:val="1"/>
          <w:numId w:val="6"/>
        </w:numPr>
        <w:rPr>
          <w:spacing w:val="-2"/>
          <w:lang w:val="fr-FR"/>
        </w:rPr>
      </w:pPr>
      <w:r w:rsidRPr="008B1668">
        <w:rPr>
          <w:spacing w:val="-2"/>
          <w:lang w:val="fr-FR"/>
        </w:rPr>
        <w:t>chaque office désigné déciderait, en fonction de la législation nationale qu</w:t>
      </w:r>
      <w:r w:rsidR="009D1B7B" w:rsidRPr="008B1668">
        <w:rPr>
          <w:spacing w:val="-2"/>
          <w:lang w:val="fr-FR"/>
        </w:rPr>
        <w:t>’</w:t>
      </w:r>
      <w:r w:rsidRPr="008B1668">
        <w:rPr>
          <w:spacing w:val="-2"/>
          <w:lang w:val="fr-FR"/>
        </w:rPr>
        <w:t>il applique, s</w:t>
      </w:r>
      <w:r w:rsidR="009D1B7B" w:rsidRPr="008B1668">
        <w:rPr>
          <w:spacing w:val="-2"/>
          <w:lang w:val="fr-FR"/>
        </w:rPr>
        <w:t>’</w:t>
      </w:r>
      <w:r w:rsidRPr="008B1668">
        <w:rPr>
          <w:spacing w:val="-2"/>
          <w:lang w:val="fr-FR"/>
        </w:rPr>
        <w:t>il y a lieu d</w:t>
      </w:r>
      <w:r w:rsidR="009D1B7B" w:rsidRPr="008B1668">
        <w:rPr>
          <w:spacing w:val="-2"/>
          <w:lang w:val="fr-FR"/>
        </w:rPr>
        <w:t>’</w:t>
      </w:r>
      <w:r w:rsidRPr="008B1668">
        <w:rPr>
          <w:spacing w:val="-2"/>
          <w:lang w:val="fr-FR"/>
        </w:rPr>
        <w:t xml:space="preserve">accepter toute revendication de priorité </w:t>
      </w:r>
      <w:r w:rsidR="000E530E" w:rsidRPr="008B1668">
        <w:rPr>
          <w:spacing w:val="-2"/>
          <w:lang w:val="fr-FR"/>
        </w:rPr>
        <w:t>portant</w:t>
      </w:r>
      <w:r w:rsidRPr="008B1668">
        <w:rPr>
          <w:spacing w:val="-2"/>
          <w:lang w:val="fr-FR"/>
        </w:rPr>
        <w:t xml:space="preserve"> sur la même date et, par conséquent, s</w:t>
      </w:r>
      <w:r w:rsidR="009D1B7B" w:rsidRPr="008B1668">
        <w:rPr>
          <w:spacing w:val="-2"/>
          <w:lang w:val="fr-FR"/>
        </w:rPr>
        <w:t>’</w:t>
      </w:r>
      <w:r w:rsidRPr="008B1668">
        <w:rPr>
          <w:spacing w:val="-2"/>
          <w:lang w:val="fr-FR"/>
        </w:rPr>
        <w:t>il y a lieu d</w:t>
      </w:r>
      <w:r w:rsidR="009D1B7B" w:rsidRPr="008B1668">
        <w:rPr>
          <w:spacing w:val="-2"/>
          <w:lang w:val="fr-FR"/>
        </w:rPr>
        <w:t>’</w:t>
      </w:r>
      <w:r w:rsidRPr="008B1668">
        <w:rPr>
          <w:spacing w:val="-2"/>
          <w:lang w:val="fr-FR"/>
        </w:rPr>
        <w:t>accepter l</w:t>
      </w:r>
      <w:r w:rsidR="009D1B7B" w:rsidRPr="008B1668">
        <w:rPr>
          <w:spacing w:val="-2"/>
          <w:lang w:val="fr-FR"/>
        </w:rPr>
        <w:t>’</w:t>
      </w:r>
      <w:r w:rsidRPr="008B1668">
        <w:rPr>
          <w:spacing w:val="-2"/>
          <w:lang w:val="fr-FR"/>
        </w:rPr>
        <w:t>incorporation par renvoi de tout élément manquant ou partie manquante con</w:t>
      </w:r>
      <w:r w:rsidR="007870EA" w:rsidRPr="008B1668">
        <w:rPr>
          <w:spacing w:val="-2"/>
          <w:lang w:val="fr-FR"/>
        </w:rPr>
        <w:t>formément à la règle 20.6.b) et </w:t>
      </w:r>
      <w:r w:rsidRPr="008B1668">
        <w:rPr>
          <w:spacing w:val="-2"/>
          <w:lang w:val="fr-FR"/>
        </w:rPr>
        <w:t>c)</w:t>
      </w:r>
      <w:r w:rsidR="007870EA" w:rsidRPr="008B1668">
        <w:rPr>
          <w:spacing w:val="-2"/>
          <w:lang w:val="fr-FR"/>
        </w:rPr>
        <w:t xml:space="preserve"> </w:t>
      </w:r>
      <w:r w:rsidRPr="008B1668">
        <w:rPr>
          <w:spacing w:val="-2"/>
          <w:lang w:val="fr-FR"/>
        </w:rPr>
        <w:t>lorsque cette revendication de priorité portant sur la même date sert de base à l</w:t>
      </w:r>
      <w:r w:rsidR="009D1B7B" w:rsidRPr="008B1668">
        <w:rPr>
          <w:spacing w:val="-2"/>
          <w:lang w:val="fr-FR"/>
        </w:rPr>
        <w:t>’</w:t>
      </w:r>
      <w:r w:rsidRPr="008B1668">
        <w:rPr>
          <w:spacing w:val="-2"/>
          <w:lang w:val="fr-FR"/>
        </w:rPr>
        <w:t>incorporation par renvoi (sauf si l</w:t>
      </w:r>
      <w:r w:rsidR="009D1B7B" w:rsidRPr="008B1668">
        <w:rPr>
          <w:spacing w:val="-2"/>
          <w:lang w:val="fr-FR"/>
        </w:rPr>
        <w:t>’</w:t>
      </w:r>
      <w:r w:rsidRPr="008B1668">
        <w:rPr>
          <w:spacing w:val="-2"/>
          <w:lang w:val="fr-FR"/>
        </w:rPr>
        <w:t xml:space="preserve">office désigné </w:t>
      </w:r>
      <w:r w:rsidR="000E530E" w:rsidRPr="008B1668">
        <w:rPr>
          <w:spacing w:val="-2"/>
          <w:lang w:val="fr-FR"/>
        </w:rPr>
        <w:t>a</w:t>
      </w:r>
      <w:r w:rsidRPr="008B1668">
        <w:rPr>
          <w:spacing w:val="-2"/>
          <w:lang w:val="fr-FR"/>
        </w:rPr>
        <w:t xml:space="preserve"> informé le Bureau international en vertu de la règle</w:t>
      </w:r>
      <w:r w:rsidR="002A191C" w:rsidRPr="008B1668">
        <w:rPr>
          <w:spacing w:val="-2"/>
          <w:lang w:val="fr-FR"/>
        </w:rPr>
        <w:t> </w:t>
      </w:r>
      <w:r w:rsidRPr="008B1668">
        <w:rPr>
          <w:spacing w:val="-2"/>
          <w:lang w:val="fr-FR"/>
        </w:rPr>
        <w:t>20.8.b) actuelle que les dispositions</w:t>
      </w:r>
      <w:r w:rsidR="009D1B7B" w:rsidRPr="008B1668">
        <w:rPr>
          <w:spacing w:val="-2"/>
          <w:lang w:val="fr-FR"/>
        </w:rPr>
        <w:t xml:space="preserve"> du PCT</w:t>
      </w:r>
      <w:r w:rsidRPr="008B1668">
        <w:rPr>
          <w:spacing w:val="-2"/>
          <w:lang w:val="fr-FR"/>
        </w:rPr>
        <w:t xml:space="preserve"> concernant l</w:t>
      </w:r>
      <w:r w:rsidR="009D1B7B" w:rsidRPr="008B1668">
        <w:rPr>
          <w:spacing w:val="-2"/>
          <w:lang w:val="fr-FR"/>
        </w:rPr>
        <w:t>’</w:t>
      </w:r>
      <w:r w:rsidRPr="008B1668">
        <w:rPr>
          <w:spacing w:val="-2"/>
          <w:lang w:val="fr-FR"/>
        </w:rPr>
        <w:t>incorporation par renvoi ne sont pas compatibles avec la législation nationale appliqu</w:t>
      </w:r>
      <w:r w:rsidR="008E4D16" w:rsidRPr="008B1668">
        <w:rPr>
          <w:spacing w:val="-2"/>
          <w:lang w:val="fr-FR"/>
        </w:rPr>
        <w:t>é</w:t>
      </w:r>
      <w:r w:rsidRPr="008B1668">
        <w:rPr>
          <w:spacing w:val="-2"/>
          <w:lang w:val="fr-FR"/>
        </w:rPr>
        <w:t>e</w:t>
      </w:r>
      <w:r w:rsidR="008E4D16" w:rsidRPr="008B1668">
        <w:rPr>
          <w:spacing w:val="-2"/>
          <w:lang w:val="fr-FR"/>
        </w:rPr>
        <w:t xml:space="preserve"> par cet office</w:t>
      </w:r>
      <w:r w:rsidRPr="008B1668">
        <w:rPr>
          <w:spacing w:val="-2"/>
          <w:lang w:val="fr-FR"/>
        </w:rPr>
        <w:t>).</w:t>
      </w:r>
    </w:p>
    <w:p w:rsidR="003837A1" w:rsidRPr="008B1668" w:rsidRDefault="00834754" w:rsidP="002213F4">
      <w:pPr>
        <w:pStyle w:val="ONUMFS"/>
        <w:rPr>
          <w:spacing w:val="-2"/>
          <w:lang w:val="fr-FR"/>
        </w:rPr>
      </w:pPr>
      <w:r w:rsidRPr="008B1668">
        <w:rPr>
          <w:spacing w:val="-2"/>
          <w:lang w:val="fr-FR"/>
        </w:rPr>
        <w:t xml:space="preserve">Le tableau figurant sur la page </w:t>
      </w:r>
      <w:r w:rsidR="000E530E" w:rsidRPr="008B1668">
        <w:rPr>
          <w:spacing w:val="-2"/>
          <w:lang w:val="fr-FR"/>
        </w:rPr>
        <w:t>suivante</w:t>
      </w:r>
      <w:r w:rsidRPr="008B1668">
        <w:rPr>
          <w:spacing w:val="-2"/>
          <w:lang w:val="fr-FR"/>
        </w:rPr>
        <w:t xml:space="preserve"> illustre les résultats de la modification qu</w:t>
      </w:r>
      <w:r w:rsidR="009D1B7B" w:rsidRPr="008B1668">
        <w:rPr>
          <w:spacing w:val="-2"/>
          <w:lang w:val="fr-FR"/>
        </w:rPr>
        <w:t>’</w:t>
      </w:r>
      <w:r w:rsidRPr="008B1668">
        <w:rPr>
          <w:spacing w:val="-2"/>
          <w:lang w:val="fr-FR"/>
        </w:rPr>
        <w:t>il est proposé d</w:t>
      </w:r>
      <w:r w:rsidR="009D1B7B" w:rsidRPr="008B1668">
        <w:rPr>
          <w:spacing w:val="-2"/>
          <w:lang w:val="fr-FR"/>
        </w:rPr>
        <w:t>’</w:t>
      </w:r>
      <w:r w:rsidRPr="008B1668">
        <w:rPr>
          <w:spacing w:val="-2"/>
          <w:lang w:val="fr-FR"/>
        </w:rPr>
        <w:t>apporter au règlement d</w:t>
      </w:r>
      <w:r w:rsidR="009D1B7B" w:rsidRPr="008B1668">
        <w:rPr>
          <w:spacing w:val="-2"/>
          <w:lang w:val="fr-FR"/>
        </w:rPr>
        <w:t>’</w:t>
      </w:r>
      <w:r w:rsidRPr="008B1668">
        <w:rPr>
          <w:spacing w:val="-2"/>
          <w:lang w:val="fr-FR"/>
        </w:rPr>
        <w:t>exécution</w:t>
      </w:r>
      <w:r w:rsidR="009D1B7B" w:rsidRPr="008B1668">
        <w:rPr>
          <w:spacing w:val="-2"/>
          <w:lang w:val="fr-FR"/>
        </w:rPr>
        <w:t xml:space="preserve"> du PCT</w:t>
      </w:r>
      <w:r w:rsidRPr="008B1668">
        <w:rPr>
          <w:spacing w:val="-2"/>
          <w:lang w:val="fr-FR"/>
        </w:rPr>
        <w:t xml:space="preserve"> en ce qui concerne les revendications de priorité portant sur la même date.</w:t>
      </w:r>
    </w:p>
    <w:p w:rsidR="003837A1" w:rsidRPr="008B1668" w:rsidRDefault="00834754" w:rsidP="002213F4">
      <w:pPr>
        <w:pStyle w:val="ONUMFS"/>
        <w:rPr>
          <w:spacing w:val="-2"/>
          <w:lang w:val="fr-FR"/>
        </w:rPr>
      </w:pPr>
      <w:r w:rsidRPr="008B1668">
        <w:rPr>
          <w:spacing w:val="-2"/>
          <w:lang w:val="fr-FR"/>
        </w:rPr>
        <w:t>Dans ce contexte, le Bureau international est d</w:t>
      </w:r>
      <w:r w:rsidR="009D1B7B" w:rsidRPr="008B1668">
        <w:rPr>
          <w:spacing w:val="-2"/>
          <w:lang w:val="fr-FR"/>
        </w:rPr>
        <w:t>’</w:t>
      </w:r>
      <w:r w:rsidRPr="008B1668">
        <w:rPr>
          <w:spacing w:val="-2"/>
          <w:lang w:val="fr-FR"/>
        </w:rPr>
        <w:t>avis que le groupe de travail voudra peut</w:t>
      </w:r>
      <w:r w:rsidR="007870EA" w:rsidRPr="008B1668">
        <w:rPr>
          <w:spacing w:val="-2"/>
          <w:lang w:val="fr-FR"/>
        </w:rPr>
        <w:noBreakHyphen/>
      </w:r>
      <w:r w:rsidRPr="008B1668">
        <w:rPr>
          <w:spacing w:val="-2"/>
          <w:lang w:val="fr-FR"/>
        </w:rPr>
        <w:t>être prendre en considération ce qui suit</w:t>
      </w:r>
      <w:r w:rsidR="002A191C" w:rsidRPr="008B1668">
        <w:rPr>
          <w:spacing w:val="-2"/>
          <w:lang w:val="fr-FR"/>
        </w:rPr>
        <w:t> </w:t>
      </w:r>
      <w:r w:rsidRPr="008B1668">
        <w:rPr>
          <w:spacing w:val="-2"/>
          <w:lang w:val="fr-FR"/>
        </w:rPr>
        <w:t>:</w:t>
      </w:r>
    </w:p>
    <w:p w:rsidR="003837A1" w:rsidRPr="008B1668" w:rsidRDefault="00834754" w:rsidP="002213F4">
      <w:pPr>
        <w:pStyle w:val="ONUMFS"/>
        <w:numPr>
          <w:ilvl w:val="1"/>
          <w:numId w:val="6"/>
        </w:numPr>
        <w:rPr>
          <w:spacing w:val="-2"/>
          <w:lang w:val="fr-FR"/>
        </w:rPr>
      </w:pPr>
      <w:r w:rsidRPr="008B1668">
        <w:rPr>
          <w:spacing w:val="-2"/>
          <w:lang w:val="fr-FR"/>
        </w:rPr>
        <w:t>Premièrement, ainsi qu</w:t>
      </w:r>
      <w:r w:rsidR="009D1B7B" w:rsidRPr="008B1668">
        <w:rPr>
          <w:spacing w:val="-2"/>
          <w:lang w:val="fr-FR"/>
        </w:rPr>
        <w:t>’</w:t>
      </w:r>
      <w:r w:rsidRPr="008B1668">
        <w:rPr>
          <w:spacing w:val="-2"/>
          <w:lang w:val="fr-FR"/>
        </w:rPr>
        <w:t>il est indiqué dans le document PCT/WG/8/5, l</w:t>
      </w:r>
      <w:r w:rsidR="009D1B7B" w:rsidRPr="008B1668">
        <w:rPr>
          <w:spacing w:val="-2"/>
          <w:lang w:val="fr-FR"/>
        </w:rPr>
        <w:t>’</w:t>
      </w:r>
      <w:r w:rsidRPr="008B1668">
        <w:rPr>
          <w:spacing w:val="-2"/>
          <w:lang w:val="fr-FR"/>
        </w:rPr>
        <w:t>étendue du problème est très, très limit</w:t>
      </w:r>
      <w:r w:rsidR="007870EA" w:rsidRPr="008B1668">
        <w:rPr>
          <w:spacing w:val="-2"/>
          <w:lang w:val="fr-FR"/>
        </w:rPr>
        <w:t>ée.  En</w:t>
      </w:r>
      <w:r w:rsidR="002A191C" w:rsidRPr="008B1668">
        <w:rPr>
          <w:spacing w:val="-2"/>
          <w:lang w:val="fr-FR"/>
        </w:rPr>
        <w:t> </w:t>
      </w:r>
      <w:r w:rsidRPr="008B1668">
        <w:rPr>
          <w:spacing w:val="-2"/>
          <w:lang w:val="fr-FR"/>
        </w:rPr>
        <w:t>2013, sur les 200 demandes internationales revendiquant la priorité d</w:t>
      </w:r>
      <w:r w:rsidR="009D1B7B" w:rsidRPr="008B1668">
        <w:rPr>
          <w:spacing w:val="-2"/>
          <w:lang w:val="fr-FR"/>
        </w:rPr>
        <w:t>’</w:t>
      </w:r>
      <w:r w:rsidRPr="008B1668">
        <w:rPr>
          <w:spacing w:val="-2"/>
          <w:lang w:val="fr-FR"/>
        </w:rPr>
        <w:t>une demande antérieure déposée à la date du dépôt international, deux</w:t>
      </w:r>
      <w:r w:rsidR="007870EA" w:rsidRPr="008B1668">
        <w:rPr>
          <w:spacing w:val="-2"/>
          <w:lang w:val="fr-FR"/>
        </w:rPr>
        <w:t xml:space="preserve"> </w:t>
      </w:r>
      <w:r w:rsidRPr="008B1668">
        <w:rPr>
          <w:spacing w:val="-2"/>
          <w:lang w:val="fr-FR"/>
        </w:rPr>
        <w:t>seulement ont fait l</w:t>
      </w:r>
      <w:r w:rsidR="009D1B7B" w:rsidRPr="008B1668">
        <w:rPr>
          <w:spacing w:val="-2"/>
          <w:lang w:val="fr-FR"/>
        </w:rPr>
        <w:t>’</w:t>
      </w:r>
      <w:r w:rsidRPr="008B1668">
        <w:rPr>
          <w:spacing w:val="-2"/>
          <w:lang w:val="fr-FR"/>
        </w:rPr>
        <w:t>objet d</w:t>
      </w:r>
      <w:r w:rsidR="009D1B7B" w:rsidRPr="008B1668">
        <w:rPr>
          <w:spacing w:val="-2"/>
          <w:lang w:val="fr-FR"/>
        </w:rPr>
        <w:t>’</w:t>
      </w:r>
      <w:r w:rsidRPr="008B1668">
        <w:rPr>
          <w:spacing w:val="-2"/>
          <w:lang w:val="fr-FR"/>
        </w:rPr>
        <w:t>une requête en incorporation par renvoi d</w:t>
      </w:r>
      <w:r w:rsidR="009D1B7B" w:rsidRPr="008B1668">
        <w:rPr>
          <w:spacing w:val="-2"/>
          <w:lang w:val="fr-FR"/>
        </w:rPr>
        <w:t>’</w:t>
      </w:r>
      <w:r w:rsidRPr="008B1668">
        <w:rPr>
          <w:spacing w:val="-2"/>
          <w:lang w:val="fr-FR"/>
        </w:rPr>
        <w:t>un élément manquant ou d</w:t>
      </w:r>
      <w:r w:rsidR="009D1B7B" w:rsidRPr="008B1668">
        <w:rPr>
          <w:spacing w:val="-2"/>
          <w:lang w:val="fr-FR"/>
        </w:rPr>
        <w:t>’</w:t>
      </w:r>
      <w:r w:rsidRPr="008B1668">
        <w:rPr>
          <w:spacing w:val="-2"/>
          <w:lang w:val="fr-FR"/>
        </w:rPr>
        <w:t>une partie manquan</w:t>
      </w:r>
      <w:r w:rsidR="007870EA" w:rsidRPr="008B1668">
        <w:rPr>
          <w:spacing w:val="-2"/>
          <w:lang w:val="fr-FR"/>
        </w:rPr>
        <w:t>te.  Ce</w:t>
      </w:r>
      <w:r w:rsidR="00B1259F" w:rsidRPr="008B1668">
        <w:rPr>
          <w:spacing w:val="-2"/>
          <w:lang w:val="fr-FR"/>
        </w:rPr>
        <w:t xml:space="preserve">la dit, il ne fait aucun doute que la combinaison de la </w:t>
      </w:r>
      <w:r w:rsidR="000E530E" w:rsidRPr="008B1668">
        <w:rPr>
          <w:spacing w:val="-2"/>
          <w:lang w:val="fr-FR"/>
        </w:rPr>
        <w:t>“</w:t>
      </w:r>
      <w:r w:rsidR="00B1259F" w:rsidRPr="008B1668">
        <w:rPr>
          <w:spacing w:val="-2"/>
          <w:lang w:val="fr-FR"/>
        </w:rPr>
        <w:t>revendication de priorité portant sur la même date</w:t>
      </w:r>
      <w:r w:rsidR="000E530E" w:rsidRPr="008B1668">
        <w:rPr>
          <w:spacing w:val="-2"/>
          <w:lang w:val="fr-FR"/>
        </w:rPr>
        <w:t>”</w:t>
      </w:r>
      <w:r w:rsidR="00B1259F" w:rsidRPr="008B1668">
        <w:rPr>
          <w:spacing w:val="-2"/>
          <w:lang w:val="fr-FR"/>
        </w:rPr>
        <w:t xml:space="preserve"> et</w:t>
      </w:r>
      <w:r w:rsidR="008E4D16" w:rsidRPr="008B1668">
        <w:rPr>
          <w:spacing w:val="-2"/>
          <w:lang w:val="fr-FR"/>
        </w:rPr>
        <w:t xml:space="preserve"> de</w:t>
      </w:r>
      <w:r w:rsidR="00B1259F" w:rsidRPr="008B1668">
        <w:rPr>
          <w:spacing w:val="-2"/>
          <w:lang w:val="fr-FR"/>
        </w:rPr>
        <w:t xml:space="preserve"> l</w:t>
      </w:r>
      <w:r w:rsidR="009D1B7B" w:rsidRPr="008B1668">
        <w:rPr>
          <w:spacing w:val="-2"/>
          <w:lang w:val="fr-FR"/>
        </w:rPr>
        <w:t>’</w:t>
      </w:r>
      <w:r w:rsidR="000E530E" w:rsidRPr="008B1668">
        <w:rPr>
          <w:spacing w:val="-2"/>
          <w:lang w:val="fr-FR"/>
        </w:rPr>
        <w:t>“</w:t>
      </w:r>
      <w:r w:rsidR="00B1259F" w:rsidRPr="008B1668">
        <w:rPr>
          <w:spacing w:val="-2"/>
          <w:lang w:val="fr-FR"/>
        </w:rPr>
        <w:t>incorporation par renvoi</w:t>
      </w:r>
      <w:r w:rsidR="000E530E" w:rsidRPr="008B1668">
        <w:rPr>
          <w:spacing w:val="-2"/>
          <w:lang w:val="fr-FR"/>
        </w:rPr>
        <w:t>”</w:t>
      </w:r>
      <w:r w:rsidR="00B1259F" w:rsidRPr="008B1668">
        <w:rPr>
          <w:spacing w:val="-2"/>
          <w:lang w:val="fr-FR"/>
        </w:rPr>
        <w:t xml:space="preserve"> est utilisée et est importante pour certains déposants.</w:t>
      </w:r>
    </w:p>
    <w:p w:rsidR="003837A1" w:rsidRPr="008B1668" w:rsidRDefault="00173F16" w:rsidP="002213F4">
      <w:pPr>
        <w:pStyle w:val="ONUMFS"/>
        <w:numPr>
          <w:ilvl w:val="1"/>
          <w:numId w:val="6"/>
        </w:numPr>
        <w:rPr>
          <w:spacing w:val="-2"/>
          <w:lang w:val="fr-FR"/>
        </w:rPr>
      </w:pPr>
      <w:r w:rsidRPr="008B1668">
        <w:rPr>
          <w:spacing w:val="-2"/>
          <w:lang w:val="fr-FR"/>
        </w:rPr>
        <w:t>Deuxièmement, il faut reconnaître que, bien que profitant indéniablement à un très petit nombre de demandes internationales, la modification proposée dans l</w:t>
      </w:r>
      <w:r w:rsidR="009D1B7B" w:rsidRPr="008B1668">
        <w:rPr>
          <w:spacing w:val="-2"/>
          <w:lang w:val="fr-FR"/>
        </w:rPr>
        <w:t>’</w:t>
      </w:r>
      <w:r w:rsidRPr="008B1668">
        <w:rPr>
          <w:spacing w:val="-2"/>
          <w:lang w:val="fr-FR"/>
        </w:rPr>
        <w:t>annexe du présent document aurait pour résultat concret de rendre la procédure dans la phase nationale pour les demandes revendiquant la priorité d</w:t>
      </w:r>
      <w:r w:rsidR="009D1B7B" w:rsidRPr="008B1668">
        <w:rPr>
          <w:spacing w:val="-2"/>
          <w:lang w:val="fr-FR"/>
        </w:rPr>
        <w:t>’</w:t>
      </w:r>
      <w:r w:rsidRPr="008B1668">
        <w:rPr>
          <w:spacing w:val="-2"/>
          <w:lang w:val="fr-FR"/>
        </w:rPr>
        <w:t>une demande déposée à la même date que la demande internationale et demandant l</w:t>
      </w:r>
      <w:r w:rsidR="009D1B7B" w:rsidRPr="008B1668">
        <w:rPr>
          <w:spacing w:val="-2"/>
          <w:lang w:val="fr-FR"/>
        </w:rPr>
        <w:t>’</w:t>
      </w:r>
      <w:r w:rsidRPr="008B1668">
        <w:rPr>
          <w:spacing w:val="-2"/>
          <w:lang w:val="fr-FR"/>
        </w:rPr>
        <w:t xml:space="preserve">incorporation par renvoi de tout élément manquant ou partie manquante sur la base de cette revendication de priorité </w:t>
      </w:r>
      <w:r w:rsidRPr="008B1668">
        <w:rPr>
          <w:i/>
          <w:spacing w:val="-2"/>
          <w:lang w:val="fr-FR"/>
        </w:rPr>
        <w:t>plus complexe</w:t>
      </w:r>
      <w:r w:rsidRPr="008B1668">
        <w:rPr>
          <w:spacing w:val="-2"/>
          <w:lang w:val="fr-FR"/>
        </w:rPr>
        <w:t xml:space="preserve"> pour la plupart des offices désign</w:t>
      </w:r>
      <w:r w:rsidR="007870EA" w:rsidRPr="008B1668">
        <w:rPr>
          <w:spacing w:val="-2"/>
          <w:lang w:val="fr-FR"/>
        </w:rPr>
        <w:t xml:space="preserve">és.  À </w:t>
      </w:r>
      <w:r w:rsidRPr="008B1668">
        <w:rPr>
          <w:spacing w:val="-2"/>
          <w:lang w:val="fr-FR"/>
        </w:rPr>
        <w:t>l</w:t>
      </w:r>
      <w:r w:rsidR="009D1B7B" w:rsidRPr="008B1668">
        <w:rPr>
          <w:spacing w:val="-2"/>
          <w:lang w:val="fr-FR"/>
        </w:rPr>
        <w:t>’</w:t>
      </w:r>
      <w:r w:rsidRPr="008B1668">
        <w:rPr>
          <w:spacing w:val="-2"/>
          <w:lang w:val="fr-FR"/>
        </w:rPr>
        <w:t>heure actuelle, il s</w:t>
      </w:r>
      <w:r w:rsidR="009D1B7B" w:rsidRPr="008B1668">
        <w:rPr>
          <w:spacing w:val="-2"/>
          <w:lang w:val="fr-FR"/>
        </w:rPr>
        <w:t>’</w:t>
      </w:r>
      <w:r w:rsidRPr="008B1668">
        <w:rPr>
          <w:spacing w:val="-2"/>
          <w:lang w:val="fr-FR"/>
        </w:rPr>
        <w:t>avère que la majorité des offices désignés n</w:t>
      </w:r>
      <w:r w:rsidR="009D1B7B" w:rsidRPr="008B1668">
        <w:rPr>
          <w:spacing w:val="-2"/>
          <w:lang w:val="fr-FR"/>
        </w:rPr>
        <w:t>’</w:t>
      </w:r>
      <w:r w:rsidRPr="008B1668">
        <w:rPr>
          <w:spacing w:val="-2"/>
          <w:lang w:val="fr-FR"/>
        </w:rPr>
        <w:t>a</w:t>
      </w:r>
      <w:r w:rsidR="008E4D16" w:rsidRPr="008B1668">
        <w:rPr>
          <w:spacing w:val="-2"/>
          <w:lang w:val="fr-FR"/>
        </w:rPr>
        <w:t>ccept</w:t>
      </w:r>
      <w:r w:rsidRPr="008B1668">
        <w:rPr>
          <w:spacing w:val="-2"/>
          <w:lang w:val="fr-FR"/>
        </w:rPr>
        <w:t>ent pas ces revendications de priorité portant sur la même date ni, par conséquent, l</w:t>
      </w:r>
      <w:r w:rsidR="009D1B7B" w:rsidRPr="008B1668">
        <w:rPr>
          <w:spacing w:val="-2"/>
          <w:lang w:val="fr-FR"/>
        </w:rPr>
        <w:t>’</w:t>
      </w:r>
      <w:r w:rsidRPr="008B1668">
        <w:rPr>
          <w:spacing w:val="-2"/>
          <w:lang w:val="fr-FR"/>
        </w:rPr>
        <w:t>incorporation par renvoi sur la base de ces revendications de priori</w:t>
      </w:r>
      <w:r w:rsidR="007870EA" w:rsidRPr="008B1668">
        <w:rPr>
          <w:spacing w:val="-2"/>
          <w:lang w:val="fr-FR"/>
        </w:rPr>
        <w:t>té.  Ai</w:t>
      </w:r>
      <w:r w:rsidR="00221ADB" w:rsidRPr="008B1668">
        <w:rPr>
          <w:spacing w:val="-2"/>
          <w:lang w:val="fr-FR"/>
        </w:rPr>
        <w:t xml:space="preserve">nsi, la majorité des offices désignés aurait probablement </w:t>
      </w:r>
      <w:r w:rsidR="007870EA" w:rsidRPr="008B1668">
        <w:rPr>
          <w:spacing w:val="-2"/>
          <w:lang w:val="fr-FR"/>
        </w:rPr>
        <w:t>–</w:t>
      </w:r>
      <w:r w:rsidR="00221ADB" w:rsidRPr="008B1668">
        <w:rPr>
          <w:spacing w:val="-2"/>
          <w:lang w:val="fr-FR"/>
        </w:rPr>
        <w:t xml:space="preserve"> certes, dan</w:t>
      </w:r>
      <w:r w:rsidR="007870EA" w:rsidRPr="008B1668">
        <w:rPr>
          <w:spacing w:val="-2"/>
          <w:lang w:val="fr-FR"/>
        </w:rPr>
        <w:t>s un nombre de cas très limité –</w:t>
      </w:r>
      <w:r w:rsidR="00221ADB" w:rsidRPr="008B1668">
        <w:rPr>
          <w:spacing w:val="-2"/>
          <w:lang w:val="fr-FR"/>
        </w:rPr>
        <w:t xml:space="preserve"> davantage de travail dans ce type de </w:t>
      </w:r>
      <w:r w:rsidR="008E4D16" w:rsidRPr="008B1668">
        <w:rPr>
          <w:spacing w:val="-2"/>
          <w:lang w:val="fr-FR"/>
        </w:rPr>
        <w:t>situation</w:t>
      </w:r>
      <w:r w:rsidR="00221ADB" w:rsidRPr="008B1668">
        <w:rPr>
          <w:spacing w:val="-2"/>
          <w:lang w:val="fr-FR"/>
        </w:rPr>
        <w:t xml:space="preserve"> (notamment : changement potentiel de la date du dépôt international et/ou non</w:t>
      </w:r>
      <w:r w:rsidR="007870EA" w:rsidRPr="008B1668">
        <w:rPr>
          <w:spacing w:val="-2"/>
          <w:lang w:val="fr-FR"/>
        </w:rPr>
        <w:noBreakHyphen/>
      </w:r>
      <w:r w:rsidR="00221ADB" w:rsidRPr="008B1668">
        <w:rPr>
          <w:spacing w:val="-2"/>
          <w:lang w:val="fr-FR"/>
        </w:rPr>
        <w:t>prise en considération de tout élément manquant ou partie manquante incorporé par renvoi;  valeur limitée du rapport de recherche internationale établi sur la base d</w:t>
      </w:r>
      <w:r w:rsidR="009D1B7B" w:rsidRPr="008B1668">
        <w:rPr>
          <w:spacing w:val="-2"/>
          <w:lang w:val="fr-FR"/>
        </w:rPr>
        <w:t>’</w:t>
      </w:r>
      <w:r w:rsidR="00221ADB" w:rsidRPr="008B1668">
        <w:rPr>
          <w:spacing w:val="-2"/>
          <w:lang w:val="fr-FR"/>
        </w:rPr>
        <w:t>une date de dépôt international antérieure à celle reconnue aux fins de la phase nationale et qui a tenu compte de l</w:t>
      </w:r>
      <w:r w:rsidR="009D1B7B" w:rsidRPr="008B1668">
        <w:rPr>
          <w:spacing w:val="-2"/>
          <w:lang w:val="fr-FR"/>
        </w:rPr>
        <w:t>’</w:t>
      </w:r>
      <w:r w:rsidR="00221ADB" w:rsidRPr="008B1668">
        <w:rPr>
          <w:spacing w:val="-2"/>
          <w:lang w:val="fr-FR"/>
        </w:rPr>
        <w:t>élément manquant ou de la partie manquante incorporé par renvoi par l</w:t>
      </w:r>
      <w:r w:rsidR="009D1B7B" w:rsidRPr="008B1668">
        <w:rPr>
          <w:spacing w:val="-2"/>
          <w:lang w:val="fr-FR"/>
        </w:rPr>
        <w:t>’</w:t>
      </w:r>
      <w:r w:rsidR="00221ADB" w:rsidRPr="008B1668">
        <w:rPr>
          <w:spacing w:val="-2"/>
          <w:lang w:val="fr-FR"/>
        </w:rPr>
        <w:t>office récepteur).</w:t>
      </w:r>
    </w:p>
    <w:p w:rsidR="003837A1" w:rsidRPr="002213F4" w:rsidRDefault="0082207B" w:rsidP="0082207B">
      <w:pPr>
        <w:rPr>
          <w:b/>
          <w:lang w:val="fr-FR"/>
        </w:rPr>
      </w:pPr>
      <w:r w:rsidRPr="002213F4">
        <w:rPr>
          <w:b/>
          <w:lang w:val="fr-FR"/>
        </w:rPr>
        <w:br w:type="page"/>
      </w:r>
    </w:p>
    <w:p w:rsidR="0082207B" w:rsidRPr="002213F4" w:rsidRDefault="00221ADB" w:rsidP="00221ADB">
      <w:pPr>
        <w:pStyle w:val="ONUME"/>
        <w:keepNext/>
        <w:keepLines/>
        <w:numPr>
          <w:ilvl w:val="0"/>
          <w:numId w:val="0"/>
        </w:numPr>
        <w:jc w:val="center"/>
        <w:rPr>
          <w:b/>
          <w:lang w:val="fr-FR"/>
        </w:rPr>
      </w:pPr>
      <w:r w:rsidRPr="002213F4">
        <w:rPr>
          <w:b/>
          <w:lang w:val="fr-FR"/>
        </w:rPr>
        <w:lastRenderedPageBreak/>
        <w:t>Résultats de la modification qu</w:t>
      </w:r>
      <w:r w:rsidR="009D1B7B" w:rsidRPr="002213F4">
        <w:rPr>
          <w:b/>
          <w:lang w:val="fr-FR"/>
        </w:rPr>
        <w:t>’</w:t>
      </w:r>
      <w:r w:rsidRPr="002213F4">
        <w:rPr>
          <w:b/>
          <w:lang w:val="fr-FR"/>
        </w:rPr>
        <w:t>il est proposé d</w:t>
      </w:r>
      <w:r w:rsidR="009D1B7B" w:rsidRPr="002213F4">
        <w:rPr>
          <w:b/>
          <w:lang w:val="fr-FR"/>
        </w:rPr>
        <w:t>’</w:t>
      </w:r>
      <w:r w:rsidRPr="002213F4">
        <w:rPr>
          <w:b/>
          <w:lang w:val="fr-FR"/>
        </w:rPr>
        <w:t>apporter au règlement d</w:t>
      </w:r>
      <w:r w:rsidR="009D1B7B" w:rsidRPr="002213F4">
        <w:rPr>
          <w:b/>
          <w:lang w:val="fr-FR"/>
        </w:rPr>
        <w:t>’</w:t>
      </w:r>
      <w:r w:rsidR="008E4D16" w:rsidRPr="002213F4">
        <w:rPr>
          <w:b/>
          <w:lang w:val="fr-FR"/>
        </w:rPr>
        <w:t>exécution du </w:t>
      </w:r>
      <w:r w:rsidRPr="002213F4">
        <w:rPr>
          <w:b/>
          <w:lang w:val="fr-FR"/>
        </w:rPr>
        <w:t>PCT concernant les revendications de priorité portant sur la même date</w:t>
      </w:r>
    </w:p>
    <w:tbl>
      <w:tblPr>
        <w:tblStyle w:val="TableGrid"/>
        <w:tblW w:w="0" w:type="auto"/>
        <w:tblLook w:val="04A0" w:firstRow="1" w:lastRow="0" w:firstColumn="1" w:lastColumn="0" w:noHBand="0" w:noVBand="1"/>
      </w:tblPr>
      <w:tblGrid>
        <w:gridCol w:w="2268"/>
        <w:gridCol w:w="2434"/>
        <w:gridCol w:w="2434"/>
        <w:gridCol w:w="2435"/>
      </w:tblGrid>
      <w:tr w:rsidR="002213F4" w:rsidRPr="001166C2" w:rsidTr="008E4D16">
        <w:trPr>
          <w:cantSplit/>
        </w:trPr>
        <w:tc>
          <w:tcPr>
            <w:tcW w:w="9571" w:type="dxa"/>
            <w:gridSpan w:val="4"/>
            <w:shd w:val="clear" w:color="auto" w:fill="D9D9D9" w:themeFill="background1" w:themeFillShade="D9"/>
          </w:tcPr>
          <w:p w:rsidR="0082207B" w:rsidRPr="002213F4" w:rsidRDefault="000A506D" w:rsidP="005F7FD5">
            <w:pPr>
              <w:pStyle w:val="ONUME"/>
              <w:numPr>
                <w:ilvl w:val="0"/>
                <w:numId w:val="0"/>
              </w:numPr>
              <w:spacing w:before="240" w:after="240"/>
              <w:jc w:val="center"/>
              <w:rPr>
                <w:b/>
                <w:caps/>
                <w:sz w:val="20"/>
                <w:lang w:val="fr-FR"/>
              </w:rPr>
            </w:pPr>
            <w:r w:rsidRPr="002213F4">
              <w:rPr>
                <w:b/>
                <w:caps/>
                <w:sz w:val="20"/>
                <w:lang w:val="fr-FR"/>
              </w:rPr>
              <w:t>phase internationale de la procédure selon</w:t>
            </w:r>
            <w:r w:rsidR="009D1B7B" w:rsidRPr="002213F4">
              <w:rPr>
                <w:b/>
                <w:caps/>
                <w:sz w:val="20"/>
                <w:lang w:val="fr-FR"/>
              </w:rPr>
              <w:t xml:space="preserve"> le PCT</w:t>
            </w:r>
          </w:p>
        </w:tc>
      </w:tr>
      <w:tr w:rsidR="002213F4" w:rsidRPr="001166C2" w:rsidTr="008E4D16">
        <w:trPr>
          <w:cantSplit/>
        </w:trPr>
        <w:tc>
          <w:tcPr>
            <w:tcW w:w="2268" w:type="dxa"/>
          </w:tcPr>
          <w:p w:rsidR="0082207B" w:rsidRPr="002213F4" w:rsidRDefault="0082207B" w:rsidP="005F7FD5">
            <w:pPr>
              <w:pStyle w:val="ONUME"/>
              <w:numPr>
                <w:ilvl w:val="0"/>
                <w:numId w:val="0"/>
              </w:numPr>
              <w:spacing w:before="80" w:after="80"/>
              <w:rPr>
                <w:b/>
                <w:sz w:val="20"/>
                <w:lang w:val="fr-FR"/>
              </w:rPr>
            </w:pPr>
          </w:p>
        </w:tc>
        <w:tc>
          <w:tcPr>
            <w:tcW w:w="7303" w:type="dxa"/>
            <w:gridSpan w:val="3"/>
          </w:tcPr>
          <w:p w:rsidR="0082207B" w:rsidRPr="002213F4" w:rsidRDefault="00BE6EBD" w:rsidP="00BE6EBD">
            <w:pPr>
              <w:pStyle w:val="ONUME"/>
              <w:numPr>
                <w:ilvl w:val="0"/>
                <w:numId w:val="0"/>
              </w:numPr>
              <w:spacing w:before="80" w:after="80"/>
              <w:rPr>
                <w:b/>
                <w:sz w:val="20"/>
                <w:lang w:val="fr-FR"/>
              </w:rPr>
            </w:pPr>
            <w:r w:rsidRPr="002213F4">
              <w:rPr>
                <w:b/>
                <w:sz w:val="20"/>
                <w:lang w:val="fr-FR"/>
              </w:rPr>
              <w:t>Tous les offices récepteurs sont tenus d</w:t>
            </w:r>
            <w:r w:rsidR="009D1B7B" w:rsidRPr="002213F4">
              <w:rPr>
                <w:b/>
                <w:sz w:val="20"/>
                <w:lang w:val="fr-FR"/>
              </w:rPr>
              <w:t>’</w:t>
            </w:r>
            <w:r w:rsidRPr="002213F4">
              <w:rPr>
                <w:b/>
                <w:sz w:val="20"/>
                <w:lang w:val="fr-FR"/>
              </w:rPr>
              <w:t>autoriser les revendications de priorité portant sur la même date</w:t>
            </w:r>
          </w:p>
        </w:tc>
      </w:tr>
      <w:tr w:rsidR="002213F4" w:rsidRPr="002213F4" w:rsidTr="008E4D16">
        <w:trPr>
          <w:cantSplit/>
        </w:trPr>
        <w:tc>
          <w:tcPr>
            <w:tcW w:w="2268" w:type="dxa"/>
          </w:tcPr>
          <w:p w:rsidR="0082207B" w:rsidRPr="002213F4" w:rsidRDefault="000A506D" w:rsidP="005F7FD5">
            <w:pPr>
              <w:pStyle w:val="ONUME"/>
              <w:numPr>
                <w:ilvl w:val="0"/>
                <w:numId w:val="0"/>
              </w:numPr>
              <w:spacing w:before="80" w:after="80"/>
              <w:rPr>
                <w:b/>
                <w:sz w:val="20"/>
                <w:lang w:val="fr-FR"/>
              </w:rPr>
            </w:pPr>
            <w:r w:rsidRPr="002213F4">
              <w:rPr>
                <w:b/>
                <w:sz w:val="20"/>
                <w:lang w:val="fr-FR"/>
              </w:rPr>
              <w:t>Revendication de priorité valable</w:t>
            </w:r>
            <w:r w:rsidR="0082207B" w:rsidRPr="002213F4">
              <w:rPr>
                <w:b/>
                <w:sz w:val="20"/>
                <w:lang w:val="fr-FR"/>
              </w:rPr>
              <w:t>?</w:t>
            </w:r>
          </w:p>
        </w:tc>
        <w:tc>
          <w:tcPr>
            <w:tcW w:w="7303" w:type="dxa"/>
            <w:gridSpan w:val="3"/>
          </w:tcPr>
          <w:p w:rsidR="0082207B" w:rsidRPr="002213F4" w:rsidRDefault="000A506D" w:rsidP="000A506D">
            <w:pPr>
              <w:pStyle w:val="ONUME"/>
              <w:numPr>
                <w:ilvl w:val="0"/>
                <w:numId w:val="0"/>
              </w:numPr>
              <w:spacing w:before="80" w:after="80"/>
              <w:rPr>
                <w:sz w:val="20"/>
                <w:lang w:val="fr-FR"/>
              </w:rPr>
            </w:pPr>
            <w:r w:rsidRPr="002213F4">
              <w:rPr>
                <w:sz w:val="20"/>
                <w:lang w:val="fr-FR"/>
              </w:rPr>
              <w:t>Oui</w:t>
            </w:r>
          </w:p>
        </w:tc>
      </w:tr>
      <w:tr w:rsidR="002213F4" w:rsidRPr="001166C2" w:rsidTr="008E4D16">
        <w:trPr>
          <w:cantSplit/>
        </w:trPr>
        <w:tc>
          <w:tcPr>
            <w:tcW w:w="2268" w:type="dxa"/>
          </w:tcPr>
          <w:p w:rsidR="0082207B" w:rsidRPr="002213F4" w:rsidRDefault="000A506D" w:rsidP="005F7FD5">
            <w:pPr>
              <w:pStyle w:val="ONUME"/>
              <w:numPr>
                <w:ilvl w:val="0"/>
                <w:numId w:val="0"/>
              </w:numPr>
              <w:spacing w:before="80" w:after="80"/>
              <w:rPr>
                <w:b/>
                <w:sz w:val="20"/>
                <w:lang w:val="fr-FR"/>
              </w:rPr>
            </w:pPr>
            <w:r w:rsidRPr="002213F4">
              <w:rPr>
                <w:b/>
                <w:sz w:val="20"/>
                <w:lang w:val="fr-FR"/>
              </w:rPr>
              <w:t>Incorporation par renvoi d</w:t>
            </w:r>
            <w:r w:rsidR="009D1B7B" w:rsidRPr="002213F4">
              <w:rPr>
                <w:b/>
                <w:sz w:val="20"/>
                <w:lang w:val="fr-FR"/>
              </w:rPr>
              <w:t>’</w:t>
            </w:r>
            <w:r w:rsidRPr="002213F4">
              <w:rPr>
                <w:b/>
                <w:sz w:val="20"/>
                <w:lang w:val="fr-FR"/>
              </w:rPr>
              <w:t>un élément manquant ou d</w:t>
            </w:r>
            <w:r w:rsidR="009D1B7B" w:rsidRPr="002213F4">
              <w:rPr>
                <w:b/>
                <w:sz w:val="20"/>
                <w:lang w:val="fr-FR"/>
              </w:rPr>
              <w:t>’</w:t>
            </w:r>
            <w:r w:rsidRPr="002213F4">
              <w:rPr>
                <w:b/>
                <w:sz w:val="20"/>
                <w:lang w:val="fr-FR"/>
              </w:rPr>
              <w:t>une partie manquante</w:t>
            </w:r>
            <w:r w:rsidR="0082207B" w:rsidRPr="002213F4">
              <w:rPr>
                <w:b/>
                <w:sz w:val="20"/>
                <w:lang w:val="fr-FR"/>
              </w:rPr>
              <w:t>?</w:t>
            </w:r>
          </w:p>
        </w:tc>
        <w:tc>
          <w:tcPr>
            <w:tcW w:w="7303" w:type="dxa"/>
            <w:gridSpan w:val="3"/>
          </w:tcPr>
          <w:p w:rsidR="003837A1" w:rsidRPr="002213F4" w:rsidRDefault="00107E4C" w:rsidP="005F7FD5">
            <w:pPr>
              <w:pStyle w:val="ONUME"/>
              <w:numPr>
                <w:ilvl w:val="0"/>
                <w:numId w:val="0"/>
              </w:numPr>
              <w:spacing w:before="80" w:after="80"/>
              <w:rPr>
                <w:sz w:val="20"/>
                <w:lang w:val="fr-FR"/>
              </w:rPr>
            </w:pPr>
            <w:r w:rsidRPr="002213F4">
              <w:rPr>
                <w:sz w:val="20"/>
                <w:lang w:val="fr-FR"/>
              </w:rPr>
              <w:t>O</w:t>
            </w:r>
            <w:r w:rsidR="000A506D" w:rsidRPr="002213F4">
              <w:rPr>
                <w:sz w:val="20"/>
                <w:lang w:val="fr-FR"/>
              </w:rPr>
              <w:t>ui</w:t>
            </w:r>
          </w:p>
          <w:p w:rsidR="003837A1" w:rsidRPr="002213F4" w:rsidRDefault="00BE6EBD" w:rsidP="00BE6EBD">
            <w:pPr>
              <w:pStyle w:val="ONUME"/>
              <w:numPr>
                <w:ilvl w:val="0"/>
                <w:numId w:val="0"/>
              </w:numPr>
              <w:spacing w:before="80" w:after="80"/>
              <w:rPr>
                <w:i/>
                <w:sz w:val="20"/>
                <w:lang w:val="fr-FR"/>
              </w:rPr>
            </w:pPr>
            <w:r w:rsidRPr="002213F4">
              <w:rPr>
                <w:i/>
                <w:sz w:val="20"/>
                <w:lang w:val="fr-FR"/>
              </w:rPr>
              <w:t>(si l</w:t>
            </w:r>
            <w:r w:rsidR="009D1B7B" w:rsidRPr="002213F4">
              <w:rPr>
                <w:i/>
                <w:sz w:val="20"/>
                <w:lang w:val="fr-FR"/>
              </w:rPr>
              <w:t>’</w:t>
            </w:r>
            <w:r w:rsidRPr="002213F4">
              <w:rPr>
                <w:i/>
                <w:sz w:val="20"/>
                <w:lang w:val="fr-FR"/>
              </w:rPr>
              <w:t>office récepteur n</w:t>
            </w:r>
            <w:r w:rsidR="009D1B7B" w:rsidRPr="002213F4">
              <w:rPr>
                <w:i/>
                <w:sz w:val="20"/>
                <w:lang w:val="fr-FR"/>
              </w:rPr>
              <w:t>’</w:t>
            </w:r>
            <w:r w:rsidRPr="002213F4">
              <w:rPr>
                <w:i/>
                <w:sz w:val="20"/>
                <w:lang w:val="fr-FR"/>
              </w:rPr>
              <w:t>a pas envoyé de notification d</w:t>
            </w:r>
            <w:r w:rsidR="009D1B7B" w:rsidRPr="002213F4">
              <w:rPr>
                <w:i/>
                <w:sz w:val="20"/>
                <w:lang w:val="fr-FR"/>
              </w:rPr>
              <w:t>’</w:t>
            </w:r>
            <w:r w:rsidRPr="002213F4">
              <w:rPr>
                <w:i/>
                <w:sz w:val="20"/>
                <w:lang w:val="fr-FR"/>
              </w:rPr>
              <w:t>incompatibilité selon la règle 20.8.a))</w:t>
            </w:r>
          </w:p>
          <w:p w:rsidR="003837A1" w:rsidRPr="002213F4" w:rsidRDefault="0082207B" w:rsidP="005F7FD5">
            <w:pPr>
              <w:pStyle w:val="ONUME"/>
              <w:numPr>
                <w:ilvl w:val="0"/>
                <w:numId w:val="0"/>
              </w:numPr>
              <w:spacing w:before="80" w:after="80"/>
              <w:rPr>
                <w:sz w:val="20"/>
                <w:lang w:val="fr-FR"/>
              </w:rPr>
            </w:pPr>
            <w:r w:rsidRPr="002213F4">
              <w:rPr>
                <w:sz w:val="20"/>
                <w:lang w:val="fr-FR"/>
              </w:rPr>
              <w:t>No</w:t>
            </w:r>
            <w:r w:rsidR="000A506D" w:rsidRPr="002213F4">
              <w:rPr>
                <w:sz w:val="20"/>
                <w:lang w:val="fr-FR"/>
              </w:rPr>
              <w:t>n</w:t>
            </w:r>
          </w:p>
          <w:p w:rsidR="0082207B" w:rsidRPr="002213F4" w:rsidRDefault="00BE6EBD" w:rsidP="00BE6EBD">
            <w:pPr>
              <w:pStyle w:val="ONUME"/>
              <w:numPr>
                <w:ilvl w:val="0"/>
                <w:numId w:val="0"/>
              </w:numPr>
              <w:spacing w:before="80" w:after="80"/>
              <w:rPr>
                <w:i/>
                <w:sz w:val="20"/>
                <w:lang w:val="fr-FR"/>
              </w:rPr>
            </w:pPr>
            <w:r w:rsidRPr="002213F4">
              <w:rPr>
                <w:i/>
                <w:sz w:val="20"/>
                <w:lang w:val="fr-FR"/>
              </w:rPr>
              <w:t>(si l</w:t>
            </w:r>
            <w:r w:rsidR="009D1B7B" w:rsidRPr="002213F4">
              <w:rPr>
                <w:i/>
                <w:sz w:val="20"/>
                <w:lang w:val="fr-FR"/>
              </w:rPr>
              <w:t>’</w:t>
            </w:r>
            <w:r w:rsidRPr="002213F4">
              <w:rPr>
                <w:i/>
                <w:sz w:val="20"/>
                <w:lang w:val="fr-FR"/>
              </w:rPr>
              <w:t>office récepteur a envoyé une notification d</w:t>
            </w:r>
            <w:r w:rsidR="009D1B7B" w:rsidRPr="002213F4">
              <w:rPr>
                <w:i/>
                <w:sz w:val="20"/>
                <w:lang w:val="fr-FR"/>
              </w:rPr>
              <w:t>’</w:t>
            </w:r>
            <w:r w:rsidRPr="002213F4">
              <w:rPr>
                <w:i/>
                <w:sz w:val="20"/>
                <w:lang w:val="fr-FR"/>
              </w:rPr>
              <w:t>incompatibilité selon la règle 20.8.a))</w:t>
            </w:r>
          </w:p>
        </w:tc>
      </w:tr>
      <w:tr w:rsidR="002213F4" w:rsidRPr="001166C2" w:rsidTr="008E4D16">
        <w:trPr>
          <w:cantSplit/>
        </w:trPr>
        <w:tc>
          <w:tcPr>
            <w:tcW w:w="2268" w:type="dxa"/>
          </w:tcPr>
          <w:p w:rsidR="0082207B" w:rsidRPr="002213F4" w:rsidRDefault="00BE6EBD" w:rsidP="00BE6EBD">
            <w:pPr>
              <w:pStyle w:val="ONUME"/>
              <w:numPr>
                <w:ilvl w:val="0"/>
                <w:numId w:val="0"/>
              </w:numPr>
              <w:spacing w:before="80" w:after="80"/>
              <w:rPr>
                <w:b/>
                <w:sz w:val="20"/>
                <w:lang w:val="fr-FR"/>
              </w:rPr>
            </w:pPr>
            <w:r w:rsidRPr="002213F4">
              <w:rPr>
                <w:b/>
                <w:sz w:val="20"/>
                <w:lang w:val="fr-FR"/>
              </w:rPr>
              <w:t>Le rapport de recherche internationale tient</w:t>
            </w:r>
            <w:r w:rsidR="007870EA" w:rsidRPr="002213F4">
              <w:rPr>
                <w:b/>
                <w:sz w:val="20"/>
                <w:lang w:val="fr-FR"/>
              </w:rPr>
              <w:noBreakHyphen/>
            </w:r>
            <w:r w:rsidRPr="002213F4">
              <w:rPr>
                <w:b/>
                <w:sz w:val="20"/>
                <w:lang w:val="fr-FR"/>
              </w:rPr>
              <w:t>il compte de tout élément manquant ou partie manquante incorporé par renvoi?</w:t>
            </w:r>
          </w:p>
        </w:tc>
        <w:tc>
          <w:tcPr>
            <w:tcW w:w="7303" w:type="dxa"/>
            <w:gridSpan w:val="3"/>
          </w:tcPr>
          <w:p w:rsidR="003837A1" w:rsidRPr="002213F4" w:rsidRDefault="00107E4C" w:rsidP="005F7FD5">
            <w:pPr>
              <w:pStyle w:val="ONUME"/>
              <w:numPr>
                <w:ilvl w:val="0"/>
                <w:numId w:val="0"/>
              </w:numPr>
              <w:spacing w:before="80" w:after="80"/>
              <w:rPr>
                <w:sz w:val="20"/>
                <w:lang w:val="fr-FR"/>
              </w:rPr>
            </w:pPr>
            <w:r w:rsidRPr="002213F4">
              <w:rPr>
                <w:sz w:val="20"/>
                <w:lang w:val="fr-FR"/>
              </w:rPr>
              <w:t>O</w:t>
            </w:r>
            <w:r w:rsidR="004B5169" w:rsidRPr="002213F4">
              <w:rPr>
                <w:sz w:val="20"/>
                <w:lang w:val="fr-FR"/>
              </w:rPr>
              <w:t>ui</w:t>
            </w:r>
          </w:p>
          <w:p w:rsidR="003837A1" w:rsidRPr="002213F4" w:rsidRDefault="00BE6EBD" w:rsidP="00BE6EBD">
            <w:pPr>
              <w:pStyle w:val="ONUME"/>
              <w:numPr>
                <w:ilvl w:val="0"/>
                <w:numId w:val="0"/>
              </w:numPr>
              <w:spacing w:before="80" w:after="80"/>
              <w:rPr>
                <w:i/>
                <w:sz w:val="20"/>
                <w:lang w:val="fr-FR"/>
              </w:rPr>
            </w:pPr>
            <w:r w:rsidRPr="002213F4">
              <w:rPr>
                <w:i/>
                <w:sz w:val="20"/>
                <w:lang w:val="fr-FR"/>
              </w:rPr>
              <w:t>(si l</w:t>
            </w:r>
            <w:r w:rsidR="009D1B7B" w:rsidRPr="002213F4">
              <w:rPr>
                <w:i/>
                <w:sz w:val="20"/>
                <w:lang w:val="fr-FR"/>
              </w:rPr>
              <w:t>’</w:t>
            </w:r>
            <w:r w:rsidRPr="002213F4">
              <w:rPr>
                <w:i/>
                <w:sz w:val="20"/>
                <w:lang w:val="fr-FR"/>
              </w:rPr>
              <w:t>office récepteur a incorporé par renvoi un élément manquant ou une partie manquante)</w:t>
            </w:r>
          </w:p>
          <w:p w:rsidR="003837A1" w:rsidRPr="002213F4" w:rsidRDefault="00BE6EBD" w:rsidP="00BE6EBD">
            <w:pPr>
              <w:pStyle w:val="ONUME"/>
              <w:numPr>
                <w:ilvl w:val="0"/>
                <w:numId w:val="0"/>
              </w:numPr>
              <w:spacing w:before="80" w:after="80"/>
              <w:rPr>
                <w:sz w:val="20"/>
                <w:lang w:val="fr-FR"/>
              </w:rPr>
            </w:pPr>
            <w:r w:rsidRPr="002213F4">
              <w:rPr>
                <w:sz w:val="20"/>
                <w:lang w:val="fr-FR"/>
              </w:rPr>
              <w:t>Non</w:t>
            </w:r>
          </w:p>
          <w:p w:rsidR="0082207B" w:rsidRPr="002213F4" w:rsidRDefault="00BE6EBD" w:rsidP="00BE6EBD">
            <w:pPr>
              <w:pStyle w:val="ONUME"/>
              <w:numPr>
                <w:ilvl w:val="0"/>
                <w:numId w:val="0"/>
              </w:numPr>
              <w:spacing w:before="80" w:after="80"/>
              <w:rPr>
                <w:i/>
                <w:sz w:val="20"/>
                <w:lang w:val="fr-FR"/>
              </w:rPr>
            </w:pPr>
            <w:r w:rsidRPr="002213F4">
              <w:rPr>
                <w:i/>
                <w:sz w:val="20"/>
                <w:lang w:val="fr-FR"/>
              </w:rPr>
              <w:t>(si l</w:t>
            </w:r>
            <w:r w:rsidR="009D1B7B" w:rsidRPr="002213F4">
              <w:rPr>
                <w:i/>
                <w:sz w:val="20"/>
                <w:lang w:val="fr-FR"/>
              </w:rPr>
              <w:t>’</w:t>
            </w:r>
            <w:r w:rsidRPr="002213F4">
              <w:rPr>
                <w:i/>
                <w:sz w:val="20"/>
                <w:lang w:val="fr-FR"/>
              </w:rPr>
              <w:t xml:space="preserve">office récepteur </w:t>
            </w:r>
            <w:r w:rsidRPr="002213F4">
              <w:rPr>
                <w:i/>
                <w:sz w:val="20"/>
                <w:u w:val="single"/>
                <w:lang w:val="fr-FR"/>
              </w:rPr>
              <w:t>n</w:t>
            </w:r>
            <w:r w:rsidR="009D1B7B" w:rsidRPr="002213F4">
              <w:rPr>
                <w:i/>
                <w:sz w:val="20"/>
                <w:u w:val="single"/>
                <w:lang w:val="fr-FR"/>
              </w:rPr>
              <w:t>’</w:t>
            </w:r>
            <w:r w:rsidRPr="002213F4">
              <w:rPr>
                <w:i/>
                <w:sz w:val="20"/>
                <w:lang w:val="fr-FR"/>
              </w:rPr>
              <w:t xml:space="preserve">a </w:t>
            </w:r>
            <w:r w:rsidRPr="002213F4">
              <w:rPr>
                <w:i/>
                <w:sz w:val="20"/>
                <w:u w:val="single"/>
                <w:lang w:val="fr-FR"/>
              </w:rPr>
              <w:t>pas</w:t>
            </w:r>
            <w:r w:rsidRPr="002213F4">
              <w:rPr>
                <w:i/>
                <w:sz w:val="20"/>
                <w:lang w:val="fr-FR"/>
              </w:rPr>
              <w:t xml:space="preserve"> incorporé par renvoi un élément manquant ou une partie manquante)</w:t>
            </w:r>
          </w:p>
        </w:tc>
      </w:tr>
      <w:tr w:rsidR="002213F4" w:rsidRPr="001166C2" w:rsidTr="008E4D16">
        <w:trPr>
          <w:cantSplit/>
        </w:trPr>
        <w:tc>
          <w:tcPr>
            <w:tcW w:w="9571" w:type="dxa"/>
            <w:gridSpan w:val="4"/>
            <w:shd w:val="clear" w:color="auto" w:fill="D9D9D9" w:themeFill="background1" w:themeFillShade="D9"/>
          </w:tcPr>
          <w:p w:rsidR="0082207B" w:rsidRPr="002213F4" w:rsidRDefault="004B5169" w:rsidP="005F7FD5">
            <w:pPr>
              <w:pStyle w:val="ONUME"/>
              <w:numPr>
                <w:ilvl w:val="0"/>
                <w:numId w:val="0"/>
              </w:numPr>
              <w:spacing w:before="240" w:after="240"/>
              <w:jc w:val="center"/>
              <w:rPr>
                <w:b/>
                <w:caps/>
                <w:sz w:val="20"/>
                <w:lang w:val="fr-FR"/>
              </w:rPr>
            </w:pPr>
            <w:r w:rsidRPr="002213F4">
              <w:rPr>
                <w:b/>
                <w:caps/>
                <w:sz w:val="20"/>
                <w:lang w:val="fr-FR"/>
              </w:rPr>
              <w:t>phase nationale de la procédure selon</w:t>
            </w:r>
            <w:r w:rsidR="009D1B7B" w:rsidRPr="002213F4">
              <w:rPr>
                <w:b/>
                <w:caps/>
                <w:sz w:val="20"/>
                <w:lang w:val="fr-FR"/>
              </w:rPr>
              <w:t xml:space="preserve"> le PCT</w:t>
            </w:r>
          </w:p>
        </w:tc>
      </w:tr>
      <w:tr w:rsidR="002213F4" w:rsidRPr="001166C2" w:rsidTr="008E4D16">
        <w:trPr>
          <w:cantSplit/>
        </w:trPr>
        <w:tc>
          <w:tcPr>
            <w:tcW w:w="2268" w:type="dxa"/>
            <w:vMerge w:val="restart"/>
          </w:tcPr>
          <w:p w:rsidR="0082207B" w:rsidRPr="002213F4" w:rsidRDefault="0082207B" w:rsidP="005F7FD5">
            <w:pPr>
              <w:pStyle w:val="ONUME"/>
              <w:numPr>
                <w:ilvl w:val="0"/>
                <w:numId w:val="0"/>
              </w:numPr>
              <w:spacing w:before="80" w:after="80"/>
              <w:rPr>
                <w:b/>
                <w:sz w:val="20"/>
                <w:lang w:val="fr-FR"/>
              </w:rPr>
            </w:pPr>
          </w:p>
        </w:tc>
        <w:tc>
          <w:tcPr>
            <w:tcW w:w="7303" w:type="dxa"/>
            <w:gridSpan w:val="3"/>
          </w:tcPr>
          <w:p w:rsidR="009D1B7B" w:rsidRPr="002213F4" w:rsidRDefault="00BE6EBD" w:rsidP="00BE6EBD">
            <w:pPr>
              <w:pStyle w:val="ONUME"/>
              <w:numPr>
                <w:ilvl w:val="0"/>
                <w:numId w:val="0"/>
              </w:numPr>
              <w:spacing w:before="80" w:after="80"/>
              <w:rPr>
                <w:b/>
                <w:sz w:val="20"/>
                <w:lang w:val="fr-FR"/>
              </w:rPr>
            </w:pPr>
            <w:r w:rsidRPr="002213F4">
              <w:rPr>
                <w:b/>
                <w:sz w:val="20"/>
                <w:lang w:val="fr-FR"/>
              </w:rPr>
              <w:t>L</w:t>
            </w:r>
            <w:r w:rsidR="009D1B7B" w:rsidRPr="002213F4">
              <w:rPr>
                <w:b/>
                <w:sz w:val="20"/>
                <w:lang w:val="fr-FR"/>
              </w:rPr>
              <w:t>’</w:t>
            </w:r>
            <w:r w:rsidRPr="002213F4">
              <w:rPr>
                <w:b/>
                <w:sz w:val="20"/>
                <w:lang w:val="fr-FR"/>
              </w:rPr>
              <w:t>office désigné, en vertu de la législation nationale qu</w:t>
            </w:r>
            <w:r w:rsidR="009D1B7B" w:rsidRPr="002213F4">
              <w:rPr>
                <w:b/>
                <w:sz w:val="20"/>
                <w:lang w:val="fr-FR"/>
              </w:rPr>
              <w:t>’</w:t>
            </w:r>
            <w:r w:rsidRPr="002213F4">
              <w:rPr>
                <w:b/>
                <w:sz w:val="20"/>
                <w:lang w:val="fr-FR"/>
              </w:rPr>
              <w:t>il applique, autorise</w:t>
            </w:r>
            <w:r w:rsidR="007870EA" w:rsidRPr="002213F4">
              <w:rPr>
                <w:b/>
                <w:sz w:val="20"/>
                <w:lang w:val="fr-FR"/>
              </w:rPr>
              <w:noBreakHyphen/>
            </w:r>
            <w:r w:rsidRPr="002213F4">
              <w:rPr>
                <w:b/>
                <w:sz w:val="20"/>
                <w:lang w:val="fr-FR"/>
              </w:rPr>
              <w:t>t</w:t>
            </w:r>
            <w:r w:rsidR="007870EA" w:rsidRPr="002213F4">
              <w:rPr>
                <w:b/>
                <w:sz w:val="20"/>
                <w:lang w:val="fr-FR"/>
              </w:rPr>
              <w:noBreakHyphen/>
            </w:r>
            <w:r w:rsidRPr="002213F4">
              <w:rPr>
                <w:b/>
                <w:sz w:val="20"/>
                <w:lang w:val="fr-FR"/>
              </w:rPr>
              <w:t>il</w:t>
            </w:r>
          </w:p>
          <w:p w:rsidR="003837A1" w:rsidRPr="002213F4" w:rsidRDefault="00BE6EBD" w:rsidP="00BE6EBD">
            <w:pPr>
              <w:pStyle w:val="ONUME"/>
              <w:numPr>
                <w:ilvl w:val="0"/>
                <w:numId w:val="7"/>
              </w:numPr>
              <w:spacing w:before="80" w:after="80"/>
              <w:rPr>
                <w:b/>
                <w:sz w:val="20"/>
                <w:lang w:val="fr-FR"/>
              </w:rPr>
            </w:pPr>
            <w:r w:rsidRPr="002213F4">
              <w:rPr>
                <w:b/>
                <w:sz w:val="20"/>
                <w:lang w:val="fr-FR"/>
              </w:rPr>
              <w:t>les revendications de priorité portant sur la même date (</w:t>
            </w:r>
            <w:r w:rsidR="000E530E" w:rsidRPr="002213F4">
              <w:rPr>
                <w:b/>
                <w:sz w:val="20"/>
                <w:lang w:val="fr-FR"/>
              </w:rPr>
              <w:t>“</w:t>
            </w:r>
            <w:r w:rsidRPr="002213F4">
              <w:rPr>
                <w:b/>
                <w:sz w:val="20"/>
                <w:lang w:val="fr-FR"/>
              </w:rPr>
              <w:t>priorité</w:t>
            </w:r>
            <w:r w:rsidR="000E530E" w:rsidRPr="002213F4">
              <w:rPr>
                <w:b/>
                <w:sz w:val="20"/>
                <w:lang w:val="fr-FR"/>
              </w:rPr>
              <w:t>”</w:t>
            </w:r>
            <w:r w:rsidRPr="002213F4">
              <w:rPr>
                <w:b/>
                <w:sz w:val="20"/>
                <w:lang w:val="fr-FR"/>
              </w:rPr>
              <w:t xml:space="preserve"> oui/non)?</w:t>
            </w:r>
          </w:p>
          <w:p w:rsidR="0082207B" w:rsidRPr="002213F4" w:rsidRDefault="00BE6EBD" w:rsidP="00BE6EBD">
            <w:pPr>
              <w:pStyle w:val="ONUME"/>
              <w:numPr>
                <w:ilvl w:val="0"/>
                <w:numId w:val="7"/>
              </w:numPr>
              <w:spacing w:before="80" w:after="80"/>
              <w:rPr>
                <w:b/>
                <w:sz w:val="20"/>
                <w:lang w:val="fr-FR"/>
              </w:rPr>
            </w:pPr>
            <w:r w:rsidRPr="002213F4">
              <w:rPr>
                <w:b/>
                <w:sz w:val="20"/>
                <w:lang w:val="fr-FR"/>
              </w:rPr>
              <w:t>l</w:t>
            </w:r>
            <w:r w:rsidR="009D1B7B" w:rsidRPr="002213F4">
              <w:rPr>
                <w:b/>
                <w:sz w:val="20"/>
                <w:lang w:val="fr-FR"/>
              </w:rPr>
              <w:t>’</w:t>
            </w:r>
            <w:r w:rsidRPr="002213F4">
              <w:rPr>
                <w:b/>
                <w:sz w:val="20"/>
                <w:lang w:val="fr-FR"/>
              </w:rPr>
              <w:t>incorporation par renvoi d</w:t>
            </w:r>
            <w:r w:rsidR="009D1B7B" w:rsidRPr="002213F4">
              <w:rPr>
                <w:b/>
                <w:sz w:val="20"/>
                <w:lang w:val="fr-FR"/>
              </w:rPr>
              <w:t>’</w:t>
            </w:r>
            <w:r w:rsidRPr="002213F4">
              <w:rPr>
                <w:b/>
                <w:sz w:val="20"/>
                <w:lang w:val="fr-FR"/>
              </w:rPr>
              <w:t>éléments manquants ou de parties manquantes (</w:t>
            </w:r>
            <w:r w:rsidR="000E530E" w:rsidRPr="002213F4">
              <w:rPr>
                <w:b/>
                <w:sz w:val="20"/>
                <w:lang w:val="fr-FR"/>
              </w:rPr>
              <w:t>“</w:t>
            </w:r>
            <w:r w:rsidRPr="002213F4">
              <w:rPr>
                <w:b/>
                <w:sz w:val="20"/>
                <w:lang w:val="fr-FR"/>
              </w:rPr>
              <w:t>incorporation</w:t>
            </w:r>
            <w:r w:rsidR="000E530E" w:rsidRPr="002213F4">
              <w:rPr>
                <w:b/>
                <w:sz w:val="20"/>
                <w:lang w:val="fr-FR"/>
              </w:rPr>
              <w:t>”</w:t>
            </w:r>
            <w:r w:rsidRPr="002213F4">
              <w:rPr>
                <w:b/>
                <w:sz w:val="20"/>
                <w:lang w:val="fr-FR"/>
              </w:rPr>
              <w:t xml:space="preserve"> oui/non)?</w:t>
            </w:r>
          </w:p>
        </w:tc>
      </w:tr>
      <w:tr w:rsidR="002213F4" w:rsidRPr="002213F4" w:rsidTr="008E4D16">
        <w:trPr>
          <w:cantSplit/>
        </w:trPr>
        <w:tc>
          <w:tcPr>
            <w:tcW w:w="2268" w:type="dxa"/>
            <w:vMerge/>
          </w:tcPr>
          <w:p w:rsidR="0082207B" w:rsidRPr="002213F4" w:rsidRDefault="0082207B" w:rsidP="005F7FD5">
            <w:pPr>
              <w:pStyle w:val="ONUME"/>
              <w:numPr>
                <w:ilvl w:val="0"/>
                <w:numId w:val="0"/>
              </w:numPr>
              <w:spacing w:before="80" w:after="80"/>
              <w:jc w:val="center"/>
              <w:rPr>
                <w:b/>
                <w:sz w:val="20"/>
                <w:lang w:val="fr-FR"/>
              </w:rPr>
            </w:pPr>
          </w:p>
        </w:tc>
        <w:tc>
          <w:tcPr>
            <w:tcW w:w="2434" w:type="dxa"/>
          </w:tcPr>
          <w:p w:rsidR="003837A1" w:rsidRPr="002213F4" w:rsidRDefault="004B5169" w:rsidP="005F7FD5">
            <w:pPr>
              <w:pStyle w:val="ONUME"/>
              <w:numPr>
                <w:ilvl w:val="0"/>
                <w:numId w:val="0"/>
              </w:numPr>
              <w:spacing w:before="80" w:after="80"/>
              <w:jc w:val="center"/>
              <w:rPr>
                <w:b/>
                <w:sz w:val="20"/>
                <w:lang w:val="fr-FR"/>
              </w:rPr>
            </w:pPr>
            <w:r w:rsidRPr="002213F4">
              <w:rPr>
                <w:b/>
                <w:sz w:val="20"/>
                <w:lang w:val="fr-FR"/>
              </w:rPr>
              <w:t>Priorité oui</w:t>
            </w:r>
            <w:r w:rsidR="0082207B" w:rsidRPr="002213F4">
              <w:rPr>
                <w:b/>
                <w:sz w:val="20"/>
                <w:lang w:val="fr-FR"/>
              </w:rPr>
              <w:t xml:space="preserve"> / Incorporation </w:t>
            </w:r>
            <w:r w:rsidRPr="002213F4">
              <w:rPr>
                <w:b/>
                <w:sz w:val="20"/>
                <w:lang w:val="fr-FR"/>
              </w:rPr>
              <w:t>oui</w:t>
            </w:r>
          </w:p>
          <w:p w:rsidR="0082207B" w:rsidRPr="002213F4" w:rsidRDefault="00BE6EBD" w:rsidP="00BE6EBD">
            <w:pPr>
              <w:pStyle w:val="ONUME"/>
              <w:numPr>
                <w:ilvl w:val="0"/>
                <w:numId w:val="0"/>
              </w:numPr>
              <w:spacing w:before="80" w:after="80"/>
              <w:jc w:val="center"/>
              <w:rPr>
                <w:b/>
                <w:i/>
                <w:sz w:val="20"/>
                <w:lang w:val="fr-FR"/>
              </w:rPr>
            </w:pPr>
            <w:r w:rsidRPr="002213F4">
              <w:rPr>
                <w:i/>
                <w:sz w:val="20"/>
                <w:lang w:val="fr-FR"/>
              </w:rPr>
              <w:t>(si l</w:t>
            </w:r>
            <w:r w:rsidR="009D1B7B" w:rsidRPr="002213F4">
              <w:rPr>
                <w:i/>
                <w:sz w:val="20"/>
                <w:lang w:val="fr-FR"/>
              </w:rPr>
              <w:t>’</w:t>
            </w:r>
            <w:r w:rsidRPr="002213F4">
              <w:rPr>
                <w:i/>
                <w:sz w:val="20"/>
                <w:lang w:val="fr-FR"/>
              </w:rPr>
              <w:t xml:space="preserve">office désigné </w:t>
            </w:r>
            <w:r w:rsidRPr="002213F4">
              <w:rPr>
                <w:i/>
                <w:sz w:val="20"/>
                <w:u w:val="single"/>
                <w:lang w:val="fr-FR"/>
              </w:rPr>
              <w:t>n</w:t>
            </w:r>
            <w:r w:rsidR="009D1B7B" w:rsidRPr="002213F4">
              <w:rPr>
                <w:i/>
                <w:sz w:val="20"/>
                <w:u w:val="single"/>
                <w:lang w:val="fr-FR"/>
              </w:rPr>
              <w:t>’</w:t>
            </w:r>
            <w:r w:rsidRPr="002213F4">
              <w:rPr>
                <w:i/>
                <w:sz w:val="20"/>
                <w:lang w:val="fr-FR"/>
              </w:rPr>
              <w:t xml:space="preserve">a </w:t>
            </w:r>
            <w:r w:rsidRPr="002213F4">
              <w:rPr>
                <w:i/>
                <w:sz w:val="20"/>
                <w:u w:val="single"/>
                <w:lang w:val="fr-FR"/>
              </w:rPr>
              <w:t>pas</w:t>
            </w:r>
            <w:r w:rsidRPr="002213F4">
              <w:rPr>
                <w:i/>
                <w:sz w:val="20"/>
                <w:lang w:val="fr-FR"/>
              </w:rPr>
              <w:t xml:space="preserve"> envoyé de notification d</w:t>
            </w:r>
            <w:r w:rsidR="009D1B7B" w:rsidRPr="002213F4">
              <w:rPr>
                <w:i/>
                <w:sz w:val="20"/>
                <w:lang w:val="fr-FR"/>
              </w:rPr>
              <w:t>’</w:t>
            </w:r>
            <w:r w:rsidRPr="002213F4">
              <w:rPr>
                <w:i/>
                <w:sz w:val="20"/>
                <w:lang w:val="fr-FR"/>
              </w:rPr>
              <w:t>incompatibilité en vertu de la règle 20.8.b))</w:t>
            </w:r>
          </w:p>
        </w:tc>
        <w:tc>
          <w:tcPr>
            <w:tcW w:w="2434" w:type="dxa"/>
          </w:tcPr>
          <w:p w:rsidR="003837A1" w:rsidRPr="002213F4" w:rsidRDefault="0082207B" w:rsidP="005F7FD5">
            <w:pPr>
              <w:pStyle w:val="ONUME"/>
              <w:numPr>
                <w:ilvl w:val="0"/>
                <w:numId w:val="0"/>
              </w:numPr>
              <w:spacing w:before="80" w:after="80"/>
              <w:jc w:val="center"/>
              <w:rPr>
                <w:b/>
                <w:sz w:val="20"/>
                <w:lang w:val="fr-FR"/>
              </w:rPr>
            </w:pPr>
            <w:r w:rsidRPr="002213F4">
              <w:rPr>
                <w:b/>
                <w:sz w:val="20"/>
                <w:lang w:val="fr-FR"/>
              </w:rPr>
              <w:t>Priorit</w:t>
            </w:r>
            <w:r w:rsidR="004B5169" w:rsidRPr="002213F4">
              <w:rPr>
                <w:b/>
                <w:sz w:val="20"/>
                <w:lang w:val="fr-FR"/>
              </w:rPr>
              <w:t>é</w:t>
            </w:r>
            <w:r w:rsidRPr="002213F4">
              <w:rPr>
                <w:b/>
                <w:sz w:val="20"/>
                <w:lang w:val="fr-FR"/>
              </w:rPr>
              <w:t xml:space="preserve"> </w:t>
            </w:r>
            <w:r w:rsidR="004B5169" w:rsidRPr="002213F4">
              <w:rPr>
                <w:b/>
                <w:sz w:val="20"/>
                <w:lang w:val="fr-FR"/>
              </w:rPr>
              <w:t>oui</w:t>
            </w:r>
            <w:r w:rsidRPr="002213F4">
              <w:rPr>
                <w:b/>
                <w:sz w:val="20"/>
                <w:lang w:val="fr-FR"/>
              </w:rPr>
              <w:t xml:space="preserve"> / Incorporation no</w:t>
            </w:r>
            <w:r w:rsidR="004B5169" w:rsidRPr="002213F4">
              <w:rPr>
                <w:b/>
                <w:sz w:val="20"/>
                <w:lang w:val="fr-FR"/>
              </w:rPr>
              <w:t>n</w:t>
            </w:r>
          </w:p>
          <w:p w:rsidR="0082207B" w:rsidRPr="002213F4" w:rsidRDefault="00BE6EBD" w:rsidP="00BE6EBD">
            <w:pPr>
              <w:pStyle w:val="ONUME"/>
              <w:numPr>
                <w:ilvl w:val="0"/>
                <w:numId w:val="0"/>
              </w:numPr>
              <w:spacing w:before="80" w:after="80"/>
              <w:jc w:val="center"/>
              <w:rPr>
                <w:b/>
                <w:sz w:val="20"/>
                <w:lang w:val="fr-FR"/>
              </w:rPr>
            </w:pPr>
            <w:r w:rsidRPr="002213F4">
              <w:rPr>
                <w:i/>
                <w:sz w:val="20"/>
                <w:lang w:val="fr-FR"/>
              </w:rPr>
              <w:t>(si l</w:t>
            </w:r>
            <w:r w:rsidR="009D1B7B" w:rsidRPr="002213F4">
              <w:rPr>
                <w:i/>
                <w:sz w:val="20"/>
                <w:lang w:val="fr-FR"/>
              </w:rPr>
              <w:t>’</w:t>
            </w:r>
            <w:r w:rsidRPr="002213F4">
              <w:rPr>
                <w:i/>
                <w:sz w:val="20"/>
                <w:lang w:val="fr-FR"/>
              </w:rPr>
              <w:t>office désigné a envoyé une notification d</w:t>
            </w:r>
            <w:r w:rsidR="009D1B7B" w:rsidRPr="002213F4">
              <w:rPr>
                <w:i/>
                <w:sz w:val="20"/>
                <w:lang w:val="fr-FR"/>
              </w:rPr>
              <w:t>’</w:t>
            </w:r>
            <w:r w:rsidRPr="002213F4">
              <w:rPr>
                <w:i/>
                <w:sz w:val="20"/>
                <w:lang w:val="fr-FR"/>
              </w:rPr>
              <w:t>incompatibilité en vertu de la règle 20.8.b))</w:t>
            </w:r>
          </w:p>
        </w:tc>
        <w:tc>
          <w:tcPr>
            <w:tcW w:w="2435" w:type="dxa"/>
          </w:tcPr>
          <w:p w:rsidR="003837A1" w:rsidRPr="002213F4" w:rsidRDefault="004B5169" w:rsidP="005F7FD5">
            <w:pPr>
              <w:pStyle w:val="ONUME"/>
              <w:numPr>
                <w:ilvl w:val="0"/>
                <w:numId w:val="0"/>
              </w:numPr>
              <w:spacing w:before="80" w:after="80"/>
              <w:jc w:val="center"/>
              <w:rPr>
                <w:b/>
                <w:sz w:val="20"/>
                <w:lang w:val="fr-FR"/>
              </w:rPr>
            </w:pPr>
            <w:r w:rsidRPr="002213F4">
              <w:rPr>
                <w:b/>
                <w:sz w:val="20"/>
                <w:lang w:val="fr-FR"/>
              </w:rPr>
              <w:t>Priorité</w:t>
            </w:r>
            <w:r w:rsidR="0082207B" w:rsidRPr="002213F4">
              <w:rPr>
                <w:b/>
                <w:sz w:val="20"/>
                <w:lang w:val="fr-FR"/>
              </w:rPr>
              <w:t xml:space="preserve"> no</w:t>
            </w:r>
            <w:r w:rsidRPr="002213F4">
              <w:rPr>
                <w:b/>
                <w:sz w:val="20"/>
                <w:lang w:val="fr-FR"/>
              </w:rPr>
              <w:t>n</w:t>
            </w:r>
          </w:p>
          <w:p w:rsidR="0082207B" w:rsidRPr="002213F4" w:rsidRDefault="0082207B" w:rsidP="005F7FD5">
            <w:pPr>
              <w:pStyle w:val="ONUME"/>
              <w:numPr>
                <w:ilvl w:val="0"/>
                <w:numId w:val="0"/>
              </w:numPr>
              <w:spacing w:before="80" w:after="80"/>
              <w:jc w:val="center"/>
              <w:rPr>
                <w:i/>
                <w:sz w:val="20"/>
                <w:lang w:val="fr-FR"/>
              </w:rPr>
            </w:pPr>
          </w:p>
        </w:tc>
      </w:tr>
      <w:tr w:rsidR="002213F4" w:rsidRPr="002213F4" w:rsidTr="008E4D16">
        <w:trPr>
          <w:cantSplit/>
        </w:trPr>
        <w:tc>
          <w:tcPr>
            <w:tcW w:w="2268" w:type="dxa"/>
          </w:tcPr>
          <w:p w:rsidR="0082207B" w:rsidRPr="002213F4" w:rsidRDefault="00E61709" w:rsidP="005F7FD5">
            <w:pPr>
              <w:pStyle w:val="ONUME"/>
              <w:numPr>
                <w:ilvl w:val="0"/>
                <w:numId w:val="0"/>
              </w:numPr>
              <w:spacing w:before="80" w:after="80"/>
              <w:rPr>
                <w:b/>
                <w:sz w:val="20"/>
                <w:lang w:val="fr-FR"/>
              </w:rPr>
            </w:pPr>
            <w:r w:rsidRPr="002213F4">
              <w:rPr>
                <w:b/>
                <w:sz w:val="20"/>
                <w:lang w:val="fr-FR"/>
              </w:rPr>
              <w:t>Revendication de priorité valable</w:t>
            </w:r>
            <w:r w:rsidR="0082207B" w:rsidRPr="002213F4">
              <w:rPr>
                <w:b/>
                <w:sz w:val="20"/>
                <w:lang w:val="fr-FR"/>
              </w:rPr>
              <w:t>?</w:t>
            </w:r>
          </w:p>
        </w:tc>
        <w:tc>
          <w:tcPr>
            <w:tcW w:w="2434" w:type="dxa"/>
          </w:tcPr>
          <w:p w:rsidR="0082207B" w:rsidRPr="002213F4" w:rsidRDefault="00E61709" w:rsidP="00E61709">
            <w:pPr>
              <w:pStyle w:val="ONUME"/>
              <w:numPr>
                <w:ilvl w:val="0"/>
                <w:numId w:val="0"/>
              </w:numPr>
              <w:spacing w:before="80" w:after="80"/>
              <w:rPr>
                <w:sz w:val="20"/>
                <w:lang w:val="fr-FR"/>
              </w:rPr>
            </w:pPr>
            <w:r w:rsidRPr="002213F4">
              <w:rPr>
                <w:sz w:val="20"/>
                <w:lang w:val="fr-FR"/>
              </w:rPr>
              <w:t>Oui</w:t>
            </w:r>
          </w:p>
        </w:tc>
        <w:tc>
          <w:tcPr>
            <w:tcW w:w="2434" w:type="dxa"/>
          </w:tcPr>
          <w:p w:rsidR="0082207B" w:rsidRPr="002213F4" w:rsidRDefault="00E61709" w:rsidP="005F7FD5">
            <w:pPr>
              <w:pStyle w:val="ONUME"/>
              <w:numPr>
                <w:ilvl w:val="0"/>
                <w:numId w:val="0"/>
              </w:numPr>
              <w:spacing w:before="80" w:after="80"/>
              <w:rPr>
                <w:sz w:val="20"/>
                <w:lang w:val="fr-FR"/>
              </w:rPr>
            </w:pPr>
            <w:r w:rsidRPr="002213F4">
              <w:rPr>
                <w:sz w:val="20"/>
                <w:lang w:val="fr-FR"/>
              </w:rPr>
              <w:t>Oui</w:t>
            </w:r>
          </w:p>
        </w:tc>
        <w:tc>
          <w:tcPr>
            <w:tcW w:w="2435" w:type="dxa"/>
          </w:tcPr>
          <w:p w:rsidR="0082207B" w:rsidRPr="002213F4" w:rsidRDefault="00E61709" w:rsidP="005F7FD5">
            <w:pPr>
              <w:pStyle w:val="ONUME"/>
              <w:numPr>
                <w:ilvl w:val="0"/>
                <w:numId w:val="0"/>
              </w:numPr>
              <w:spacing w:before="80" w:after="80"/>
              <w:rPr>
                <w:sz w:val="20"/>
                <w:lang w:val="fr-FR"/>
              </w:rPr>
            </w:pPr>
            <w:r w:rsidRPr="002213F4">
              <w:rPr>
                <w:sz w:val="20"/>
                <w:lang w:val="fr-FR"/>
              </w:rPr>
              <w:t>Non</w:t>
            </w:r>
          </w:p>
        </w:tc>
      </w:tr>
      <w:tr w:rsidR="002213F4" w:rsidRPr="001166C2" w:rsidTr="008E4D16">
        <w:trPr>
          <w:cantSplit/>
        </w:trPr>
        <w:tc>
          <w:tcPr>
            <w:tcW w:w="2268" w:type="dxa"/>
          </w:tcPr>
          <w:p w:rsidR="0082207B" w:rsidRPr="002213F4" w:rsidRDefault="00BE6EBD" w:rsidP="00BE6EBD">
            <w:pPr>
              <w:pStyle w:val="ONUME"/>
              <w:numPr>
                <w:ilvl w:val="0"/>
                <w:numId w:val="0"/>
              </w:numPr>
              <w:spacing w:before="80" w:after="80"/>
              <w:rPr>
                <w:b/>
                <w:sz w:val="20"/>
                <w:lang w:val="fr-FR"/>
              </w:rPr>
            </w:pPr>
            <w:r w:rsidRPr="002213F4">
              <w:rPr>
                <w:b/>
                <w:sz w:val="20"/>
                <w:lang w:val="fr-FR"/>
              </w:rPr>
              <w:t>Incorporation par renvoi d</w:t>
            </w:r>
            <w:r w:rsidR="009D1B7B" w:rsidRPr="002213F4">
              <w:rPr>
                <w:b/>
                <w:sz w:val="20"/>
                <w:lang w:val="fr-FR"/>
              </w:rPr>
              <w:t>’</w:t>
            </w:r>
            <w:r w:rsidRPr="002213F4">
              <w:rPr>
                <w:b/>
                <w:sz w:val="20"/>
                <w:lang w:val="fr-FR"/>
              </w:rPr>
              <w:t>une partie manquante ou d</w:t>
            </w:r>
            <w:r w:rsidR="009D1B7B" w:rsidRPr="002213F4">
              <w:rPr>
                <w:b/>
                <w:sz w:val="20"/>
                <w:lang w:val="fr-FR"/>
              </w:rPr>
              <w:t>’</w:t>
            </w:r>
            <w:r w:rsidRPr="002213F4">
              <w:rPr>
                <w:b/>
                <w:sz w:val="20"/>
                <w:lang w:val="fr-FR"/>
              </w:rPr>
              <w:t>un élément manquant?</w:t>
            </w:r>
          </w:p>
        </w:tc>
        <w:tc>
          <w:tcPr>
            <w:tcW w:w="2434" w:type="dxa"/>
          </w:tcPr>
          <w:p w:rsidR="0082207B" w:rsidRPr="002213F4" w:rsidRDefault="00E61709" w:rsidP="00E61709">
            <w:pPr>
              <w:pStyle w:val="ONUME"/>
              <w:numPr>
                <w:ilvl w:val="0"/>
                <w:numId w:val="0"/>
              </w:numPr>
              <w:spacing w:before="80" w:after="80"/>
              <w:rPr>
                <w:sz w:val="20"/>
                <w:lang w:val="fr-FR"/>
              </w:rPr>
            </w:pPr>
            <w:r w:rsidRPr="002213F4">
              <w:rPr>
                <w:sz w:val="20"/>
                <w:lang w:val="fr-FR"/>
              </w:rPr>
              <w:t>Oui</w:t>
            </w:r>
          </w:p>
        </w:tc>
        <w:tc>
          <w:tcPr>
            <w:tcW w:w="2434" w:type="dxa"/>
          </w:tcPr>
          <w:p w:rsidR="003837A1" w:rsidRPr="002213F4" w:rsidRDefault="0082207B" w:rsidP="005F7FD5">
            <w:pPr>
              <w:pStyle w:val="ONUME"/>
              <w:numPr>
                <w:ilvl w:val="0"/>
                <w:numId w:val="0"/>
              </w:numPr>
              <w:spacing w:before="80" w:after="80"/>
              <w:rPr>
                <w:sz w:val="20"/>
                <w:lang w:val="fr-FR"/>
              </w:rPr>
            </w:pPr>
            <w:r w:rsidRPr="002213F4">
              <w:rPr>
                <w:sz w:val="20"/>
                <w:lang w:val="fr-FR"/>
              </w:rPr>
              <w:t>No</w:t>
            </w:r>
            <w:r w:rsidR="00E61709" w:rsidRPr="002213F4">
              <w:rPr>
                <w:sz w:val="20"/>
                <w:lang w:val="fr-FR"/>
              </w:rPr>
              <w:t>n</w:t>
            </w:r>
          </w:p>
          <w:p w:rsidR="0082207B" w:rsidRPr="002213F4" w:rsidRDefault="00BE6EBD" w:rsidP="00BE6EBD">
            <w:pPr>
              <w:pStyle w:val="ONUME"/>
              <w:numPr>
                <w:ilvl w:val="0"/>
                <w:numId w:val="0"/>
              </w:numPr>
              <w:spacing w:before="80" w:after="80"/>
              <w:rPr>
                <w:i/>
                <w:sz w:val="20"/>
                <w:lang w:val="fr-FR"/>
              </w:rPr>
            </w:pPr>
            <w:r w:rsidRPr="002213F4">
              <w:rPr>
                <w:i/>
                <w:sz w:val="20"/>
                <w:lang w:val="fr-FR"/>
              </w:rPr>
              <w:t>(soit la date du dépôt international changerait soit les éléments incorporés par renvoi ne seraient pas pris en considération)</w:t>
            </w:r>
          </w:p>
        </w:tc>
        <w:tc>
          <w:tcPr>
            <w:tcW w:w="2435" w:type="dxa"/>
          </w:tcPr>
          <w:p w:rsidR="003837A1" w:rsidRPr="002213F4" w:rsidRDefault="0082207B" w:rsidP="005F7FD5">
            <w:pPr>
              <w:pStyle w:val="ONUME"/>
              <w:numPr>
                <w:ilvl w:val="0"/>
                <w:numId w:val="0"/>
              </w:numPr>
              <w:spacing w:before="80" w:after="80"/>
              <w:rPr>
                <w:sz w:val="20"/>
                <w:lang w:val="fr-FR"/>
              </w:rPr>
            </w:pPr>
            <w:r w:rsidRPr="002213F4">
              <w:rPr>
                <w:sz w:val="20"/>
                <w:lang w:val="fr-FR"/>
              </w:rPr>
              <w:t>No</w:t>
            </w:r>
            <w:r w:rsidR="00E61709" w:rsidRPr="002213F4">
              <w:rPr>
                <w:sz w:val="20"/>
                <w:lang w:val="fr-FR"/>
              </w:rPr>
              <w:t>n</w:t>
            </w:r>
          </w:p>
          <w:p w:rsidR="0082207B" w:rsidRPr="002213F4" w:rsidRDefault="00BE6EBD" w:rsidP="00BE6EBD">
            <w:pPr>
              <w:pStyle w:val="ONUME"/>
              <w:numPr>
                <w:ilvl w:val="0"/>
                <w:numId w:val="0"/>
              </w:numPr>
              <w:spacing w:before="80" w:after="80"/>
              <w:rPr>
                <w:i/>
                <w:sz w:val="20"/>
                <w:lang w:val="fr-FR"/>
              </w:rPr>
            </w:pPr>
            <w:r w:rsidRPr="002213F4">
              <w:rPr>
                <w:i/>
                <w:sz w:val="20"/>
                <w:lang w:val="fr-FR"/>
              </w:rPr>
              <w:t>(soit la date du dépôt international changerait soit les éléments incorporés par renvoi ne seraient pas pris en considération)</w:t>
            </w:r>
          </w:p>
        </w:tc>
      </w:tr>
    </w:tbl>
    <w:p w:rsidR="003837A1" w:rsidRDefault="003837A1" w:rsidP="0082207B">
      <w:pPr>
        <w:pStyle w:val="ONUME"/>
        <w:numPr>
          <w:ilvl w:val="0"/>
          <w:numId w:val="0"/>
        </w:numPr>
        <w:rPr>
          <w:lang w:val="fr-FR"/>
        </w:rPr>
      </w:pPr>
    </w:p>
    <w:tbl>
      <w:tblPr>
        <w:tblStyle w:val="TableGrid"/>
        <w:tblW w:w="0" w:type="auto"/>
        <w:tblLook w:val="04A0" w:firstRow="1" w:lastRow="0" w:firstColumn="1" w:lastColumn="0" w:noHBand="0" w:noVBand="1"/>
      </w:tblPr>
      <w:tblGrid>
        <w:gridCol w:w="2268"/>
        <w:gridCol w:w="2434"/>
        <w:gridCol w:w="2434"/>
        <w:gridCol w:w="2435"/>
      </w:tblGrid>
      <w:tr w:rsidR="00B12426" w:rsidRPr="002213F4" w:rsidTr="007C34E1">
        <w:trPr>
          <w:cantSplit/>
        </w:trPr>
        <w:tc>
          <w:tcPr>
            <w:tcW w:w="9571" w:type="dxa"/>
            <w:gridSpan w:val="4"/>
            <w:shd w:val="clear" w:color="auto" w:fill="D9D9D9" w:themeFill="background1" w:themeFillShade="D9"/>
          </w:tcPr>
          <w:p w:rsidR="00B12426" w:rsidRPr="002213F4" w:rsidRDefault="00B12426" w:rsidP="007C34E1">
            <w:pPr>
              <w:pStyle w:val="ONUME"/>
              <w:numPr>
                <w:ilvl w:val="0"/>
                <w:numId w:val="0"/>
              </w:numPr>
              <w:spacing w:before="240" w:after="240"/>
              <w:jc w:val="center"/>
              <w:rPr>
                <w:b/>
                <w:caps/>
                <w:sz w:val="20"/>
                <w:lang w:val="fr-FR"/>
              </w:rPr>
            </w:pPr>
            <w:r w:rsidRPr="002213F4">
              <w:rPr>
                <w:b/>
                <w:caps/>
                <w:sz w:val="20"/>
                <w:lang w:val="fr-FR"/>
              </w:rPr>
              <w:lastRenderedPageBreak/>
              <w:t>phase nationale de la procédure selon le PCT</w:t>
            </w:r>
          </w:p>
        </w:tc>
      </w:tr>
      <w:tr w:rsidR="00B12426" w:rsidRPr="002213F4" w:rsidTr="007C34E1">
        <w:trPr>
          <w:cantSplit/>
        </w:trPr>
        <w:tc>
          <w:tcPr>
            <w:tcW w:w="2268" w:type="dxa"/>
          </w:tcPr>
          <w:p w:rsidR="00B12426" w:rsidRPr="002213F4" w:rsidRDefault="00B12426" w:rsidP="007C34E1">
            <w:pPr>
              <w:pStyle w:val="ONUME"/>
              <w:numPr>
                <w:ilvl w:val="0"/>
                <w:numId w:val="0"/>
              </w:numPr>
              <w:spacing w:before="80" w:after="80"/>
              <w:jc w:val="center"/>
              <w:rPr>
                <w:b/>
                <w:sz w:val="20"/>
                <w:lang w:val="fr-FR"/>
              </w:rPr>
            </w:pPr>
          </w:p>
        </w:tc>
        <w:tc>
          <w:tcPr>
            <w:tcW w:w="2434" w:type="dxa"/>
          </w:tcPr>
          <w:p w:rsidR="00B12426" w:rsidRPr="002213F4" w:rsidRDefault="00B12426" w:rsidP="007C34E1">
            <w:pPr>
              <w:pStyle w:val="ONUME"/>
              <w:numPr>
                <w:ilvl w:val="0"/>
                <w:numId w:val="0"/>
              </w:numPr>
              <w:spacing w:before="80" w:after="80"/>
              <w:jc w:val="center"/>
              <w:rPr>
                <w:b/>
                <w:sz w:val="20"/>
                <w:lang w:val="fr-FR"/>
              </w:rPr>
            </w:pPr>
            <w:r w:rsidRPr="002213F4">
              <w:rPr>
                <w:b/>
                <w:sz w:val="20"/>
                <w:lang w:val="fr-FR"/>
              </w:rPr>
              <w:t>Priorité oui / Incorporation oui</w:t>
            </w:r>
          </w:p>
          <w:p w:rsidR="00B12426" w:rsidRPr="002213F4" w:rsidRDefault="00B12426" w:rsidP="007C34E1">
            <w:pPr>
              <w:pStyle w:val="ONUME"/>
              <w:numPr>
                <w:ilvl w:val="0"/>
                <w:numId w:val="0"/>
              </w:numPr>
              <w:spacing w:before="80" w:after="80"/>
              <w:jc w:val="center"/>
              <w:rPr>
                <w:b/>
                <w:i/>
                <w:sz w:val="20"/>
                <w:lang w:val="fr-FR"/>
              </w:rPr>
            </w:pPr>
            <w:r w:rsidRPr="002213F4">
              <w:rPr>
                <w:i/>
                <w:sz w:val="20"/>
                <w:lang w:val="fr-FR"/>
              </w:rPr>
              <w:t xml:space="preserve">(si l’office désigné </w:t>
            </w:r>
            <w:r w:rsidRPr="002213F4">
              <w:rPr>
                <w:i/>
                <w:sz w:val="20"/>
                <w:u w:val="single"/>
                <w:lang w:val="fr-FR"/>
              </w:rPr>
              <w:t>n’</w:t>
            </w:r>
            <w:r w:rsidRPr="002213F4">
              <w:rPr>
                <w:i/>
                <w:sz w:val="20"/>
                <w:lang w:val="fr-FR"/>
              </w:rPr>
              <w:t xml:space="preserve">a </w:t>
            </w:r>
            <w:r w:rsidRPr="002213F4">
              <w:rPr>
                <w:i/>
                <w:sz w:val="20"/>
                <w:u w:val="single"/>
                <w:lang w:val="fr-FR"/>
              </w:rPr>
              <w:t>pas</w:t>
            </w:r>
            <w:r w:rsidRPr="002213F4">
              <w:rPr>
                <w:i/>
                <w:sz w:val="20"/>
                <w:lang w:val="fr-FR"/>
              </w:rPr>
              <w:t xml:space="preserve"> envoyé de notification d’incompatibilité en vertu de la règle 20.8.b))</w:t>
            </w:r>
          </w:p>
        </w:tc>
        <w:tc>
          <w:tcPr>
            <w:tcW w:w="2434" w:type="dxa"/>
          </w:tcPr>
          <w:p w:rsidR="00B12426" w:rsidRPr="002213F4" w:rsidRDefault="00B12426" w:rsidP="007C34E1">
            <w:pPr>
              <w:pStyle w:val="ONUME"/>
              <w:numPr>
                <w:ilvl w:val="0"/>
                <w:numId w:val="0"/>
              </w:numPr>
              <w:spacing w:before="80" w:after="80"/>
              <w:jc w:val="center"/>
              <w:rPr>
                <w:b/>
                <w:sz w:val="20"/>
                <w:lang w:val="fr-FR"/>
              </w:rPr>
            </w:pPr>
            <w:r w:rsidRPr="002213F4">
              <w:rPr>
                <w:b/>
                <w:sz w:val="20"/>
                <w:lang w:val="fr-FR"/>
              </w:rPr>
              <w:t>Priorité oui / Incorporation non</w:t>
            </w:r>
          </w:p>
          <w:p w:rsidR="00B12426" w:rsidRPr="002213F4" w:rsidRDefault="00B12426" w:rsidP="007C34E1">
            <w:pPr>
              <w:pStyle w:val="ONUME"/>
              <w:numPr>
                <w:ilvl w:val="0"/>
                <w:numId w:val="0"/>
              </w:numPr>
              <w:spacing w:before="80" w:after="80"/>
              <w:jc w:val="center"/>
              <w:rPr>
                <w:b/>
                <w:sz w:val="20"/>
                <w:lang w:val="fr-FR"/>
              </w:rPr>
            </w:pPr>
            <w:r w:rsidRPr="002213F4">
              <w:rPr>
                <w:i/>
                <w:sz w:val="20"/>
                <w:lang w:val="fr-FR"/>
              </w:rPr>
              <w:t>(si l’office désigné a envoyé une notification d’incompatibilité en vertu de la règle 20.8.b))</w:t>
            </w:r>
          </w:p>
        </w:tc>
        <w:tc>
          <w:tcPr>
            <w:tcW w:w="2435" w:type="dxa"/>
          </w:tcPr>
          <w:p w:rsidR="00B12426" w:rsidRPr="002213F4" w:rsidRDefault="00B12426" w:rsidP="007C34E1">
            <w:pPr>
              <w:pStyle w:val="ONUME"/>
              <w:numPr>
                <w:ilvl w:val="0"/>
                <w:numId w:val="0"/>
              </w:numPr>
              <w:spacing w:before="80" w:after="80"/>
              <w:jc w:val="center"/>
              <w:rPr>
                <w:b/>
                <w:sz w:val="20"/>
                <w:lang w:val="fr-FR"/>
              </w:rPr>
            </w:pPr>
            <w:r w:rsidRPr="002213F4">
              <w:rPr>
                <w:b/>
                <w:sz w:val="20"/>
                <w:lang w:val="fr-FR"/>
              </w:rPr>
              <w:t>Priorité non</w:t>
            </w:r>
          </w:p>
          <w:p w:rsidR="00B12426" w:rsidRPr="002213F4" w:rsidRDefault="00B12426" w:rsidP="007C34E1">
            <w:pPr>
              <w:pStyle w:val="ONUME"/>
              <w:numPr>
                <w:ilvl w:val="0"/>
                <w:numId w:val="0"/>
              </w:numPr>
              <w:spacing w:before="80" w:after="80"/>
              <w:jc w:val="center"/>
              <w:rPr>
                <w:i/>
                <w:sz w:val="20"/>
                <w:lang w:val="fr-FR"/>
              </w:rPr>
            </w:pPr>
          </w:p>
        </w:tc>
      </w:tr>
      <w:tr w:rsidR="00B12426" w:rsidRPr="002213F4" w:rsidTr="007C34E1">
        <w:trPr>
          <w:cantSplit/>
        </w:trPr>
        <w:tc>
          <w:tcPr>
            <w:tcW w:w="2268" w:type="dxa"/>
          </w:tcPr>
          <w:p w:rsidR="00B12426" w:rsidRPr="002213F4" w:rsidRDefault="00B12426" w:rsidP="007C34E1">
            <w:pPr>
              <w:pStyle w:val="ONUME"/>
              <w:numPr>
                <w:ilvl w:val="0"/>
                <w:numId w:val="0"/>
              </w:numPr>
              <w:spacing w:before="80" w:after="80"/>
              <w:rPr>
                <w:b/>
                <w:sz w:val="20"/>
                <w:lang w:val="fr-FR"/>
              </w:rPr>
            </w:pPr>
            <w:r w:rsidRPr="002213F4">
              <w:rPr>
                <w:b/>
                <w:sz w:val="20"/>
                <w:lang w:val="fr-FR"/>
              </w:rPr>
              <w:t>Utilité du rapport de recherche internationale pour l’office désigné?</w:t>
            </w:r>
          </w:p>
        </w:tc>
        <w:tc>
          <w:tcPr>
            <w:tcW w:w="2434" w:type="dxa"/>
          </w:tcPr>
          <w:p w:rsidR="00B12426" w:rsidRPr="002213F4" w:rsidRDefault="00B12426" w:rsidP="007C34E1">
            <w:pPr>
              <w:pStyle w:val="ONUME"/>
              <w:numPr>
                <w:ilvl w:val="0"/>
                <w:numId w:val="0"/>
              </w:numPr>
              <w:spacing w:before="80" w:after="80"/>
              <w:rPr>
                <w:sz w:val="20"/>
                <w:lang w:val="fr-FR"/>
              </w:rPr>
            </w:pPr>
            <w:r w:rsidRPr="002213F4">
              <w:rPr>
                <w:sz w:val="20"/>
                <w:lang w:val="fr-FR"/>
              </w:rPr>
              <w:t>Oui</w:t>
            </w:r>
          </w:p>
          <w:p w:rsidR="00B12426" w:rsidRPr="002213F4" w:rsidRDefault="00B12426" w:rsidP="007C34E1">
            <w:pPr>
              <w:pStyle w:val="ONUME"/>
              <w:numPr>
                <w:ilvl w:val="0"/>
                <w:numId w:val="0"/>
              </w:numPr>
              <w:spacing w:before="80" w:after="80"/>
              <w:rPr>
                <w:i/>
                <w:sz w:val="20"/>
                <w:lang w:val="fr-FR"/>
              </w:rPr>
            </w:pPr>
            <w:r w:rsidRPr="002213F4">
              <w:rPr>
                <w:i/>
                <w:sz w:val="20"/>
                <w:lang w:val="fr-FR"/>
              </w:rPr>
              <w:t xml:space="preserve">(parce que la recherche internationale a pris en considération l’élément manquant ou la partie manquante </w:t>
            </w:r>
            <w:proofErr w:type="gramStart"/>
            <w:r w:rsidRPr="002213F4">
              <w:rPr>
                <w:i/>
                <w:sz w:val="20"/>
                <w:lang w:val="fr-FR"/>
              </w:rPr>
              <w:t>incorporé</w:t>
            </w:r>
            <w:proofErr w:type="gramEnd"/>
            <w:r w:rsidRPr="002213F4">
              <w:rPr>
                <w:i/>
                <w:sz w:val="20"/>
                <w:lang w:val="fr-FR"/>
              </w:rPr>
              <w:t xml:space="preserve"> par renvoi)</w:t>
            </w:r>
          </w:p>
        </w:tc>
        <w:tc>
          <w:tcPr>
            <w:tcW w:w="2434" w:type="dxa"/>
          </w:tcPr>
          <w:p w:rsidR="00B12426" w:rsidRPr="002213F4" w:rsidRDefault="00B12426" w:rsidP="007C34E1">
            <w:pPr>
              <w:pStyle w:val="ONUME"/>
              <w:numPr>
                <w:ilvl w:val="0"/>
                <w:numId w:val="0"/>
              </w:numPr>
              <w:spacing w:before="80" w:after="80"/>
              <w:rPr>
                <w:sz w:val="20"/>
                <w:lang w:val="fr-FR"/>
              </w:rPr>
            </w:pPr>
            <w:r w:rsidRPr="002213F4">
              <w:rPr>
                <w:sz w:val="20"/>
                <w:lang w:val="fr-FR"/>
              </w:rPr>
              <w:t>Non</w:t>
            </w:r>
          </w:p>
          <w:p w:rsidR="00B12426" w:rsidRPr="002213F4" w:rsidRDefault="00B12426" w:rsidP="007C34E1">
            <w:pPr>
              <w:pStyle w:val="ONUME"/>
              <w:numPr>
                <w:ilvl w:val="0"/>
                <w:numId w:val="0"/>
              </w:numPr>
              <w:spacing w:before="80" w:after="80"/>
              <w:rPr>
                <w:i/>
                <w:sz w:val="20"/>
                <w:lang w:val="fr-FR"/>
              </w:rPr>
            </w:pPr>
            <w:r w:rsidRPr="002213F4">
              <w:rPr>
                <w:i/>
                <w:sz w:val="20"/>
                <w:lang w:val="fr-FR"/>
              </w:rPr>
              <w:t xml:space="preserve">(parce que la recherche internationale a pris en considération l’élément manquant ou la partie manquante </w:t>
            </w:r>
            <w:proofErr w:type="gramStart"/>
            <w:r w:rsidRPr="002213F4">
              <w:rPr>
                <w:i/>
                <w:sz w:val="20"/>
                <w:lang w:val="fr-FR"/>
              </w:rPr>
              <w:t>incorporé</w:t>
            </w:r>
            <w:proofErr w:type="gramEnd"/>
            <w:r w:rsidRPr="002213F4">
              <w:rPr>
                <w:i/>
                <w:sz w:val="20"/>
                <w:lang w:val="fr-FR"/>
              </w:rPr>
              <w:t xml:space="preserve"> par renvoi ou qu’elle était fondée sur une date de dépôt international antérieure à celle acceptée par l’office désigné) </w:t>
            </w:r>
          </w:p>
        </w:tc>
        <w:tc>
          <w:tcPr>
            <w:tcW w:w="2435" w:type="dxa"/>
          </w:tcPr>
          <w:p w:rsidR="00B12426" w:rsidRPr="002213F4" w:rsidRDefault="00B12426" w:rsidP="007C34E1">
            <w:pPr>
              <w:pStyle w:val="ONUME"/>
              <w:numPr>
                <w:ilvl w:val="0"/>
                <w:numId w:val="0"/>
              </w:numPr>
              <w:spacing w:before="80" w:after="80"/>
              <w:rPr>
                <w:sz w:val="20"/>
                <w:lang w:val="fr-FR"/>
              </w:rPr>
            </w:pPr>
            <w:r w:rsidRPr="002213F4">
              <w:rPr>
                <w:sz w:val="20"/>
                <w:lang w:val="fr-FR"/>
              </w:rPr>
              <w:t>Non</w:t>
            </w:r>
          </w:p>
          <w:p w:rsidR="00B12426" w:rsidRPr="002213F4" w:rsidRDefault="00B12426" w:rsidP="007C34E1">
            <w:pPr>
              <w:pStyle w:val="ONUME"/>
              <w:numPr>
                <w:ilvl w:val="0"/>
                <w:numId w:val="0"/>
              </w:numPr>
              <w:spacing w:before="80" w:after="80"/>
              <w:rPr>
                <w:i/>
                <w:sz w:val="20"/>
                <w:lang w:val="fr-FR"/>
              </w:rPr>
            </w:pPr>
            <w:r w:rsidRPr="002213F4">
              <w:rPr>
                <w:i/>
                <w:sz w:val="20"/>
                <w:lang w:val="fr-FR"/>
              </w:rPr>
              <w:t xml:space="preserve">(parce que la recherche internationale a pris en considération l’élément manquant ou la partie manquante </w:t>
            </w:r>
            <w:proofErr w:type="gramStart"/>
            <w:r w:rsidRPr="002213F4">
              <w:rPr>
                <w:i/>
                <w:sz w:val="20"/>
                <w:lang w:val="fr-FR"/>
              </w:rPr>
              <w:t>incorporé</w:t>
            </w:r>
            <w:proofErr w:type="gramEnd"/>
            <w:r w:rsidRPr="002213F4">
              <w:rPr>
                <w:i/>
                <w:sz w:val="20"/>
                <w:lang w:val="fr-FR"/>
              </w:rPr>
              <w:t xml:space="preserve"> par renvoi ou qu’elle était fondée sur une date de dépôt international antérieure à celle acceptée par l’office désigné)</w:t>
            </w:r>
          </w:p>
        </w:tc>
      </w:tr>
    </w:tbl>
    <w:p w:rsidR="00B12426" w:rsidRPr="002213F4" w:rsidRDefault="00B12426" w:rsidP="0082207B">
      <w:pPr>
        <w:pStyle w:val="ONUME"/>
        <w:numPr>
          <w:ilvl w:val="0"/>
          <w:numId w:val="0"/>
        </w:numPr>
        <w:rPr>
          <w:lang w:val="fr-FR"/>
        </w:rPr>
      </w:pPr>
      <w:bookmarkStart w:id="6" w:name="_GoBack"/>
      <w:bookmarkEnd w:id="6"/>
    </w:p>
    <w:p w:rsidR="003837A1" w:rsidRPr="00816F6E" w:rsidRDefault="00D51F1A" w:rsidP="00816F6E">
      <w:pPr>
        <w:pStyle w:val="ONUMFS"/>
        <w:ind w:left="5533"/>
        <w:rPr>
          <w:i/>
          <w:lang w:val="fr-FR"/>
        </w:rPr>
      </w:pPr>
      <w:r w:rsidRPr="00816F6E">
        <w:rPr>
          <w:i/>
          <w:lang w:val="fr-FR"/>
        </w:rPr>
        <w:t>Le groupe de travail est invité à faire part de ses observations sur les modifications du règlement d</w:t>
      </w:r>
      <w:r w:rsidR="009D1B7B" w:rsidRPr="00816F6E">
        <w:rPr>
          <w:i/>
          <w:lang w:val="fr-FR"/>
        </w:rPr>
        <w:t>’</w:t>
      </w:r>
      <w:r w:rsidRPr="00816F6E">
        <w:rPr>
          <w:i/>
          <w:lang w:val="fr-FR"/>
        </w:rPr>
        <w:t>exécution</w:t>
      </w:r>
      <w:r w:rsidR="009D1B7B" w:rsidRPr="00816F6E">
        <w:rPr>
          <w:i/>
          <w:lang w:val="fr-FR"/>
        </w:rPr>
        <w:t xml:space="preserve"> du PCT</w:t>
      </w:r>
      <w:r w:rsidRPr="00816F6E">
        <w:rPr>
          <w:i/>
          <w:lang w:val="fr-FR"/>
        </w:rPr>
        <w:t xml:space="preserve"> proposées dans l</w:t>
      </w:r>
      <w:r w:rsidR="009D1B7B" w:rsidRPr="00816F6E">
        <w:rPr>
          <w:i/>
          <w:lang w:val="fr-FR"/>
        </w:rPr>
        <w:t>’</w:t>
      </w:r>
      <w:r w:rsidRPr="00816F6E">
        <w:rPr>
          <w:i/>
          <w:lang w:val="fr-FR"/>
        </w:rPr>
        <w:t>annexe du présent document.</w:t>
      </w:r>
    </w:p>
    <w:p w:rsidR="008E4D16" w:rsidRPr="002213F4" w:rsidRDefault="008E4D16" w:rsidP="00D51F1A">
      <w:pPr>
        <w:pStyle w:val="Endofdocument-Annex"/>
        <w:rPr>
          <w:lang w:val="fr-FR"/>
        </w:rPr>
      </w:pPr>
    </w:p>
    <w:p w:rsidR="008E4D16" w:rsidRPr="002213F4" w:rsidRDefault="008E4D16" w:rsidP="00D51F1A">
      <w:pPr>
        <w:pStyle w:val="Endofdocument-Annex"/>
        <w:rPr>
          <w:lang w:val="fr-FR"/>
        </w:rPr>
      </w:pPr>
    </w:p>
    <w:p w:rsidR="0082207B" w:rsidRPr="002213F4" w:rsidRDefault="00D51F1A" w:rsidP="00D51F1A">
      <w:pPr>
        <w:pStyle w:val="Endofdocument-Annex"/>
        <w:rPr>
          <w:lang w:val="fr-FR"/>
        </w:rPr>
        <w:sectPr w:rsidR="0082207B" w:rsidRPr="002213F4" w:rsidSect="00816F6E">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2213F4">
        <w:rPr>
          <w:lang w:val="fr-FR"/>
        </w:rPr>
        <w:t>[L</w:t>
      </w:r>
      <w:r w:rsidR="009D1B7B" w:rsidRPr="002213F4">
        <w:rPr>
          <w:lang w:val="fr-FR"/>
        </w:rPr>
        <w:t>’</w:t>
      </w:r>
      <w:r w:rsidRPr="002213F4">
        <w:rPr>
          <w:lang w:val="fr-FR"/>
        </w:rPr>
        <w:t>annexe suit]</w:t>
      </w:r>
    </w:p>
    <w:p w:rsidR="003837A1" w:rsidRPr="002213F4" w:rsidRDefault="003837A1" w:rsidP="0082207B">
      <w:pPr>
        <w:jc w:val="center"/>
        <w:rPr>
          <w:lang w:val="fr-FR"/>
        </w:rPr>
      </w:pPr>
      <w:bookmarkStart w:id="7" w:name="Annex"/>
    </w:p>
    <w:p w:rsidR="003837A1" w:rsidRPr="002213F4" w:rsidRDefault="003837A1" w:rsidP="0082207B">
      <w:pPr>
        <w:jc w:val="center"/>
        <w:rPr>
          <w:lang w:val="fr-FR"/>
        </w:rPr>
      </w:pPr>
    </w:p>
    <w:p w:rsidR="003837A1" w:rsidRPr="002213F4" w:rsidRDefault="003837A1" w:rsidP="0082207B">
      <w:pPr>
        <w:jc w:val="center"/>
        <w:rPr>
          <w:lang w:val="fr-FR"/>
        </w:rPr>
      </w:pPr>
    </w:p>
    <w:p w:rsidR="003837A1" w:rsidRPr="002213F4" w:rsidRDefault="00816F6E" w:rsidP="00665AF5">
      <w:pPr>
        <w:jc w:val="center"/>
        <w:rPr>
          <w:lang w:val="fr-FR"/>
        </w:rPr>
      </w:pPr>
      <w:r w:rsidRPr="002213F4">
        <w:rPr>
          <w:lang w:val="fr-FR"/>
        </w:rPr>
        <w:t>PROPOSITIONS DE MODIFICATION DU RÈGLEMENT D’EXÉCUTION DU PCT</w:t>
      </w:r>
      <w:r w:rsidR="00665AF5" w:rsidRPr="002213F4">
        <w:rPr>
          <w:rStyle w:val="FootnoteReference"/>
          <w:lang w:val="fr-FR"/>
        </w:rPr>
        <w:footnoteReference w:id="2"/>
      </w:r>
    </w:p>
    <w:p w:rsidR="003837A1" w:rsidRPr="002213F4" w:rsidRDefault="003837A1" w:rsidP="0082207B">
      <w:pPr>
        <w:jc w:val="center"/>
        <w:rPr>
          <w:lang w:val="fr-FR"/>
        </w:rPr>
      </w:pPr>
    </w:p>
    <w:p w:rsidR="003837A1" w:rsidRPr="002213F4" w:rsidRDefault="003837A1" w:rsidP="0082207B">
      <w:pPr>
        <w:jc w:val="center"/>
        <w:rPr>
          <w:lang w:val="fr-FR"/>
        </w:rPr>
      </w:pPr>
    </w:p>
    <w:p w:rsidR="003837A1" w:rsidRPr="002213F4" w:rsidRDefault="00E61709" w:rsidP="00665AF5">
      <w:pPr>
        <w:jc w:val="center"/>
        <w:rPr>
          <w:lang w:val="fr-FR"/>
        </w:rPr>
      </w:pPr>
      <w:r w:rsidRPr="002213F4">
        <w:rPr>
          <w:lang w:val="fr-FR"/>
        </w:rPr>
        <w:t>TABLE DES MATI</w:t>
      </w:r>
      <w:r w:rsidR="00665AF5" w:rsidRPr="002213F4">
        <w:rPr>
          <w:lang w:val="fr-FR"/>
        </w:rPr>
        <w:t>È</w:t>
      </w:r>
      <w:r w:rsidRPr="002213F4">
        <w:rPr>
          <w:lang w:val="fr-FR"/>
        </w:rPr>
        <w:t>RES</w:t>
      </w:r>
    </w:p>
    <w:p w:rsidR="003837A1" w:rsidRPr="002213F4" w:rsidRDefault="003837A1" w:rsidP="0082207B">
      <w:pPr>
        <w:pStyle w:val="ONUME"/>
        <w:numPr>
          <w:ilvl w:val="0"/>
          <w:numId w:val="0"/>
        </w:numPr>
        <w:rPr>
          <w:lang w:val="fr-FR"/>
        </w:rPr>
      </w:pPr>
    </w:p>
    <w:p w:rsidR="00816F6E" w:rsidRDefault="00864284">
      <w:pPr>
        <w:pStyle w:val="TOC1"/>
        <w:tabs>
          <w:tab w:val="right" w:leader="dot" w:pos="9345"/>
        </w:tabs>
        <w:rPr>
          <w:rFonts w:asciiTheme="minorHAnsi" w:eastAsiaTheme="minorEastAsia" w:hAnsiTheme="minorHAnsi" w:cstheme="minorBidi"/>
          <w:noProof/>
          <w:szCs w:val="22"/>
          <w:lang w:val="fr-FR" w:eastAsia="fr-FR"/>
        </w:rPr>
      </w:pPr>
      <w:r w:rsidRPr="002213F4">
        <w:rPr>
          <w:lang w:val="fr-FR"/>
        </w:rPr>
        <w:fldChar w:fldCharType="begin"/>
      </w:r>
      <w:r w:rsidRPr="002213F4">
        <w:rPr>
          <w:lang w:val="fr-FR"/>
        </w:rPr>
        <w:instrText xml:space="preserve"> TOC \t "Leg SubRule #;2;Leg # Title;1" </w:instrText>
      </w:r>
      <w:r w:rsidRPr="002213F4">
        <w:rPr>
          <w:lang w:val="fr-FR"/>
        </w:rPr>
        <w:fldChar w:fldCharType="separate"/>
      </w:r>
      <w:r w:rsidR="00816F6E" w:rsidRPr="00B177EC">
        <w:rPr>
          <w:noProof/>
          <w:lang w:val="fr-FR"/>
        </w:rPr>
        <w:t>Règle 26</w:t>
      </w:r>
      <w:r w:rsidR="00816F6E" w:rsidRPr="00B177EC">
        <w:rPr>
          <w:i/>
          <w:noProof/>
          <w:lang w:val="fr-FR"/>
        </w:rPr>
        <w:t xml:space="preserve">bis  </w:t>
      </w:r>
      <w:r w:rsidR="00816F6E" w:rsidRPr="00B177EC">
        <w:rPr>
          <w:noProof/>
          <w:lang w:val="fr-FR"/>
        </w:rPr>
        <w:t>Correction ou adjonction de revendications de priorité</w:t>
      </w:r>
      <w:r w:rsidR="00816F6E" w:rsidRPr="001166C2">
        <w:rPr>
          <w:noProof/>
          <w:lang w:val="fr-FR"/>
        </w:rPr>
        <w:tab/>
      </w:r>
      <w:r w:rsidR="00816F6E">
        <w:rPr>
          <w:noProof/>
        </w:rPr>
        <w:fldChar w:fldCharType="begin"/>
      </w:r>
      <w:r w:rsidR="00816F6E" w:rsidRPr="001166C2">
        <w:rPr>
          <w:noProof/>
          <w:lang w:val="fr-FR"/>
        </w:rPr>
        <w:instrText xml:space="preserve"> PAGEREF _Toc445721816 \h </w:instrText>
      </w:r>
      <w:r w:rsidR="00816F6E">
        <w:rPr>
          <w:noProof/>
        </w:rPr>
      </w:r>
      <w:r w:rsidR="00816F6E">
        <w:rPr>
          <w:noProof/>
        </w:rPr>
        <w:fldChar w:fldCharType="separate"/>
      </w:r>
      <w:r w:rsidR="004E6ABA">
        <w:rPr>
          <w:noProof/>
          <w:lang w:val="fr-FR"/>
        </w:rPr>
        <w:t>2</w:t>
      </w:r>
      <w:r w:rsidR="00816F6E">
        <w:rPr>
          <w:noProof/>
        </w:rPr>
        <w:fldChar w:fldCharType="end"/>
      </w:r>
    </w:p>
    <w:p w:rsidR="00816F6E" w:rsidRDefault="00816F6E">
      <w:pPr>
        <w:pStyle w:val="TOC2"/>
        <w:tabs>
          <w:tab w:val="right" w:leader="dot" w:pos="9345"/>
        </w:tabs>
        <w:rPr>
          <w:rFonts w:asciiTheme="minorHAnsi" w:eastAsiaTheme="minorEastAsia" w:hAnsiTheme="minorHAnsi" w:cstheme="minorBidi"/>
          <w:noProof/>
          <w:szCs w:val="22"/>
          <w:lang w:val="fr-FR" w:eastAsia="fr-FR"/>
        </w:rPr>
      </w:pPr>
      <w:r w:rsidRPr="00B177EC">
        <w:rPr>
          <w:noProof/>
          <w:lang w:val="fr-FR"/>
        </w:rPr>
        <w:t>26</w:t>
      </w:r>
      <w:r w:rsidRPr="00B177EC">
        <w:rPr>
          <w:i/>
          <w:noProof/>
          <w:lang w:val="fr-FR"/>
        </w:rPr>
        <w:t>bis</w:t>
      </w:r>
      <w:r w:rsidRPr="00B177EC">
        <w:rPr>
          <w:noProof/>
          <w:lang w:val="fr-FR"/>
        </w:rPr>
        <w:t>.1   </w:t>
      </w:r>
      <w:r w:rsidRPr="00B177EC">
        <w:rPr>
          <w:rFonts w:ascii="Microsoft Sans Serif" w:hAnsi="Microsoft Sans Serif" w:cs="Microsoft Sans Serif"/>
          <w:noProof/>
          <w:lang w:val="fr-FR"/>
        </w:rPr>
        <w:t>[</w:t>
      </w:r>
      <w:r w:rsidRPr="00B177EC">
        <w:rPr>
          <w:noProof/>
          <w:lang w:val="fr-FR"/>
        </w:rPr>
        <w:t>Sans changement</w:t>
      </w:r>
      <w:r w:rsidRPr="00B177EC">
        <w:rPr>
          <w:rFonts w:ascii="Microsoft Sans Serif" w:hAnsi="Microsoft Sans Serif" w:cs="Microsoft Sans Serif"/>
          <w:noProof/>
          <w:lang w:val="fr-FR"/>
        </w:rPr>
        <w:t>]</w:t>
      </w:r>
      <w:r w:rsidRPr="001166C2">
        <w:rPr>
          <w:noProof/>
          <w:lang w:val="fr-FR"/>
        </w:rPr>
        <w:tab/>
      </w:r>
      <w:r>
        <w:rPr>
          <w:noProof/>
        </w:rPr>
        <w:fldChar w:fldCharType="begin"/>
      </w:r>
      <w:r w:rsidRPr="001166C2">
        <w:rPr>
          <w:noProof/>
          <w:lang w:val="fr-FR"/>
        </w:rPr>
        <w:instrText xml:space="preserve"> PAGEREF _Toc445721817 \h </w:instrText>
      </w:r>
      <w:r>
        <w:rPr>
          <w:noProof/>
        </w:rPr>
      </w:r>
      <w:r>
        <w:rPr>
          <w:noProof/>
        </w:rPr>
        <w:fldChar w:fldCharType="separate"/>
      </w:r>
      <w:r w:rsidR="004E6ABA">
        <w:rPr>
          <w:noProof/>
          <w:lang w:val="fr-FR"/>
        </w:rPr>
        <w:t>2</w:t>
      </w:r>
      <w:r>
        <w:rPr>
          <w:noProof/>
        </w:rPr>
        <w:fldChar w:fldCharType="end"/>
      </w:r>
    </w:p>
    <w:p w:rsidR="00816F6E" w:rsidRDefault="00816F6E">
      <w:pPr>
        <w:pStyle w:val="TOC2"/>
        <w:tabs>
          <w:tab w:val="right" w:leader="dot" w:pos="9345"/>
        </w:tabs>
        <w:rPr>
          <w:rFonts w:asciiTheme="minorHAnsi" w:eastAsiaTheme="minorEastAsia" w:hAnsiTheme="minorHAnsi" w:cstheme="minorBidi"/>
          <w:noProof/>
          <w:szCs w:val="22"/>
          <w:lang w:val="fr-FR" w:eastAsia="fr-FR"/>
        </w:rPr>
      </w:pPr>
      <w:r w:rsidRPr="00B177EC">
        <w:rPr>
          <w:noProof/>
          <w:lang w:val="fr-FR"/>
        </w:rPr>
        <w:t>26</w:t>
      </w:r>
      <w:r w:rsidRPr="00B177EC">
        <w:rPr>
          <w:i/>
          <w:noProof/>
          <w:lang w:val="fr-FR"/>
        </w:rPr>
        <w:t>bis</w:t>
      </w:r>
      <w:r w:rsidRPr="00B177EC">
        <w:rPr>
          <w:noProof/>
          <w:lang w:val="fr-FR"/>
        </w:rPr>
        <w:t>.2   </w:t>
      </w:r>
      <w:r w:rsidRPr="00B177EC">
        <w:rPr>
          <w:i/>
          <w:noProof/>
          <w:lang w:val="fr-FR"/>
        </w:rPr>
        <w:t>Irrégularités dans les revendications de priorité</w:t>
      </w:r>
      <w:r w:rsidRPr="001166C2">
        <w:rPr>
          <w:noProof/>
          <w:lang w:val="fr-FR"/>
        </w:rPr>
        <w:tab/>
      </w:r>
      <w:r>
        <w:rPr>
          <w:noProof/>
        </w:rPr>
        <w:fldChar w:fldCharType="begin"/>
      </w:r>
      <w:r w:rsidRPr="001166C2">
        <w:rPr>
          <w:noProof/>
          <w:lang w:val="fr-FR"/>
        </w:rPr>
        <w:instrText xml:space="preserve"> PAGEREF _Toc445721818 \h </w:instrText>
      </w:r>
      <w:r>
        <w:rPr>
          <w:noProof/>
        </w:rPr>
      </w:r>
      <w:r>
        <w:rPr>
          <w:noProof/>
        </w:rPr>
        <w:fldChar w:fldCharType="separate"/>
      </w:r>
      <w:r w:rsidR="004E6ABA">
        <w:rPr>
          <w:noProof/>
          <w:lang w:val="fr-FR"/>
        </w:rPr>
        <w:t>2</w:t>
      </w:r>
      <w:r>
        <w:rPr>
          <w:noProof/>
        </w:rPr>
        <w:fldChar w:fldCharType="end"/>
      </w:r>
    </w:p>
    <w:p w:rsidR="00816F6E" w:rsidRDefault="00816F6E">
      <w:pPr>
        <w:pStyle w:val="TOC2"/>
        <w:tabs>
          <w:tab w:val="right" w:leader="dot" w:pos="9345"/>
        </w:tabs>
        <w:rPr>
          <w:rFonts w:asciiTheme="minorHAnsi" w:eastAsiaTheme="minorEastAsia" w:hAnsiTheme="minorHAnsi" w:cstheme="minorBidi"/>
          <w:noProof/>
          <w:szCs w:val="22"/>
          <w:lang w:val="fr-FR" w:eastAsia="fr-FR"/>
        </w:rPr>
      </w:pPr>
      <w:r w:rsidRPr="00B177EC">
        <w:rPr>
          <w:noProof/>
          <w:lang w:val="fr-FR"/>
        </w:rPr>
        <w:t>26</w:t>
      </w:r>
      <w:r w:rsidRPr="00B177EC">
        <w:rPr>
          <w:i/>
          <w:noProof/>
          <w:lang w:val="fr-FR"/>
        </w:rPr>
        <w:t>bis</w:t>
      </w:r>
      <w:r w:rsidRPr="00B177EC">
        <w:rPr>
          <w:noProof/>
          <w:lang w:val="fr-FR"/>
        </w:rPr>
        <w:t>.3   </w:t>
      </w:r>
      <w:r w:rsidRPr="00B177EC">
        <w:rPr>
          <w:rFonts w:ascii="Microsoft Sans Serif" w:hAnsi="Microsoft Sans Serif" w:cs="Microsoft Sans Serif"/>
          <w:noProof/>
          <w:lang w:val="fr-FR"/>
        </w:rPr>
        <w:t>[</w:t>
      </w:r>
      <w:r w:rsidRPr="00B177EC">
        <w:rPr>
          <w:noProof/>
          <w:lang w:val="fr-FR"/>
        </w:rPr>
        <w:t>Sans changement</w:t>
      </w:r>
      <w:r w:rsidRPr="00B177EC">
        <w:rPr>
          <w:rFonts w:ascii="Microsoft Sans Serif" w:hAnsi="Microsoft Sans Serif" w:cs="Microsoft Sans Serif"/>
          <w:noProof/>
          <w:lang w:val="fr-FR"/>
        </w:rPr>
        <w:t>]</w:t>
      </w:r>
      <w:r w:rsidRPr="001166C2">
        <w:rPr>
          <w:noProof/>
          <w:lang w:val="fr-FR"/>
        </w:rPr>
        <w:tab/>
      </w:r>
      <w:r>
        <w:rPr>
          <w:noProof/>
        </w:rPr>
        <w:fldChar w:fldCharType="begin"/>
      </w:r>
      <w:r w:rsidRPr="001166C2">
        <w:rPr>
          <w:noProof/>
          <w:lang w:val="fr-FR"/>
        </w:rPr>
        <w:instrText xml:space="preserve"> PAGEREF _Toc445721819 \h </w:instrText>
      </w:r>
      <w:r>
        <w:rPr>
          <w:noProof/>
        </w:rPr>
      </w:r>
      <w:r>
        <w:rPr>
          <w:noProof/>
        </w:rPr>
        <w:fldChar w:fldCharType="separate"/>
      </w:r>
      <w:r w:rsidR="004E6ABA">
        <w:rPr>
          <w:noProof/>
          <w:lang w:val="fr-FR"/>
        </w:rPr>
        <w:t>3</w:t>
      </w:r>
      <w:r>
        <w:rPr>
          <w:noProof/>
        </w:rPr>
        <w:fldChar w:fldCharType="end"/>
      </w:r>
    </w:p>
    <w:p w:rsidR="003837A1" w:rsidRPr="002213F4" w:rsidRDefault="00864284" w:rsidP="0082207B">
      <w:pPr>
        <w:pStyle w:val="ONUME"/>
        <w:numPr>
          <w:ilvl w:val="0"/>
          <w:numId w:val="0"/>
        </w:numPr>
        <w:rPr>
          <w:lang w:val="fr-FR"/>
        </w:rPr>
      </w:pPr>
      <w:r w:rsidRPr="002213F4">
        <w:rPr>
          <w:lang w:val="fr-FR"/>
        </w:rPr>
        <w:fldChar w:fldCharType="end"/>
      </w:r>
    </w:p>
    <w:p w:rsidR="003837A1" w:rsidRPr="002213F4" w:rsidRDefault="009B3A89" w:rsidP="009B3A89">
      <w:pPr>
        <w:pStyle w:val="LegTitle"/>
        <w:pageBreakBefore/>
        <w:spacing w:line="360" w:lineRule="auto"/>
        <w:rPr>
          <w:rFonts w:cs="Arial"/>
          <w:szCs w:val="22"/>
          <w:lang w:val="fr-FR"/>
        </w:rPr>
      </w:pPr>
      <w:bookmarkStart w:id="8" w:name="_Toc445721816"/>
      <w:r w:rsidRPr="002213F4">
        <w:rPr>
          <w:rFonts w:cs="Arial"/>
          <w:szCs w:val="22"/>
          <w:lang w:val="fr-FR"/>
        </w:rPr>
        <w:lastRenderedPageBreak/>
        <w:t>Règle</w:t>
      </w:r>
      <w:r w:rsidR="002A191C" w:rsidRPr="002213F4">
        <w:rPr>
          <w:rFonts w:cs="Arial"/>
          <w:szCs w:val="22"/>
          <w:lang w:val="fr-FR"/>
        </w:rPr>
        <w:t> </w:t>
      </w:r>
      <w:r w:rsidRPr="002213F4">
        <w:rPr>
          <w:rFonts w:cs="Arial"/>
          <w:szCs w:val="22"/>
          <w:lang w:val="fr-FR"/>
        </w:rPr>
        <w:t>26</w:t>
      </w:r>
      <w:r w:rsidRPr="002213F4">
        <w:rPr>
          <w:rFonts w:cs="Arial"/>
          <w:i/>
          <w:szCs w:val="22"/>
          <w:lang w:val="fr-FR"/>
        </w:rPr>
        <w:t xml:space="preserve">bis </w:t>
      </w:r>
      <w:r w:rsidR="00E61709" w:rsidRPr="002213F4">
        <w:rPr>
          <w:rFonts w:cs="Arial"/>
          <w:i/>
          <w:szCs w:val="22"/>
          <w:lang w:val="fr-FR"/>
        </w:rPr>
        <w:br/>
      </w:r>
      <w:r w:rsidRPr="002213F4">
        <w:rPr>
          <w:rFonts w:cs="Arial"/>
          <w:szCs w:val="22"/>
          <w:lang w:val="fr-FR"/>
        </w:rPr>
        <w:t>Correction ou adjonction de revendications de priorité</w:t>
      </w:r>
      <w:bookmarkEnd w:id="8"/>
    </w:p>
    <w:p w:rsidR="003837A1" w:rsidRPr="002213F4" w:rsidRDefault="0082207B" w:rsidP="0082207B">
      <w:pPr>
        <w:pStyle w:val="LegSubRule"/>
        <w:keepLines w:val="0"/>
        <w:spacing w:line="360" w:lineRule="auto"/>
        <w:rPr>
          <w:rFonts w:cs="Arial"/>
          <w:szCs w:val="22"/>
          <w:lang w:val="fr-FR"/>
        </w:rPr>
      </w:pPr>
      <w:bookmarkStart w:id="9" w:name="_Toc445721817"/>
      <w:r w:rsidRPr="002213F4">
        <w:rPr>
          <w:rFonts w:cs="Arial"/>
          <w:szCs w:val="22"/>
          <w:lang w:val="fr-FR"/>
        </w:rPr>
        <w:t>26</w:t>
      </w:r>
      <w:r w:rsidRPr="002213F4">
        <w:rPr>
          <w:rFonts w:cs="Arial"/>
          <w:i/>
          <w:szCs w:val="22"/>
          <w:lang w:val="fr-FR"/>
        </w:rPr>
        <w:t>bis</w:t>
      </w:r>
      <w:r w:rsidRPr="002213F4">
        <w:rPr>
          <w:rFonts w:cs="Arial"/>
          <w:szCs w:val="22"/>
          <w:lang w:val="fr-FR"/>
        </w:rPr>
        <w:t>.1   </w:t>
      </w:r>
      <w:r w:rsidRPr="002213F4">
        <w:rPr>
          <w:rFonts w:ascii="Microsoft Sans Serif" w:hAnsi="Microsoft Sans Serif" w:cs="Microsoft Sans Serif"/>
          <w:szCs w:val="22"/>
          <w:lang w:val="fr-FR"/>
        </w:rPr>
        <w:t>[</w:t>
      </w:r>
      <w:r w:rsidR="009C5075" w:rsidRPr="002213F4">
        <w:rPr>
          <w:rFonts w:cs="Arial"/>
          <w:szCs w:val="22"/>
          <w:lang w:val="fr-FR"/>
        </w:rPr>
        <w:t>Sans</w:t>
      </w:r>
      <w:r w:rsidRPr="002213F4">
        <w:rPr>
          <w:rFonts w:cs="Arial"/>
          <w:szCs w:val="22"/>
          <w:lang w:val="fr-FR"/>
        </w:rPr>
        <w:t xml:space="preserve"> change</w:t>
      </w:r>
      <w:r w:rsidR="009C5075" w:rsidRPr="002213F4">
        <w:rPr>
          <w:rFonts w:cs="Arial"/>
          <w:szCs w:val="22"/>
          <w:lang w:val="fr-FR"/>
        </w:rPr>
        <w:t>ment</w:t>
      </w:r>
      <w:r w:rsidRPr="002213F4">
        <w:rPr>
          <w:rFonts w:ascii="Microsoft Sans Serif" w:hAnsi="Microsoft Sans Serif" w:cs="Microsoft Sans Serif"/>
          <w:szCs w:val="22"/>
          <w:lang w:val="fr-FR"/>
        </w:rPr>
        <w:t>]</w:t>
      </w:r>
      <w:bookmarkEnd w:id="9"/>
    </w:p>
    <w:p w:rsidR="003837A1" w:rsidRPr="002213F4" w:rsidRDefault="009B3A89" w:rsidP="009B3A89">
      <w:pPr>
        <w:pStyle w:val="LegSubRule"/>
        <w:spacing w:line="360" w:lineRule="auto"/>
        <w:rPr>
          <w:rFonts w:cs="Arial"/>
          <w:szCs w:val="22"/>
          <w:lang w:val="fr-FR"/>
        </w:rPr>
      </w:pPr>
      <w:bookmarkStart w:id="10" w:name="_Toc445721818"/>
      <w:r w:rsidRPr="002213F4">
        <w:rPr>
          <w:rFonts w:cs="Arial"/>
          <w:szCs w:val="22"/>
          <w:lang w:val="fr-FR"/>
        </w:rPr>
        <w:t>26</w:t>
      </w:r>
      <w:r w:rsidRPr="002213F4">
        <w:rPr>
          <w:rFonts w:cs="Arial"/>
          <w:i/>
          <w:szCs w:val="22"/>
          <w:lang w:val="fr-FR"/>
        </w:rPr>
        <w:t>bis</w:t>
      </w:r>
      <w:r w:rsidR="00864284" w:rsidRPr="002213F4">
        <w:rPr>
          <w:rFonts w:cs="Arial"/>
          <w:szCs w:val="22"/>
          <w:lang w:val="fr-FR"/>
        </w:rPr>
        <w:t>.2   </w:t>
      </w:r>
      <w:r w:rsidRPr="002213F4">
        <w:rPr>
          <w:rFonts w:cs="Arial"/>
          <w:i/>
          <w:szCs w:val="22"/>
          <w:lang w:val="fr-FR"/>
        </w:rPr>
        <w:t>Irrégularités dans les revendications de priorité</w:t>
      </w:r>
      <w:bookmarkEnd w:id="10"/>
    </w:p>
    <w:p w:rsidR="003837A1" w:rsidRPr="002213F4" w:rsidRDefault="0082207B" w:rsidP="00864284">
      <w:pPr>
        <w:pStyle w:val="Lega"/>
        <w:tabs>
          <w:tab w:val="clear" w:pos="454"/>
          <w:tab w:val="left" w:pos="567"/>
          <w:tab w:val="left" w:pos="1134"/>
        </w:tabs>
        <w:spacing w:line="360" w:lineRule="auto"/>
        <w:rPr>
          <w:rFonts w:cs="Arial"/>
          <w:szCs w:val="22"/>
          <w:lang w:val="fr-FR"/>
        </w:rPr>
      </w:pPr>
      <w:r w:rsidRPr="002213F4">
        <w:rPr>
          <w:rFonts w:cs="Arial"/>
          <w:szCs w:val="22"/>
          <w:lang w:val="fr-FR"/>
        </w:rPr>
        <w:tab/>
      </w:r>
      <w:r w:rsidR="00864284" w:rsidRPr="002213F4">
        <w:rPr>
          <w:rFonts w:cs="Arial"/>
          <w:szCs w:val="22"/>
          <w:lang w:val="fr-FR"/>
        </w:rPr>
        <w:t>a)</w:t>
      </w:r>
      <w:r w:rsidR="00864284" w:rsidRPr="002213F4">
        <w:rPr>
          <w:rFonts w:cs="Arial"/>
          <w:szCs w:val="22"/>
          <w:lang w:val="fr-FR"/>
        </w:rPr>
        <w:tab/>
      </w:r>
      <w:r w:rsidR="00107E4C" w:rsidRPr="002213F4">
        <w:rPr>
          <w:rFonts w:ascii="Microsoft Sans Serif" w:hAnsi="Microsoft Sans Serif" w:cs="Microsoft Sans Serif"/>
          <w:szCs w:val="22"/>
          <w:lang w:val="fr-FR"/>
        </w:rPr>
        <w:t>[</w:t>
      </w:r>
      <w:r w:rsidR="00107E4C" w:rsidRPr="002213F4">
        <w:rPr>
          <w:rFonts w:cs="Arial"/>
          <w:szCs w:val="22"/>
          <w:lang w:val="fr-FR"/>
        </w:rPr>
        <w:t>Sans changement</w:t>
      </w:r>
      <w:r w:rsidR="00816F6E">
        <w:rPr>
          <w:rFonts w:ascii="Microsoft Sans Serif" w:hAnsi="Microsoft Sans Serif" w:cs="Microsoft Sans Serif"/>
          <w:szCs w:val="22"/>
          <w:lang w:val="fr-FR"/>
        </w:rPr>
        <w:t>]  </w:t>
      </w:r>
      <w:r w:rsidR="009B3A89" w:rsidRPr="002213F4">
        <w:rPr>
          <w:rFonts w:cs="Arial"/>
          <w:szCs w:val="22"/>
          <w:lang w:val="fr-FR"/>
        </w:rPr>
        <w:t>Lorsque l</w:t>
      </w:r>
      <w:r w:rsidR="009D1B7B" w:rsidRPr="002213F4">
        <w:rPr>
          <w:rFonts w:cs="Arial"/>
          <w:szCs w:val="22"/>
          <w:lang w:val="fr-FR"/>
        </w:rPr>
        <w:t>’</w:t>
      </w:r>
      <w:r w:rsidR="009B3A89" w:rsidRPr="002213F4">
        <w:rPr>
          <w:rFonts w:cs="Arial"/>
          <w:szCs w:val="22"/>
          <w:lang w:val="fr-FR"/>
        </w:rPr>
        <w:t>office récepteur ou, à défaut, le Bureau international, constate à propos d</w:t>
      </w:r>
      <w:r w:rsidR="009D1B7B" w:rsidRPr="002213F4">
        <w:rPr>
          <w:rFonts w:cs="Arial"/>
          <w:szCs w:val="22"/>
          <w:lang w:val="fr-FR"/>
        </w:rPr>
        <w:t>’</w:t>
      </w:r>
      <w:r w:rsidR="009B3A89" w:rsidRPr="002213F4">
        <w:rPr>
          <w:rFonts w:cs="Arial"/>
          <w:szCs w:val="22"/>
          <w:lang w:val="fr-FR"/>
        </w:rPr>
        <w:t>une revendication de priorité</w:t>
      </w:r>
    </w:p>
    <w:p w:rsidR="003837A1" w:rsidRPr="002213F4" w:rsidRDefault="009B3A89" w:rsidP="00864284">
      <w:pPr>
        <w:pStyle w:val="Legiindent"/>
        <w:tabs>
          <w:tab w:val="clear" w:pos="1020"/>
          <w:tab w:val="clear" w:pos="1191"/>
          <w:tab w:val="left" w:pos="1701"/>
        </w:tabs>
        <w:spacing w:line="360" w:lineRule="auto"/>
        <w:ind w:left="1701" w:hanging="567"/>
        <w:rPr>
          <w:rFonts w:cs="Arial"/>
          <w:szCs w:val="22"/>
          <w:lang w:val="fr-FR"/>
        </w:rPr>
      </w:pPr>
      <w:r w:rsidRPr="002213F4">
        <w:rPr>
          <w:rFonts w:cs="Arial"/>
          <w:szCs w:val="22"/>
          <w:lang w:val="fr-FR"/>
        </w:rPr>
        <w:t>i)</w:t>
      </w:r>
      <w:r w:rsidRPr="002213F4">
        <w:rPr>
          <w:rFonts w:cs="Arial"/>
          <w:szCs w:val="22"/>
          <w:lang w:val="fr-FR"/>
        </w:rPr>
        <w:tab/>
        <w:t>que la demande internationale a une date de dépôt international qui est postérieure à la date d</w:t>
      </w:r>
      <w:r w:rsidR="009D1B7B" w:rsidRPr="002213F4">
        <w:rPr>
          <w:rFonts w:cs="Arial"/>
          <w:szCs w:val="22"/>
          <w:lang w:val="fr-FR"/>
        </w:rPr>
        <w:t>’</w:t>
      </w:r>
      <w:r w:rsidRPr="002213F4">
        <w:rPr>
          <w:rFonts w:cs="Arial"/>
          <w:szCs w:val="22"/>
          <w:lang w:val="fr-FR"/>
        </w:rPr>
        <w:t>expiration du délai de priorité et qu</w:t>
      </w:r>
      <w:r w:rsidR="009D1B7B" w:rsidRPr="002213F4">
        <w:rPr>
          <w:rFonts w:cs="Arial"/>
          <w:szCs w:val="22"/>
          <w:lang w:val="fr-FR"/>
        </w:rPr>
        <w:t>’</w:t>
      </w:r>
      <w:r w:rsidRPr="002213F4">
        <w:rPr>
          <w:rFonts w:cs="Arial"/>
          <w:szCs w:val="22"/>
          <w:lang w:val="fr-FR"/>
        </w:rPr>
        <w:t>une requête en restauration du droit de priorité selon la règle</w:t>
      </w:r>
      <w:r w:rsidR="002A191C" w:rsidRPr="002213F4">
        <w:rPr>
          <w:rFonts w:cs="Arial"/>
          <w:szCs w:val="22"/>
          <w:lang w:val="fr-FR"/>
        </w:rPr>
        <w:t> </w:t>
      </w:r>
      <w:r w:rsidRPr="002213F4">
        <w:rPr>
          <w:rFonts w:cs="Arial"/>
          <w:szCs w:val="22"/>
          <w:lang w:val="fr-FR"/>
        </w:rPr>
        <w:t>26</w:t>
      </w:r>
      <w:r w:rsidRPr="002213F4">
        <w:rPr>
          <w:rFonts w:cs="Arial"/>
          <w:i/>
          <w:szCs w:val="22"/>
          <w:lang w:val="fr-FR"/>
        </w:rPr>
        <w:t>bis</w:t>
      </w:r>
      <w:r w:rsidRPr="002213F4">
        <w:rPr>
          <w:rFonts w:cs="Arial"/>
          <w:szCs w:val="22"/>
          <w:lang w:val="fr-FR"/>
        </w:rPr>
        <w:t>.3 n</w:t>
      </w:r>
      <w:r w:rsidR="009D1B7B" w:rsidRPr="002213F4">
        <w:rPr>
          <w:rFonts w:cs="Arial"/>
          <w:szCs w:val="22"/>
          <w:lang w:val="fr-FR"/>
        </w:rPr>
        <w:t>’</w:t>
      </w:r>
      <w:r w:rsidRPr="002213F4">
        <w:rPr>
          <w:rFonts w:cs="Arial"/>
          <w:szCs w:val="22"/>
          <w:lang w:val="fr-FR"/>
        </w:rPr>
        <w:t>a pas été présentée;</w:t>
      </w:r>
    </w:p>
    <w:p w:rsidR="003837A1" w:rsidRPr="002213F4" w:rsidRDefault="009B3A89" w:rsidP="00864284">
      <w:pPr>
        <w:pStyle w:val="Legiindent"/>
        <w:tabs>
          <w:tab w:val="clear" w:pos="1020"/>
          <w:tab w:val="clear" w:pos="1191"/>
          <w:tab w:val="left" w:pos="1701"/>
        </w:tabs>
        <w:spacing w:line="360" w:lineRule="auto"/>
        <w:ind w:left="1701" w:hanging="567"/>
        <w:rPr>
          <w:rFonts w:cs="Arial"/>
          <w:szCs w:val="22"/>
          <w:lang w:val="fr-FR"/>
        </w:rPr>
      </w:pPr>
      <w:r w:rsidRPr="002213F4">
        <w:rPr>
          <w:rFonts w:cs="Arial"/>
          <w:szCs w:val="22"/>
          <w:lang w:val="fr-FR"/>
        </w:rPr>
        <w:t>ii)</w:t>
      </w:r>
      <w:r w:rsidRPr="002213F4">
        <w:rPr>
          <w:rFonts w:cs="Arial"/>
          <w:szCs w:val="22"/>
          <w:lang w:val="fr-FR"/>
        </w:rPr>
        <w:tab/>
        <w:t>que la revendication de priorité ne satisfait pas aux</w:t>
      </w:r>
      <w:r w:rsidR="00107E4C" w:rsidRPr="002213F4">
        <w:rPr>
          <w:rFonts w:cs="Arial"/>
          <w:szCs w:val="22"/>
          <w:lang w:val="fr-FR"/>
        </w:rPr>
        <w:t xml:space="preserve"> conditions énoncées à la règle </w:t>
      </w:r>
      <w:r w:rsidRPr="002213F4">
        <w:rPr>
          <w:rFonts w:cs="Arial"/>
          <w:szCs w:val="22"/>
          <w:lang w:val="fr-FR"/>
        </w:rPr>
        <w:t>4,10;  ou</w:t>
      </w:r>
    </w:p>
    <w:p w:rsidR="003837A1" w:rsidRPr="002213F4" w:rsidRDefault="009B3A89" w:rsidP="00864284">
      <w:pPr>
        <w:pStyle w:val="Legiindent"/>
        <w:tabs>
          <w:tab w:val="clear" w:pos="1020"/>
          <w:tab w:val="clear" w:pos="1191"/>
          <w:tab w:val="left" w:pos="1701"/>
        </w:tabs>
        <w:spacing w:line="360" w:lineRule="auto"/>
        <w:ind w:left="1701" w:hanging="567"/>
        <w:rPr>
          <w:rFonts w:cs="Arial"/>
          <w:szCs w:val="22"/>
          <w:lang w:val="fr-FR"/>
        </w:rPr>
      </w:pPr>
      <w:r w:rsidRPr="002213F4">
        <w:rPr>
          <w:rFonts w:cs="Arial"/>
          <w:szCs w:val="22"/>
          <w:lang w:val="fr-FR"/>
        </w:rPr>
        <w:t>iii)</w:t>
      </w:r>
      <w:r w:rsidRPr="002213F4">
        <w:rPr>
          <w:rFonts w:cs="Arial"/>
          <w:szCs w:val="22"/>
          <w:lang w:val="fr-FR"/>
        </w:rPr>
        <w:tab/>
        <w:t>que l</w:t>
      </w:r>
      <w:r w:rsidR="009D1B7B" w:rsidRPr="002213F4">
        <w:rPr>
          <w:rFonts w:cs="Arial"/>
          <w:szCs w:val="22"/>
          <w:lang w:val="fr-FR"/>
        </w:rPr>
        <w:t>’</w:t>
      </w:r>
      <w:r w:rsidRPr="002213F4">
        <w:rPr>
          <w:rFonts w:cs="Arial"/>
          <w:szCs w:val="22"/>
          <w:lang w:val="fr-FR"/>
        </w:rPr>
        <w:t>une quelconque des indications figurant dans la revendication de priorité n</w:t>
      </w:r>
      <w:r w:rsidR="009D1B7B" w:rsidRPr="002213F4">
        <w:rPr>
          <w:rFonts w:cs="Arial"/>
          <w:szCs w:val="22"/>
          <w:lang w:val="fr-FR"/>
        </w:rPr>
        <w:t>’</w:t>
      </w:r>
      <w:r w:rsidRPr="002213F4">
        <w:rPr>
          <w:rFonts w:cs="Arial"/>
          <w:szCs w:val="22"/>
          <w:lang w:val="fr-FR"/>
        </w:rPr>
        <w:t>est pas conforme à l</w:t>
      </w:r>
      <w:r w:rsidR="009D1B7B" w:rsidRPr="002213F4">
        <w:rPr>
          <w:rFonts w:cs="Arial"/>
          <w:szCs w:val="22"/>
          <w:lang w:val="fr-FR"/>
        </w:rPr>
        <w:t>’</w:t>
      </w:r>
      <w:r w:rsidRPr="002213F4">
        <w:rPr>
          <w:rFonts w:cs="Arial"/>
          <w:szCs w:val="22"/>
          <w:lang w:val="fr-FR"/>
        </w:rPr>
        <w:t>indication correspondante figurant dans le document de priorité;</w:t>
      </w:r>
    </w:p>
    <w:p w:rsidR="009D1B7B" w:rsidRPr="002213F4" w:rsidRDefault="009B3A89" w:rsidP="009B3A89">
      <w:pPr>
        <w:pStyle w:val="Legacont"/>
        <w:spacing w:line="360" w:lineRule="auto"/>
        <w:rPr>
          <w:rFonts w:ascii="Arial" w:hAnsi="Arial" w:cs="Arial"/>
          <w:sz w:val="22"/>
          <w:szCs w:val="22"/>
          <w:lang w:val="fr-FR"/>
        </w:rPr>
      </w:pPr>
      <w:proofErr w:type="gramStart"/>
      <w:r w:rsidRPr="002213F4">
        <w:rPr>
          <w:rFonts w:ascii="Arial" w:hAnsi="Arial" w:cs="Arial"/>
          <w:sz w:val="22"/>
          <w:szCs w:val="22"/>
          <w:lang w:val="fr-FR"/>
        </w:rPr>
        <w:t>l</w:t>
      </w:r>
      <w:r w:rsidR="009D1B7B" w:rsidRPr="002213F4">
        <w:rPr>
          <w:rFonts w:ascii="Arial" w:hAnsi="Arial" w:cs="Arial"/>
          <w:sz w:val="22"/>
          <w:szCs w:val="22"/>
          <w:lang w:val="fr-FR"/>
        </w:rPr>
        <w:t>’</w:t>
      </w:r>
      <w:r w:rsidRPr="002213F4">
        <w:rPr>
          <w:rFonts w:ascii="Arial" w:hAnsi="Arial" w:cs="Arial"/>
          <w:sz w:val="22"/>
          <w:szCs w:val="22"/>
          <w:lang w:val="fr-FR"/>
        </w:rPr>
        <w:t>office</w:t>
      </w:r>
      <w:proofErr w:type="gramEnd"/>
      <w:r w:rsidRPr="002213F4">
        <w:rPr>
          <w:rFonts w:ascii="Arial" w:hAnsi="Arial" w:cs="Arial"/>
          <w:sz w:val="22"/>
          <w:szCs w:val="22"/>
          <w:lang w:val="fr-FR"/>
        </w:rPr>
        <w:t xml:space="preserve"> récepteur ou le Bureau international, selon le cas, invite le déposant à corriger la revendication de priori</w:t>
      </w:r>
      <w:r w:rsidR="007870EA" w:rsidRPr="002213F4">
        <w:rPr>
          <w:rFonts w:ascii="Arial" w:hAnsi="Arial" w:cs="Arial"/>
          <w:sz w:val="22"/>
          <w:szCs w:val="22"/>
          <w:lang w:val="fr-FR"/>
        </w:rPr>
        <w:t>té.  Da</w:t>
      </w:r>
      <w:r w:rsidRPr="002213F4">
        <w:rPr>
          <w:rFonts w:ascii="Arial" w:hAnsi="Arial" w:cs="Arial"/>
          <w:sz w:val="22"/>
          <w:szCs w:val="22"/>
          <w:lang w:val="fr-FR"/>
        </w:rPr>
        <w:t>ns le cas visé au point</w:t>
      </w:r>
      <w:r w:rsidR="002A191C" w:rsidRPr="002213F4">
        <w:rPr>
          <w:rFonts w:ascii="Arial" w:hAnsi="Arial" w:cs="Arial"/>
          <w:sz w:val="22"/>
          <w:szCs w:val="22"/>
          <w:lang w:val="fr-FR"/>
        </w:rPr>
        <w:t> </w:t>
      </w:r>
      <w:r w:rsidRPr="002213F4">
        <w:rPr>
          <w:rFonts w:ascii="Arial" w:hAnsi="Arial" w:cs="Arial"/>
          <w:sz w:val="22"/>
          <w:szCs w:val="22"/>
          <w:lang w:val="fr-FR"/>
        </w:rPr>
        <w:t>i), lorsque la date du dépôt international s</w:t>
      </w:r>
      <w:r w:rsidR="009D1B7B" w:rsidRPr="002213F4">
        <w:rPr>
          <w:rFonts w:ascii="Arial" w:hAnsi="Arial" w:cs="Arial"/>
          <w:sz w:val="22"/>
          <w:szCs w:val="22"/>
          <w:lang w:val="fr-FR"/>
        </w:rPr>
        <w:t>’</w:t>
      </w:r>
      <w:r w:rsidRPr="002213F4">
        <w:rPr>
          <w:rFonts w:ascii="Arial" w:hAnsi="Arial" w:cs="Arial"/>
          <w:sz w:val="22"/>
          <w:szCs w:val="22"/>
          <w:lang w:val="fr-FR"/>
        </w:rPr>
        <w:t>inscrit dans un délai de deux</w:t>
      </w:r>
      <w:r w:rsidR="002A191C" w:rsidRPr="002213F4">
        <w:rPr>
          <w:rFonts w:ascii="Arial" w:hAnsi="Arial" w:cs="Arial"/>
          <w:sz w:val="22"/>
          <w:szCs w:val="22"/>
          <w:lang w:val="fr-FR"/>
        </w:rPr>
        <w:t> </w:t>
      </w:r>
      <w:r w:rsidRPr="002213F4">
        <w:rPr>
          <w:rFonts w:ascii="Arial" w:hAnsi="Arial" w:cs="Arial"/>
          <w:sz w:val="22"/>
          <w:szCs w:val="22"/>
          <w:lang w:val="fr-FR"/>
        </w:rPr>
        <w:t>mois à compter de la date d</w:t>
      </w:r>
      <w:r w:rsidR="009D1B7B" w:rsidRPr="002213F4">
        <w:rPr>
          <w:rFonts w:ascii="Arial" w:hAnsi="Arial" w:cs="Arial"/>
          <w:sz w:val="22"/>
          <w:szCs w:val="22"/>
          <w:lang w:val="fr-FR"/>
        </w:rPr>
        <w:t>’</w:t>
      </w:r>
      <w:r w:rsidRPr="002213F4">
        <w:rPr>
          <w:rFonts w:ascii="Arial" w:hAnsi="Arial" w:cs="Arial"/>
          <w:sz w:val="22"/>
          <w:szCs w:val="22"/>
          <w:lang w:val="fr-FR"/>
        </w:rPr>
        <w:t>expiration du délai de priorité, l</w:t>
      </w:r>
      <w:r w:rsidR="009D1B7B" w:rsidRPr="002213F4">
        <w:rPr>
          <w:rFonts w:ascii="Arial" w:hAnsi="Arial" w:cs="Arial"/>
          <w:sz w:val="22"/>
          <w:szCs w:val="22"/>
          <w:lang w:val="fr-FR"/>
        </w:rPr>
        <w:t>’</w:t>
      </w:r>
      <w:r w:rsidRPr="002213F4">
        <w:rPr>
          <w:rFonts w:ascii="Arial" w:hAnsi="Arial" w:cs="Arial"/>
          <w:sz w:val="22"/>
          <w:szCs w:val="22"/>
          <w:lang w:val="fr-FR"/>
        </w:rPr>
        <w:t>office récepteur ou le Bureau international, selon le cas, notifie également au déposant la possibilité de présenter une requête en restauration du droit de priorité selon la règle</w:t>
      </w:r>
      <w:r w:rsidR="002A191C" w:rsidRPr="002213F4">
        <w:rPr>
          <w:rFonts w:ascii="Arial" w:hAnsi="Arial" w:cs="Arial"/>
          <w:sz w:val="22"/>
          <w:szCs w:val="22"/>
          <w:lang w:val="fr-FR"/>
        </w:rPr>
        <w:t> </w:t>
      </w:r>
      <w:r w:rsidRPr="002213F4">
        <w:rPr>
          <w:rFonts w:ascii="Arial" w:hAnsi="Arial" w:cs="Arial"/>
          <w:sz w:val="22"/>
          <w:szCs w:val="22"/>
          <w:lang w:val="fr-FR"/>
        </w:rPr>
        <w:t>26</w:t>
      </w:r>
      <w:r w:rsidRPr="002213F4">
        <w:rPr>
          <w:rFonts w:ascii="Arial" w:hAnsi="Arial" w:cs="Arial"/>
          <w:i/>
          <w:sz w:val="22"/>
          <w:szCs w:val="22"/>
          <w:lang w:val="fr-FR"/>
        </w:rPr>
        <w:t>bis</w:t>
      </w:r>
      <w:r w:rsidRPr="002213F4">
        <w:rPr>
          <w:rFonts w:ascii="Arial" w:hAnsi="Arial" w:cs="Arial"/>
          <w:sz w:val="22"/>
          <w:szCs w:val="22"/>
          <w:lang w:val="fr-FR"/>
        </w:rPr>
        <w:t>.3, à moins que l</w:t>
      </w:r>
      <w:r w:rsidR="009D1B7B" w:rsidRPr="002213F4">
        <w:rPr>
          <w:rFonts w:ascii="Arial" w:hAnsi="Arial" w:cs="Arial"/>
          <w:sz w:val="22"/>
          <w:szCs w:val="22"/>
          <w:lang w:val="fr-FR"/>
        </w:rPr>
        <w:t>’</w:t>
      </w:r>
      <w:r w:rsidRPr="002213F4">
        <w:rPr>
          <w:rFonts w:ascii="Arial" w:hAnsi="Arial" w:cs="Arial"/>
          <w:sz w:val="22"/>
          <w:szCs w:val="22"/>
          <w:lang w:val="fr-FR"/>
        </w:rPr>
        <w:t>office récepteur n</w:t>
      </w:r>
      <w:r w:rsidR="009D1B7B" w:rsidRPr="002213F4">
        <w:rPr>
          <w:rFonts w:ascii="Arial" w:hAnsi="Arial" w:cs="Arial"/>
          <w:sz w:val="22"/>
          <w:szCs w:val="22"/>
          <w:lang w:val="fr-FR"/>
        </w:rPr>
        <w:t>’</w:t>
      </w:r>
      <w:r w:rsidRPr="002213F4">
        <w:rPr>
          <w:rFonts w:ascii="Arial" w:hAnsi="Arial" w:cs="Arial"/>
          <w:sz w:val="22"/>
          <w:szCs w:val="22"/>
          <w:lang w:val="fr-FR"/>
        </w:rPr>
        <w:t>ait avisé le Bureau international en vertu de la règle</w:t>
      </w:r>
      <w:r w:rsidR="002A191C" w:rsidRPr="002213F4">
        <w:rPr>
          <w:rFonts w:ascii="Arial" w:hAnsi="Arial" w:cs="Arial"/>
          <w:sz w:val="22"/>
          <w:szCs w:val="22"/>
          <w:lang w:val="fr-FR"/>
        </w:rPr>
        <w:t> </w:t>
      </w:r>
      <w:r w:rsidRPr="002213F4">
        <w:rPr>
          <w:rFonts w:ascii="Arial" w:hAnsi="Arial" w:cs="Arial"/>
          <w:sz w:val="22"/>
          <w:szCs w:val="22"/>
          <w:lang w:val="fr-FR"/>
        </w:rPr>
        <w:t>26</w:t>
      </w:r>
      <w:r w:rsidRPr="002213F4">
        <w:rPr>
          <w:rFonts w:ascii="Arial" w:hAnsi="Arial" w:cs="Arial"/>
          <w:i/>
          <w:sz w:val="22"/>
          <w:szCs w:val="22"/>
          <w:lang w:val="fr-FR"/>
        </w:rPr>
        <w:t>bis</w:t>
      </w:r>
      <w:r w:rsidRPr="002213F4">
        <w:rPr>
          <w:rFonts w:ascii="Arial" w:hAnsi="Arial" w:cs="Arial"/>
          <w:sz w:val="22"/>
          <w:szCs w:val="22"/>
          <w:lang w:val="fr-FR"/>
        </w:rPr>
        <w:t>.3.j) de l</w:t>
      </w:r>
      <w:r w:rsidR="009D1B7B" w:rsidRPr="002213F4">
        <w:rPr>
          <w:rFonts w:ascii="Arial" w:hAnsi="Arial" w:cs="Arial"/>
          <w:sz w:val="22"/>
          <w:szCs w:val="22"/>
          <w:lang w:val="fr-FR"/>
        </w:rPr>
        <w:t>’</w:t>
      </w:r>
      <w:r w:rsidRPr="002213F4">
        <w:rPr>
          <w:rFonts w:ascii="Arial" w:hAnsi="Arial" w:cs="Arial"/>
          <w:sz w:val="22"/>
          <w:szCs w:val="22"/>
          <w:lang w:val="fr-FR"/>
        </w:rPr>
        <w:t>incompatibilité de la règle</w:t>
      </w:r>
      <w:r w:rsidR="002A191C" w:rsidRPr="002213F4">
        <w:rPr>
          <w:rFonts w:ascii="Arial" w:hAnsi="Arial" w:cs="Arial"/>
          <w:sz w:val="22"/>
          <w:szCs w:val="22"/>
          <w:lang w:val="fr-FR"/>
        </w:rPr>
        <w:t> </w:t>
      </w:r>
      <w:r w:rsidRPr="002213F4">
        <w:rPr>
          <w:rFonts w:ascii="Arial" w:hAnsi="Arial" w:cs="Arial"/>
          <w:sz w:val="22"/>
          <w:szCs w:val="22"/>
          <w:lang w:val="fr-FR"/>
        </w:rPr>
        <w:t>26</w:t>
      </w:r>
      <w:r w:rsidRPr="002213F4">
        <w:rPr>
          <w:rFonts w:ascii="Arial" w:hAnsi="Arial" w:cs="Arial"/>
          <w:i/>
          <w:sz w:val="22"/>
          <w:szCs w:val="22"/>
          <w:lang w:val="fr-FR"/>
        </w:rPr>
        <w:t>bis</w:t>
      </w:r>
      <w:r w:rsidRPr="002213F4">
        <w:rPr>
          <w:rFonts w:ascii="Arial" w:hAnsi="Arial" w:cs="Arial"/>
          <w:sz w:val="22"/>
          <w:szCs w:val="22"/>
          <w:lang w:val="fr-FR"/>
        </w:rPr>
        <w:t>.3.a) à</w:t>
      </w:r>
      <w:r w:rsidR="00816F6E">
        <w:rPr>
          <w:rFonts w:ascii="Arial" w:hAnsi="Arial" w:cs="Arial"/>
          <w:sz w:val="22"/>
          <w:szCs w:val="22"/>
          <w:lang w:val="fr-FR"/>
        </w:rPr>
        <w:t> </w:t>
      </w:r>
      <w:r w:rsidRPr="002213F4">
        <w:rPr>
          <w:rFonts w:ascii="Arial" w:hAnsi="Arial" w:cs="Arial"/>
          <w:sz w:val="22"/>
          <w:szCs w:val="22"/>
          <w:lang w:val="fr-FR"/>
        </w:rPr>
        <w:t>i) avec la législation nationale appliquée par cet office.</w:t>
      </w:r>
    </w:p>
    <w:p w:rsidR="003837A1" w:rsidRPr="007870EA" w:rsidRDefault="0082207B" w:rsidP="00864284">
      <w:pPr>
        <w:pStyle w:val="Lega"/>
        <w:tabs>
          <w:tab w:val="clear" w:pos="454"/>
          <w:tab w:val="left" w:pos="567"/>
          <w:tab w:val="left" w:pos="1134"/>
        </w:tabs>
        <w:spacing w:line="360" w:lineRule="auto"/>
        <w:rPr>
          <w:color w:val="0000FF"/>
          <w:u w:val="single"/>
          <w:lang w:val="fr-FR"/>
        </w:rPr>
      </w:pPr>
      <w:r w:rsidRPr="007870EA">
        <w:rPr>
          <w:lang w:val="fr-FR"/>
        </w:rPr>
        <w:tab/>
      </w:r>
      <w:proofErr w:type="gramStart"/>
      <w:r w:rsidR="00661C3D" w:rsidRPr="007870EA">
        <w:rPr>
          <w:color w:val="0000FF"/>
          <w:u w:val="single"/>
          <w:lang w:val="fr-FR"/>
        </w:rPr>
        <w:t>a</w:t>
      </w:r>
      <w:r w:rsidR="007870EA" w:rsidRPr="007870EA">
        <w:rPr>
          <w:color w:val="0000FF"/>
          <w:u w:val="single"/>
          <w:lang w:val="fr-FR"/>
        </w:rPr>
        <w:noBreakHyphen/>
      </w:r>
      <w:r w:rsidR="00661C3D" w:rsidRPr="007870EA">
        <w:rPr>
          <w:i/>
          <w:color w:val="0000FF"/>
          <w:u w:val="single"/>
          <w:lang w:val="fr-FR"/>
        </w:rPr>
        <w:t>bis</w:t>
      </w:r>
      <w:proofErr w:type="gramEnd"/>
      <w:r w:rsidR="00864284" w:rsidRPr="007870EA">
        <w:rPr>
          <w:color w:val="0000FF"/>
          <w:u w:val="single"/>
          <w:lang w:val="fr-FR"/>
        </w:rPr>
        <w:t>)  </w:t>
      </w:r>
      <w:r w:rsidR="00661C3D" w:rsidRPr="007870EA">
        <w:rPr>
          <w:color w:val="0000FF"/>
          <w:u w:val="single"/>
          <w:lang w:val="fr-FR"/>
        </w:rPr>
        <w:t>Le fait que la date de dépôt de la demande antérieure visée à la règle 4.10.a)i) est la même que la date du dépôt international n</w:t>
      </w:r>
      <w:r w:rsidR="009D1B7B" w:rsidRPr="007870EA">
        <w:rPr>
          <w:color w:val="0000FF"/>
          <w:u w:val="single"/>
          <w:lang w:val="fr-FR"/>
        </w:rPr>
        <w:t>’</w:t>
      </w:r>
      <w:r w:rsidR="00661C3D" w:rsidRPr="007870EA">
        <w:rPr>
          <w:color w:val="0000FF"/>
          <w:u w:val="single"/>
          <w:lang w:val="fr-FR"/>
        </w:rPr>
        <w:t>est, aux fins de la procédure prévue par le traité, pas réputé constituer une irrégularité dans la revendication de priorité.</w:t>
      </w:r>
    </w:p>
    <w:p w:rsidR="003837A1" w:rsidRPr="002213F4" w:rsidRDefault="0082207B" w:rsidP="00864284">
      <w:pPr>
        <w:pStyle w:val="Lega"/>
        <w:tabs>
          <w:tab w:val="clear" w:pos="454"/>
          <w:tab w:val="left" w:pos="567"/>
          <w:tab w:val="left" w:pos="1134"/>
        </w:tabs>
        <w:spacing w:line="360" w:lineRule="auto"/>
        <w:rPr>
          <w:rFonts w:cs="Arial"/>
          <w:szCs w:val="22"/>
          <w:lang w:val="fr-FR"/>
        </w:rPr>
      </w:pPr>
      <w:r w:rsidRPr="002213F4">
        <w:rPr>
          <w:rFonts w:cs="Arial"/>
          <w:szCs w:val="22"/>
          <w:lang w:val="fr-FR"/>
        </w:rPr>
        <w:tab/>
      </w:r>
      <w:r w:rsidR="00864284" w:rsidRPr="002213F4">
        <w:rPr>
          <w:rFonts w:cs="Arial"/>
          <w:szCs w:val="22"/>
          <w:lang w:val="fr-FR"/>
        </w:rPr>
        <w:t>b)</w:t>
      </w:r>
      <w:r w:rsidR="00661C3D" w:rsidRPr="002213F4">
        <w:rPr>
          <w:rFonts w:cs="Arial"/>
          <w:szCs w:val="22"/>
          <w:lang w:val="fr-FR"/>
        </w:rPr>
        <w:tab/>
        <w:t>[Sans changement]  Si le déposant ne soumet pas, avant l</w:t>
      </w:r>
      <w:r w:rsidR="009D1B7B" w:rsidRPr="002213F4">
        <w:rPr>
          <w:rFonts w:cs="Arial"/>
          <w:szCs w:val="22"/>
          <w:lang w:val="fr-FR"/>
        </w:rPr>
        <w:t>’</w:t>
      </w:r>
      <w:r w:rsidR="00661C3D" w:rsidRPr="002213F4">
        <w:rPr>
          <w:rFonts w:cs="Arial"/>
          <w:szCs w:val="22"/>
          <w:lang w:val="fr-FR"/>
        </w:rPr>
        <w:t>expiration du délai fixé à la règle</w:t>
      </w:r>
      <w:r w:rsidR="002A191C" w:rsidRPr="002213F4">
        <w:rPr>
          <w:rFonts w:cs="Arial"/>
          <w:szCs w:val="22"/>
          <w:lang w:val="fr-FR"/>
        </w:rPr>
        <w:t> </w:t>
      </w:r>
      <w:r w:rsidR="00661C3D" w:rsidRPr="002213F4">
        <w:rPr>
          <w:rFonts w:cs="Arial"/>
          <w:szCs w:val="22"/>
          <w:lang w:val="fr-FR"/>
        </w:rPr>
        <w:t>26bis.1.a), de communication visant à corriger la revendication de priorité, cette revendication de priorité est, sous réserve de l</w:t>
      </w:r>
      <w:r w:rsidR="009D1B7B" w:rsidRPr="002213F4">
        <w:rPr>
          <w:rFonts w:cs="Arial"/>
          <w:szCs w:val="22"/>
          <w:lang w:val="fr-FR"/>
        </w:rPr>
        <w:t>’</w:t>
      </w:r>
      <w:r w:rsidR="00661C3D" w:rsidRPr="002213F4">
        <w:rPr>
          <w:rFonts w:cs="Arial"/>
          <w:szCs w:val="22"/>
          <w:lang w:val="fr-FR"/>
        </w:rPr>
        <w:t>alinéa</w:t>
      </w:r>
      <w:r w:rsidR="002A191C" w:rsidRPr="002213F4">
        <w:rPr>
          <w:rFonts w:cs="Arial"/>
          <w:szCs w:val="22"/>
          <w:lang w:val="fr-FR"/>
        </w:rPr>
        <w:t> </w:t>
      </w:r>
      <w:r w:rsidR="00661C3D" w:rsidRPr="002213F4">
        <w:rPr>
          <w:rFonts w:cs="Arial"/>
          <w:szCs w:val="22"/>
          <w:lang w:val="fr-FR"/>
        </w:rPr>
        <w:t>c), aux fins de la procédure prévue par le traité, considérée comme n</w:t>
      </w:r>
      <w:r w:rsidR="009D1B7B" w:rsidRPr="002213F4">
        <w:rPr>
          <w:rFonts w:cs="Arial"/>
          <w:szCs w:val="22"/>
          <w:lang w:val="fr-FR"/>
        </w:rPr>
        <w:t>’</w:t>
      </w:r>
      <w:r w:rsidR="00661C3D" w:rsidRPr="002213F4">
        <w:rPr>
          <w:rFonts w:cs="Arial"/>
          <w:szCs w:val="22"/>
          <w:lang w:val="fr-FR"/>
        </w:rPr>
        <w:t>ayant pas été présentée (</w:t>
      </w:r>
      <w:r w:rsidR="000E530E" w:rsidRPr="002213F4">
        <w:rPr>
          <w:rFonts w:cs="Arial"/>
          <w:szCs w:val="22"/>
          <w:lang w:val="fr-FR"/>
        </w:rPr>
        <w:t>“</w:t>
      </w:r>
      <w:r w:rsidR="00661C3D" w:rsidRPr="002213F4">
        <w:rPr>
          <w:rFonts w:cs="Arial"/>
          <w:szCs w:val="22"/>
          <w:lang w:val="fr-FR"/>
        </w:rPr>
        <w:t>considérée comme nulle</w:t>
      </w:r>
      <w:r w:rsidR="000E530E" w:rsidRPr="002213F4">
        <w:rPr>
          <w:rFonts w:cs="Arial"/>
          <w:szCs w:val="22"/>
          <w:lang w:val="fr-FR"/>
        </w:rPr>
        <w:t>”</w:t>
      </w:r>
      <w:r w:rsidR="00661C3D" w:rsidRPr="002213F4">
        <w:rPr>
          <w:rFonts w:cs="Arial"/>
          <w:szCs w:val="22"/>
          <w:lang w:val="fr-FR"/>
        </w:rPr>
        <w:t>), et l</w:t>
      </w:r>
      <w:r w:rsidR="009D1B7B" w:rsidRPr="002213F4">
        <w:rPr>
          <w:rFonts w:cs="Arial"/>
          <w:szCs w:val="22"/>
          <w:lang w:val="fr-FR"/>
        </w:rPr>
        <w:t>’</w:t>
      </w:r>
      <w:r w:rsidR="00661C3D" w:rsidRPr="002213F4">
        <w:rPr>
          <w:rFonts w:cs="Arial"/>
          <w:szCs w:val="22"/>
          <w:lang w:val="fr-FR"/>
        </w:rPr>
        <w:t>office récepteur ou le Bureau international, selon le cas, le déclare et en informe le déposa</w:t>
      </w:r>
      <w:r w:rsidR="007870EA" w:rsidRPr="002213F4">
        <w:rPr>
          <w:rFonts w:cs="Arial"/>
          <w:szCs w:val="22"/>
          <w:lang w:val="fr-FR"/>
        </w:rPr>
        <w:t>nt.  To</w:t>
      </w:r>
      <w:r w:rsidR="000E530E" w:rsidRPr="002213F4">
        <w:rPr>
          <w:rFonts w:cs="Arial"/>
          <w:szCs w:val="22"/>
          <w:lang w:val="fr-FR"/>
        </w:rPr>
        <w:t>ute communication visant à corriger la revendication de priorité reçue avant que l</w:t>
      </w:r>
      <w:r w:rsidR="009D1B7B" w:rsidRPr="002213F4">
        <w:rPr>
          <w:rFonts w:cs="Arial"/>
          <w:szCs w:val="22"/>
          <w:lang w:val="fr-FR"/>
        </w:rPr>
        <w:t>’</w:t>
      </w:r>
      <w:r w:rsidR="000E530E" w:rsidRPr="002213F4">
        <w:rPr>
          <w:rFonts w:cs="Arial"/>
          <w:szCs w:val="22"/>
          <w:lang w:val="fr-FR"/>
        </w:rPr>
        <w:t>office récepteur ou le Bureau international, selon le cas, le déclare et au plus tard un mois après l</w:t>
      </w:r>
      <w:r w:rsidR="009D1B7B" w:rsidRPr="002213F4">
        <w:rPr>
          <w:rFonts w:cs="Arial"/>
          <w:szCs w:val="22"/>
          <w:lang w:val="fr-FR"/>
        </w:rPr>
        <w:t>’</w:t>
      </w:r>
      <w:r w:rsidR="000E530E" w:rsidRPr="002213F4">
        <w:rPr>
          <w:rFonts w:cs="Arial"/>
          <w:szCs w:val="22"/>
          <w:lang w:val="fr-FR"/>
        </w:rPr>
        <w:t>expiration de ce délai est considérée comme ayant été reçue avant l</w:t>
      </w:r>
      <w:r w:rsidR="009D1B7B" w:rsidRPr="002213F4">
        <w:rPr>
          <w:rFonts w:cs="Arial"/>
          <w:szCs w:val="22"/>
          <w:lang w:val="fr-FR"/>
        </w:rPr>
        <w:t>’</w:t>
      </w:r>
      <w:r w:rsidR="000E530E" w:rsidRPr="002213F4">
        <w:rPr>
          <w:rFonts w:cs="Arial"/>
          <w:szCs w:val="22"/>
          <w:lang w:val="fr-FR"/>
        </w:rPr>
        <w:t>expiration de ce délai.</w:t>
      </w:r>
    </w:p>
    <w:p w:rsidR="003837A1" w:rsidRPr="007870EA" w:rsidRDefault="003837A1" w:rsidP="00F5487B">
      <w:pPr>
        <w:pStyle w:val="Lega"/>
        <w:spacing w:line="360" w:lineRule="auto"/>
        <w:rPr>
          <w:rFonts w:cs="Arial"/>
          <w:szCs w:val="22"/>
          <w:lang w:val="fr-FR"/>
        </w:rPr>
      </w:pPr>
    </w:p>
    <w:p w:rsidR="003837A1" w:rsidRPr="002213F4" w:rsidRDefault="000E530E" w:rsidP="000E530E">
      <w:pPr>
        <w:pStyle w:val="RContinued"/>
        <w:rPr>
          <w:rFonts w:ascii="Arial" w:hAnsi="Arial" w:cs="Arial"/>
          <w:sz w:val="22"/>
          <w:szCs w:val="22"/>
          <w:lang w:val="fr-FR"/>
        </w:rPr>
      </w:pPr>
      <w:r w:rsidRPr="002213F4">
        <w:rPr>
          <w:rFonts w:ascii="Arial" w:hAnsi="Arial" w:cs="Arial"/>
          <w:sz w:val="22"/>
          <w:szCs w:val="22"/>
          <w:lang w:val="fr-FR"/>
        </w:rPr>
        <w:lastRenderedPageBreak/>
        <w:t>[Règle</w:t>
      </w:r>
      <w:r w:rsidR="002A191C" w:rsidRPr="002213F4">
        <w:rPr>
          <w:rFonts w:ascii="Arial" w:hAnsi="Arial" w:cs="Arial"/>
          <w:sz w:val="22"/>
          <w:szCs w:val="22"/>
          <w:lang w:val="fr-FR"/>
        </w:rPr>
        <w:t> </w:t>
      </w:r>
      <w:r w:rsidRPr="002213F4">
        <w:rPr>
          <w:rFonts w:ascii="Arial" w:hAnsi="Arial" w:cs="Arial"/>
          <w:sz w:val="22"/>
          <w:szCs w:val="22"/>
          <w:lang w:val="fr-FR"/>
        </w:rPr>
        <w:t>26</w:t>
      </w:r>
      <w:r w:rsidRPr="00816F6E">
        <w:rPr>
          <w:rFonts w:ascii="Arial" w:hAnsi="Arial" w:cs="Arial"/>
          <w:i w:val="0"/>
          <w:sz w:val="22"/>
          <w:szCs w:val="22"/>
          <w:lang w:val="fr-FR"/>
        </w:rPr>
        <w:t>bis</w:t>
      </w:r>
      <w:r w:rsidRPr="002213F4">
        <w:rPr>
          <w:rFonts w:ascii="Arial" w:hAnsi="Arial" w:cs="Arial"/>
          <w:sz w:val="22"/>
          <w:szCs w:val="22"/>
          <w:lang w:val="fr-FR"/>
        </w:rPr>
        <w:t>.2, suite]</w:t>
      </w:r>
    </w:p>
    <w:p w:rsidR="003837A1" w:rsidRPr="002213F4" w:rsidRDefault="0082207B" w:rsidP="00864284">
      <w:pPr>
        <w:pStyle w:val="Lega"/>
        <w:keepNext/>
        <w:keepLines/>
        <w:tabs>
          <w:tab w:val="clear" w:pos="454"/>
          <w:tab w:val="left" w:pos="567"/>
          <w:tab w:val="left" w:pos="1134"/>
        </w:tabs>
        <w:spacing w:line="360" w:lineRule="auto"/>
        <w:rPr>
          <w:rFonts w:cs="Arial"/>
          <w:szCs w:val="22"/>
          <w:lang w:val="fr-FR"/>
        </w:rPr>
      </w:pPr>
      <w:r w:rsidRPr="002213F4">
        <w:rPr>
          <w:rFonts w:cs="Arial"/>
          <w:szCs w:val="22"/>
          <w:lang w:val="fr-FR"/>
        </w:rPr>
        <w:tab/>
      </w:r>
      <w:r w:rsidR="00864284" w:rsidRPr="002213F4">
        <w:rPr>
          <w:rFonts w:cs="Arial"/>
          <w:szCs w:val="22"/>
          <w:lang w:val="fr-FR"/>
        </w:rPr>
        <w:t>c)</w:t>
      </w:r>
      <w:r w:rsidR="000E530E" w:rsidRPr="002213F4">
        <w:rPr>
          <w:rFonts w:cs="Arial"/>
          <w:szCs w:val="22"/>
          <w:lang w:val="fr-FR"/>
        </w:rPr>
        <w:tab/>
        <w:t>Une revendication de priorité n</w:t>
      </w:r>
      <w:r w:rsidR="009D1B7B" w:rsidRPr="002213F4">
        <w:rPr>
          <w:rFonts w:cs="Arial"/>
          <w:szCs w:val="22"/>
          <w:lang w:val="fr-FR"/>
        </w:rPr>
        <w:t>’</w:t>
      </w:r>
      <w:r w:rsidR="000E530E" w:rsidRPr="002213F4">
        <w:rPr>
          <w:rFonts w:cs="Arial"/>
          <w:szCs w:val="22"/>
          <w:lang w:val="fr-FR"/>
        </w:rPr>
        <w:t>est pas considérée comme nulle seulement</w:t>
      </w:r>
      <w:r w:rsidR="002A191C" w:rsidRPr="002213F4">
        <w:rPr>
          <w:rFonts w:cs="Arial"/>
          <w:szCs w:val="22"/>
          <w:lang w:val="fr-FR"/>
        </w:rPr>
        <w:t> </w:t>
      </w:r>
      <w:r w:rsidR="000E530E" w:rsidRPr="002213F4">
        <w:rPr>
          <w:rFonts w:cs="Arial"/>
          <w:szCs w:val="22"/>
          <w:lang w:val="fr-FR"/>
        </w:rPr>
        <w:t>:</w:t>
      </w:r>
    </w:p>
    <w:p w:rsidR="003837A1" w:rsidRPr="002213F4" w:rsidRDefault="000E530E" w:rsidP="00864284">
      <w:pPr>
        <w:pStyle w:val="Legi"/>
        <w:keepNext/>
        <w:keepLines/>
        <w:tabs>
          <w:tab w:val="clear" w:pos="1020"/>
          <w:tab w:val="clear" w:pos="1191"/>
          <w:tab w:val="left" w:pos="1701"/>
        </w:tabs>
        <w:spacing w:line="360" w:lineRule="auto"/>
        <w:ind w:left="1701" w:hanging="567"/>
        <w:rPr>
          <w:rFonts w:cs="Arial"/>
          <w:szCs w:val="22"/>
          <w:lang w:val="fr-FR"/>
        </w:rPr>
      </w:pPr>
      <w:r w:rsidRPr="002213F4">
        <w:rPr>
          <w:rFonts w:cs="Arial"/>
          <w:szCs w:val="22"/>
          <w:lang w:val="fr-FR"/>
        </w:rPr>
        <w:t>i)</w:t>
      </w:r>
      <w:r w:rsidRPr="002213F4">
        <w:rPr>
          <w:rFonts w:cs="Arial"/>
          <w:szCs w:val="22"/>
          <w:lang w:val="fr-FR"/>
        </w:rPr>
        <w:tab/>
        <w:t>parce que l</w:t>
      </w:r>
      <w:r w:rsidR="009D1B7B" w:rsidRPr="002213F4">
        <w:rPr>
          <w:rFonts w:cs="Arial"/>
          <w:szCs w:val="22"/>
          <w:lang w:val="fr-FR"/>
        </w:rPr>
        <w:t>’</w:t>
      </w:r>
      <w:r w:rsidRPr="002213F4">
        <w:rPr>
          <w:rFonts w:cs="Arial"/>
          <w:szCs w:val="22"/>
          <w:lang w:val="fr-FR"/>
        </w:rPr>
        <w:t>indication du numéro de la demande antérieure visé à la règle</w:t>
      </w:r>
      <w:r w:rsidR="002A191C" w:rsidRPr="002213F4">
        <w:rPr>
          <w:rFonts w:cs="Arial"/>
          <w:szCs w:val="22"/>
          <w:lang w:val="fr-FR"/>
        </w:rPr>
        <w:t> </w:t>
      </w:r>
      <w:r w:rsidRPr="002213F4">
        <w:rPr>
          <w:rFonts w:cs="Arial"/>
          <w:szCs w:val="22"/>
          <w:lang w:val="fr-FR"/>
        </w:rPr>
        <w:t>4.10.a</w:t>
      </w:r>
      <w:proofErr w:type="gramStart"/>
      <w:r w:rsidRPr="002213F4">
        <w:rPr>
          <w:rFonts w:cs="Arial"/>
          <w:szCs w:val="22"/>
          <w:lang w:val="fr-FR"/>
        </w:rPr>
        <w:t>)ii</w:t>
      </w:r>
      <w:proofErr w:type="gramEnd"/>
      <w:r w:rsidRPr="002213F4">
        <w:rPr>
          <w:rFonts w:cs="Arial"/>
          <w:szCs w:val="22"/>
          <w:lang w:val="fr-FR"/>
        </w:rPr>
        <w:t>) est manquante;</w:t>
      </w:r>
    </w:p>
    <w:p w:rsidR="003837A1" w:rsidRPr="002213F4" w:rsidRDefault="009B3A89" w:rsidP="00864284">
      <w:pPr>
        <w:pStyle w:val="Legi"/>
        <w:keepNext/>
        <w:keepLines/>
        <w:tabs>
          <w:tab w:val="clear" w:pos="1020"/>
          <w:tab w:val="clear" w:pos="1191"/>
          <w:tab w:val="left" w:pos="1701"/>
        </w:tabs>
        <w:spacing w:line="360" w:lineRule="auto"/>
        <w:ind w:left="1701" w:hanging="567"/>
        <w:rPr>
          <w:rFonts w:cs="Arial"/>
          <w:szCs w:val="22"/>
          <w:lang w:val="fr-FR"/>
        </w:rPr>
      </w:pPr>
      <w:r w:rsidRPr="002213F4">
        <w:rPr>
          <w:rFonts w:cs="Arial"/>
          <w:szCs w:val="22"/>
          <w:lang w:val="fr-FR"/>
        </w:rPr>
        <w:t>ii)</w:t>
      </w:r>
      <w:r w:rsidRPr="002213F4">
        <w:rPr>
          <w:rFonts w:cs="Arial"/>
          <w:szCs w:val="22"/>
          <w:lang w:val="fr-FR"/>
        </w:rPr>
        <w:tab/>
        <w:t>parce qu</w:t>
      </w:r>
      <w:r w:rsidR="009D1B7B" w:rsidRPr="002213F4">
        <w:rPr>
          <w:rFonts w:cs="Arial"/>
          <w:szCs w:val="22"/>
          <w:lang w:val="fr-FR"/>
        </w:rPr>
        <w:t>’</w:t>
      </w:r>
      <w:r w:rsidRPr="002213F4">
        <w:rPr>
          <w:rFonts w:cs="Arial"/>
          <w:szCs w:val="22"/>
          <w:lang w:val="fr-FR"/>
        </w:rPr>
        <w:t>une indication figurant dans la revendication de priorité n</w:t>
      </w:r>
      <w:r w:rsidR="009D1B7B" w:rsidRPr="002213F4">
        <w:rPr>
          <w:rFonts w:cs="Arial"/>
          <w:szCs w:val="22"/>
          <w:lang w:val="fr-FR"/>
        </w:rPr>
        <w:t>’</w:t>
      </w:r>
      <w:r w:rsidRPr="002213F4">
        <w:rPr>
          <w:rFonts w:cs="Arial"/>
          <w:szCs w:val="22"/>
          <w:lang w:val="fr-FR"/>
        </w:rPr>
        <w:t>est pas conforme à l</w:t>
      </w:r>
      <w:r w:rsidR="009D1B7B" w:rsidRPr="002213F4">
        <w:rPr>
          <w:rFonts w:cs="Arial"/>
          <w:szCs w:val="22"/>
          <w:lang w:val="fr-FR"/>
        </w:rPr>
        <w:t>’</w:t>
      </w:r>
      <w:r w:rsidRPr="002213F4">
        <w:rPr>
          <w:rFonts w:cs="Arial"/>
          <w:szCs w:val="22"/>
          <w:lang w:val="fr-FR"/>
        </w:rPr>
        <w:t>indication correspondante figurant dans le document de priorité;  ou</w:t>
      </w:r>
    </w:p>
    <w:p w:rsidR="003837A1" w:rsidRPr="002213F4" w:rsidRDefault="009B3A89" w:rsidP="00864284">
      <w:pPr>
        <w:pStyle w:val="Legi"/>
        <w:tabs>
          <w:tab w:val="clear" w:pos="1020"/>
          <w:tab w:val="clear" w:pos="1191"/>
          <w:tab w:val="left" w:pos="1701"/>
        </w:tabs>
        <w:spacing w:line="360" w:lineRule="auto"/>
        <w:ind w:left="1701" w:hanging="567"/>
        <w:rPr>
          <w:rFonts w:cs="Arial"/>
          <w:szCs w:val="22"/>
          <w:lang w:val="fr-FR"/>
        </w:rPr>
      </w:pPr>
      <w:r w:rsidRPr="002213F4">
        <w:rPr>
          <w:rFonts w:cs="Arial"/>
          <w:szCs w:val="22"/>
          <w:lang w:val="fr-FR"/>
        </w:rPr>
        <w:t>iii)</w:t>
      </w:r>
      <w:r w:rsidRPr="002213F4">
        <w:rPr>
          <w:rFonts w:cs="Arial"/>
          <w:szCs w:val="22"/>
          <w:lang w:val="fr-FR"/>
        </w:rPr>
        <w:tab/>
        <w:t>parce que la demande internationale a une date de dépôt international qui est postérieure à la date d</w:t>
      </w:r>
      <w:r w:rsidR="009D1B7B" w:rsidRPr="002213F4">
        <w:rPr>
          <w:rFonts w:cs="Arial"/>
          <w:szCs w:val="22"/>
          <w:lang w:val="fr-FR"/>
        </w:rPr>
        <w:t>’</w:t>
      </w:r>
      <w:r w:rsidRPr="002213F4">
        <w:rPr>
          <w:rFonts w:cs="Arial"/>
          <w:szCs w:val="22"/>
          <w:lang w:val="fr-FR"/>
        </w:rPr>
        <w:t>expiration du délai de priorité, à condition que la date du dépôt international s</w:t>
      </w:r>
      <w:r w:rsidR="009D1B7B" w:rsidRPr="002213F4">
        <w:rPr>
          <w:rFonts w:cs="Arial"/>
          <w:szCs w:val="22"/>
          <w:lang w:val="fr-FR"/>
        </w:rPr>
        <w:t>’</w:t>
      </w:r>
      <w:r w:rsidRPr="002213F4">
        <w:rPr>
          <w:rFonts w:cs="Arial"/>
          <w:szCs w:val="22"/>
          <w:lang w:val="fr-FR"/>
        </w:rPr>
        <w:t>inscrive dans un délai de deux</w:t>
      </w:r>
      <w:r w:rsidR="002A191C" w:rsidRPr="002213F4">
        <w:rPr>
          <w:rFonts w:cs="Arial"/>
          <w:szCs w:val="22"/>
          <w:lang w:val="fr-FR"/>
        </w:rPr>
        <w:t> </w:t>
      </w:r>
      <w:r w:rsidRPr="002213F4">
        <w:rPr>
          <w:rFonts w:cs="Arial"/>
          <w:szCs w:val="22"/>
          <w:lang w:val="fr-FR"/>
        </w:rPr>
        <w:t>mois à compter de cette date.</w:t>
      </w:r>
    </w:p>
    <w:p w:rsidR="003837A1" w:rsidRPr="007870EA" w:rsidRDefault="009C5075" w:rsidP="00864284">
      <w:pPr>
        <w:pStyle w:val="Lega"/>
        <w:tabs>
          <w:tab w:val="clear" w:pos="454"/>
          <w:tab w:val="left" w:pos="567"/>
          <w:tab w:val="left" w:pos="1134"/>
        </w:tabs>
        <w:spacing w:line="360" w:lineRule="auto"/>
        <w:rPr>
          <w:rFonts w:cs="Arial"/>
          <w:szCs w:val="22"/>
          <w:lang w:val="fr-FR"/>
        </w:rPr>
      </w:pPr>
      <w:r w:rsidRPr="007870EA">
        <w:rPr>
          <w:rFonts w:cs="Arial"/>
          <w:szCs w:val="22"/>
          <w:lang w:val="fr-FR"/>
        </w:rPr>
        <w:tab/>
      </w:r>
      <w:r w:rsidR="00864284" w:rsidRPr="007870EA">
        <w:rPr>
          <w:rFonts w:cs="Arial"/>
          <w:color w:val="000000"/>
          <w:szCs w:val="22"/>
          <w:lang w:val="fr-FR"/>
        </w:rPr>
        <w:t>d)</w:t>
      </w:r>
      <w:r w:rsidR="00864284" w:rsidRPr="007870EA">
        <w:rPr>
          <w:rFonts w:cs="Arial"/>
          <w:color w:val="000000"/>
          <w:szCs w:val="22"/>
          <w:lang w:val="fr-FR"/>
        </w:rPr>
        <w:tab/>
      </w:r>
      <w:r w:rsidR="000E530E" w:rsidRPr="007870EA">
        <w:rPr>
          <w:rFonts w:cs="Arial"/>
          <w:color w:val="000000"/>
          <w:szCs w:val="22"/>
          <w:lang w:val="fr-FR"/>
        </w:rPr>
        <w:t>Lorsque</w:t>
      </w:r>
      <w:r w:rsidR="002A191C" w:rsidRPr="007870EA">
        <w:rPr>
          <w:rFonts w:cs="Arial"/>
          <w:color w:val="0000FF"/>
          <w:szCs w:val="22"/>
          <w:u w:val="single"/>
          <w:lang w:val="fr-FR"/>
        </w:rPr>
        <w:t> </w:t>
      </w:r>
      <w:r w:rsidR="000E530E" w:rsidRPr="007870EA">
        <w:rPr>
          <w:color w:val="0000FF"/>
          <w:u w:val="single"/>
          <w:lang w:val="fr-FR"/>
        </w:rPr>
        <w:t>:</w:t>
      </w:r>
    </w:p>
    <w:p w:rsidR="003837A1" w:rsidRPr="007870EA" w:rsidRDefault="000E530E" w:rsidP="00864284">
      <w:pPr>
        <w:pStyle w:val="Legiindent"/>
        <w:tabs>
          <w:tab w:val="clear" w:pos="1020"/>
          <w:tab w:val="clear" w:pos="1191"/>
          <w:tab w:val="left" w:pos="1701"/>
        </w:tabs>
        <w:spacing w:line="360" w:lineRule="auto"/>
        <w:ind w:left="1701" w:hanging="567"/>
        <w:rPr>
          <w:lang w:val="fr-FR"/>
        </w:rPr>
      </w:pPr>
      <w:r w:rsidRPr="007870EA">
        <w:rPr>
          <w:color w:val="0000FF"/>
          <w:u w:val="single"/>
          <w:lang w:val="fr-FR"/>
        </w:rPr>
        <w:t>i)</w:t>
      </w:r>
      <w:r w:rsidRPr="007870EA">
        <w:rPr>
          <w:color w:val="000000"/>
          <w:lang w:val="fr-FR"/>
        </w:rPr>
        <w:tab/>
        <w:t>l</w:t>
      </w:r>
      <w:r w:rsidR="009D1B7B" w:rsidRPr="007870EA">
        <w:rPr>
          <w:color w:val="000000"/>
          <w:lang w:val="fr-FR"/>
        </w:rPr>
        <w:t>’</w:t>
      </w:r>
      <w:r w:rsidRPr="007870EA">
        <w:rPr>
          <w:color w:val="000000"/>
          <w:lang w:val="fr-FR"/>
        </w:rPr>
        <w:t>office récepteur ou le Bureau international a fait une déclaration en vertu de l</w:t>
      </w:r>
      <w:r w:rsidR="009D1B7B" w:rsidRPr="007870EA">
        <w:rPr>
          <w:color w:val="000000"/>
          <w:lang w:val="fr-FR"/>
        </w:rPr>
        <w:t>’</w:t>
      </w:r>
      <w:r w:rsidR="00864284" w:rsidRPr="007870EA">
        <w:rPr>
          <w:color w:val="000000"/>
          <w:lang w:val="fr-FR"/>
        </w:rPr>
        <w:t>alinéa</w:t>
      </w:r>
      <w:r w:rsidR="002A191C" w:rsidRPr="007870EA">
        <w:rPr>
          <w:color w:val="000000"/>
          <w:lang w:val="fr-FR"/>
        </w:rPr>
        <w:t> </w:t>
      </w:r>
      <w:r w:rsidR="00864284" w:rsidRPr="007870EA">
        <w:rPr>
          <w:color w:val="000000"/>
          <w:lang w:val="fr-FR"/>
        </w:rPr>
        <w:t>b)</w:t>
      </w:r>
      <w:r w:rsidR="00864284" w:rsidRPr="007870EA">
        <w:rPr>
          <w:color w:val="0000FF"/>
          <w:u w:val="single"/>
          <w:lang w:val="fr-FR"/>
        </w:rPr>
        <w:t xml:space="preserve">; </w:t>
      </w:r>
      <w:r w:rsidR="00864284" w:rsidRPr="007870EA">
        <w:rPr>
          <w:lang w:val="fr-FR"/>
        </w:rPr>
        <w:t xml:space="preserve"> </w:t>
      </w:r>
      <w:r w:rsidR="00864284" w:rsidRPr="007870EA">
        <w:rPr>
          <w:strike/>
          <w:color w:val="FF0000"/>
          <w:lang w:val="fr-FR"/>
        </w:rPr>
        <w:t>ou</w:t>
      </w:r>
      <w:r w:rsidR="007870EA" w:rsidRPr="007870EA">
        <w:rPr>
          <w:strike/>
          <w:color w:val="FF0000"/>
          <w:lang w:val="fr-FR"/>
        </w:rPr>
        <w:t xml:space="preserve"> </w:t>
      </w:r>
    </w:p>
    <w:p w:rsidR="003837A1" w:rsidRPr="007870EA" w:rsidRDefault="000E530E" w:rsidP="00864284">
      <w:pPr>
        <w:pStyle w:val="Legiindent"/>
        <w:tabs>
          <w:tab w:val="clear" w:pos="1020"/>
          <w:tab w:val="clear" w:pos="1191"/>
          <w:tab w:val="left" w:pos="1701"/>
        </w:tabs>
        <w:spacing w:line="360" w:lineRule="auto"/>
        <w:ind w:left="1701" w:hanging="567"/>
        <w:rPr>
          <w:lang w:val="fr-FR"/>
        </w:rPr>
      </w:pPr>
      <w:r w:rsidRPr="007870EA">
        <w:rPr>
          <w:color w:val="0000FF"/>
          <w:u w:val="single"/>
          <w:lang w:val="fr-FR"/>
        </w:rPr>
        <w:t>ii)</w:t>
      </w:r>
      <w:r w:rsidRPr="007870EA">
        <w:rPr>
          <w:color w:val="000000"/>
          <w:lang w:val="fr-FR"/>
        </w:rPr>
        <w:tab/>
      </w:r>
      <w:r w:rsidRPr="00DF1947">
        <w:rPr>
          <w:strike/>
          <w:color w:val="FF0000"/>
          <w:lang w:val="fr-FR"/>
        </w:rPr>
        <w:t>lorsque</w:t>
      </w:r>
      <w:r w:rsidRPr="007870EA">
        <w:rPr>
          <w:color w:val="000000"/>
          <w:lang w:val="fr-FR"/>
        </w:rPr>
        <w:t xml:space="preserve"> la revendication de priorité n</w:t>
      </w:r>
      <w:r w:rsidR="009D1B7B" w:rsidRPr="007870EA">
        <w:rPr>
          <w:color w:val="000000"/>
          <w:lang w:val="fr-FR"/>
        </w:rPr>
        <w:t>’</w:t>
      </w:r>
      <w:r w:rsidRPr="007870EA">
        <w:rPr>
          <w:color w:val="000000"/>
          <w:lang w:val="fr-FR"/>
        </w:rPr>
        <w:t>a pas été considérée comme nulle uniquement par suite de l</w:t>
      </w:r>
      <w:r w:rsidR="009D1B7B" w:rsidRPr="007870EA">
        <w:rPr>
          <w:color w:val="000000"/>
          <w:lang w:val="fr-FR"/>
        </w:rPr>
        <w:t>’</w:t>
      </w:r>
      <w:r w:rsidRPr="007870EA">
        <w:rPr>
          <w:color w:val="000000"/>
          <w:lang w:val="fr-FR"/>
        </w:rPr>
        <w:t>application de l</w:t>
      </w:r>
      <w:r w:rsidR="009D1B7B" w:rsidRPr="007870EA">
        <w:rPr>
          <w:color w:val="000000"/>
          <w:lang w:val="fr-FR"/>
        </w:rPr>
        <w:t>’</w:t>
      </w:r>
      <w:r w:rsidRPr="007870EA">
        <w:rPr>
          <w:color w:val="000000"/>
          <w:lang w:val="fr-FR"/>
        </w:rPr>
        <w:t>alinéa</w:t>
      </w:r>
      <w:r w:rsidR="002A191C" w:rsidRPr="007870EA">
        <w:rPr>
          <w:color w:val="000000"/>
          <w:lang w:val="fr-FR"/>
        </w:rPr>
        <w:t> </w:t>
      </w:r>
      <w:r w:rsidRPr="007870EA">
        <w:rPr>
          <w:color w:val="000000"/>
          <w:lang w:val="fr-FR"/>
        </w:rPr>
        <w:t>c)</w:t>
      </w:r>
      <w:proofErr w:type="gramStart"/>
      <w:r w:rsidRPr="007870EA">
        <w:rPr>
          <w:color w:val="0000FF"/>
          <w:u w:val="single"/>
          <w:lang w:val="fr-FR"/>
        </w:rPr>
        <w:t>;</w:t>
      </w:r>
      <w:r w:rsidR="007870EA" w:rsidRPr="007870EA">
        <w:rPr>
          <w:strike/>
          <w:color w:val="FF0000"/>
          <w:lang w:val="fr-FR"/>
        </w:rPr>
        <w:t>,</w:t>
      </w:r>
      <w:proofErr w:type="gramEnd"/>
      <w:r w:rsidRPr="007870EA">
        <w:rPr>
          <w:lang w:val="fr-FR"/>
        </w:rPr>
        <w:t xml:space="preserve"> </w:t>
      </w:r>
      <w:r w:rsidRPr="007870EA">
        <w:rPr>
          <w:color w:val="0000FF"/>
          <w:u w:val="single"/>
          <w:lang w:val="fr-FR"/>
        </w:rPr>
        <w:t xml:space="preserve"> ou</w:t>
      </w:r>
    </w:p>
    <w:p w:rsidR="003837A1" w:rsidRPr="007870EA" w:rsidRDefault="000E530E" w:rsidP="00864284">
      <w:pPr>
        <w:pStyle w:val="Legiindent"/>
        <w:tabs>
          <w:tab w:val="clear" w:pos="1020"/>
          <w:tab w:val="clear" w:pos="1191"/>
          <w:tab w:val="left" w:pos="1701"/>
        </w:tabs>
        <w:spacing w:line="360" w:lineRule="auto"/>
        <w:ind w:left="1701" w:hanging="567"/>
        <w:rPr>
          <w:u w:val="single"/>
          <w:lang w:val="fr-FR"/>
        </w:rPr>
      </w:pPr>
      <w:r w:rsidRPr="007870EA">
        <w:rPr>
          <w:color w:val="0000FF"/>
          <w:u w:val="single"/>
          <w:lang w:val="fr-FR"/>
        </w:rPr>
        <w:t>iii)</w:t>
      </w:r>
      <w:r w:rsidRPr="007870EA">
        <w:rPr>
          <w:color w:val="0000FF"/>
          <w:u w:val="single"/>
          <w:lang w:val="fr-FR"/>
        </w:rPr>
        <w:tab/>
        <w:t>la date de dépôt de la demande antérieure visée à la règle 4.10.a)i) et la même que la date du dépôt international;</w:t>
      </w:r>
    </w:p>
    <w:p w:rsidR="003837A1" w:rsidRPr="002213F4" w:rsidRDefault="000E530E" w:rsidP="000E530E">
      <w:pPr>
        <w:pStyle w:val="Lega"/>
        <w:spacing w:line="360" w:lineRule="auto"/>
        <w:rPr>
          <w:rFonts w:cs="Arial"/>
          <w:szCs w:val="22"/>
          <w:lang w:val="fr-FR"/>
        </w:rPr>
      </w:pPr>
      <w:proofErr w:type="gramStart"/>
      <w:r w:rsidRPr="002213F4">
        <w:rPr>
          <w:rFonts w:cs="Arial"/>
          <w:szCs w:val="22"/>
          <w:lang w:val="fr-FR"/>
        </w:rPr>
        <w:t>le</w:t>
      </w:r>
      <w:proofErr w:type="gramEnd"/>
      <w:r w:rsidRPr="002213F4">
        <w:rPr>
          <w:rFonts w:cs="Arial"/>
          <w:szCs w:val="22"/>
          <w:lang w:val="fr-FR"/>
        </w:rPr>
        <w:t xml:space="preserve"> Bureau international publie avec la demande internationale des renseignements concernant la revendication de priorité conformément aux prescriptions des instructions administratives, ainsi que tous renseignements communiqués par le déposant concernant cette revendication de priorité qui parviennent au Bureau international avant l</w:t>
      </w:r>
      <w:r w:rsidR="009D1B7B" w:rsidRPr="002213F4">
        <w:rPr>
          <w:rFonts w:cs="Arial"/>
          <w:szCs w:val="22"/>
          <w:lang w:val="fr-FR"/>
        </w:rPr>
        <w:t>’</w:t>
      </w:r>
      <w:r w:rsidRPr="002213F4">
        <w:rPr>
          <w:rFonts w:cs="Arial"/>
          <w:szCs w:val="22"/>
          <w:lang w:val="fr-FR"/>
        </w:rPr>
        <w:t>achèvement de la préparation technique de la publication internationa</w:t>
      </w:r>
      <w:r w:rsidR="007870EA" w:rsidRPr="002213F4">
        <w:rPr>
          <w:rFonts w:cs="Arial"/>
          <w:szCs w:val="22"/>
          <w:lang w:val="fr-FR"/>
        </w:rPr>
        <w:t>le.  Ce</w:t>
      </w:r>
      <w:r w:rsidRPr="002213F4">
        <w:rPr>
          <w:rFonts w:cs="Arial"/>
          <w:szCs w:val="22"/>
          <w:lang w:val="fr-FR"/>
        </w:rPr>
        <w:t>s renseignements sont insérés dans la communication selon l</w:t>
      </w:r>
      <w:r w:rsidR="009D1B7B" w:rsidRPr="002213F4">
        <w:rPr>
          <w:rFonts w:cs="Arial"/>
          <w:szCs w:val="22"/>
          <w:lang w:val="fr-FR"/>
        </w:rPr>
        <w:t>’</w:t>
      </w:r>
      <w:r w:rsidRPr="002213F4">
        <w:rPr>
          <w:rFonts w:cs="Arial"/>
          <w:szCs w:val="22"/>
          <w:lang w:val="fr-FR"/>
        </w:rPr>
        <w:t>article 20 lorsque, en vertu de l</w:t>
      </w:r>
      <w:r w:rsidR="009D1B7B" w:rsidRPr="002213F4">
        <w:rPr>
          <w:rFonts w:cs="Arial"/>
          <w:szCs w:val="22"/>
          <w:lang w:val="fr-FR"/>
        </w:rPr>
        <w:t>’</w:t>
      </w:r>
      <w:r w:rsidRPr="002213F4">
        <w:rPr>
          <w:rFonts w:cs="Arial"/>
          <w:szCs w:val="22"/>
          <w:lang w:val="fr-FR"/>
        </w:rPr>
        <w:t>article</w:t>
      </w:r>
      <w:r w:rsidR="002A191C" w:rsidRPr="002213F4">
        <w:rPr>
          <w:rFonts w:cs="Arial"/>
          <w:szCs w:val="22"/>
          <w:lang w:val="fr-FR"/>
        </w:rPr>
        <w:t> </w:t>
      </w:r>
      <w:r w:rsidRPr="002213F4">
        <w:rPr>
          <w:rFonts w:cs="Arial"/>
          <w:szCs w:val="22"/>
          <w:lang w:val="fr-FR"/>
        </w:rPr>
        <w:t>64.3), la demande internationale n</w:t>
      </w:r>
      <w:r w:rsidR="009D1B7B" w:rsidRPr="002213F4">
        <w:rPr>
          <w:rFonts w:cs="Arial"/>
          <w:szCs w:val="22"/>
          <w:lang w:val="fr-FR"/>
        </w:rPr>
        <w:t>’</w:t>
      </w:r>
      <w:r w:rsidRPr="002213F4">
        <w:rPr>
          <w:rFonts w:cs="Arial"/>
          <w:szCs w:val="22"/>
          <w:lang w:val="fr-FR"/>
        </w:rPr>
        <w:t>est pas publiée.</w:t>
      </w:r>
    </w:p>
    <w:p w:rsidR="003837A1" w:rsidRPr="002213F4" w:rsidRDefault="009C5075" w:rsidP="00864284">
      <w:pPr>
        <w:pStyle w:val="Lega"/>
        <w:tabs>
          <w:tab w:val="clear" w:pos="454"/>
          <w:tab w:val="left" w:pos="567"/>
          <w:tab w:val="left" w:pos="1134"/>
        </w:tabs>
        <w:spacing w:line="360" w:lineRule="auto"/>
        <w:rPr>
          <w:rFonts w:cs="Arial"/>
          <w:szCs w:val="22"/>
          <w:lang w:val="fr-FR"/>
        </w:rPr>
      </w:pPr>
      <w:r w:rsidRPr="002213F4">
        <w:rPr>
          <w:rFonts w:cs="Arial"/>
          <w:szCs w:val="22"/>
          <w:lang w:val="fr-FR"/>
        </w:rPr>
        <w:tab/>
      </w:r>
      <w:r w:rsidR="00864284" w:rsidRPr="002213F4">
        <w:rPr>
          <w:rFonts w:cs="Arial"/>
          <w:szCs w:val="22"/>
          <w:lang w:val="fr-FR"/>
        </w:rPr>
        <w:t>e)</w:t>
      </w:r>
      <w:r w:rsidR="00107E4C" w:rsidRPr="002213F4">
        <w:rPr>
          <w:rFonts w:cs="Arial"/>
          <w:szCs w:val="22"/>
          <w:lang w:val="fr-FR"/>
        </w:rPr>
        <w:tab/>
      </w:r>
      <w:r w:rsidR="0082207B" w:rsidRPr="002213F4">
        <w:rPr>
          <w:rFonts w:ascii="Microsoft Sans Serif" w:hAnsi="Microsoft Sans Serif" w:cs="Microsoft Sans Serif"/>
          <w:szCs w:val="22"/>
          <w:lang w:val="fr-FR"/>
        </w:rPr>
        <w:t>[</w:t>
      </w:r>
      <w:r w:rsidRPr="002213F4">
        <w:rPr>
          <w:rFonts w:cs="Arial"/>
          <w:szCs w:val="22"/>
          <w:lang w:val="fr-FR"/>
        </w:rPr>
        <w:t>Sans changement</w:t>
      </w:r>
      <w:r w:rsidR="0082207B" w:rsidRPr="002213F4">
        <w:rPr>
          <w:rFonts w:ascii="Microsoft Sans Serif" w:hAnsi="Microsoft Sans Serif" w:cs="Microsoft Sans Serif"/>
          <w:szCs w:val="22"/>
          <w:lang w:val="fr-FR"/>
        </w:rPr>
        <w:t>]</w:t>
      </w:r>
    </w:p>
    <w:p w:rsidR="003837A1" w:rsidRPr="002213F4" w:rsidRDefault="0082207B" w:rsidP="0082207B">
      <w:pPr>
        <w:pStyle w:val="LegSubRule"/>
        <w:spacing w:line="360" w:lineRule="auto"/>
        <w:rPr>
          <w:rFonts w:ascii="Microsoft Sans Serif" w:hAnsi="Microsoft Sans Serif" w:cs="Microsoft Sans Serif"/>
          <w:szCs w:val="22"/>
          <w:lang w:val="fr-FR"/>
        </w:rPr>
      </w:pPr>
      <w:bookmarkStart w:id="11" w:name="_Toc3633261"/>
      <w:bookmarkStart w:id="12" w:name="_Toc100481222"/>
      <w:bookmarkStart w:id="13" w:name="_Toc105480513"/>
      <w:bookmarkStart w:id="14" w:name="_Toc116097055"/>
      <w:bookmarkStart w:id="15" w:name="_Toc445721819"/>
      <w:r w:rsidRPr="002213F4">
        <w:rPr>
          <w:rFonts w:cs="Arial"/>
          <w:szCs w:val="22"/>
          <w:lang w:val="fr-FR"/>
        </w:rPr>
        <w:t>26</w:t>
      </w:r>
      <w:r w:rsidRPr="002213F4">
        <w:rPr>
          <w:rStyle w:val="RItalic"/>
          <w:rFonts w:cs="Arial"/>
          <w:szCs w:val="22"/>
          <w:lang w:val="fr-FR"/>
        </w:rPr>
        <w:t>bis</w:t>
      </w:r>
      <w:r w:rsidR="00107E4C" w:rsidRPr="002213F4">
        <w:rPr>
          <w:rFonts w:cs="Arial"/>
          <w:szCs w:val="22"/>
          <w:lang w:val="fr-FR"/>
        </w:rPr>
        <w:t>.3 </w:t>
      </w:r>
      <w:r w:rsidR="00864284" w:rsidRPr="002213F4">
        <w:rPr>
          <w:rFonts w:cs="Arial"/>
          <w:szCs w:val="22"/>
          <w:lang w:val="fr-FR"/>
        </w:rPr>
        <w:t>  </w:t>
      </w:r>
      <w:r w:rsidRPr="002213F4">
        <w:rPr>
          <w:rFonts w:ascii="Microsoft Sans Serif" w:hAnsi="Microsoft Sans Serif" w:cs="Microsoft Sans Serif"/>
          <w:szCs w:val="22"/>
          <w:lang w:val="fr-FR"/>
        </w:rPr>
        <w:t>[</w:t>
      </w:r>
      <w:r w:rsidR="009C5075" w:rsidRPr="002213F4">
        <w:rPr>
          <w:rFonts w:cs="Arial"/>
          <w:szCs w:val="22"/>
          <w:lang w:val="fr-FR"/>
        </w:rPr>
        <w:t>Sans</w:t>
      </w:r>
      <w:r w:rsidRPr="002213F4">
        <w:rPr>
          <w:rFonts w:cs="Arial"/>
          <w:szCs w:val="22"/>
          <w:lang w:val="fr-FR"/>
        </w:rPr>
        <w:t xml:space="preserve"> change</w:t>
      </w:r>
      <w:r w:rsidR="009C5075" w:rsidRPr="002213F4">
        <w:rPr>
          <w:rFonts w:cs="Arial"/>
          <w:szCs w:val="22"/>
          <w:lang w:val="fr-FR"/>
        </w:rPr>
        <w:t>ment</w:t>
      </w:r>
      <w:r w:rsidRPr="002213F4">
        <w:rPr>
          <w:rFonts w:ascii="Microsoft Sans Serif" w:hAnsi="Microsoft Sans Serif" w:cs="Microsoft Sans Serif"/>
          <w:szCs w:val="22"/>
          <w:lang w:val="fr-FR"/>
        </w:rPr>
        <w:t>]</w:t>
      </w:r>
      <w:bookmarkEnd w:id="11"/>
      <w:bookmarkEnd w:id="12"/>
      <w:bookmarkEnd w:id="13"/>
      <w:bookmarkEnd w:id="14"/>
      <w:bookmarkEnd w:id="15"/>
    </w:p>
    <w:p w:rsidR="003837A1" w:rsidRPr="002213F4" w:rsidRDefault="003837A1" w:rsidP="0082207B">
      <w:pPr>
        <w:rPr>
          <w:lang w:val="fr-FR"/>
        </w:rPr>
      </w:pPr>
    </w:p>
    <w:p w:rsidR="003837A1" w:rsidRPr="002213F4" w:rsidRDefault="003837A1" w:rsidP="0082207B">
      <w:pPr>
        <w:rPr>
          <w:lang w:val="fr-FR"/>
        </w:rPr>
      </w:pPr>
    </w:p>
    <w:p w:rsidR="003837A1" w:rsidRPr="002213F4" w:rsidRDefault="003837A1" w:rsidP="0082207B">
      <w:pPr>
        <w:rPr>
          <w:lang w:val="fr-FR"/>
        </w:rPr>
      </w:pPr>
    </w:p>
    <w:bookmarkEnd w:id="7"/>
    <w:p w:rsidR="003837A1" w:rsidRPr="002213F4" w:rsidRDefault="009B3A89" w:rsidP="009B3A89">
      <w:pPr>
        <w:pStyle w:val="Endofdocument-Annex"/>
        <w:spacing w:line="360" w:lineRule="auto"/>
        <w:ind w:left="5530"/>
        <w:rPr>
          <w:lang w:val="fr-FR"/>
        </w:rPr>
      </w:pPr>
      <w:r w:rsidRPr="002213F4">
        <w:rPr>
          <w:lang w:val="fr-FR"/>
        </w:rPr>
        <w:t>[Fin de l</w:t>
      </w:r>
      <w:r w:rsidR="009D1B7B" w:rsidRPr="002213F4">
        <w:rPr>
          <w:lang w:val="fr-FR"/>
        </w:rPr>
        <w:t>’</w:t>
      </w:r>
      <w:r w:rsidRPr="002213F4">
        <w:rPr>
          <w:lang w:val="fr-FR"/>
        </w:rPr>
        <w:t>annexe et du document]</w:t>
      </w:r>
    </w:p>
    <w:sectPr w:rsidR="003837A1" w:rsidRPr="002213F4" w:rsidSect="00816F6E">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07B" w:rsidRDefault="0082207B">
      <w:r>
        <w:separator/>
      </w:r>
    </w:p>
  </w:endnote>
  <w:endnote w:type="continuationSeparator" w:id="0">
    <w:p w:rsidR="0082207B" w:rsidRDefault="0082207B" w:rsidP="003B38C1">
      <w:r>
        <w:separator/>
      </w:r>
    </w:p>
    <w:p w:rsidR="0082207B" w:rsidRPr="003B38C1" w:rsidRDefault="0082207B" w:rsidP="003B38C1">
      <w:pPr>
        <w:spacing w:after="60"/>
        <w:rPr>
          <w:sz w:val="17"/>
        </w:rPr>
      </w:pPr>
      <w:r>
        <w:rPr>
          <w:sz w:val="17"/>
        </w:rPr>
        <w:t>[Endnote continued from previous page]</w:t>
      </w:r>
    </w:p>
  </w:endnote>
  <w:endnote w:type="continuationNotice" w:id="1">
    <w:p w:rsidR="0082207B" w:rsidRPr="003B38C1" w:rsidRDefault="008220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F6E" w:rsidRPr="00816F6E" w:rsidRDefault="00816F6E" w:rsidP="00B12426">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2B" w:rsidRPr="004D392B" w:rsidRDefault="004D392B" w:rsidP="004D3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07B" w:rsidRDefault="0082207B">
      <w:r>
        <w:separator/>
      </w:r>
    </w:p>
  </w:footnote>
  <w:footnote w:type="continuationSeparator" w:id="0">
    <w:p w:rsidR="0082207B" w:rsidRDefault="0082207B" w:rsidP="008B60B2">
      <w:r>
        <w:separator/>
      </w:r>
    </w:p>
    <w:p w:rsidR="0082207B" w:rsidRPr="00ED77FB" w:rsidRDefault="0082207B" w:rsidP="008B60B2">
      <w:pPr>
        <w:spacing w:after="60"/>
        <w:rPr>
          <w:sz w:val="17"/>
          <w:szCs w:val="17"/>
        </w:rPr>
      </w:pPr>
      <w:r w:rsidRPr="00ED77FB">
        <w:rPr>
          <w:sz w:val="17"/>
          <w:szCs w:val="17"/>
        </w:rPr>
        <w:t>[Footnote continued from previous page]</w:t>
      </w:r>
    </w:p>
  </w:footnote>
  <w:footnote w:type="continuationNotice" w:id="1">
    <w:p w:rsidR="0082207B" w:rsidRPr="00ED77FB" w:rsidRDefault="0082207B" w:rsidP="008B60B2">
      <w:pPr>
        <w:spacing w:before="60"/>
        <w:jc w:val="right"/>
        <w:rPr>
          <w:sz w:val="17"/>
          <w:szCs w:val="17"/>
        </w:rPr>
      </w:pPr>
      <w:r w:rsidRPr="00ED77FB">
        <w:rPr>
          <w:sz w:val="17"/>
          <w:szCs w:val="17"/>
        </w:rPr>
        <w:t>[Footnote continued on next page]</w:t>
      </w:r>
    </w:p>
  </w:footnote>
  <w:footnote w:id="2">
    <w:p w:rsidR="00665AF5" w:rsidRPr="00665AF5" w:rsidRDefault="00665AF5" w:rsidP="00D51F1A">
      <w:pPr>
        <w:pStyle w:val="FootnoteText"/>
        <w:rPr>
          <w:lang w:val="fr-CH"/>
        </w:rPr>
      </w:pPr>
      <w:r>
        <w:rPr>
          <w:rStyle w:val="FootnoteReference"/>
        </w:rPr>
        <w:footnoteRef/>
      </w:r>
      <w:r w:rsidRPr="001166C2">
        <w:rPr>
          <w:lang w:val="fr-FR"/>
        </w:rPr>
        <w:t xml:space="preserve"> </w:t>
      </w:r>
      <w:r>
        <w:rPr>
          <w:lang w:val="fr-CH"/>
        </w:rPr>
        <w:tab/>
      </w:r>
      <w:r w:rsidR="00D51F1A" w:rsidRPr="00D51F1A">
        <w:rPr>
          <w:color w:val="000000"/>
          <w:lang w:val="fr-CH"/>
        </w:rPr>
        <w:t>Le texte qu’il est proposé d’ajouter est souligné et le texte qu’il est proposé de supprimer est biffé.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7B" w:rsidRDefault="0082207B" w:rsidP="00477D6B">
    <w:pPr>
      <w:jc w:val="right"/>
    </w:pPr>
    <w:r>
      <w:t>PCT/WG/9/3</w:t>
    </w:r>
  </w:p>
  <w:p w:rsidR="0082207B" w:rsidRDefault="0082207B" w:rsidP="00A64404">
    <w:pPr>
      <w:jc w:val="right"/>
    </w:pPr>
    <w:proofErr w:type="gramStart"/>
    <w:r>
      <w:t>page</w:t>
    </w:r>
    <w:proofErr w:type="gramEnd"/>
    <w:r w:rsidR="002213F4">
      <w:t> </w:t>
    </w:r>
    <w:r>
      <w:fldChar w:fldCharType="begin"/>
    </w:r>
    <w:r>
      <w:instrText xml:space="preserve"> PAGE  \* MERGEFORMAT </w:instrText>
    </w:r>
    <w:r>
      <w:fldChar w:fldCharType="separate"/>
    </w:r>
    <w:r w:rsidR="004E6ABA">
      <w:rPr>
        <w:noProof/>
      </w:rPr>
      <w:t>5</w:t>
    </w:r>
    <w:r>
      <w:fldChar w:fldCharType="end"/>
    </w:r>
  </w:p>
  <w:p w:rsidR="00A64404" w:rsidRDefault="00A6440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2207B" w:rsidP="00477D6B">
    <w:pPr>
      <w:jc w:val="right"/>
    </w:pPr>
    <w:bookmarkStart w:id="16" w:name="Code2"/>
    <w:bookmarkEnd w:id="16"/>
    <w:r>
      <w:t>PCT/WG/9/3</w:t>
    </w:r>
  </w:p>
  <w:p w:rsidR="00F5487B" w:rsidRDefault="00F5487B" w:rsidP="00A64404">
    <w:pPr>
      <w:jc w:val="right"/>
    </w:pPr>
    <w:proofErr w:type="spellStart"/>
    <w:r>
      <w:t>Annex</w:t>
    </w:r>
    <w:r w:rsidR="00E61709">
      <w:t>e</w:t>
    </w:r>
    <w:proofErr w:type="spellEnd"/>
    <w:r>
      <w:t xml:space="preserve">, </w:t>
    </w:r>
    <w:r w:rsidR="00EC4E49">
      <w:t>page</w:t>
    </w:r>
    <w:r w:rsidR="002213F4">
      <w:t> </w:t>
    </w:r>
    <w:r w:rsidR="00EC4E49">
      <w:fldChar w:fldCharType="begin"/>
    </w:r>
    <w:r w:rsidR="00EC4E49">
      <w:instrText xml:space="preserve"> PAGE  \* MERGEFORMAT </w:instrText>
    </w:r>
    <w:r w:rsidR="00EC4E49">
      <w:fldChar w:fldCharType="separate"/>
    </w:r>
    <w:r w:rsidR="004E6ABA">
      <w:rPr>
        <w:noProof/>
      </w:rPr>
      <w:t>3</w:t>
    </w:r>
    <w:r w:rsidR="00EC4E49">
      <w:fldChar w:fldCharType="end"/>
    </w:r>
  </w:p>
  <w:p w:rsidR="00A64404" w:rsidRDefault="00A6440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87B" w:rsidRDefault="00F5487B" w:rsidP="00F5487B">
    <w:pPr>
      <w:pStyle w:val="Header"/>
      <w:jc w:val="right"/>
    </w:pPr>
    <w:r>
      <w:t>PCT/WG/9/3</w:t>
    </w:r>
  </w:p>
  <w:p w:rsidR="00F5487B" w:rsidRDefault="00F5487B" w:rsidP="00F5487B">
    <w:pPr>
      <w:pStyle w:val="Header"/>
      <w:jc w:val="right"/>
    </w:pPr>
    <w:r>
      <w:t>ANNEX</w:t>
    </w:r>
    <w:r w:rsidR="00E61709">
      <w:t>E</w:t>
    </w:r>
  </w:p>
  <w:p w:rsidR="00F5487B" w:rsidRDefault="00F5487B" w:rsidP="00F5487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58C62B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erm4|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am Server TMs\Default"/>
    <w:docVar w:name="TextBaseURL" w:val="empty"/>
    <w:docVar w:name="UILng" w:val="en"/>
  </w:docVars>
  <w:rsids>
    <w:rsidRoot w:val="0082207B"/>
    <w:rsid w:val="000276D2"/>
    <w:rsid w:val="00043CAA"/>
    <w:rsid w:val="000576B1"/>
    <w:rsid w:val="00075432"/>
    <w:rsid w:val="000968ED"/>
    <w:rsid w:val="000A506D"/>
    <w:rsid w:val="000E530E"/>
    <w:rsid w:val="000F5E56"/>
    <w:rsid w:val="00107E4C"/>
    <w:rsid w:val="001166C2"/>
    <w:rsid w:val="001362EE"/>
    <w:rsid w:val="001468FF"/>
    <w:rsid w:val="00173F16"/>
    <w:rsid w:val="001832A6"/>
    <w:rsid w:val="002213F4"/>
    <w:rsid w:val="00221ADB"/>
    <w:rsid w:val="002634C4"/>
    <w:rsid w:val="002928D3"/>
    <w:rsid w:val="002A191C"/>
    <w:rsid w:val="002A3E6A"/>
    <w:rsid w:val="002F1FE6"/>
    <w:rsid w:val="002F4E68"/>
    <w:rsid w:val="00312F7F"/>
    <w:rsid w:val="00337721"/>
    <w:rsid w:val="00361450"/>
    <w:rsid w:val="003673CF"/>
    <w:rsid w:val="003837A1"/>
    <w:rsid w:val="003845C1"/>
    <w:rsid w:val="003A6F89"/>
    <w:rsid w:val="003B38C1"/>
    <w:rsid w:val="00423E3E"/>
    <w:rsid w:val="00427AF4"/>
    <w:rsid w:val="004647DA"/>
    <w:rsid w:val="00474062"/>
    <w:rsid w:val="00477D6B"/>
    <w:rsid w:val="004B5169"/>
    <w:rsid w:val="004D392B"/>
    <w:rsid w:val="004E6ABA"/>
    <w:rsid w:val="005019FF"/>
    <w:rsid w:val="00505EE8"/>
    <w:rsid w:val="0053057A"/>
    <w:rsid w:val="00560A29"/>
    <w:rsid w:val="005C6649"/>
    <w:rsid w:val="005F5F0E"/>
    <w:rsid w:val="00605827"/>
    <w:rsid w:val="006278C3"/>
    <w:rsid w:val="00646050"/>
    <w:rsid w:val="00661C3D"/>
    <w:rsid w:val="00665AF5"/>
    <w:rsid w:val="006713CA"/>
    <w:rsid w:val="00676C5C"/>
    <w:rsid w:val="00767DF7"/>
    <w:rsid w:val="007870EA"/>
    <w:rsid w:val="007D1613"/>
    <w:rsid w:val="007F2550"/>
    <w:rsid w:val="00816F6E"/>
    <w:rsid w:val="0082207B"/>
    <w:rsid w:val="00834754"/>
    <w:rsid w:val="00864284"/>
    <w:rsid w:val="008A72BB"/>
    <w:rsid w:val="008B1668"/>
    <w:rsid w:val="008B2CC1"/>
    <w:rsid w:val="008B60B2"/>
    <w:rsid w:val="008E4D16"/>
    <w:rsid w:val="0090731E"/>
    <w:rsid w:val="00916EE2"/>
    <w:rsid w:val="00966A22"/>
    <w:rsid w:val="0096722F"/>
    <w:rsid w:val="00980843"/>
    <w:rsid w:val="009B3A89"/>
    <w:rsid w:val="009C5075"/>
    <w:rsid w:val="009D1B7B"/>
    <w:rsid w:val="009E2791"/>
    <w:rsid w:val="009E3F6F"/>
    <w:rsid w:val="009F499F"/>
    <w:rsid w:val="00A42DAF"/>
    <w:rsid w:val="00A45BD8"/>
    <w:rsid w:val="00A64404"/>
    <w:rsid w:val="00A869B7"/>
    <w:rsid w:val="00AC054A"/>
    <w:rsid w:val="00AC205C"/>
    <w:rsid w:val="00AF0A6B"/>
    <w:rsid w:val="00B05A69"/>
    <w:rsid w:val="00B12426"/>
    <w:rsid w:val="00B1259F"/>
    <w:rsid w:val="00B9734B"/>
    <w:rsid w:val="00BD15D1"/>
    <w:rsid w:val="00BD3406"/>
    <w:rsid w:val="00BE6EBD"/>
    <w:rsid w:val="00BF1A4B"/>
    <w:rsid w:val="00C07CC7"/>
    <w:rsid w:val="00C11BFE"/>
    <w:rsid w:val="00CC09EF"/>
    <w:rsid w:val="00CC2EB6"/>
    <w:rsid w:val="00D03F2A"/>
    <w:rsid w:val="00D45252"/>
    <w:rsid w:val="00D51F1A"/>
    <w:rsid w:val="00D71B4D"/>
    <w:rsid w:val="00D85E2B"/>
    <w:rsid w:val="00D93D55"/>
    <w:rsid w:val="00DC7A25"/>
    <w:rsid w:val="00DF1947"/>
    <w:rsid w:val="00E335FE"/>
    <w:rsid w:val="00E53676"/>
    <w:rsid w:val="00E61709"/>
    <w:rsid w:val="00EC4E49"/>
    <w:rsid w:val="00ED77FB"/>
    <w:rsid w:val="00EE45FA"/>
    <w:rsid w:val="00EE78FA"/>
    <w:rsid w:val="00F01699"/>
    <w:rsid w:val="00F5487B"/>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FootnoteReference">
    <w:name w:val="footnote reference"/>
    <w:basedOn w:val="DefaultParagraphFont"/>
    <w:rsid w:val="0082207B"/>
    <w:rPr>
      <w:vertAlign w:val="superscript"/>
    </w:rPr>
  </w:style>
  <w:style w:type="character" w:customStyle="1" w:styleId="ONUMEChar">
    <w:name w:val="ONUM E Char"/>
    <w:basedOn w:val="DefaultParagraphFont"/>
    <w:link w:val="ONUME"/>
    <w:rsid w:val="0082207B"/>
    <w:rPr>
      <w:rFonts w:ascii="Arial" w:eastAsia="SimSun" w:hAnsi="Arial" w:cs="Arial"/>
      <w:sz w:val="22"/>
      <w:lang w:eastAsia="zh-CN"/>
    </w:rPr>
  </w:style>
  <w:style w:type="table" w:styleId="TableGrid">
    <w:name w:val="Table Grid"/>
    <w:basedOn w:val="TableNormal"/>
    <w:rsid w:val="0082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82207B"/>
    <w:rPr>
      <w:rFonts w:ascii="Arial" w:eastAsia="SimSun" w:hAnsi="Arial" w:cs="Arial"/>
      <w:sz w:val="18"/>
      <w:lang w:eastAsia="zh-CN"/>
    </w:rPr>
  </w:style>
  <w:style w:type="paragraph" w:customStyle="1" w:styleId="Lega">
    <w:name w:val="Leg (a)"/>
    <w:basedOn w:val="Normal"/>
    <w:rsid w:val="0082207B"/>
    <w:pPr>
      <w:tabs>
        <w:tab w:val="left" w:pos="454"/>
      </w:tabs>
      <w:spacing w:before="119"/>
    </w:pPr>
    <w:rPr>
      <w:rFonts w:eastAsia="Times New Roman" w:cs="Times New Roman"/>
      <w:snapToGrid w:val="0"/>
      <w:lang w:eastAsia="ja-JP"/>
    </w:rPr>
  </w:style>
  <w:style w:type="paragraph" w:customStyle="1" w:styleId="LegSubRule">
    <w:name w:val="Leg SubRule #"/>
    <w:basedOn w:val="Normal"/>
    <w:rsid w:val="0082207B"/>
    <w:pPr>
      <w:keepNext/>
      <w:keepLines/>
      <w:tabs>
        <w:tab w:val="left" w:pos="510"/>
      </w:tabs>
      <w:spacing w:before="119"/>
      <w:ind w:left="533" w:hanging="533"/>
      <w:jc w:val="both"/>
    </w:pPr>
    <w:rPr>
      <w:rFonts w:eastAsia="Times New Roman" w:cs="Times New Roman"/>
      <w:snapToGrid w:val="0"/>
      <w:lang w:eastAsia="ja-JP"/>
    </w:rPr>
  </w:style>
  <w:style w:type="paragraph" w:styleId="TOC1">
    <w:name w:val="toc 1"/>
    <w:basedOn w:val="Normal"/>
    <w:next w:val="Normal"/>
    <w:autoRedefine/>
    <w:uiPriority w:val="39"/>
    <w:rsid w:val="0082207B"/>
    <w:pPr>
      <w:spacing w:after="100"/>
    </w:pPr>
  </w:style>
  <w:style w:type="paragraph" w:styleId="TOC2">
    <w:name w:val="toc 2"/>
    <w:basedOn w:val="Normal"/>
    <w:next w:val="Normal"/>
    <w:autoRedefine/>
    <w:uiPriority w:val="39"/>
    <w:rsid w:val="0082207B"/>
    <w:pPr>
      <w:spacing w:after="100"/>
      <w:ind w:left="220"/>
    </w:pPr>
  </w:style>
  <w:style w:type="paragraph" w:customStyle="1" w:styleId="LegTitle">
    <w:name w:val="Leg # Title"/>
    <w:basedOn w:val="Normal"/>
    <w:next w:val="Normal"/>
    <w:rsid w:val="0082207B"/>
    <w:pPr>
      <w:keepNext/>
      <w:keepLines/>
      <w:suppressAutoHyphens/>
      <w:spacing w:before="240"/>
      <w:jc w:val="center"/>
    </w:pPr>
    <w:rPr>
      <w:rFonts w:eastAsia="Times New Roman" w:cs="Times New Roman"/>
      <w:b/>
      <w:lang w:eastAsia="ja-JP"/>
    </w:rPr>
  </w:style>
  <w:style w:type="paragraph" w:customStyle="1" w:styleId="Legi">
    <w:name w:val="Leg (i)"/>
    <w:basedOn w:val="Normal"/>
    <w:rsid w:val="0082207B"/>
    <w:pPr>
      <w:tabs>
        <w:tab w:val="right" w:pos="1020"/>
        <w:tab w:val="left" w:pos="1191"/>
      </w:tabs>
      <w:spacing w:before="60"/>
    </w:pPr>
    <w:rPr>
      <w:rFonts w:eastAsia="Times New Roman" w:cs="Times New Roman"/>
      <w:snapToGrid w:val="0"/>
      <w:lang w:eastAsia="ja-JP"/>
    </w:rPr>
  </w:style>
  <w:style w:type="paragraph" w:customStyle="1" w:styleId="Legacont">
    <w:name w:val="Leg (a) [cont]"/>
    <w:basedOn w:val="Lega"/>
    <w:next w:val="Lega"/>
    <w:rsid w:val="0082207B"/>
    <w:pPr>
      <w:spacing w:before="60"/>
      <w:jc w:val="both"/>
    </w:pPr>
    <w:rPr>
      <w:rFonts w:ascii="Times New Roman" w:hAnsi="Times New Roman"/>
      <w:sz w:val="28"/>
    </w:rPr>
  </w:style>
  <w:style w:type="paragraph" w:customStyle="1" w:styleId="Legiindent">
    <w:name w:val="Leg (i) indent"/>
    <w:basedOn w:val="Legi"/>
    <w:rsid w:val="0082207B"/>
    <w:pPr>
      <w:ind w:left="1191" w:hanging="1191"/>
    </w:pPr>
  </w:style>
  <w:style w:type="character" w:customStyle="1" w:styleId="RItalic">
    <w:name w:val="RItalic"/>
    <w:basedOn w:val="DefaultParagraphFont"/>
    <w:rsid w:val="0082207B"/>
    <w:rPr>
      <w:i/>
    </w:rPr>
  </w:style>
  <w:style w:type="character" w:customStyle="1" w:styleId="Heading1Char">
    <w:name w:val="Heading 1 Char"/>
    <w:basedOn w:val="DefaultParagraphFont"/>
    <w:link w:val="Heading1"/>
    <w:rsid w:val="0082207B"/>
    <w:rPr>
      <w:rFonts w:ascii="Arial" w:eastAsia="SimSun" w:hAnsi="Arial" w:cs="Arial"/>
      <w:b/>
      <w:bCs/>
      <w:caps/>
      <w:kern w:val="32"/>
      <w:sz w:val="22"/>
      <w:szCs w:val="32"/>
      <w:lang w:eastAsia="zh-CN"/>
    </w:rPr>
  </w:style>
  <w:style w:type="character" w:customStyle="1" w:styleId="RDeletedText">
    <w:name w:val="RDeletedText"/>
    <w:basedOn w:val="DefaultParagraphFont"/>
    <w:rsid w:val="0082207B"/>
    <w:rPr>
      <w:strike/>
      <w:color w:val="FF0000"/>
    </w:rPr>
  </w:style>
  <w:style w:type="character" w:customStyle="1" w:styleId="RInsertedText">
    <w:name w:val="RInsertedText"/>
    <w:basedOn w:val="DefaultParagraphFont"/>
    <w:rsid w:val="0082207B"/>
    <w:rPr>
      <w:color w:val="0000FF"/>
      <w:u w:val="single"/>
    </w:rPr>
  </w:style>
  <w:style w:type="paragraph" w:customStyle="1" w:styleId="RContinued">
    <w:name w:val="RContinued"/>
    <w:basedOn w:val="Normal"/>
    <w:next w:val="Normal"/>
    <w:rsid w:val="00F5487B"/>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Hyperlink">
    <w:name w:val="Hyperlink"/>
    <w:basedOn w:val="DefaultParagraphFont"/>
    <w:rsid w:val="007870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FootnoteReference">
    <w:name w:val="footnote reference"/>
    <w:basedOn w:val="DefaultParagraphFont"/>
    <w:rsid w:val="0082207B"/>
    <w:rPr>
      <w:vertAlign w:val="superscript"/>
    </w:rPr>
  </w:style>
  <w:style w:type="character" w:customStyle="1" w:styleId="ONUMEChar">
    <w:name w:val="ONUM E Char"/>
    <w:basedOn w:val="DefaultParagraphFont"/>
    <w:link w:val="ONUME"/>
    <w:rsid w:val="0082207B"/>
    <w:rPr>
      <w:rFonts w:ascii="Arial" w:eastAsia="SimSun" w:hAnsi="Arial" w:cs="Arial"/>
      <w:sz w:val="22"/>
      <w:lang w:eastAsia="zh-CN"/>
    </w:rPr>
  </w:style>
  <w:style w:type="table" w:styleId="TableGrid">
    <w:name w:val="Table Grid"/>
    <w:basedOn w:val="TableNormal"/>
    <w:rsid w:val="0082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82207B"/>
    <w:rPr>
      <w:rFonts w:ascii="Arial" w:eastAsia="SimSun" w:hAnsi="Arial" w:cs="Arial"/>
      <w:sz w:val="18"/>
      <w:lang w:eastAsia="zh-CN"/>
    </w:rPr>
  </w:style>
  <w:style w:type="paragraph" w:customStyle="1" w:styleId="Lega">
    <w:name w:val="Leg (a)"/>
    <w:basedOn w:val="Normal"/>
    <w:rsid w:val="0082207B"/>
    <w:pPr>
      <w:tabs>
        <w:tab w:val="left" w:pos="454"/>
      </w:tabs>
      <w:spacing w:before="119"/>
    </w:pPr>
    <w:rPr>
      <w:rFonts w:eastAsia="Times New Roman" w:cs="Times New Roman"/>
      <w:snapToGrid w:val="0"/>
      <w:lang w:eastAsia="ja-JP"/>
    </w:rPr>
  </w:style>
  <w:style w:type="paragraph" w:customStyle="1" w:styleId="LegSubRule">
    <w:name w:val="Leg SubRule #"/>
    <w:basedOn w:val="Normal"/>
    <w:rsid w:val="0082207B"/>
    <w:pPr>
      <w:keepNext/>
      <w:keepLines/>
      <w:tabs>
        <w:tab w:val="left" w:pos="510"/>
      </w:tabs>
      <w:spacing w:before="119"/>
      <w:ind w:left="533" w:hanging="533"/>
      <w:jc w:val="both"/>
    </w:pPr>
    <w:rPr>
      <w:rFonts w:eastAsia="Times New Roman" w:cs="Times New Roman"/>
      <w:snapToGrid w:val="0"/>
      <w:lang w:eastAsia="ja-JP"/>
    </w:rPr>
  </w:style>
  <w:style w:type="paragraph" w:styleId="TOC1">
    <w:name w:val="toc 1"/>
    <w:basedOn w:val="Normal"/>
    <w:next w:val="Normal"/>
    <w:autoRedefine/>
    <w:uiPriority w:val="39"/>
    <w:rsid w:val="0082207B"/>
    <w:pPr>
      <w:spacing w:after="100"/>
    </w:pPr>
  </w:style>
  <w:style w:type="paragraph" w:styleId="TOC2">
    <w:name w:val="toc 2"/>
    <w:basedOn w:val="Normal"/>
    <w:next w:val="Normal"/>
    <w:autoRedefine/>
    <w:uiPriority w:val="39"/>
    <w:rsid w:val="0082207B"/>
    <w:pPr>
      <w:spacing w:after="100"/>
      <w:ind w:left="220"/>
    </w:pPr>
  </w:style>
  <w:style w:type="paragraph" w:customStyle="1" w:styleId="LegTitle">
    <w:name w:val="Leg # Title"/>
    <w:basedOn w:val="Normal"/>
    <w:next w:val="Normal"/>
    <w:rsid w:val="0082207B"/>
    <w:pPr>
      <w:keepNext/>
      <w:keepLines/>
      <w:suppressAutoHyphens/>
      <w:spacing w:before="240"/>
      <w:jc w:val="center"/>
    </w:pPr>
    <w:rPr>
      <w:rFonts w:eastAsia="Times New Roman" w:cs="Times New Roman"/>
      <w:b/>
      <w:lang w:eastAsia="ja-JP"/>
    </w:rPr>
  </w:style>
  <w:style w:type="paragraph" w:customStyle="1" w:styleId="Legi">
    <w:name w:val="Leg (i)"/>
    <w:basedOn w:val="Normal"/>
    <w:rsid w:val="0082207B"/>
    <w:pPr>
      <w:tabs>
        <w:tab w:val="right" w:pos="1020"/>
        <w:tab w:val="left" w:pos="1191"/>
      </w:tabs>
      <w:spacing w:before="60"/>
    </w:pPr>
    <w:rPr>
      <w:rFonts w:eastAsia="Times New Roman" w:cs="Times New Roman"/>
      <w:snapToGrid w:val="0"/>
      <w:lang w:eastAsia="ja-JP"/>
    </w:rPr>
  </w:style>
  <w:style w:type="paragraph" w:customStyle="1" w:styleId="Legacont">
    <w:name w:val="Leg (a) [cont]"/>
    <w:basedOn w:val="Lega"/>
    <w:next w:val="Lega"/>
    <w:rsid w:val="0082207B"/>
    <w:pPr>
      <w:spacing w:before="60"/>
      <w:jc w:val="both"/>
    </w:pPr>
    <w:rPr>
      <w:rFonts w:ascii="Times New Roman" w:hAnsi="Times New Roman"/>
      <w:sz w:val="28"/>
    </w:rPr>
  </w:style>
  <w:style w:type="paragraph" w:customStyle="1" w:styleId="Legiindent">
    <w:name w:val="Leg (i) indent"/>
    <w:basedOn w:val="Legi"/>
    <w:rsid w:val="0082207B"/>
    <w:pPr>
      <w:ind w:left="1191" w:hanging="1191"/>
    </w:pPr>
  </w:style>
  <w:style w:type="character" w:customStyle="1" w:styleId="RItalic">
    <w:name w:val="RItalic"/>
    <w:basedOn w:val="DefaultParagraphFont"/>
    <w:rsid w:val="0082207B"/>
    <w:rPr>
      <w:i/>
    </w:rPr>
  </w:style>
  <w:style w:type="character" w:customStyle="1" w:styleId="Heading1Char">
    <w:name w:val="Heading 1 Char"/>
    <w:basedOn w:val="DefaultParagraphFont"/>
    <w:link w:val="Heading1"/>
    <w:rsid w:val="0082207B"/>
    <w:rPr>
      <w:rFonts w:ascii="Arial" w:eastAsia="SimSun" w:hAnsi="Arial" w:cs="Arial"/>
      <w:b/>
      <w:bCs/>
      <w:caps/>
      <w:kern w:val="32"/>
      <w:sz w:val="22"/>
      <w:szCs w:val="32"/>
      <w:lang w:eastAsia="zh-CN"/>
    </w:rPr>
  </w:style>
  <w:style w:type="character" w:customStyle="1" w:styleId="RDeletedText">
    <w:name w:val="RDeletedText"/>
    <w:basedOn w:val="DefaultParagraphFont"/>
    <w:rsid w:val="0082207B"/>
    <w:rPr>
      <w:strike/>
      <w:color w:val="FF0000"/>
    </w:rPr>
  </w:style>
  <w:style w:type="character" w:customStyle="1" w:styleId="RInsertedText">
    <w:name w:val="RInsertedText"/>
    <w:basedOn w:val="DefaultParagraphFont"/>
    <w:rsid w:val="0082207B"/>
    <w:rPr>
      <w:color w:val="0000FF"/>
      <w:u w:val="single"/>
    </w:rPr>
  </w:style>
  <w:style w:type="paragraph" w:customStyle="1" w:styleId="RContinued">
    <w:name w:val="RContinued"/>
    <w:basedOn w:val="Normal"/>
    <w:next w:val="Normal"/>
    <w:rsid w:val="00F5487B"/>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Hyperlink">
    <w:name w:val="Hyperlink"/>
    <w:basedOn w:val="DefaultParagraphFont"/>
    <w:rsid w:val="007870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3281C-D7B3-43F0-BFB1-2CB738FD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16</TotalTime>
  <Pages>8</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17795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Same Day Priority Claims</dc:subject>
  <dc:creator>MARLOW Thomas</dc:creator>
  <cp:keywords>JCH/ko</cp:keywords>
  <cp:lastModifiedBy>MARLOW Thomas</cp:lastModifiedBy>
  <cp:revision>4</cp:revision>
  <cp:lastPrinted>2016-03-14T14:15:00Z</cp:lastPrinted>
  <dcterms:created xsi:type="dcterms:W3CDTF">2016-03-14T14:05:00Z</dcterms:created>
  <dcterms:modified xsi:type="dcterms:W3CDTF">2016-03-14T14:22:00Z</dcterms:modified>
</cp:coreProperties>
</file>