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B6ED2" w:rsidRPr="00CE6FB3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CE6FB3" w:rsidRDefault="00ED78E8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E6FB3" w:rsidRDefault="00CE6FB3" w:rsidP="00916EE2">
            <w:pPr>
              <w:rPr>
                <w:lang w:val="ru-RU"/>
              </w:rPr>
            </w:pPr>
            <w:r w:rsidRPr="00CE6FB3">
              <w:rPr>
                <w:noProof/>
                <w:color w:val="000000" w:themeColor="text1"/>
                <w:lang w:eastAsia="en-US"/>
              </w:rPr>
              <w:drawing>
                <wp:inline distT="0" distB="0" distL="0" distR="0" wp14:anchorId="2976C491" wp14:editId="4C5FB3AF">
                  <wp:extent cx="1809750" cy="1343025"/>
                  <wp:effectExtent l="0" t="0" r="0" b="9525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E6FB3" w:rsidRDefault="007D027E" w:rsidP="00916EE2">
            <w:pPr>
              <w:jc w:val="right"/>
              <w:rPr>
                <w:lang w:val="ru-RU"/>
              </w:rPr>
            </w:pPr>
            <w:r w:rsidRPr="00CE6FB3">
              <w:rPr>
                <w:b/>
                <w:bCs/>
                <w:sz w:val="40"/>
                <w:szCs w:val="40"/>
                <w:lang w:val="ru-RU"/>
              </w:rPr>
              <w:t>R</w:t>
            </w:r>
          </w:p>
        </w:tc>
      </w:tr>
      <w:tr w:rsidR="001B6ED2" w:rsidRPr="00CE6FB3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E6FB3" w:rsidRDefault="007D027E" w:rsidP="00BD078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CE6FB3">
              <w:rPr>
                <w:rFonts w:ascii="Arial Black" w:hAnsi="Arial Black"/>
                <w:caps/>
                <w:sz w:val="15"/>
                <w:lang w:val="ru-RU"/>
              </w:rPr>
              <w:t>PCT/CTC/30/</w:t>
            </w:r>
            <w:bookmarkStart w:id="0" w:name="Code"/>
            <w:bookmarkEnd w:id="0"/>
            <w:r w:rsidRPr="00CE6FB3">
              <w:rPr>
                <w:rFonts w:ascii="Arial Black" w:hAnsi="Arial Black"/>
                <w:caps/>
                <w:sz w:val="15"/>
                <w:lang w:val="ru-RU"/>
              </w:rPr>
              <w:t>18</w:t>
            </w:r>
          </w:p>
        </w:tc>
      </w:tr>
      <w:tr w:rsidR="001B6ED2" w:rsidRPr="00CE6FB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E6FB3" w:rsidRDefault="007D027E" w:rsidP="00CD04F1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CE6FB3">
              <w:rPr>
                <w:rFonts w:ascii="Arial Black" w:hAnsi="Arial Black"/>
                <w:caps/>
                <w:sz w:val="15"/>
                <w:lang w:val="ru-RU"/>
              </w:rPr>
              <w:t xml:space="preserve">ОРИГИНАЛ: </w:t>
            </w:r>
            <w:bookmarkStart w:id="1" w:name="Original"/>
            <w:bookmarkEnd w:id="1"/>
            <w:r w:rsidRPr="00CE6FB3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B6ED2" w:rsidRPr="00CE6FB3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E6FB3" w:rsidRDefault="007D027E" w:rsidP="00FF2C4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CE6FB3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bookmarkStart w:id="2" w:name="Date"/>
            <w:bookmarkEnd w:id="2"/>
            <w:r w:rsidRPr="00CE6FB3">
              <w:rPr>
                <w:rFonts w:ascii="Arial Black" w:hAnsi="Arial Black"/>
                <w:caps/>
                <w:sz w:val="15"/>
                <w:lang w:val="ru-RU"/>
              </w:rPr>
              <w:t>16 марта 2017 г.</w:t>
            </w:r>
          </w:p>
        </w:tc>
      </w:tr>
    </w:tbl>
    <w:p w:rsidR="008B2CC1" w:rsidRPr="00CE6FB3" w:rsidRDefault="00ED78E8" w:rsidP="008B2CC1">
      <w:pPr>
        <w:rPr>
          <w:lang w:val="ru-RU"/>
        </w:rPr>
      </w:pPr>
    </w:p>
    <w:p w:rsidR="008B2CC1" w:rsidRPr="00CE6FB3" w:rsidRDefault="00ED78E8" w:rsidP="008B2CC1">
      <w:pPr>
        <w:rPr>
          <w:lang w:val="ru-RU"/>
        </w:rPr>
      </w:pPr>
    </w:p>
    <w:p w:rsidR="008B2CC1" w:rsidRPr="00CE6FB3" w:rsidRDefault="00ED78E8" w:rsidP="008B2CC1">
      <w:pPr>
        <w:rPr>
          <w:lang w:val="ru-RU"/>
        </w:rPr>
      </w:pPr>
    </w:p>
    <w:p w:rsidR="008B2CC1" w:rsidRPr="00CE6FB3" w:rsidRDefault="00ED78E8" w:rsidP="008B2CC1">
      <w:pPr>
        <w:rPr>
          <w:lang w:val="ru-RU"/>
        </w:rPr>
      </w:pPr>
    </w:p>
    <w:p w:rsidR="008B2CC1" w:rsidRPr="00CE6FB3" w:rsidRDefault="00ED78E8" w:rsidP="008B2CC1">
      <w:pPr>
        <w:rPr>
          <w:lang w:val="ru-RU"/>
        </w:rPr>
      </w:pPr>
    </w:p>
    <w:p w:rsidR="008B2CC1" w:rsidRPr="00CE6FB3" w:rsidRDefault="007D027E" w:rsidP="008B2CC1">
      <w:pPr>
        <w:rPr>
          <w:b/>
          <w:sz w:val="28"/>
          <w:szCs w:val="28"/>
          <w:lang w:val="ru-RU"/>
        </w:rPr>
      </w:pPr>
      <w:r w:rsidRPr="00CE6FB3">
        <w:rPr>
          <w:b/>
          <w:bCs/>
          <w:sz w:val="28"/>
          <w:szCs w:val="28"/>
          <w:lang w:val="ru-RU"/>
        </w:rPr>
        <w:t>Договор о патентной кооперации (PCT)</w:t>
      </w:r>
    </w:p>
    <w:p w:rsidR="00BD078D" w:rsidRPr="00CE6FB3" w:rsidRDefault="007D027E" w:rsidP="008B2CC1">
      <w:pPr>
        <w:rPr>
          <w:b/>
          <w:sz w:val="28"/>
          <w:szCs w:val="28"/>
          <w:lang w:val="ru-RU"/>
        </w:rPr>
      </w:pPr>
      <w:r w:rsidRPr="00CE6FB3">
        <w:rPr>
          <w:b/>
          <w:bCs/>
          <w:sz w:val="28"/>
          <w:szCs w:val="28"/>
          <w:lang w:val="ru-RU"/>
        </w:rPr>
        <w:t>Комитет по техническому сотрудничеству</w:t>
      </w:r>
    </w:p>
    <w:p w:rsidR="003845C1" w:rsidRPr="00CE6FB3" w:rsidRDefault="00ED78E8" w:rsidP="003845C1">
      <w:pPr>
        <w:rPr>
          <w:lang w:val="ru-RU"/>
        </w:rPr>
      </w:pPr>
    </w:p>
    <w:p w:rsidR="003845C1" w:rsidRPr="00CE6FB3" w:rsidRDefault="00ED78E8" w:rsidP="003845C1">
      <w:pPr>
        <w:rPr>
          <w:lang w:val="ru-RU"/>
        </w:rPr>
      </w:pPr>
    </w:p>
    <w:p w:rsidR="008B2CC1" w:rsidRPr="00CE6FB3" w:rsidRDefault="007D027E" w:rsidP="008B2CC1">
      <w:pPr>
        <w:rPr>
          <w:b/>
          <w:sz w:val="24"/>
          <w:szCs w:val="24"/>
          <w:lang w:val="ru-RU"/>
        </w:rPr>
      </w:pPr>
      <w:r w:rsidRPr="00CE6FB3">
        <w:rPr>
          <w:b/>
          <w:bCs/>
          <w:sz w:val="24"/>
          <w:szCs w:val="24"/>
          <w:lang w:val="ru-RU"/>
        </w:rPr>
        <w:t>Тридцатая сессия</w:t>
      </w:r>
    </w:p>
    <w:p w:rsidR="008B2CC1" w:rsidRPr="00CE6FB3" w:rsidRDefault="007D027E" w:rsidP="008B2CC1">
      <w:pPr>
        <w:rPr>
          <w:b/>
          <w:sz w:val="24"/>
          <w:szCs w:val="24"/>
          <w:lang w:val="ru-RU"/>
        </w:rPr>
      </w:pPr>
      <w:r w:rsidRPr="00CE6FB3">
        <w:rPr>
          <w:b/>
          <w:bCs/>
          <w:sz w:val="24"/>
          <w:szCs w:val="24"/>
          <w:lang w:val="ru-RU"/>
        </w:rPr>
        <w:t>Женева, 8–12 мая 2017 г.</w:t>
      </w:r>
    </w:p>
    <w:p w:rsidR="008B2CC1" w:rsidRPr="00CE6FB3" w:rsidRDefault="00ED78E8" w:rsidP="008B2CC1">
      <w:pPr>
        <w:rPr>
          <w:lang w:val="ru-RU"/>
        </w:rPr>
      </w:pPr>
    </w:p>
    <w:p w:rsidR="008B2CC1" w:rsidRPr="00CE6FB3" w:rsidRDefault="00ED78E8" w:rsidP="008B2CC1">
      <w:pPr>
        <w:rPr>
          <w:lang w:val="ru-RU"/>
        </w:rPr>
      </w:pPr>
    </w:p>
    <w:p w:rsidR="008B2CC1" w:rsidRPr="00CE6FB3" w:rsidRDefault="00ED78E8" w:rsidP="008B2CC1">
      <w:pPr>
        <w:rPr>
          <w:lang w:val="ru-RU"/>
        </w:rPr>
      </w:pPr>
    </w:p>
    <w:p w:rsidR="008B2CC1" w:rsidRPr="00CE6FB3" w:rsidRDefault="007D027E" w:rsidP="008B2CC1">
      <w:pPr>
        <w:rPr>
          <w:caps/>
          <w:sz w:val="24"/>
          <w:lang w:val="ru-RU"/>
        </w:rPr>
      </w:pPr>
      <w:bookmarkStart w:id="3" w:name="TitleOfDoc"/>
      <w:bookmarkEnd w:id="3"/>
      <w:r w:rsidRPr="00CE6FB3">
        <w:rPr>
          <w:caps/>
          <w:sz w:val="24"/>
          <w:lang w:val="ru-RU"/>
        </w:rPr>
        <w:t xml:space="preserve">Продление назначения Шведского ведомства по патентам и регистрации в качестве Международного поискового органа и Органа международной предварительной экспертизы </w:t>
      </w:r>
      <w:r w:rsidR="00CE6FB3">
        <w:rPr>
          <w:caps/>
          <w:sz w:val="24"/>
          <w:lang w:val="ru-RU"/>
        </w:rPr>
        <w:br/>
      </w:r>
      <w:r w:rsidRPr="00CE6FB3">
        <w:rPr>
          <w:caps/>
          <w:sz w:val="24"/>
          <w:lang w:val="ru-RU"/>
        </w:rPr>
        <w:t>в рамках PCT</w:t>
      </w:r>
    </w:p>
    <w:p w:rsidR="008B2CC1" w:rsidRPr="00CE6FB3" w:rsidRDefault="00ED78E8" w:rsidP="008B2CC1">
      <w:pPr>
        <w:rPr>
          <w:lang w:val="ru-RU"/>
        </w:rPr>
      </w:pPr>
    </w:p>
    <w:p w:rsidR="008B2CC1" w:rsidRPr="00CE6FB3" w:rsidRDefault="007D027E" w:rsidP="008B2CC1">
      <w:pPr>
        <w:rPr>
          <w:i/>
          <w:lang w:val="ru-RU"/>
        </w:rPr>
      </w:pPr>
      <w:bookmarkStart w:id="4" w:name="Prepared"/>
      <w:bookmarkEnd w:id="4"/>
      <w:r w:rsidRPr="00CE6FB3">
        <w:rPr>
          <w:i/>
          <w:iCs/>
          <w:lang w:val="ru-RU"/>
        </w:rPr>
        <w:t>Документ подготовлен Международным бюро</w:t>
      </w:r>
    </w:p>
    <w:p w:rsidR="00AC205C" w:rsidRPr="00CE6FB3" w:rsidRDefault="00ED78E8">
      <w:pPr>
        <w:rPr>
          <w:lang w:val="ru-RU"/>
        </w:rPr>
      </w:pPr>
    </w:p>
    <w:p w:rsidR="000F5E56" w:rsidRPr="00CE6FB3" w:rsidRDefault="00ED78E8">
      <w:pPr>
        <w:rPr>
          <w:lang w:val="ru-RU"/>
        </w:rPr>
      </w:pPr>
    </w:p>
    <w:p w:rsidR="002928D3" w:rsidRPr="00CE6FB3" w:rsidRDefault="00ED78E8">
      <w:pPr>
        <w:rPr>
          <w:lang w:val="ru-RU"/>
        </w:rPr>
      </w:pPr>
    </w:p>
    <w:p w:rsidR="002928D3" w:rsidRPr="00CE6FB3" w:rsidRDefault="00ED78E8" w:rsidP="0053057A">
      <w:pPr>
        <w:rPr>
          <w:lang w:val="ru-RU"/>
        </w:rPr>
      </w:pPr>
    </w:p>
    <w:p w:rsidR="005C40A3" w:rsidRPr="00CE6FB3" w:rsidRDefault="007D027E" w:rsidP="005C40A3">
      <w:pPr>
        <w:pStyle w:val="ONUME"/>
        <w:rPr>
          <w:lang w:val="ru-RU"/>
        </w:rPr>
      </w:pPr>
      <w:bookmarkStart w:id="5" w:name="_Ref447032909"/>
      <w:r w:rsidRPr="00CE6FB3">
        <w:rPr>
          <w:lang w:val="ru-RU"/>
        </w:rPr>
        <w:t>Все действующие международные органы были назначены Ассамблеей PCT на срок, заканчивающийся 31 декабря 2017 г.  Как следствие, в 2017 г.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 PCT 16(3)(e) и 32(3)).</w:t>
      </w:r>
      <w:bookmarkEnd w:id="5"/>
      <w:r w:rsidRPr="00CE6FB3">
        <w:rPr>
          <w:lang w:val="ru-RU"/>
        </w:rPr>
        <w:t xml:space="preserve">  Информация о данной процедуре и роли Комитета приводится в документе PCT/CTC/30/INF/1.</w:t>
      </w:r>
    </w:p>
    <w:p w:rsidR="005C40A3" w:rsidRPr="00CE6FB3" w:rsidRDefault="007D027E" w:rsidP="005C40A3">
      <w:pPr>
        <w:pStyle w:val="ONUME"/>
        <w:rPr>
          <w:lang w:val="ru-RU"/>
        </w:rPr>
      </w:pPr>
      <w:r w:rsidRPr="00CE6FB3">
        <w:rPr>
          <w:lang w:val="ru-RU"/>
        </w:rPr>
        <w:t>Шведское ведомство по патентам и регистрации подало заявление о продлении своего назначения в качестве Международного поискового органа и Органа международной предварительной экспертизы в рамках PCT 1 марта 2017 г.  Это заявление приведено в приложении к настоящему документу.</w:t>
      </w:r>
    </w:p>
    <w:p w:rsidR="005C40A3" w:rsidRPr="00CE6FB3" w:rsidRDefault="007D027E" w:rsidP="0035027E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CE6FB3">
        <w:rPr>
          <w:i/>
          <w:iCs/>
          <w:lang w:val="ru-RU"/>
        </w:rPr>
        <w:t>Комитету предлагается высказать свое мнение по данному вопросу.</w:t>
      </w:r>
    </w:p>
    <w:p w:rsidR="00AA5F79" w:rsidRPr="00CE6FB3" w:rsidRDefault="00ED78E8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AA5F79" w:rsidRPr="00CE6FB3" w:rsidRDefault="007D027E" w:rsidP="00AA5F79">
      <w:pPr>
        <w:pStyle w:val="ONUME"/>
        <w:numPr>
          <w:ilvl w:val="0"/>
          <w:numId w:val="0"/>
        </w:numPr>
        <w:ind w:left="5533"/>
        <w:rPr>
          <w:lang w:val="ru-RU"/>
        </w:rPr>
        <w:sectPr w:rsidR="00AA5F79" w:rsidRPr="00CE6FB3" w:rsidSect="00C650A4">
          <w:headerReference w:type="default" r:id="rId10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CE6FB3">
        <w:rPr>
          <w:lang w:val="ru-RU"/>
        </w:rPr>
        <w:t>[Приложение следует]</w:t>
      </w:r>
    </w:p>
    <w:p w:rsidR="00732AB6" w:rsidRPr="00CE6FB3" w:rsidRDefault="007D027E" w:rsidP="00732AB6">
      <w:pPr>
        <w:pStyle w:val="ONUME"/>
        <w:numPr>
          <w:ilvl w:val="0"/>
          <w:numId w:val="0"/>
        </w:numPr>
        <w:jc w:val="center"/>
        <w:rPr>
          <w:caps/>
          <w:lang w:val="ru-RU"/>
        </w:rPr>
      </w:pPr>
      <w:r w:rsidRPr="00CE6FB3">
        <w:rPr>
          <w:caps/>
          <w:lang w:val="ru-RU"/>
        </w:rPr>
        <w:lastRenderedPageBreak/>
        <w:t>Заявление Шведского ведомства по патентам и регистрации о</w:t>
      </w:r>
      <w:r w:rsidR="00CE6FB3">
        <w:rPr>
          <w:caps/>
          <w:lang w:val="ru-RU"/>
        </w:rPr>
        <w:t> </w:t>
      </w:r>
      <w:r w:rsidRPr="00CE6FB3">
        <w:rPr>
          <w:caps/>
          <w:lang w:val="ru-RU"/>
        </w:rPr>
        <w:t xml:space="preserve">продлении его назначения в качестве Международного поискового органа и Органа международной предварительной экспертизы </w:t>
      </w:r>
      <w:r w:rsidR="00CE6FB3">
        <w:rPr>
          <w:caps/>
          <w:lang w:val="ru-RU"/>
        </w:rPr>
        <w:br/>
      </w:r>
      <w:r w:rsidRPr="00CE6FB3">
        <w:rPr>
          <w:caps/>
          <w:lang w:val="ru-RU"/>
        </w:rPr>
        <w:t>в рамках PCT</w:t>
      </w:r>
    </w:p>
    <w:p w:rsidR="00A8418E" w:rsidRPr="00CE6FB3" w:rsidRDefault="007D027E" w:rsidP="00A8418E">
      <w:pPr>
        <w:pStyle w:val="SectionHeading"/>
        <w:rPr>
          <w:sz w:val="22"/>
          <w:szCs w:val="22"/>
          <w:lang w:val="ru-RU"/>
        </w:rPr>
      </w:pPr>
      <w:r w:rsidRPr="00CE6FB3">
        <w:rPr>
          <w:sz w:val="22"/>
          <w:szCs w:val="22"/>
          <w:lang w:val="ru-RU"/>
        </w:rPr>
        <w:t>1 – Общие сведения</w:t>
      </w:r>
    </w:p>
    <w:p w:rsidR="00A8418E" w:rsidRPr="00CE6FB3" w:rsidRDefault="007D027E" w:rsidP="00A8418E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 xml:space="preserve">Название ведомства или межправительственной организации:  </w:t>
      </w:r>
    </w:p>
    <w:p w:rsidR="00A8418E" w:rsidRPr="00CE6FB3" w:rsidRDefault="007D027E" w:rsidP="00A8418E">
      <w:pPr>
        <w:rPr>
          <w:lang w:val="sv-SE"/>
        </w:rPr>
      </w:pPr>
      <w:r w:rsidRPr="00CE6FB3">
        <w:rPr>
          <w:lang w:val="sv-SE"/>
        </w:rPr>
        <w:t>Patent- och Registreringsverket (PRV)</w:t>
      </w:r>
    </w:p>
    <w:p w:rsidR="00A8418E" w:rsidRPr="00CE6FB3" w:rsidRDefault="007D027E" w:rsidP="00A8418E">
      <w:pPr>
        <w:rPr>
          <w:b/>
          <w:bCs/>
          <w:color w:val="1F497D" w:themeColor="text2"/>
          <w:lang w:val="ru-RU"/>
        </w:rPr>
      </w:pPr>
      <w:r w:rsidRPr="00CE6FB3">
        <w:rPr>
          <w:lang w:val="ru-RU"/>
        </w:rPr>
        <w:t>Шведское ведомство по патентам и регистрации (PRV</w:t>
      </w:r>
      <w:r w:rsidRPr="00CE6FB3">
        <w:rPr>
          <w:color w:val="4F81BD" w:themeColor="accent1"/>
          <w:lang w:val="ru-RU"/>
        </w:rPr>
        <w:t>)</w:t>
      </w:r>
    </w:p>
    <w:p w:rsidR="00A8418E" w:rsidRPr="00CE6FB3" w:rsidRDefault="00ED78E8" w:rsidP="00A8418E">
      <w:pPr>
        <w:rPr>
          <w:b/>
          <w:bCs/>
          <w:szCs w:val="22"/>
          <w:lang w:val="ru-RU"/>
        </w:rPr>
      </w:pP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rPr>
          <w:lang w:val="ru-RU"/>
        </w:rPr>
      </w:pPr>
      <w:r w:rsidRPr="00CE6FB3">
        <w:rPr>
          <w:b/>
          <w:bCs/>
          <w:lang w:val="ru-RU"/>
        </w:rPr>
        <w:t>Дата получения заявления Генеральным директором:</w:t>
      </w:r>
      <w:r w:rsidRPr="00CE6FB3">
        <w:rPr>
          <w:lang w:val="ru-RU"/>
        </w:rPr>
        <w:t xml:space="preserve"> </w:t>
      </w: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>1 марта 2017 г.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rPr>
          <w:szCs w:val="22"/>
          <w:lang w:val="ru-RU"/>
        </w:rPr>
      </w:pPr>
      <w:r w:rsidRPr="00CE6FB3">
        <w:rPr>
          <w:b/>
          <w:bCs/>
          <w:szCs w:val="22"/>
          <w:lang w:val="ru-RU"/>
        </w:rPr>
        <w:t>Сессия Ассамблеи, на которой будет рассмотрен вопрос о назначении:</w:t>
      </w:r>
      <w:r w:rsidRPr="00CE6FB3">
        <w:rPr>
          <w:szCs w:val="22"/>
          <w:lang w:val="ru-RU"/>
        </w:rPr>
        <w:t xml:space="preserve">  </w:t>
      </w: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>Сорок девятая сессия Ассамблеи PCT (2017 г.)</w:t>
      </w:r>
      <w:r w:rsidR="00CE6FB3">
        <w:rPr>
          <w:lang w:val="ru-RU"/>
        </w:rPr>
        <w:t>.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Ожидаемое начало деятельности в качестве МПО/ОМПЭ:</w:t>
      </w:r>
    </w:p>
    <w:p w:rsidR="00A8418E" w:rsidRPr="00CE6FB3" w:rsidRDefault="00CE6FB3" w:rsidP="00A8418E">
      <w:pPr>
        <w:rPr>
          <w:lang w:val="ru-RU"/>
        </w:rPr>
      </w:pPr>
      <w:r>
        <w:rPr>
          <w:lang w:val="ru-RU"/>
        </w:rPr>
        <w:t>Уже осуществляется.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Действующие МПО/ОМПЭ, помогающие в оценке соответствия критериям</w:t>
      </w:r>
    </w:p>
    <w:p w:rsidR="00A8418E" w:rsidRPr="00CE6FB3" w:rsidRDefault="007D027E" w:rsidP="00A8418E">
      <w:pPr>
        <w:rPr>
          <w:szCs w:val="22"/>
          <w:lang w:val="ru-RU"/>
        </w:rPr>
      </w:pPr>
      <w:r w:rsidRPr="00CE6FB3">
        <w:rPr>
          <w:szCs w:val="22"/>
          <w:lang w:val="ru-RU"/>
        </w:rPr>
        <w:t>При продлении назначения не применимо, но см. примечание в разделе 9.</w:t>
      </w:r>
    </w:p>
    <w:p w:rsidR="00AA5F79" w:rsidRDefault="00ED78E8" w:rsidP="00F241A3">
      <w:pPr>
        <w:rPr>
          <w:lang w:val="ru-RU"/>
        </w:rPr>
      </w:pPr>
    </w:p>
    <w:p w:rsidR="00FA59B9" w:rsidRPr="00CE6FB3" w:rsidRDefault="00FA59B9" w:rsidP="00F241A3">
      <w:pPr>
        <w:rPr>
          <w:lang w:val="ru-RU"/>
        </w:rPr>
      </w:pPr>
    </w:p>
    <w:p w:rsidR="00A8418E" w:rsidRPr="00CE6FB3" w:rsidRDefault="007D027E" w:rsidP="00A8418E">
      <w:pPr>
        <w:pStyle w:val="SectionHeading"/>
        <w:rPr>
          <w:sz w:val="22"/>
          <w:szCs w:val="22"/>
          <w:lang w:val="ru-RU"/>
        </w:rPr>
      </w:pPr>
      <w:r w:rsidRPr="00CE6FB3">
        <w:rPr>
          <w:lang w:val="ru-RU"/>
        </w:rPr>
        <w:t>2</w:t>
      </w:r>
      <w:r w:rsidRPr="00CE6FB3">
        <w:rPr>
          <w:b w:val="0"/>
          <w:sz w:val="22"/>
          <w:szCs w:val="22"/>
          <w:lang w:val="ru-RU"/>
        </w:rPr>
        <w:t xml:space="preserve">– </w:t>
      </w:r>
      <w:r w:rsidRPr="00CE6FB3">
        <w:rPr>
          <w:sz w:val="22"/>
          <w:szCs w:val="22"/>
          <w:lang w:val="ru-RU"/>
        </w:rPr>
        <w:t>Основные критерии:  минимум требований для назначения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pStyle w:val="SectionHeading"/>
        <w:rPr>
          <w:sz w:val="22"/>
          <w:szCs w:val="22"/>
          <w:lang w:val="ru-RU"/>
        </w:rPr>
      </w:pPr>
      <w:r w:rsidRPr="00CE6FB3">
        <w:rPr>
          <w:lang w:val="ru-RU"/>
        </w:rPr>
        <w:t>2</w:t>
      </w:r>
      <w:r w:rsidRPr="00CE6FB3">
        <w:rPr>
          <w:sz w:val="22"/>
          <w:szCs w:val="22"/>
          <w:lang w:val="ru-RU"/>
        </w:rPr>
        <w:t>.1 – Возможности для проведения поиска и экспертизы</w:t>
      </w:r>
    </w:p>
    <w:p w:rsidR="00A8418E" w:rsidRPr="00CE6FB3" w:rsidRDefault="007D027E" w:rsidP="00A8418E">
      <w:pPr>
        <w:rPr>
          <w:b/>
          <w:bCs/>
          <w:i/>
          <w:iCs/>
          <w:lang w:val="ru-RU"/>
        </w:rPr>
      </w:pPr>
      <w:r w:rsidRPr="00CE6FB3">
        <w:rPr>
          <w:b/>
          <w:bCs/>
          <w:i/>
          <w:iCs/>
          <w:lang w:val="ru-RU"/>
        </w:rPr>
        <w:t>Правила 36.1(i) и 63.1(i):  Национальное ведомство или межправительственная организация должны иметь по крайней мере 100 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:rsidR="00A8418E" w:rsidRPr="00CE6FB3" w:rsidRDefault="00ED78E8" w:rsidP="00A8418E">
      <w:pPr>
        <w:keepNext/>
        <w:keepLines/>
        <w:rPr>
          <w:b/>
          <w:bCs/>
          <w:szCs w:val="22"/>
          <w:lang w:val="ru-RU"/>
        </w:rPr>
      </w:pPr>
    </w:p>
    <w:p w:rsidR="00A8418E" w:rsidRPr="00CE6FB3" w:rsidRDefault="007D027E" w:rsidP="00CE6FB3">
      <w:pPr>
        <w:keepNext/>
        <w:keepLines/>
        <w:spacing w:after="240"/>
        <w:rPr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Количество сотрудников, обладающих квалификацией для проведения поиска и экспертизы:</w:t>
      </w:r>
      <w:r w:rsidRPr="00CE6FB3">
        <w:rPr>
          <w:szCs w:val="22"/>
          <w:lang w:val="ru-RU"/>
        </w:rPr>
        <w:t xml:space="preserve">  </w:t>
      </w:r>
    </w:p>
    <w:tbl>
      <w:tblPr>
        <w:tblW w:w="7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4111"/>
      </w:tblGrid>
      <w:tr w:rsidR="001B6ED2" w:rsidRPr="009D6EFD" w:rsidTr="00CE6FB3">
        <w:trPr>
          <w:cantSplit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8E" w:rsidRPr="00CE6FB3" w:rsidRDefault="007D027E">
            <w:pPr>
              <w:keepNext/>
              <w:spacing w:line="256" w:lineRule="auto"/>
              <w:rPr>
                <w:b/>
                <w:bCs/>
                <w:szCs w:val="22"/>
                <w:lang w:val="ru-RU"/>
              </w:rPr>
            </w:pPr>
            <w:r w:rsidRPr="00CE6FB3">
              <w:rPr>
                <w:b/>
                <w:bCs/>
                <w:szCs w:val="22"/>
                <w:lang w:val="ru-RU"/>
              </w:rPr>
              <w:t>Область техники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8E" w:rsidRPr="00CE6FB3" w:rsidRDefault="007D027E" w:rsidP="00CE6FB3">
            <w:pPr>
              <w:keepNext/>
              <w:spacing w:line="256" w:lineRule="auto"/>
              <w:rPr>
                <w:b/>
                <w:bCs/>
                <w:szCs w:val="22"/>
                <w:lang w:val="ru-RU"/>
              </w:rPr>
            </w:pPr>
            <w:r w:rsidRPr="00CE6FB3">
              <w:rPr>
                <w:b/>
                <w:bCs/>
                <w:szCs w:val="22"/>
                <w:lang w:val="ru-RU"/>
              </w:rPr>
              <w:t>Количество сотрудников (в</w:t>
            </w:r>
            <w:r w:rsidR="00CE6FB3">
              <w:rPr>
                <w:b/>
                <w:bCs/>
                <w:szCs w:val="22"/>
                <w:lang w:val="ru-RU"/>
              </w:rPr>
              <w:t> </w:t>
            </w:r>
            <w:r w:rsidRPr="00CE6FB3">
              <w:rPr>
                <w:b/>
                <w:bCs/>
                <w:szCs w:val="22"/>
                <w:lang w:val="ru-RU"/>
              </w:rPr>
              <w:t>пересчете на полную занятость)</w:t>
            </w:r>
          </w:p>
        </w:tc>
      </w:tr>
      <w:tr w:rsidR="001B6ED2" w:rsidRPr="00CE6FB3" w:rsidTr="00CE6FB3">
        <w:trPr>
          <w:cantSplit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8E" w:rsidRPr="00CE6FB3" w:rsidRDefault="007D027E">
            <w:pPr>
              <w:keepNext/>
              <w:spacing w:line="256" w:lineRule="auto"/>
              <w:rPr>
                <w:szCs w:val="22"/>
                <w:lang w:val="ru-RU"/>
              </w:rPr>
            </w:pPr>
            <w:r w:rsidRPr="00CE6FB3">
              <w:rPr>
                <w:szCs w:val="22"/>
                <w:lang w:val="ru-RU"/>
              </w:rPr>
              <w:t>Механика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8E" w:rsidRPr="00CE6FB3" w:rsidRDefault="007D027E">
            <w:pPr>
              <w:keepNext/>
              <w:spacing w:line="256" w:lineRule="auto"/>
              <w:rPr>
                <w:szCs w:val="22"/>
                <w:lang w:val="ru-RU"/>
              </w:rPr>
            </w:pPr>
            <w:r w:rsidRPr="00CE6FB3">
              <w:rPr>
                <w:szCs w:val="22"/>
                <w:lang w:val="ru-RU"/>
              </w:rPr>
              <w:t>42</w:t>
            </w:r>
          </w:p>
        </w:tc>
      </w:tr>
      <w:tr w:rsidR="001B6ED2" w:rsidRPr="00CE6FB3" w:rsidTr="00CE6FB3">
        <w:trPr>
          <w:cantSplit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8E" w:rsidRPr="00CE6FB3" w:rsidRDefault="007D027E">
            <w:pPr>
              <w:keepNext/>
              <w:spacing w:line="256" w:lineRule="auto"/>
              <w:rPr>
                <w:szCs w:val="22"/>
                <w:lang w:val="ru-RU"/>
              </w:rPr>
            </w:pPr>
            <w:r w:rsidRPr="00CE6FB3">
              <w:rPr>
                <w:szCs w:val="22"/>
                <w:lang w:val="ru-RU"/>
              </w:rPr>
              <w:t>Электричество/электроника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8E" w:rsidRPr="00CE6FB3" w:rsidRDefault="007D027E">
            <w:pPr>
              <w:keepNext/>
              <w:spacing w:line="256" w:lineRule="auto"/>
              <w:rPr>
                <w:szCs w:val="22"/>
                <w:lang w:val="ru-RU"/>
              </w:rPr>
            </w:pPr>
            <w:r w:rsidRPr="00CE6FB3">
              <w:rPr>
                <w:szCs w:val="22"/>
                <w:lang w:val="ru-RU"/>
              </w:rPr>
              <w:t>40</w:t>
            </w:r>
          </w:p>
        </w:tc>
      </w:tr>
      <w:tr w:rsidR="001B6ED2" w:rsidRPr="00CE6FB3" w:rsidTr="00CE6FB3">
        <w:trPr>
          <w:cantSplit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8E" w:rsidRPr="00CE6FB3" w:rsidRDefault="007D027E">
            <w:pPr>
              <w:keepNext/>
              <w:spacing w:line="256" w:lineRule="auto"/>
              <w:rPr>
                <w:szCs w:val="22"/>
                <w:lang w:val="ru-RU"/>
              </w:rPr>
            </w:pPr>
            <w:r w:rsidRPr="00CE6FB3">
              <w:rPr>
                <w:szCs w:val="22"/>
                <w:lang w:val="ru-RU"/>
              </w:rPr>
              <w:t>Химия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8E" w:rsidRPr="00CE6FB3" w:rsidRDefault="007D027E">
            <w:pPr>
              <w:keepNext/>
              <w:spacing w:line="256" w:lineRule="auto"/>
              <w:rPr>
                <w:szCs w:val="22"/>
                <w:lang w:val="ru-RU"/>
              </w:rPr>
            </w:pPr>
            <w:r w:rsidRPr="00CE6FB3">
              <w:rPr>
                <w:szCs w:val="22"/>
                <w:lang w:val="ru-RU"/>
              </w:rPr>
              <w:t>27</w:t>
            </w:r>
          </w:p>
        </w:tc>
      </w:tr>
      <w:tr w:rsidR="001B6ED2" w:rsidRPr="00CE6FB3" w:rsidTr="00CE6FB3">
        <w:trPr>
          <w:cantSplit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8E" w:rsidRPr="00CE6FB3" w:rsidRDefault="007D027E">
            <w:pPr>
              <w:keepNext/>
              <w:spacing w:line="256" w:lineRule="auto"/>
              <w:rPr>
                <w:szCs w:val="22"/>
                <w:lang w:val="ru-RU"/>
              </w:rPr>
            </w:pPr>
            <w:r w:rsidRPr="00CE6FB3">
              <w:rPr>
                <w:szCs w:val="22"/>
                <w:lang w:val="ru-RU"/>
              </w:rPr>
              <w:t>Биотехнологии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8E" w:rsidRPr="00CE6FB3" w:rsidRDefault="007D027E">
            <w:pPr>
              <w:keepNext/>
              <w:spacing w:line="256" w:lineRule="auto"/>
              <w:rPr>
                <w:szCs w:val="22"/>
                <w:lang w:val="ru-RU"/>
              </w:rPr>
            </w:pPr>
            <w:r w:rsidRPr="00CE6FB3">
              <w:rPr>
                <w:szCs w:val="22"/>
                <w:lang w:val="ru-RU"/>
              </w:rPr>
              <w:t>5</w:t>
            </w:r>
          </w:p>
        </w:tc>
      </w:tr>
      <w:tr w:rsidR="001B6ED2" w:rsidRPr="00CE6FB3" w:rsidTr="00CE6FB3">
        <w:trPr>
          <w:cantSplit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8E" w:rsidRPr="00CE6FB3" w:rsidRDefault="007D027E">
            <w:pPr>
              <w:spacing w:line="256" w:lineRule="auto"/>
              <w:rPr>
                <w:i/>
                <w:iCs/>
                <w:szCs w:val="22"/>
                <w:lang w:val="ru-RU"/>
              </w:rPr>
            </w:pPr>
            <w:r w:rsidRPr="00CE6FB3">
              <w:rPr>
                <w:i/>
                <w:iCs/>
                <w:szCs w:val="22"/>
                <w:lang w:val="ru-RU"/>
              </w:rPr>
              <w:t>Всего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418E" w:rsidRPr="00CE6FB3" w:rsidRDefault="007D027E">
            <w:pPr>
              <w:spacing w:line="256" w:lineRule="auto"/>
              <w:rPr>
                <w:i/>
                <w:iCs/>
                <w:szCs w:val="22"/>
                <w:lang w:val="ru-RU"/>
              </w:rPr>
            </w:pPr>
            <w:r w:rsidRPr="00CE6FB3">
              <w:rPr>
                <w:i/>
                <w:iCs/>
                <w:szCs w:val="22"/>
                <w:lang w:val="ru-RU"/>
              </w:rPr>
              <w:t>114</w:t>
            </w:r>
          </w:p>
        </w:tc>
      </w:tr>
    </w:tbl>
    <w:p w:rsidR="00A8418E" w:rsidRPr="00CE6FB3" w:rsidRDefault="007D027E" w:rsidP="00CE6FB3">
      <w:pPr>
        <w:spacing w:before="240"/>
        <w:rPr>
          <w:bCs/>
          <w:lang w:val="ru-RU"/>
        </w:rPr>
      </w:pPr>
      <w:r w:rsidRPr="00CE6FB3">
        <w:rPr>
          <w:bCs/>
          <w:lang w:val="ru-RU"/>
        </w:rPr>
        <w:t>В последние годы число отвечающих требованиям сотрудников варьировалось между 110 и 180;  на 2017 г. ведомство расширяет численность экспертов еще на 23 полны</w:t>
      </w:r>
      <w:r w:rsidR="00CE6FB3">
        <w:rPr>
          <w:bCs/>
          <w:lang w:val="ru-RU"/>
        </w:rPr>
        <w:t>х штатных единицы в дополнение к</w:t>
      </w:r>
      <w:r w:rsidRPr="00CE6FB3">
        <w:rPr>
          <w:bCs/>
          <w:lang w:val="ru-RU"/>
        </w:rPr>
        <w:t xml:space="preserve"> вышеприведенным цифрам. </w:t>
      </w:r>
    </w:p>
    <w:p w:rsidR="00A8418E" w:rsidRPr="00CE6FB3" w:rsidRDefault="00ED78E8" w:rsidP="005F02F6">
      <w:pPr>
        <w:rPr>
          <w:bCs/>
          <w:lang w:val="ru-RU"/>
        </w:rPr>
      </w:pPr>
    </w:p>
    <w:p w:rsidR="00A8418E" w:rsidRPr="00CE6FB3" w:rsidRDefault="007D027E" w:rsidP="005F02F6">
      <w:pPr>
        <w:rPr>
          <w:bCs/>
          <w:lang w:val="ru-RU"/>
        </w:rPr>
      </w:pPr>
      <w:r w:rsidRPr="00CE6FB3">
        <w:rPr>
          <w:bCs/>
          <w:lang w:val="ru-RU"/>
        </w:rPr>
        <w:lastRenderedPageBreak/>
        <w:t>*Минимальные квалификационные требования:  магистр наук или эквивалентная степень, владение шведским и английским языками на уровне C, владение немецким или французским языком на уровне B и способность понимать второй из этих языков, сдача письменных экзаменов после прохождения внутреннего 18-месячного курса подготовки экспертов (см. ниже).</w:t>
      </w:r>
    </w:p>
    <w:p w:rsidR="00A8418E" w:rsidRPr="00CE6FB3" w:rsidRDefault="00ED78E8" w:rsidP="005F02F6">
      <w:pPr>
        <w:rPr>
          <w:szCs w:val="22"/>
          <w:lang w:val="ru-RU"/>
        </w:rPr>
      </w:pPr>
    </w:p>
    <w:p w:rsidR="00A8418E" w:rsidRPr="00CE6FB3" w:rsidRDefault="007D027E" w:rsidP="005F02F6">
      <w:pPr>
        <w:keepNext/>
        <w:rPr>
          <w:b/>
          <w:bCs/>
          <w:lang w:val="ru-RU"/>
        </w:rPr>
      </w:pPr>
      <w:r w:rsidRPr="00CE6FB3">
        <w:rPr>
          <w:b/>
          <w:bCs/>
          <w:lang w:val="ru-RU"/>
        </w:rPr>
        <w:t>Программы подготовки</w:t>
      </w:r>
    </w:p>
    <w:p w:rsidR="00A8418E" w:rsidRPr="00CE6FB3" w:rsidRDefault="00ED78E8" w:rsidP="005F02F6">
      <w:pPr>
        <w:keepNext/>
        <w:rPr>
          <w:b/>
          <w:bCs/>
          <w:lang w:val="ru-RU"/>
        </w:rPr>
      </w:pPr>
    </w:p>
    <w:p w:rsidR="00A8418E" w:rsidRPr="00CE6FB3" w:rsidRDefault="007D027E" w:rsidP="005F02F6">
      <w:pPr>
        <w:keepNext/>
        <w:rPr>
          <w:lang w:val="ru-RU"/>
        </w:rPr>
      </w:pPr>
      <w:r w:rsidRPr="00CE6FB3">
        <w:rPr>
          <w:lang w:val="ru-RU"/>
        </w:rPr>
        <w:t xml:space="preserve">Эксперты и административный персонал участвуют в эффективных программах начальной подготовки и повышения квалификации.  Для проверки получения и сохранения ими необходимых компетенций они сдают экзамены (выполняют тестовую экспертизу) различных уровней.  При прохождении программы подготовки, которая длится как минимум 18 месяцев и состоит примерно из 150 </w:t>
      </w:r>
      <w:r w:rsidR="0066024A">
        <w:rPr>
          <w:lang w:val="ru-RU"/>
        </w:rPr>
        <w:t>учебных</w:t>
      </w:r>
      <w:r w:rsidRPr="00CE6FB3">
        <w:rPr>
          <w:lang w:val="ru-RU"/>
        </w:rPr>
        <w:t xml:space="preserve"> часов, будущий эксперт работает под руководством нескольких наставников, отвечающих за результативность его обучения.  Внутренняя подготовка ведется при помощи подробных письменных учебных материалов и онлайновых программ.  В программу обучения экспертов также входят языковые курсы (немецкий, французский, деловой английский).</w:t>
      </w:r>
    </w:p>
    <w:p w:rsidR="00A8418E" w:rsidRPr="00CE6FB3" w:rsidRDefault="00ED78E8" w:rsidP="00A8418E">
      <w:pPr>
        <w:rPr>
          <w:lang w:val="ru-RU"/>
        </w:rPr>
      </w:pP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 xml:space="preserve">Каждый эксперт каждые пять лет посещает комплексный курс переподготовки.  Кроме того, по итогам ежегодных проверок качества или при возникновении новых ситуаций или инструкций проводятся семинары.  Директора по согласованию с работником организуют индивидуальные образовательные программы, касающиеся как законодательства об интеллектуальной собственности, так и технических аспектов.  Эти учебные программы включают:  практикумы (внутренние), обмен экспертами, внутренние/внешние семинары и курсы.  Для обеспечения последовательности и качества работы разработана обширная программа перекрестного поиска/экспертизы. </w:t>
      </w:r>
    </w:p>
    <w:p w:rsidR="00A8418E" w:rsidRPr="00CE6FB3" w:rsidRDefault="00ED78E8" w:rsidP="00A8418E">
      <w:pPr>
        <w:rPr>
          <w:lang w:val="ru-RU"/>
        </w:rPr>
      </w:pP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 xml:space="preserve">Эксперты-патентоведы обучаются по специальной программе, которую посещают высоко квалифицированные патентные эксперты.  Эта широкая программа длится несколько лет параллельно </w:t>
      </w:r>
      <w:r w:rsidR="00956A3A">
        <w:rPr>
          <w:lang w:val="ru-RU"/>
        </w:rPr>
        <w:t xml:space="preserve">с </w:t>
      </w:r>
      <w:r w:rsidRPr="00CE6FB3">
        <w:rPr>
          <w:lang w:val="ru-RU"/>
        </w:rPr>
        <w:t>выполнени</w:t>
      </w:r>
      <w:r w:rsidR="00956A3A">
        <w:rPr>
          <w:lang w:val="ru-RU"/>
        </w:rPr>
        <w:t>ем</w:t>
      </w:r>
      <w:r w:rsidRPr="00CE6FB3">
        <w:rPr>
          <w:lang w:val="ru-RU"/>
        </w:rPr>
        <w:t xml:space="preserve"> основных обязанностей по поиску и экспертизе.  Она оканчивается экзаменом и защитой квалификационной работы.</w:t>
      </w:r>
    </w:p>
    <w:p w:rsidR="00A8418E" w:rsidRPr="00CE6FB3" w:rsidRDefault="00ED78E8" w:rsidP="00A8418E">
      <w:pPr>
        <w:rPr>
          <w:lang w:val="ru-RU"/>
        </w:rPr>
      </w:pP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 xml:space="preserve">Все сотрудники информируются о важности соблюдения критериев и стандартов качества еще в рамках вводного курса при начале своей работы в PRV.  Основную ответственность за </w:t>
      </w:r>
      <w:r w:rsidR="00956A3A">
        <w:rPr>
          <w:lang w:val="ru-RU"/>
        </w:rPr>
        <w:t>поддержание этой осведомленности</w:t>
      </w:r>
      <w:r w:rsidRPr="00CE6FB3">
        <w:rPr>
          <w:lang w:val="ru-RU"/>
        </w:rPr>
        <w:t xml:space="preserve"> несет директор по управлению качеством.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rPr>
          <w:b/>
          <w:bCs/>
          <w:i/>
          <w:szCs w:val="24"/>
          <w:lang w:val="ru-RU"/>
        </w:rPr>
      </w:pPr>
      <w:r w:rsidRPr="00CE6FB3">
        <w:rPr>
          <w:b/>
          <w:bCs/>
          <w:i/>
          <w:iCs/>
          <w:lang w:val="ru-RU"/>
        </w:rPr>
        <w:t>Правила 36.1(ii) и 63.1(ii):  Это ведомство или организация должны иметь в своем распоряжении или иметь доступ, по крайней мере, к минимуму документации, упомянутому в правиле 34, соответствующим образом подобранному для целей поиска, на бумаге, в микроформах или на электронных носителях.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keepNext/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Доступ к минимуму документации для целей поиска:</w:t>
      </w:r>
      <w:r w:rsidRPr="00CE6FB3">
        <w:rPr>
          <w:bCs/>
          <w:szCs w:val="22"/>
          <w:lang w:val="ru-RU"/>
        </w:rPr>
        <w:t xml:space="preserve">  </w:t>
      </w:r>
    </w:p>
    <w:p w:rsidR="00A8418E" w:rsidRPr="00CE6FB3" w:rsidRDefault="007D027E" w:rsidP="00A8418E">
      <w:pPr>
        <w:rPr>
          <w:szCs w:val="22"/>
          <w:lang w:val="ru-RU"/>
        </w:rPr>
      </w:pPr>
      <w:r w:rsidRPr="00CE6FB3">
        <w:rPr>
          <w:szCs w:val="22"/>
          <w:lang w:val="ru-RU"/>
        </w:rPr>
        <w:t>( x )</w:t>
      </w:r>
      <w:r w:rsidRPr="00CE6FB3">
        <w:rPr>
          <w:szCs w:val="22"/>
          <w:lang w:val="ru-RU"/>
        </w:rPr>
        <w:tab/>
        <w:t>Полный доступ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rPr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Поисковые системы:</w:t>
      </w:r>
      <w:r w:rsidRPr="00CE6FB3">
        <w:rPr>
          <w:szCs w:val="22"/>
          <w:lang w:val="ru-RU"/>
        </w:rPr>
        <w:t xml:space="preserve">  </w:t>
      </w:r>
    </w:p>
    <w:p w:rsidR="00A8418E" w:rsidRPr="00CE6FB3" w:rsidRDefault="007D027E" w:rsidP="00A8418E">
      <w:pPr>
        <w:rPr>
          <w:iCs/>
          <w:lang w:val="ru-RU"/>
        </w:rPr>
      </w:pPr>
      <w:r w:rsidRPr="00CE6FB3">
        <w:rPr>
          <w:iCs/>
          <w:lang w:val="ru-RU"/>
        </w:rPr>
        <w:t>EPOQUENet, STN, Questel, Mintel GNDP, служба поиска по внутренней библиотеке.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F92EC8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rPr>
          <w:b/>
          <w:bCs/>
          <w:i/>
          <w:szCs w:val="24"/>
          <w:lang w:val="ru-RU"/>
        </w:rPr>
      </w:pPr>
      <w:r w:rsidRPr="00CE6FB3">
        <w:rPr>
          <w:b/>
          <w:bCs/>
          <w:i/>
          <w:iCs/>
          <w:lang w:val="ru-RU"/>
        </w:rPr>
        <w:t>Правила 36.1(iii) и 63.1(iii):  Это ведомство или организация должны иметь штат, который способен проводить поиск и экспертизу в необходимых областях техники и который обладает достаточными языковыми знаниями для понимания, по крайней мере, тех языков, на которых написан или на которые переведен минимум документации, упомянутый в правиле 34.</w:t>
      </w:r>
    </w:p>
    <w:p w:rsidR="00F92EC8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>Язык(и), на котором (-ых) могут подаваться и обрабатываться национальные заявки:</w:t>
      </w:r>
      <w:r w:rsidRPr="00CE6FB3">
        <w:rPr>
          <w:bCs/>
          <w:szCs w:val="22"/>
          <w:lang w:val="ru-RU"/>
        </w:rPr>
        <w:t xml:space="preserve">  </w:t>
      </w: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>Шведский, английский.</w:t>
      </w:r>
    </w:p>
    <w:p w:rsidR="00A8418E" w:rsidRPr="00CE6FB3" w:rsidRDefault="007D027E" w:rsidP="00A8418E">
      <w:pPr>
        <w:rPr>
          <w:b/>
          <w:bCs/>
          <w:color w:val="4F81BD" w:themeColor="accent1"/>
          <w:lang w:val="ru-RU"/>
        </w:rPr>
      </w:pPr>
      <w:r w:rsidRPr="00CE6FB3">
        <w:rPr>
          <w:lang w:val="ru-RU"/>
        </w:rPr>
        <w:t>Принимаются заявки, подаваемые на всех скандинавских языках (см. пункт 3 ниже)</w:t>
      </w:r>
      <w:r w:rsidRPr="00CE6FB3">
        <w:rPr>
          <w:color w:val="4F81BD" w:themeColor="accent1"/>
          <w:lang w:val="ru-RU"/>
        </w:rPr>
        <w:t>.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Другие языки, которыми владеет большое число экспертов:</w:t>
      </w:r>
      <w:r w:rsidRPr="00CE6FB3">
        <w:rPr>
          <w:bCs/>
          <w:szCs w:val="22"/>
          <w:lang w:val="ru-RU"/>
        </w:rPr>
        <w:t xml:space="preserve">  </w:t>
      </w: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>Немецкий, французский.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rPr>
          <w:szCs w:val="22"/>
          <w:lang w:val="ru-RU"/>
        </w:rPr>
      </w:pPr>
      <w:r w:rsidRPr="00CE6FB3">
        <w:rPr>
          <w:b/>
          <w:bCs/>
          <w:szCs w:val="22"/>
          <w:lang w:val="ru-RU"/>
        </w:rPr>
        <w:t>Сервисы, способствующие проведению поиска или пониманию известного уровня техники на других языках:</w:t>
      </w:r>
      <w:r w:rsidRPr="00CE6FB3">
        <w:rPr>
          <w:szCs w:val="22"/>
          <w:lang w:val="ru-RU"/>
        </w:rPr>
        <w:t xml:space="preserve">  </w:t>
      </w: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>Средства машинного перевода, CPMT, K-PION, PAJ.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pStyle w:val="SectionHeading"/>
        <w:rPr>
          <w:sz w:val="22"/>
          <w:szCs w:val="22"/>
          <w:lang w:val="ru-RU"/>
        </w:rPr>
      </w:pPr>
      <w:r w:rsidRPr="00CE6FB3">
        <w:rPr>
          <w:sz w:val="22"/>
          <w:szCs w:val="22"/>
          <w:lang w:val="ru-RU"/>
        </w:rPr>
        <w:t xml:space="preserve">2.2 – Система управления качеством </w:t>
      </w:r>
    </w:p>
    <w:p w:rsidR="00A8418E" w:rsidRPr="00CE6FB3" w:rsidRDefault="007D027E" w:rsidP="00A8418E">
      <w:pPr>
        <w:rPr>
          <w:b/>
          <w:bCs/>
          <w:lang w:val="ru-RU"/>
        </w:rPr>
      </w:pPr>
      <w:r w:rsidRPr="00CE6FB3">
        <w:rPr>
          <w:b/>
          <w:bCs/>
          <w:lang w:val="ru-RU"/>
        </w:rPr>
        <w:t xml:space="preserve">Правила 36.1(iv) и 63.1(iv):  Это ведомство или организация должны иметь систему управления качеством и механизмы внутреннего контроля в соответствии с общими правилами международного поиска. </w:t>
      </w:r>
    </w:p>
    <w:p w:rsidR="00A8418E" w:rsidRPr="00CE6FB3" w:rsidRDefault="00ED78E8" w:rsidP="00A8418E">
      <w:pPr>
        <w:rPr>
          <w:b/>
          <w:bCs/>
          <w:szCs w:val="22"/>
          <w:lang w:val="ru-RU"/>
        </w:rPr>
      </w:pPr>
    </w:p>
    <w:p w:rsidR="00A8418E" w:rsidRPr="00CE6FB3" w:rsidRDefault="007D027E" w:rsidP="00A8418E">
      <w:pPr>
        <w:rPr>
          <w:bCs/>
          <w:lang w:val="ru-RU"/>
        </w:rPr>
      </w:pPr>
      <w:r w:rsidRPr="00CE6FB3">
        <w:rPr>
          <w:bCs/>
          <w:lang w:val="ru-RU"/>
        </w:rPr>
        <w:t>PRV имеет долгий опыт качественной работы и следует международным стандартам управления качеством с середины 1990-х годов.  В конце 1990 г. мы скорректировали свои патентные процедуры в соответствии с принципами системного управления качеством (TQM), а также начали работать по планам непрерывного совершенствования и проводить оценку в соответствии с Общей структурой оценки (CAF).  В 2006 г. PRV приняло решение перейти на стандарт управления качеством ISO 9001:2000, и в октябре 2007 г. вс</w:t>
      </w:r>
      <w:r w:rsidR="00B25538">
        <w:rPr>
          <w:bCs/>
          <w:lang w:val="ru-RU"/>
        </w:rPr>
        <w:t>ё</w:t>
      </w:r>
      <w:r w:rsidRPr="00CE6FB3">
        <w:rPr>
          <w:bCs/>
          <w:lang w:val="ru-RU"/>
        </w:rPr>
        <w:t xml:space="preserve"> ведомство и все выполняемые в нем процессы, включая, разумеется, процедуры выдачи национальных и международных патентов (PCT), были сертифицированы по ISO 9001. </w:t>
      </w:r>
    </w:p>
    <w:p w:rsidR="00A8418E" w:rsidRPr="00CE6FB3" w:rsidRDefault="00ED78E8" w:rsidP="00A8418E">
      <w:pPr>
        <w:rPr>
          <w:bCs/>
          <w:lang w:val="ru-RU"/>
        </w:rPr>
      </w:pPr>
    </w:p>
    <w:p w:rsidR="00A8418E" w:rsidRPr="00CE6FB3" w:rsidRDefault="007D027E" w:rsidP="00A8418E">
      <w:pPr>
        <w:rPr>
          <w:bCs/>
          <w:i/>
          <w:lang w:val="ru-RU"/>
        </w:rPr>
      </w:pPr>
      <w:r w:rsidRPr="00CE6FB3">
        <w:rPr>
          <w:bCs/>
          <w:lang w:val="ru-RU"/>
        </w:rPr>
        <w:t xml:space="preserve">В 2015 г. была проведена последняя внешняя оценка на соответствие стандарту ISO 9001:2008, по итогам которой внешние эксперты пришли к заключению, что:  </w:t>
      </w:r>
      <w:r w:rsidRPr="00CE6FB3">
        <w:rPr>
          <w:bCs/>
          <w:i/>
          <w:iCs/>
          <w:lang w:val="ru-RU"/>
        </w:rPr>
        <w:t>«Система управления качеством полностью соответствует стандарту ISO 9001:2008, является хорошо продуманной и образцовой для управления качеством в государственном секторе».</w:t>
      </w:r>
    </w:p>
    <w:p w:rsidR="00A8418E" w:rsidRPr="00CE6FB3" w:rsidRDefault="00ED78E8" w:rsidP="00A8418E">
      <w:pPr>
        <w:rPr>
          <w:bCs/>
          <w:lang w:val="ru-RU"/>
        </w:rPr>
      </w:pPr>
    </w:p>
    <w:p w:rsidR="00A8418E" w:rsidRPr="00CE6FB3" w:rsidRDefault="007D027E" w:rsidP="00A8418E">
      <w:pPr>
        <w:rPr>
          <w:bCs/>
          <w:lang w:val="ru-RU"/>
        </w:rPr>
      </w:pPr>
      <w:r w:rsidRPr="00CE6FB3">
        <w:rPr>
          <w:bCs/>
          <w:lang w:val="ru-RU"/>
        </w:rPr>
        <w:t>В сентябре 2016 г. всё ведомство было повторно сертифицировано на соответствие новому стандарту ISO 9001:2015.</w:t>
      </w:r>
    </w:p>
    <w:p w:rsidR="00A8418E" w:rsidRPr="00CE6FB3" w:rsidRDefault="00ED78E8" w:rsidP="00A8418E">
      <w:pPr>
        <w:rPr>
          <w:bCs/>
          <w:lang w:val="ru-RU"/>
        </w:rPr>
      </w:pPr>
    </w:p>
    <w:p w:rsidR="00A8418E" w:rsidRPr="00CE6FB3" w:rsidRDefault="007D027E" w:rsidP="00A8418E">
      <w:pPr>
        <w:rPr>
          <w:bCs/>
          <w:lang w:val="ru-RU"/>
        </w:rPr>
      </w:pPr>
      <w:r w:rsidRPr="00CE6FB3">
        <w:rPr>
          <w:bCs/>
          <w:lang w:val="ru-RU"/>
        </w:rPr>
        <w:t xml:space="preserve">Отчеты о СУК, составленные на основе шаблона для международных органов в отношении требований главы 21 Руководства PCT по проведению международного поиска и международной предварительной экспертизы, можно найти на сайте ВОИС по адресу:  </w:t>
      </w:r>
      <w:hyperlink r:id="rId11" w:history="1">
        <w:r w:rsidRPr="00CE6FB3">
          <w:rPr>
            <w:rStyle w:val="Hyperlink"/>
            <w:bCs/>
            <w:color w:val="auto"/>
            <w:u w:val="none"/>
            <w:lang w:val="ru-RU"/>
          </w:rPr>
          <w:t>http://www.wipo.int/pct/en/quality/authorities.html</w:t>
        </w:r>
      </w:hyperlink>
      <w:r w:rsidRPr="00CE6FB3">
        <w:rPr>
          <w:bCs/>
          <w:lang w:val="ru-RU"/>
        </w:rPr>
        <w:t xml:space="preserve">. </w:t>
      </w:r>
    </w:p>
    <w:p w:rsidR="00A8418E" w:rsidRPr="00CE6FB3" w:rsidRDefault="00ED78E8" w:rsidP="00A8418E">
      <w:pPr>
        <w:rPr>
          <w:b/>
          <w:bCs/>
          <w:lang w:val="ru-RU"/>
        </w:rPr>
      </w:pP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pStyle w:val="SectionHeading"/>
        <w:rPr>
          <w:sz w:val="22"/>
          <w:szCs w:val="22"/>
          <w:lang w:val="ru-RU"/>
        </w:rPr>
      </w:pPr>
      <w:r w:rsidRPr="00CE6FB3">
        <w:rPr>
          <w:sz w:val="22"/>
          <w:szCs w:val="22"/>
          <w:lang w:val="ru-RU"/>
        </w:rPr>
        <w:t>3 – Предполагаемый объем деятельности</w:t>
      </w:r>
    </w:p>
    <w:p w:rsidR="00A8418E" w:rsidRPr="00CE6FB3" w:rsidRDefault="007D027E" w:rsidP="00A8418E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>Язык(и) предоставления услуг:</w:t>
      </w:r>
    </w:p>
    <w:p w:rsidR="00A8418E" w:rsidRPr="00CE6FB3" w:rsidRDefault="00ED78E8" w:rsidP="00A8418E">
      <w:pPr>
        <w:rPr>
          <w:b/>
          <w:bCs/>
          <w:szCs w:val="22"/>
          <w:lang w:val="ru-RU"/>
        </w:rPr>
      </w:pP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>Для международных заявок — датский, английский, финский, норвежский, шведский.  Также французский в случае поступления заявок из государств, указанных в пункте (b) ниже.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A8418E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lastRenderedPageBreak/>
        <w:t>Государство (-а) или получающее ведомство (получающие ведомства), на которое (-ые) будет распространяться компетенция органа:</w:t>
      </w:r>
    </w:p>
    <w:p w:rsidR="00A8418E" w:rsidRPr="00CE6FB3" w:rsidRDefault="00ED78E8" w:rsidP="00A8418E">
      <w:pPr>
        <w:rPr>
          <w:b/>
          <w:bCs/>
          <w:szCs w:val="22"/>
          <w:lang w:val="ru-RU"/>
        </w:rPr>
      </w:pP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 xml:space="preserve">Орган будет действовать от имени следующих государств: </w:t>
      </w: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 xml:space="preserve">(a) Дания, Финляндия, Исландия, Норвегия, Швеция; </w:t>
      </w:r>
    </w:p>
    <w:p w:rsidR="00A8418E" w:rsidRPr="00CE6FB3" w:rsidRDefault="00ED78E8" w:rsidP="00A8418E">
      <w:pPr>
        <w:rPr>
          <w:lang w:val="ru-RU"/>
        </w:rPr>
      </w:pP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>(b) государства, которые в соответствии со сложившейся практикой Генеральной Ассамблеи Организации Объединенных Наций считаются развивающимися странами, при условии заключения Швецией для этой цели соглашений с такими государствами в соответствии с обязательствами, принятыми ею в рамках Европейской патентной организации.</w:t>
      </w:r>
    </w:p>
    <w:p w:rsidR="00A8418E" w:rsidRPr="00CE6FB3" w:rsidRDefault="00ED78E8" w:rsidP="00A8418E">
      <w:pPr>
        <w:rPr>
          <w:szCs w:val="22"/>
          <w:lang w:val="ru-RU"/>
        </w:rPr>
      </w:pPr>
    </w:p>
    <w:p w:rsidR="00A8418E" w:rsidRPr="00CE6FB3" w:rsidRDefault="007D027E" w:rsidP="005F02F6">
      <w:pPr>
        <w:rPr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Ограничения объема деятельности:</w:t>
      </w:r>
    </w:p>
    <w:p w:rsidR="00A8418E" w:rsidRPr="00CE6FB3" w:rsidRDefault="00ED78E8" w:rsidP="005F02F6">
      <w:pPr>
        <w:rPr>
          <w:szCs w:val="22"/>
          <w:lang w:val="ru-RU"/>
        </w:rPr>
      </w:pPr>
    </w:p>
    <w:p w:rsidR="00A8418E" w:rsidRDefault="007D027E" w:rsidP="005F02F6">
      <w:pPr>
        <w:rPr>
          <w:lang w:val="ru-RU"/>
        </w:rPr>
      </w:pPr>
      <w:r w:rsidRPr="00CE6FB3">
        <w:rPr>
          <w:lang w:val="ru-RU"/>
        </w:rPr>
        <w:t>Отсутствуют.</w:t>
      </w:r>
    </w:p>
    <w:p w:rsidR="00B25538" w:rsidRDefault="00B25538" w:rsidP="005F02F6">
      <w:pPr>
        <w:rPr>
          <w:lang w:val="ru-RU"/>
        </w:rPr>
      </w:pPr>
    </w:p>
    <w:p w:rsidR="00FA59B9" w:rsidRPr="00CE6FB3" w:rsidRDefault="00FA59B9" w:rsidP="005F02F6">
      <w:pPr>
        <w:rPr>
          <w:lang w:val="ru-RU"/>
        </w:rPr>
      </w:pPr>
    </w:p>
    <w:p w:rsidR="00A8418E" w:rsidRPr="00B25538" w:rsidRDefault="007D027E" w:rsidP="00A8418E">
      <w:pPr>
        <w:pStyle w:val="SectionHeading"/>
        <w:rPr>
          <w:sz w:val="22"/>
          <w:szCs w:val="22"/>
          <w:lang w:val="ru-RU"/>
        </w:rPr>
      </w:pPr>
      <w:r w:rsidRPr="00B25538">
        <w:rPr>
          <w:sz w:val="22"/>
          <w:szCs w:val="22"/>
          <w:lang w:val="ru-RU"/>
        </w:rPr>
        <w:t>4 – Обоснование заявления</w:t>
      </w: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>PRV выступает ведомством национальной подачи с 1885 года, а активным МПО и ОМПЭ в рамках PCT является с 1978 года.</w:t>
      </w:r>
    </w:p>
    <w:p w:rsidR="00A8418E" w:rsidRPr="00CE6FB3" w:rsidRDefault="00ED78E8" w:rsidP="00A8418E">
      <w:pPr>
        <w:rPr>
          <w:lang w:val="ru-RU"/>
        </w:rPr>
      </w:pP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 xml:space="preserve">Швеция традиционно </w:t>
      </w:r>
      <w:r w:rsidR="00B25538">
        <w:rPr>
          <w:lang w:val="ru-RU"/>
        </w:rPr>
        <w:t>является</w:t>
      </w:r>
      <w:r w:rsidRPr="00CE6FB3">
        <w:rPr>
          <w:lang w:val="ru-RU"/>
        </w:rPr>
        <w:t xml:space="preserve"> одной из самых инновационных стран в мире и в 2016 г. заняла 2-е место в Глобальном индексе инноваций.</w:t>
      </w:r>
    </w:p>
    <w:p w:rsidR="00A8418E" w:rsidRPr="00CE6FB3" w:rsidRDefault="00ED78E8" w:rsidP="00A8418E">
      <w:pPr>
        <w:rPr>
          <w:lang w:val="ru-RU"/>
        </w:rPr>
      </w:pP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 xml:space="preserve">В скандинавских странах существует значительный спрос на услуги, оказываемые внутри региона на национальных языках.  Шведский, датский, финский и норвежский относятся к наиболее распространенным языкам подачи, отличающимся от языка публикации.  PRV продолжает пользоваться популярностью как МПО среди значительного числа заявителей из всего скандинавского региона, в том числе из Дании, Финляндии и Норвегии, </w:t>
      </w:r>
      <w:r w:rsidR="00B25538">
        <w:rPr>
          <w:lang w:val="ru-RU"/>
        </w:rPr>
        <w:t>а также из</w:t>
      </w:r>
      <w:r w:rsidRPr="00CE6FB3">
        <w:rPr>
          <w:lang w:val="ru-RU"/>
        </w:rPr>
        <w:t xml:space="preserve"> самой Швеции.</w:t>
      </w:r>
    </w:p>
    <w:p w:rsidR="00A8418E" w:rsidRPr="00CE6FB3" w:rsidRDefault="007D027E" w:rsidP="00A8418E">
      <w:pPr>
        <w:rPr>
          <w:lang w:val="ru-RU"/>
        </w:rPr>
      </w:pPr>
      <w:r w:rsidRPr="00CE6FB3">
        <w:rPr>
          <w:lang w:val="ru-RU"/>
        </w:rPr>
        <w:t> </w:t>
      </w:r>
    </w:p>
    <w:p w:rsidR="00A8418E" w:rsidRDefault="007D027E" w:rsidP="00A8418E">
      <w:pPr>
        <w:rPr>
          <w:lang w:val="ru-RU"/>
        </w:rPr>
      </w:pPr>
      <w:r w:rsidRPr="00CE6FB3">
        <w:rPr>
          <w:lang w:val="ru-RU"/>
        </w:rPr>
        <w:t>Положение ведомства как международного органа также взаимно укрепляется его деятельностью в области патентной информации и обучения, о которой рассказывается в разделе 5.</w:t>
      </w:r>
    </w:p>
    <w:p w:rsidR="00B25538" w:rsidRDefault="00B25538" w:rsidP="00A8418E">
      <w:pPr>
        <w:rPr>
          <w:lang w:val="ru-RU"/>
        </w:rPr>
      </w:pPr>
    </w:p>
    <w:p w:rsidR="00FA59B9" w:rsidRPr="00CE6FB3" w:rsidRDefault="00FA59B9" w:rsidP="00A8418E">
      <w:pPr>
        <w:rPr>
          <w:lang w:val="ru-RU"/>
        </w:rPr>
      </w:pPr>
    </w:p>
    <w:p w:rsidR="00A8418E" w:rsidRPr="00CE6FB3" w:rsidRDefault="007D027E" w:rsidP="00ED78E8">
      <w:pPr>
        <w:pStyle w:val="SectionHeading"/>
        <w:rPr>
          <w:sz w:val="22"/>
          <w:szCs w:val="22"/>
          <w:lang w:val="ru-RU"/>
        </w:rPr>
      </w:pPr>
      <w:r w:rsidRPr="00CE6FB3">
        <w:rPr>
          <w:sz w:val="22"/>
          <w:szCs w:val="22"/>
          <w:lang w:val="ru-RU"/>
        </w:rPr>
        <w:lastRenderedPageBreak/>
        <w:t>5 – Государство-заявитель (государства-заявители)</w:t>
      </w:r>
    </w:p>
    <w:p w:rsidR="00A8418E" w:rsidRPr="00CE6FB3" w:rsidRDefault="007D027E" w:rsidP="00ED78E8">
      <w:pPr>
        <w:keepNext/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Местонахождение в регионе</w:t>
      </w:r>
    </w:p>
    <w:p w:rsidR="00AA5F79" w:rsidRPr="00CE6FB3" w:rsidRDefault="00ED78E8" w:rsidP="00ED78E8">
      <w:pPr>
        <w:keepNext/>
        <w:rPr>
          <w:lang w:val="ru-RU"/>
        </w:rPr>
      </w:pPr>
    </w:p>
    <w:p w:rsidR="00DF53ED" w:rsidRPr="00CE6FB3" w:rsidRDefault="007D027E" w:rsidP="00DF53ED">
      <w:pPr>
        <w:jc w:val="center"/>
        <w:rPr>
          <w:lang w:val="ru-RU"/>
        </w:rPr>
      </w:pPr>
      <w:r w:rsidRPr="00CE6FB3">
        <w:rPr>
          <w:noProof/>
          <w:lang w:eastAsia="en-US"/>
        </w:rPr>
        <w:drawing>
          <wp:inline distT="0" distB="0" distL="0" distR="0">
            <wp:extent cx="3784600" cy="2672080"/>
            <wp:effectExtent l="0" t="0" r="6350" b="0"/>
            <wp:docPr id="2" name="Bild 2" descr="https://upload.wikimedia.org/wikipedia/commons/thumb/0/06/EU-Sweden.svg/250px-EU-Sweden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https://upload.wikimedia.org/wikipedia/commons/thumb/0/06/EU-Sweden.svg/250px-EU-Sweden.sv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3ED" w:rsidRPr="00CE6FB3" w:rsidRDefault="007D027E" w:rsidP="00DF53ED">
      <w:pPr>
        <w:jc w:val="center"/>
        <w:rPr>
          <w:rFonts w:eastAsia="Times New Roman"/>
          <w:i/>
          <w:iCs/>
          <w:szCs w:val="22"/>
          <w:lang w:val="ru-RU"/>
        </w:rPr>
      </w:pPr>
      <w:r w:rsidRPr="00CE6FB3">
        <w:rPr>
          <w:i/>
          <w:iCs/>
          <w:szCs w:val="22"/>
          <w:lang w:val="ru-RU"/>
        </w:rPr>
        <w:t>[Карта, на которой показаны Швеция и соседние государства]</w:t>
      </w:r>
    </w:p>
    <w:p w:rsidR="002D5802" w:rsidRPr="00CE6FB3" w:rsidRDefault="00ED78E8" w:rsidP="00F241A3">
      <w:pPr>
        <w:rPr>
          <w:lang w:val="ru-RU"/>
        </w:rPr>
      </w:pPr>
    </w:p>
    <w:p w:rsidR="002D5802" w:rsidRPr="00CE6FB3" w:rsidRDefault="007D027E" w:rsidP="002D5802">
      <w:pPr>
        <w:rPr>
          <w:szCs w:val="22"/>
          <w:lang w:val="ru-RU"/>
        </w:rPr>
      </w:pPr>
      <w:r w:rsidRPr="00CE6FB3">
        <w:rPr>
          <w:b/>
          <w:bCs/>
          <w:szCs w:val="22"/>
          <w:lang w:val="ru-RU"/>
        </w:rPr>
        <w:t>Членство в региональных организациях:</w:t>
      </w:r>
      <w:r w:rsidRPr="00CE6FB3">
        <w:rPr>
          <w:szCs w:val="22"/>
          <w:lang w:val="ru-RU"/>
        </w:rPr>
        <w:t xml:space="preserve">  </w:t>
      </w:r>
    </w:p>
    <w:p w:rsidR="002D5802" w:rsidRPr="00CE6FB3" w:rsidRDefault="007D027E" w:rsidP="002D5802">
      <w:pPr>
        <w:rPr>
          <w:lang w:val="ru-RU"/>
        </w:rPr>
      </w:pPr>
      <w:r w:rsidRPr="00CE6FB3">
        <w:rPr>
          <w:lang w:val="ru-RU"/>
        </w:rPr>
        <w:t>ЕС, ЕПК, ВИСЕС</w:t>
      </w:r>
    </w:p>
    <w:p w:rsidR="002D5802" w:rsidRPr="00CE6FB3" w:rsidRDefault="00ED78E8" w:rsidP="002D5802">
      <w:pPr>
        <w:rPr>
          <w:lang w:val="ru-RU"/>
        </w:rPr>
      </w:pPr>
    </w:p>
    <w:p w:rsidR="002D5802" w:rsidRPr="00CE6FB3" w:rsidRDefault="007D027E" w:rsidP="002D5802">
      <w:pPr>
        <w:rPr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Население:</w:t>
      </w:r>
      <w:r w:rsidRPr="00CE6FB3">
        <w:rPr>
          <w:szCs w:val="22"/>
          <w:lang w:val="ru-RU"/>
        </w:rPr>
        <w:t xml:space="preserve">  </w:t>
      </w:r>
    </w:p>
    <w:p w:rsidR="002D5802" w:rsidRPr="00CE6FB3" w:rsidRDefault="007D027E" w:rsidP="002D5802">
      <w:pPr>
        <w:rPr>
          <w:lang w:val="ru-RU"/>
        </w:rPr>
      </w:pPr>
      <w:r w:rsidRPr="00CE6FB3">
        <w:rPr>
          <w:lang w:val="ru-RU"/>
        </w:rPr>
        <w:t>Более 10 млн человек (на 2017 г.)</w:t>
      </w:r>
    </w:p>
    <w:p w:rsidR="002D5802" w:rsidRPr="00CE6FB3" w:rsidRDefault="00ED78E8" w:rsidP="002D5802">
      <w:pPr>
        <w:rPr>
          <w:szCs w:val="22"/>
          <w:lang w:val="ru-RU"/>
        </w:rPr>
      </w:pPr>
    </w:p>
    <w:p w:rsidR="002D5802" w:rsidRPr="00CE6FB3" w:rsidRDefault="007D027E" w:rsidP="002D5802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 xml:space="preserve">ВВП </w:t>
      </w:r>
      <w:r w:rsidRPr="00CE6FB3">
        <w:rPr>
          <w:b/>
          <w:bCs/>
          <w:i/>
          <w:iCs/>
          <w:szCs w:val="22"/>
          <w:lang w:val="ru-RU"/>
        </w:rPr>
        <w:t>на душу населения</w:t>
      </w:r>
      <w:r w:rsidRPr="00CE6FB3">
        <w:rPr>
          <w:b/>
          <w:bCs/>
          <w:szCs w:val="22"/>
          <w:lang w:val="ru-RU"/>
        </w:rPr>
        <w:t xml:space="preserve">:  </w:t>
      </w:r>
    </w:p>
    <w:p w:rsidR="002D5802" w:rsidRPr="00CE6FB3" w:rsidRDefault="007D027E" w:rsidP="002D5802">
      <w:pPr>
        <w:rPr>
          <w:bCs/>
          <w:lang w:val="ru-RU"/>
        </w:rPr>
      </w:pPr>
      <w:r w:rsidRPr="00CE6FB3">
        <w:rPr>
          <w:bCs/>
          <w:lang w:val="ru-RU"/>
        </w:rPr>
        <w:t>424 400 шведских крон;  44 761 евро;  47 395 долларов США</w:t>
      </w:r>
    </w:p>
    <w:p w:rsidR="002D5802" w:rsidRPr="00CE6FB3" w:rsidRDefault="00ED78E8" w:rsidP="002D5802">
      <w:pPr>
        <w:rPr>
          <w:bCs/>
          <w:lang w:val="ru-RU"/>
        </w:rPr>
      </w:pPr>
    </w:p>
    <w:p w:rsidR="002D5802" w:rsidRPr="00CE6FB3" w:rsidRDefault="007D027E" w:rsidP="002D5802">
      <w:pPr>
        <w:rPr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Оценка национальных расходов на НИОКР (в процентах от ВВП):</w:t>
      </w:r>
      <w:r w:rsidRPr="00CE6FB3">
        <w:rPr>
          <w:szCs w:val="22"/>
          <w:lang w:val="ru-RU"/>
        </w:rPr>
        <w:t xml:space="preserve">  </w:t>
      </w:r>
    </w:p>
    <w:p w:rsidR="002D5802" w:rsidRPr="00CE6FB3" w:rsidRDefault="007D027E" w:rsidP="002D5802">
      <w:pPr>
        <w:rPr>
          <w:bCs/>
          <w:lang w:val="ru-RU"/>
        </w:rPr>
      </w:pPr>
      <w:r w:rsidRPr="00CE6FB3">
        <w:rPr>
          <w:bCs/>
          <w:lang w:val="ru-RU"/>
        </w:rPr>
        <w:t>3,31 (2013 г.)</w:t>
      </w:r>
    </w:p>
    <w:p w:rsidR="002D5802" w:rsidRPr="00CE6FB3" w:rsidRDefault="00ED78E8" w:rsidP="002D5802">
      <w:pPr>
        <w:rPr>
          <w:szCs w:val="22"/>
          <w:lang w:val="ru-RU"/>
        </w:rPr>
      </w:pPr>
    </w:p>
    <w:p w:rsidR="002D5802" w:rsidRPr="00CE6FB3" w:rsidRDefault="007D027E" w:rsidP="002D5802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 xml:space="preserve">Количество научно-исследовательских организаций:  </w:t>
      </w:r>
    </w:p>
    <w:p w:rsidR="002D5802" w:rsidRPr="00CE6FB3" w:rsidRDefault="007D027E" w:rsidP="002D5802">
      <w:pPr>
        <w:rPr>
          <w:bCs/>
          <w:lang w:val="ru-RU"/>
        </w:rPr>
      </w:pPr>
      <w:r w:rsidRPr="00CE6FB3">
        <w:rPr>
          <w:bCs/>
          <w:lang w:val="ru-RU"/>
        </w:rPr>
        <w:t>28 исследовательских университетов</w:t>
      </w:r>
    </w:p>
    <w:p w:rsidR="002D5802" w:rsidRPr="00CE6FB3" w:rsidRDefault="00ED78E8" w:rsidP="002D5802">
      <w:pPr>
        <w:rPr>
          <w:szCs w:val="22"/>
          <w:lang w:val="ru-RU"/>
        </w:rPr>
      </w:pPr>
    </w:p>
    <w:p w:rsidR="00005FD7" w:rsidRPr="00CE6FB3" w:rsidRDefault="007D027E" w:rsidP="002D5802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 xml:space="preserve">Краткая характеристика национальной системы патентной информации (например, патентные библиотеки, центры поддержки технологий и инноваций):  </w:t>
      </w:r>
    </w:p>
    <w:p w:rsidR="00005FD7" w:rsidRPr="00CE6FB3" w:rsidRDefault="00ED78E8" w:rsidP="002D5802">
      <w:pPr>
        <w:rPr>
          <w:b/>
          <w:bCs/>
          <w:szCs w:val="22"/>
          <w:lang w:val="ru-RU"/>
        </w:rPr>
      </w:pPr>
    </w:p>
    <w:p w:rsidR="002D5802" w:rsidRPr="00CE6FB3" w:rsidRDefault="00B25538" w:rsidP="002D5802">
      <w:pPr>
        <w:rPr>
          <w:szCs w:val="22"/>
          <w:lang w:val="ru-RU" w:eastAsia="en-US"/>
        </w:rPr>
      </w:pPr>
      <w:r w:rsidRPr="00CE6FB3">
        <w:rPr>
          <w:szCs w:val="22"/>
          <w:lang w:val="ru-RU" w:eastAsia="en-US"/>
        </w:rPr>
        <w:t>Р</w:t>
      </w:r>
      <w:r w:rsidR="007D027E" w:rsidRPr="00CE6FB3">
        <w:rPr>
          <w:szCs w:val="22"/>
          <w:lang w:val="ru-RU" w:eastAsia="en-US"/>
        </w:rPr>
        <w:t>абот</w:t>
      </w:r>
      <w:r>
        <w:rPr>
          <w:szCs w:val="22"/>
          <w:lang w:val="ru-RU" w:eastAsia="en-US"/>
        </w:rPr>
        <w:t xml:space="preserve">а </w:t>
      </w:r>
      <w:r w:rsidRPr="00CE6FB3">
        <w:rPr>
          <w:szCs w:val="22"/>
          <w:lang w:val="ru-RU" w:eastAsia="en-US"/>
        </w:rPr>
        <w:t xml:space="preserve">PRV </w:t>
      </w:r>
      <w:r w:rsidR="007D027E" w:rsidRPr="00CE6FB3">
        <w:rPr>
          <w:szCs w:val="22"/>
          <w:lang w:val="ru-RU" w:eastAsia="en-US"/>
        </w:rPr>
        <w:t xml:space="preserve">по распространению информации о патентах и интеллектуальной собственности </w:t>
      </w:r>
      <w:r w:rsidRPr="00CE6FB3">
        <w:rPr>
          <w:szCs w:val="22"/>
          <w:lang w:val="ru-RU" w:eastAsia="en-US"/>
        </w:rPr>
        <w:t>ведет</w:t>
      </w:r>
      <w:r>
        <w:rPr>
          <w:szCs w:val="22"/>
          <w:lang w:val="ru-RU" w:eastAsia="en-US"/>
        </w:rPr>
        <w:t>ся</w:t>
      </w:r>
      <w:r w:rsidRPr="00CE6FB3">
        <w:rPr>
          <w:szCs w:val="22"/>
          <w:lang w:val="ru-RU" w:eastAsia="en-US"/>
        </w:rPr>
        <w:t xml:space="preserve"> </w:t>
      </w:r>
      <w:r>
        <w:rPr>
          <w:szCs w:val="22"/>
          <w:lang w:val="ru-RU" w:eastAsia="en-US"/>
        </w:rPr>
        <w:t xml:space="preserve">в </w:t>
      </w:r>
      <w:r w:rsidR="007D027E" w:rsidRPr="00CE6FB3">
        <w:rPr>
          <w:szCs w:val="22"/>
          <w:lang w:val="ru-RU" w:eastAsia="en-US"/>
        </w:rPr>
        <w:t>нескольки</w:t>
      </w:r>
      <w:r>
        <w:rPr>
          <w:szCs w:val="22"/>
          <w:lang w:val="ru-RU" w:eastAsia="en-US"/>
        </w:rPr>
        <w:t>х направлениях</w:t>
      </w:r>
      <w:r w:rsidR="007D027E" w:rsidRPr="00CE6FB3">
        <w:rPr>
          <w:szCs w:val="22"/>
          <w:lang w:val="ru-RU" w:eastAsia="en-US"/>
        </w:rPr>
        <w:t>.  Стратегия оказания информационной поддержки предпринимателям и МСП заключается в предоставлени</w:t>
      </w:r>
      <w:r>
        <w:rPr>
          <w:szCs w:val="22"/>
          <w:lang w:val="ru-RU" w:eastAsia="en-US"/>
        </w:rPr>
        <w:t>и</w:t>
      </w:r>
      <w:r w:rsidR="007D027E" w:rsidRPr="00CE6FB3">
        <w:rPr>
          <w:szCs w:val="22"/>
          <w:lang w:val="ru-RU" w:eastAsia="en-US"/>
        </w:rPr>
        <w:t xml:space="preserve"> доступа к ценной информации через цифровые платформы и в ходе личных встреч, а также через посредников, таких как различные </w:t>
      </w:r>
      <w:r w:rsidR="00FA59B9">
        <w:rPr>
          <w:szCs w:val="22"/>
          <w:lang w:val="ru-RU" w:eastAsia="en-US"/>
        </w:rPr>
        <w:t>государственные</w:t>
      </w:r>
      <w:r w:rsidR="007D027E" w:rsidRPr="00CE6FB3">
        <w:rPr>
          <w:szCs w:val="22"/>
          <w:lang w:val="ru-RU" w:eastAsia="en-US"/>
        </w:rPr>
        <w:t xml:space="preserve"> консультирующие организации. </w:t>
      </w:r>
    </w:p>
    <w:p w:rsidR="002D5802" w:rsidRPr="00CE6FB3" w:rsidRDefault="00ED78E8" w:rsidP="002D5802">
      <w:pPr>
        <w:rPr>
          <w:szCs w:val="22"/>
          <w:lang w:val="ru-RU" w:eastAsia="en-US"/>
        </w:rPr>
      </w:pPr>
    </w:p>
    <w:p w:rsidR="002D5802" w:rsidRPr="00CE6FB3" w:rsidRDefault="007D027E" w:rsidP="002D5802">
      <w:pPr>
        <w:rPr>
          <w:szCs w:val="22"/>
          <w:lang w:val="ru-RU" w:eastAsia="en-US"/>
        </w:rPr>
      </w:pPr>
      <w:r w:rsidRPr="00CE6FB3">
        <w:rPr>
          <w:szCs w:val="22"/>
          <w:lang w:val="ru-RU" w:eastAsia="en-US"/>
        </w:rPr>
        <w:t xml:space="preserve">Официальный сайт PRV и сайт verksamt.se функционируют как цифровые площадки для распространения информации.  Портал verksamt.se создан сетью шведских организаций по поддержке инноваций с целью предоставления </w:t>
      </w:r>
      <w:r w:rsidR="00FA59B9" w:rsidRPr="00CE6FB3">
        <w:rPr>
          <w:szCs w:val="22"/>
          <w:lang w:val="ru-RU" w:eastAsia="en-US"/>
        </w:rPr>
        <w:t xml:space="preserve">на одной общей платформе </w:t>
      </w:r>
      <w:r w:rsidRPr="00CE6FB3">
        <w:rPr>
          <w:szCs w:val="22"/>
          <w:lang w:val="ru-RU" w:eastAsia="en-US"/>
        </w:rPr>
        <w:t xml:space="preserve">всей необходимой информации для </w:t>
      </w:r>
      <w:r w:rsidR="00FA59B9">
        <w:rPr>
          <w:szCs w:val="22"/>
          <w:lang w:val="ru-RU" w:eastAsia="en-US"/>
        </w:rPr>
        <w:t>открытия</w:t>
      </w:r>
      <w:r w:rsidRPr="00CE6FB3">
        <w:rPr>
          <w:szCs w:val="22"/>
          <w:lang w:val="ru-RU" w:eastAsia="en-US"/>
        </w:rPr>
        <w:t xml:space="preserve">, развития и ведения деятельности предприятия.  Участвуя в этой сети, PRV обеспечивает предоставление информации по теме интеллектуальной собственности в соответствующем контексте. </w:t>
      </w:r>
    </w:p>
    <w:p w:rsidR="002D5802" w:rsidRPr="00CE6FB3" w:rsidRDefault="00ED78E8" w:rsidP="002D5802">
      <w:pPr>
        <w:rPr>
          <w:szCs w:val="22"/>
          <w:lang w:val="ru-RU" w:eastAsia="en-US"/>
        </w:rPr>
      </w:pPr>
    </w:p>
    <w:p w:rsidR="002D5802" w:rsidRPr="00CE6FB3" w:rsidRDefault="007D027E" w:rsidP="002D5802">
      <w:pPr>
        <w:rPr>
          <w:szCs w:val="22"/>
          <w:lang w:val="ru-RU" w:eastAsia="en-US"/>
        </w:rPr>
      </w:pPr>
      <w:r w:rsidRPr="00CE6FB3">
        <w:rPr>
          <w:szCs w:val="22"/>
          <w:lang w:val="ru-RU" w:eastAsia="en-US"/>
        </w:rPr>
        <w:lastRenderedPageBreak/>
        <w:t xml:space="preserve">Чтобы создавать возможности для личных встреч и сообщать информацию об интеллектуальной собственности, PRV постоянно посещает «дни инноваций», организуемые на региональном и местном уровнях. </w:t>
      </w:r>
    </w:p>
    <w:p w:rsidR="00005FD7" w:rsidRPr="00CE6FB3" w:rsidRDefault="00ED78E8" w:rsidP="002D5802">
      <w:pPr>
        <w:rPr>
          <w:szCs w:val="22"/>
          <w:lang w:val="ru-RU" w:eastAsia="en-US"/>
        </w:rPr>
      </w:pPr>
    </w:p>
    <w:p w:rsidR="002D5802" w:rsidRPr="00CE6FB3" w:rsidRDefault="007D027E" w:rsidP="002D5802">
      <w:pPr>
        <w:rPr>
          <w:szCs w:val="22"/>
          <w:lang w:val="ru-RU" w:eastAsia="en-US"/>
        </w:rPr>
      </w:pPr>
      <w:r w:rsidRPr="00CE6FB3">
        <w:rPr>
          <w:szCs w:val="22"/>
          <w:lang w:val="ru-RU" w:eastAsia="en-US"/>
        </w:rPr>
        <w:t xml:space="preserve">Вышеупомянутые организации по поддержке инноваций также проводят в разных местах «дни стартапов», привлекающие множество участников, и неотъемлемой частью этих мероприятий является информация о правах интеллектуальной собственности.  </w:t>
      </w:r>
    </w:p>
    <w:p w:rsidR="002D5802" w:rsidRPr="00CE6FB3" w:rsidRDefault="007D027E" w:rsidP="002D5802">
      <w:pPr>
        <w:rPr>
          <w:szCs w:val="22"/>
          <w:lang w:val="ru-RU" w:eastAsia="en-US"/>
        </w:rPr>
      </w:pPr>
      <w:r w:rsidRPr="00CE6FB3">
        <w:rPr>
          <w:szCs w:val="22"/>
          <w:lang w:val="ru-RU" w:eastAsia="en-US"/>
        </w:rPr>
        <w:t>В 2016 г. в рамках реализации экспортной стратегии правительства Швеции было создано шесть региональных экспортных центров.  PRV как национальное ведомство является частью этой сети центров, отвечающей за информирование и поддержку по вопросам ИС.</w:t>
      </w:r>
    </w:p>
    <w:p w:rsidR="002D5802" w:rsidRPr="00CE6FB3" w:rsidRDefault="00ED78E8" w:rsidP="002D5802">
      <w:pPr>
        <w:rPr>
          <w:szCs w:val="22"/>
          <w:lang w:val="ru-RU" w:eastAsia="en-US"/>
        </w:rPr>
      </w:pPr>
    </w:p>
    <w:p w:rsidR="002D5802" w:rsidRPr="00CE6FB3" w:rsidRDefault="007D027E" w:rsidP="002D5802">
      <w:pPr>
        <w:rPr>
          <w:szCs w:val="22"/>
          <w:lang w:val="ru-RU" w:eastAsia="en-US"/>
        </w:rPr>
      </w:pPr>
      <w:r w:rsidRPr="00CE6FB3">
        <w:rPr>
          <w:szCs w:val="22"/>
          <w:lang w:val="ru-RU" w:eastAsia="en-US"/>
        </w:rPr>
        <w:t xml:space="preserve">PRV также сформировало сеть посредников и регулярно организует тренинги и семинары для этих организаций.  Например, в сотрудничестве со Шведским агентством по инновациям с 2013 года два-четыре раза в год PRV ведет интернет-трансляции семинаров по различным темам, связанным в ИС.  Эти семинары также выкладываются на сайте PRV, чтобы их можно было посмотреть </w:t>
      </w:r>
      <w:r w:rsidR="00FA59B9">
        <w:rPr>
          <w:szCs w:val="22"/>
          <w:lang w:val="ru-RU" w:eastAsia="en-US"/>
        </w:rPr>
        <w:t>в записи</w:t>
      </w:r>
      <w:r w:rsidRPr="00CE6FB3">
        <w:rPr>
          <w:szCs w:val="22"/>
          <w:lang w:val="ru-RU" w:eastAsia="en-US"/>
        </w:rPr>
        <w:t>.  </w:t>
      </w:r>
    </w:p>
    <w:p w:rsidR="002D5802" w:rsidRPr="00CE6FB3" w:rsidRDefault="00ED78E8" w:rsidP="002D5802">
      <w:pPr>
        <w:rPr>
          <w:szCs w:val="22"/>
          <w:lang w:val="ru-RU"/>
        </w:rPr>
      </w:pPr>
    </w:p>
    <w:p w:rsidR="002D5802" w:rsidRPr="00CE6FB3" w:rsidRDefault="007D027E" w:rsidP="002D5802">
      <w:pPr>
        <w:rPr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Ведущие национальные отрасли промышленности:</w:t>
      </w:r>
      <w:r w:rsidRPr="00CE6FB3">
        <w:rPr>
          <w:szCs w:val="22"/>
          <w:lang w:val="ru-RU"/>
        </w:rPr>
        <w:t xml:space="preserve"> </w:t>
      </w:r>
    </w:p>
    <w:p w:rsidR="002D5802" w:rsidRPr="00CE6FB3" w:rsidRDefault="00ED78E8" w:rsidP="002D5802">
      <w:pPr>
        <w:rPr>
          <w:szCs w:val="22"/>
          <w:lang w:val="ru-RU"/>
        </w:rPr>
      </w:pPr>
    </w:p>
    <w:p w:rsidR="002D5802" w:rsidRPr="00CE6FB3" w:rsidRDefault="007D027E" w:rsidP="002D5802">
      <w:pPr>
        <w:rPr>
          <w:szCs w:val="22"/>
          <w:lang w:val="ru-RU"/>
        </w:rPr>
      </w:pPr>
      <w:r w:rsidRPr="00CE6FB3">
        <w:rPr>
          <w:szCs w:val="22"/>
          <w:lang w:val="ru-RU"/>
        </w:rPr>
        <w:t>Швеция является развитой экспортно-ориентированной экономикой с собственной ресурсной базой в виде лесозаготовительной, железорудной промышленности и гидроэнергетики.  Остальная экономика ориентирована на внешнюю торговлю.  К ее основным отраслям относятся автомобилестроение, телекоммуникации, фармацевтика, производство промышленных станков, прецизионного оборудования, химической продукции, бытовых товаров и электроприборов, а также лесопромышленный комплекс и черная металлургия.</w:t>
      </w:r>
    </w:p>
    <w:p w:rsidR="00005FD7" w:rsidRPr="00CE6FB3" w:rsidRDefault="00ED78E8" w:rsidP="002D5802">
      <w:pPr>
        <w:rPr>
          <w:szCs w:val="22"/>
          <w:lang w:val="ru-RU"/>
        </w:rPr>
      </w:pPr>
    </w:p>
    <w:p w:rsidR="002D5802" w:rsidRPr="00CE6FB3" w:rsidRDefault="007D027E" w:rsidP="002D5802">
      <w:pPr>
        <w:rPr>
          <w:lang w:val="ru-RU"/>
        </w:rPr>
      </w:pPr>
      <w:r w:rsidRPr="00CE6FB3">
        <w:rPr>
          <w:b/>
          <w:bCs/>
          <w:lang w:val="ru-RU"/>
        </w:rPr>
        <w:t>Основные страны — торговые партнеры</w:t>
      </w:r>
      <w:r w:rsidRPr="00CE6FB3">
        <w:rPr>
          <w:lang w:val="ru-RU"/>
        </w:rPr>
        <w:t xml:space="preserve"> </w:t>
      </w:r>
      <w:r w:rsidRPr="00CE6FB3">
        <w:rPr>
          <w:b/>
          <w:bCs/>
          <w:lang w:val="ru-RU"/>
        </w:rPr>
        <w:t>(десять основных стран на 2015 г. по стоимости экспортируемых товаров в порядке убывания):</w:t>
      </w:r>
      <w:r w:rsidRPr="00CE6FB3">
        <w:rPr>
          <w:lang w:val="ru-RU"/>
        </w:rPr>
        <w:t xml:space="preserve">  </w:t>
      </w:r>
    </w:p>
    <w:p w:rsidR="00005FD7" w:rsidRPr="00CE6FB3" w:rsidRDefault="00ED78E8" w:rsidP="002D5802">
      <w:pPr>
        <w:rPr>
          <w:lang w:val="ru-RU"/>
        </w:rPr>
      </w:pPr>
    </w:p>
    <w:p w:rsidR="002D5802" w:rsidRPr="00CE6FB3" w:rsidRDefault="007D027E" w:rsidP="002D5802">
      <w:pPr>
        <w:rPr>
          <w:lang w:val="ru-RU"/>
        </w:rPr>
      </w:pPr>
      <w:r w:rsidRPr="00CE6FB3">
        <w:rPr>
          <w:lang w:val="ru-RU"/>
        </w:rPr>
        <w:t>Норвегия</w:t>
      </w:r>
    </w:p>
    <w:p w:rsidR="002D5802" w:rsidRPr="00CE6FB3" w:rsidRDefault="007D027E" w:rsidP="002D5802">
      <w:pPr>
        <w:rPr>
          <w:lang w:val="ru-RU"/>
        </w:rPr>
      </w:pPr>
      <w:r w:rsidRPr="00CE6FB3">
        <w:rPr>
          <w:lang w:val="ru-RU"/>
        </w:rPr>
        <w:t>Германия</w:t>
      </w:r>
    </w:p>
    <w:p w:rsidR="002D5802" w:rsidRPr="00CE6FB3" w:rsidRDefault="007D027E" w:rsidP="002D5802">
      <w:pPr>
        <w:rPr>
          <w:lang w:val="ru-RU"/>
        </w:rPr>
      </w:pPr>
      <w:r w:rsidRPr="00CE6FB3">
        <w:rPr>
          <w:lang w:val="ru-RU"/>
        </w:rPr>
        <w:t>Соединенные Штаты Америки</w:t>
      </w:r>
    </w:p>
    <w:p w:rsidR="002D5802" w:rsidRPr="00CE6FB3" w:rsidRDefault="007D027E" w:rsidP="002D5802">
      <w:pPr>
        <w:rPr>
          <w:lang w:val="ru-RU"/>
        </w:rPr>
      </w:pPr>
      <w:r w:rsidRPr="00CE6FB3">
        <w:rPr>
          <w:lang w:val="ru-RU"/>
        </w:rPr>
        <w:t>Великобритания</w:t>
      </w:r>
    </w:p>
    <w:p w:rsidR="002D5802" w:rsidRPr="00CE6FB3" w:rsidRDefault="007D027E" w:rsidP="002D5802">
      <w:pPr>
        <w:rPr>
          <w:lang w:val="ru-RU"/>
        </w:rPr>
      </w:pPr>
      <w:r w:rsidRPr="00CE6FB3">
        <w:rPr>
          <w:lang w:val="ru-RU"/>
        </w:rPr>
        <w:t>Дания</w:t>
      </w:r>
    </w:p>
    <w:p w:rsidR="002D5802" w:rsidRPr="00CE6FB3" w:rsidRDefault="007D027E" w:rsidP="002D5802">
      <w:pPr>
        <w:rPr>
          <w:lang w:val="ru-RU"/>
        </w:rPr>
      </w:pPr>
      <w:r w:rsidRPr="00CE6FB3">
        <w:rPr>
          <w:lang w:val="ru-RU"/>
        </w:rPr>
        <w:t>Финляндия</w:t>
      </w:r>
    </w:p>
    <w:p w:rsidR="002D5802" w:rsidRPr="00CE6FB3" w:rsidRDefault="007D027E" w:rsidP="002D5802">
      <w:pPr>
        <w:rPr>
          <w:lang w:val="ru-RU"/>
        </w:rPr>
      </w:pPr>
      <w:r w:rsidRPr="00CE6FB3">
        <w:rPr>
          <w:lang w:val="ru-RU"/>
        </w:rPr>
        <w:t>Нидерланды</w:t>
      </w:r>
    </w:p>
    <w:p w:rsidR="002D5802" w:rsidRPr="00CE6FB3" w:rsidRDefault="007D027E" w:rsidP="002D5802">
      <w:pPr>
        <w:rPr>
          <w:lang w:val="ru-RU"/>
        </w:rPr>
      </w:pPr>
      <w:r w:rsidRPr="00CE6FB3">
        <w:rPr>
          <w:lang w:val="ru-RU"/>
        </w:rPr>
        <w:t>Бельгия</w:t>
      </w:r>
    </w:p>
    <w:p w:rsidR="002D5802" w:rsidRPr="00CE6FB3" w:rsidRDefault="007D027E" w:rsidP="002D5802">
      <w:pPr>
        <w:rPr>
          <w:lang w:val="ru-RU"/>
        </w:rPr>
      </w:pPr>
      <w:r w:rsidRPr="00CE6FB3">
        <w:rPr>
          <w:lang w:val="ru-RU"/>
        </w:rPr>
        <w:t xml:space="preserve">Франция </w:t>
      </w:r>
    </w:p>
    <w:p w:rsidR="00FA59B9" w:rsidRPr="00ED78E8" w:rsidRDefault="007D027E" w:rsidP="002D5802">
      <w:r w:rsidRPr="00CE6FB3">
        <w:rPr>
          <w:lang w:val="ru-RU"/>
        </w:rPr>
        <w:t>Китай</w:t>
      </w:r>
      <w:bookmarkStart w:id="7" w:name="_GoBack"/>
      <w:bookmarkEnd w:id="7"/>
    </w:p>
    <w:p w:rsidR="002D5802" w:rsidRPr="00CE6FB3" w:rsidRDefault="007D027E" w:rsidP="005F02F6">
      <w:pPr>
        <w:pStyle w:val="SectionHeading"/>
        <w:keepLines/>
        <w:pBdr>
          <w:top w:val="single" w:sz="4" w:space="0" w:color="auto"/>
        </w:pBdr>
        <w:rPr>
          <w:sz w:val="22"/>
          <w:szCs w:val="22"/>
          <w:lang w:val="ru-RU"/>
        </w:rPr>
      </w:pPr>
      <w:r w:rsidRPr="00CE6FB3">
        <w:rPr>
          <w:sz w:val="22"/>
          <w:szCs w:val="22"/>
          <w:lang w:val="ru-RU"/>
        </w:rPr>
        <w:t>6 – Характеристика патентных заявок</w:t>
      </w:r>
    </w:p>
    <w:p w:rsidR="00F66AAB" w:rsidRPr="00CE6FB3" w:rsidRDefault="00ED78E8" w:rsidP="005F02F6">
      <w:pPr>
        <w:keepNext/>
        <w:keepLines/>
        <w:rPr>
          <w:b/>
          <w:bCs/>
          <w:szCs w:val="22"/>
          <w:lang w:val="ru-RU"/>
        </w:rPr>
      </w:pPr>
    </w:p>
    <w:p w:rsidR="002D5802" w:rsidRPr="00CE6FB3" w:rsidRDefault="007D027E" w:rsidP="005F02F6">
      <w:pPr>
        <w:keepNext/>
        <w:keepLines/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Количество полученных национальных заявок в разбивке по областям техники</w:t>
      </w:r>
    </w:p>
    <w:p w:rsidR="00AA5F79" w:rsidRPr="00CE6FB3" w:rsidRDefault="00ED78E8" w:rsidP="00F241A3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331"/>
        <w:gridCol w:w="1331"/>
        <w:gridCol w:w="1331"/>
        <w:gridCol w:w="1331"/>
        <w:gridCol w:w="1332"/>
      </w:tblGrid>
      <w:tr w:rsidR="001B6ED2" w:rsidRPr="00CE6FB3" w:rsidTr="00A353E7">
        <w:tc>
          <w:tcPr>
            <w:tcW w:w="2689" w:type="dxa"/>
          </w:tcPr>
          <w:p w:rsidR="00005FD7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Область техники / год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2012 г.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2013 г.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2014 г.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2015 г.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2016 г.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F241A3">
            <w:pPr>
              <w:rPr>
                <w:lang w:val="ru-RU"/>
              </w:rPr>
            </w:pPr>
            <w:r w:rsidRPr="00CE6FB3">
              <w:rPr>
                <w:lang w:val="ru-RU"/>
              </w:rPr>
              <w:t>Химия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359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400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381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349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330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005FD7">
            <w:pPr>
              <w:rPr>
                <w:lang w:val="ru-RU"/>
              </w:rPr>
            </w:pPr>
            <w:r w:rsidRPr="00CE6FB3">
              <w:rPr>
                <w:lang w:val="ru-RU"/>
              </w:rPr>
              <w:t>Электротехника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354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342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324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366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383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F241A3">
            <w:pPr>
              <w:rPr>
                <w:lang w:val="ru-RU"/>
              </w:rPr>
            </w:pPr>
            <w:r w:rsidRPr="00CE6FB3">
              <w:rPr>
                <w:lang w:val="ru-RU"/>
              </w:rPr>
              <w:t>Приборы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396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352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343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328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337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F241A3">
            <w:pPr>
              <w:rPr>
                <w:lang w:val="ru-RU"/>
              </w:rPr>
            </w:pPr>
            <w:r w:rsidRPr="00CE6FB3">
              <w:rPr>
                <w:lang w:val="ru-RU"/>
              </w:rPr>
              <w:t>Машиностроение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923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996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1030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963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893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F241A3">
            <w:pPr>
              <w:rPr>
                <w:lang w:val="ru-RU"/>
              </w:rPr>
            </w:pPr>
            <w:r w:rsidRPr="00CE6FB3">
              <w:rPr>
                <w:lang w:val="ru-RU"/>
              </w:rPr>
              <w:t>Прочие области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377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376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310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354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350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F241A3">
            <w:pPr>
              <w:rPr>
                <w:lang w:val="ru-RU"/>
              </w:rPr>
            </w:pPr>
            <w:r w:rsidRPr="00CE6FB3">
              <w:rPr>
                <w:lang w:val="ru-RU"/>
              </w:rPr>
              <w:t>Неопределенное значение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29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30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36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67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91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F241A3">
            <w:pPr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2 438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2 495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2 425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2 427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2 384</w:t>
            </w:r>
          </w:p>
        </w:tc>
      </w:tr>
    </w:tbl>
    <w:p w:rsidR="00AA5F79" w:rsidRPr="00CE6FB3" w:rsidRDefault="00ED78E8" w:rsidP="00F241A3">
      <w:pPr>
        <w:rPr>
          <w:lang w:val="ru-RU"/>
        </w:rPr>
      </w:pPr>
    </w:p>
    <w:p w:rsidR="00F66AAB" w:rsidRPr="00CE6FB3" w:rsidRDefault="00ED78E8" w:rsidP="00F241A3">
      <w:pPr>
        <w:rPr>
          <w:lang w:val="ru-RU"/>
        </w:rPr>
      </w:pPr>
    </w:p>
    <w:p w:rsidR="00AA5F79" w:rsidRPr="00CE6FB3" w:rsidRDefault="007D027E" w:rsidP="00F241A3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Количество полученных заявок PCT в разбивке по областям техники</w:t>
      </w:r>
    </w:p>
    <w:p w:rsidR="00005FD7" w:rsidRPr="00CE6FB3" w:rsidRDefault="00ED78E8" w:rsidP="00005FD7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331"/>
        <w:gridCol w:w="1331"/>
        <w:gridCol w:w="1331"/>
        <w:gridCol w:w="1331"/>
        <w:gridCol w:w="1332"/>
      </w:tblGrid>
      <w:tr w:rsidR="001B6ED2" w:rsidRPr="00CE6FB3" w:rsidTr="00A353E7">
        <w:tc>
          <w:tcPr>
            <w:tcW w:w="2689" w:type="dxa"/>
          </w:tcPr>
          <w:p w:rsidR="00005FD7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Область техники / год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2012 г.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2013 г.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2014 г.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2015 г.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2016 г.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A32EF0">
            <w:pPr>
              <w:rPr>
                <w:lang w:val="ru-RU"/>
              </w:rPr>
            </w:pPr>
            <w:r w:rsidRPr="00CE6FB3">
              <w:rPr>
                <w:lang w:val="ru-RU"/>
              </w:rPr>
              <w:t>Химия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231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203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180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172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112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A32EF0">
            <w:pPr>
              <w:rPr>
                <w:lang w:val="ru-RU"/>
              </w:rPr>
            </w:pPr>
            <w:r w:rsidRPr="00CE6FB3">
              <w:rPr>
                <w:lang w:val="ru-RU"/>
              </w:rPr>
              <w:t>Электротехника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520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449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349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332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198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A32EF0">
            <w:pPr>
              <w:rPr>
                <w:lang w:val="ru-RU"/>
              </w:rPr>
            </w:pPr>
            <w:r w:rsidRPr="00CE6FB3">
              <w:rPr>
                <w:lang w:val="ru-RU"/>
              </w:rPr>
              <w:t>Приборы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238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214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186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131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78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A32EF0">
            <w:pPr>
              <w:rPr>
                <w:lang w:val="ru-RU"/>
              </w:rPr>
            </w:pPr>
            <w:r w:rsidRPr="00CE6FB3">
              <w:rPr>
                <w:lang w:val="ru-RU"/>
              </w:rPr>
              <w:t>Машиностроение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426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496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483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343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237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A32EF0">
            <w:pPr>
              <w:rPr>
                <w:lang w:val="ru-RU"/>
              </w:rPr>
            </w:pPr>
            <w:r w:rsidRPr="00CE6FB3">
              <w:rPr>
                <w:lang w:val="ru-RU"/>
              </w:rPr>
              <w:t>Прочие области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156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147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127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128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95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A32EF0">
            <w:pPr>
              <w:rPr>
                <w:lang w:val="ru-RU"/>
              </w:rPr>
            </w:pPr>
            <w:r w:rsidRPr="00CE6FB3">
              <w:rPr>
                <w:lang w:val="ru-RU"/>
              </w:rPr>
              <w:t>Неопределенное значение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20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25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34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12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261</w:t>
            </w:r>
          </w:p>
        </w:tc>
      </w:tr>
      <w:tr w:rsidR="001B6ED2" w:rsidRPr="00CE6FB3" w:rsidTr="00A353E7">
        <w:tc>
          <w:tcPr>
            <w:tcW w:w="2689" w:type="dxa"/>
          </w:tcPr>
          <w:p w:rsidR="00005FD7" w:rsidRPr="00CE6FB3" w:rsidRDefault="007D027E" w:rsidP="00A32EF0">
            <w:pPr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1 592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1 534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1 359</w:t>
            </w:r>
          </w:p>
        </w:tc>
        <w:tc>
          <w:tcPr>
            <w:tcW w:w="1331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1 118</w:t>
            </w:r>
          </w:p>
        </w:tc>
        <w:tc>
          <w:tcPr>
            <w:tcW w:w="1332" w:type="dxa"/>
          </w:tcPr>
          <w:p w:rsidR="00005FD7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982</w:t>
            </w:r>
          </w:p>
        </w:tc>
      </w:tr>
    </w:tbl>
    <w:p w:rsidR="00AA5F79" w:rsidRPr="00CE6FB3" w:rsidRDefault="00ED78E8" w:rsidP="00F241A3">
      <w:pPr>
        <w:rPr>
          <w:lang w:val="ru-RU"/>
        </w:rPr>
      </w:pPr>
    </w:p>
    <w:p w:rsidR="00F66AAB" w:rsidRPr="00CE6FB3" w:rsidRDefault="00ED78E8" w:rsidP="00F241A3">
      <w:pPr>
        <w:rPr>
          <w:lang w:val="ru-RU"/>
        </w:rPr>
      </w:pPr>
    </w:p>
    <w:p w:rsidR="00AA5F79" w:rsidRPr="00CE6FB3" w:rsidRDefault="007D027E" w:rsidP="00F241A3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 xml:space="preserve">Количество полученных национальных заявок в разбивке по процедурам подачи </w:t>
      </w:r>
    </w:p>
    <w:p w:rsidR="00AA5F79" w:rsidRPr="00CE6FB3" w:rsidRDefault="00ED78E8" w:rsidP="00F241A3">
      <w:pPr>
        <w:rPr>
          <w:lang w:val="ru-RU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510"/>
        <w:gridCol w:w="1168"/>
        <w:gridCol w:w="1168"/>
        <w:gridCol w:w="1168"/>
        <w:gridCol w:w="1168"/>
        <w:gridCol w:w="1169"/>
      </w:tblGrid>
      <w:tr w:rsidR="001B6ED2" w:rsidRPr="00CE6FB3" w:rsidTr="00841682">
        <w:tc>
          <w:tcPr>
            <w:tcW w:w="3510" w:type="dxa"/>
          </w:tcPr>
          <w:p w:rsidR="00367344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Процедура подачи / год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2012 г.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2013 г.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2014 г.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2015 г.</w:t>
            </w:r>
          </w:p>
        </w:tc>
        <w:tc>
          <w:tcPr>
            <w:tcW w:w="1169" w:type="dxa"/>
          </w:tcPr>
          <w:p w:rsidR="00367344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2016 г.</w:t>
            </w:r>
          </w:p>
        </w:tc>
      </w:tr>
      <w:tr w:rsidR="001B6ED2" w:rsidRPr="00CE6FB3" w:rsidTr="00841682">
        <w:tc>
          <w:tcPr>
            <w:tcW w:w="3510" w:type="dxa"/>
          </w:tcPr>
          <w:p w:rsidR="00367344" w:rsidRPr="00CE6FB3" w:rsidRDefault="007D027E" w:rsidP="00367344">
            <w:pPr>
              <w:rPr>
                <w:lang w:val="ru-RU"/>
              </w:rPr>
            </w:pPr>
            <w:r w:rsidRPr="00CE6FB3">
              <w:rPr>
                <w:lang w:val="ru-RU"/>
              </w:rPr>
              <w:t>Первая национальная подача / внутренний приоритет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2 264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2 323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2 264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2 269</w:t>
            </w:r>
          </w:p>
        </w:tc>
        <w:tc>
          <w:tcPr>
            <w:tcW w:w="1169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2 243</w:t>
            </w:r>
          </w:p>
        </w:tc>
      </w:tr>
      <w:tr w:rsidR="001B6ED2" w:rsidRPr="00CE6FB3" w:rsidTr="00841682">
        <w:tc>
          <w:tcPr>
            <w:tcW w:w="3510" w:type="dxa"/>
          </w:tcPr>
          <w:p w:rsidR="00367344" w:rsidRPr="00CE6FB3" w:rsidRDefault="007D027E" w:rsidP="00F241A3">
            <w:pPr>
              <w:rPr>
                <w:lang w:val="ru-RU"/>
              </w:rPr>
            </w:pPr>
            <w:r w:rsidRPr="00CE6FB3">
              <w:rPr>
                <w:lang w:val="ru-RU"/>
              </w:rPr>
              <w:t>Приоритет по Парижской конвенции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94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105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93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79</w:t>
            </w:r>
          </w:p>
        </w:tc>
        <w:tc>
          <w:tcPr>
            <w:tcW w:w="1169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68</w:t>
            </w:r>
          </w:p>
        </w:tc>
      </w:tr>
      <w:tr w:rsidR="001B6ED2" w:rsidRPr="00CE6FB3" w:rsidTr="00841682">
        <w:tc>
          <w:tcPr>
            <w:tcW w:w="3510" w:type="dxa"/>
          </w:tcPr>
          <w:p w:rsidR="00367344" w:rsidRPr="00CE6FB3" w:rsidRDefault="007D027E" w:rsidP="00F241A3">
            <w:pPr>
              <w:rPr>
                <w:lang w:val="ru-RU"/>
              </w:rPr>
            </w:pPr>
            <w:r w:rsidRPr="00CE6FB3">
              <w:rPr>
                <w:lang w:val="ru-RU"/>
              </w:rPr>
              <w:t>Переход на национальную фазу PCT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80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67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68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79</w:t>
            </w:r>
          </w:p>
        </w:tc>
        <w:tc>
          <w:tcPr>
            <w:tcW w:w="1169" w:type="dxa"/>
          </w:tcPr>
          <w:p w:rsidR="00367344" w:rsidRPr="00CE6FB3" w:rsidRDefault="007D027E" w:rsidP="00367344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73</w:t>
            </w:r>
          </w:p>
        </w:tc>
      </w:tr>
    </w:tbl>
    <w:p w:rsidR="00367344" w:rsidRPr="00CE6FB3" w:rsidRDefault="00ED78E8" w:rsidP="00367344">
      <w:pPr>
        <w:rPr>
          <w:lang w:val="ru-RU"/>
        </w:rPr>
      </w:pPr>
    </w:p>
    <w:p w:rsidR="00F66AAB" w:rsidRPr="00CE6FB3" w:rsidRDefault="00ED78E8" w:rsidP="00367344">
      <w:pPr>
        <w:rPr>
          <w:lang w:val="ru-RU"/>
        </w:rPr>
      </w:pPr>
    </w:p>
    <w:p w:rsidR="00367344" w:rsidRPr="00CE6FB3" w:rsidRDefault="007D027E" w:rsidP="00367344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Количество международных заявок, полученных в качестве ПВ</w:t>
      </w:r>
    </w:p>
    <w:p w:rsidR="00367344" w:rsidRPr="00CE6FB3" w:rsidRDefault="00ED78E8" w:rsidP="00367344">
      <w:pPr>
        <w:rPr>
          <w:lang w:val="ru-RU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3510"/>
        <w:gridCol w:w="1168"/>
        <w:gridCol w:w="1168"/>
        <w:gridCol w:w="1168"/>
        <w:gridCol w:w="1168"/>
        <w:gridCol w:w="1169"/>
      </w:tblGrid>
      <w:tr w:rsidR="001B6ED2" w:rsidRPr="00CE6FB3" w:rsidTr="00841682">
        <w:tc>
          <w:tcPr>
            <w:tcW w:w="3510" w:type="dxa"/>
          </w:tcPr>
          <w:p w:rsidR="00367344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Год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2012 г.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2013 г.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2014 г.</w:t>
            </w:r>
          </w:p>
        </w:tc>
        <w:tc>
          <w:tcPr>
            <w:tcW w:w="1168" w:type="dxa"/>
          </w:tcPr>
          <w:p w:rsidR="00367344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2015 г.</w:t>
            </w:r>
          </w:p>
        </w:tc>
        <w:tc>
          <w:tcPr>
            <w:tcW w:w="1169" w:type="dxa"/>
          </w:tcPr>
          <w:p w:rsidR="00367344" w:rsidRPr="00CE6FB3" w:rsidRDefault="007D027E" w:rsidP="00367344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2016 г.</w:t>
            </w:r>
          </w:p>
        </w:tc>
      </w:tr>
      <w:tr w:rsidR="001B6ED2" w:rsidRPr="00CE6FB3" w:rsidTr="00841682">
        <w:tc>
          <w:tcPr>
            <w:tcW w:w="3510" w:type="dxa"/>
          </w:tcPr>
          <w:p w:rsidR="00367344" w:rsidRPr="00CE6FB3" w:rsidRDefault="007D027E" w:rsidP="00A32EF0">
            <w:pPr>
              <w:rPr>
                <w:lang w:val="ru-RU"/>
              </w:rPr>
            </w:pPr>
            <w:r w:rsidRPr="00CE6FB3">
              <w:rPr>
                <w:lang w:val="ru-RU"/>
              </w:rPr>
              <w:t>Количество международных заявок, полученных в качестве ПВ</w:t>
            </w:r>
          </w:p>
        </w:tc>
        <w:tc>
          <w:tcPr>
            <w:tcW w:w="1168" w:type="dxa"/>
          </w:tcPr>
          <w:p w:rsidR="00367344" w:rsidRPr="00CE6FB3" w:rsidRDefault="007D027E" w:rsidP="00A32EF0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1 683</w:t>
            </w:r>
          </w:p>
        </w:tc>
        <w:tc>
          <w:tcPr>
            <w:tcW w:w="1168" w:type="dxa"/>
          </w:tcPr>
          <w:p w:rsidR="00367344" w:rsidRPr="00CE6FB3" w:rsidRDefault="007D027E" w:rsidP="00A32EF0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1 778</w:t>
            </w:r>
          </w:p>
        </w:tc>
        <w:tc>
          <w:tcPr>
            <w:tcW w:w="1168" w:type="dxa"/>
          </w:tcPr>
          <w:p w:rsidR="00367344" w:rsidRPr="00CE6FB3" w:rsidRDefault="007D027E" w:rsidP="00A32EF0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1 691</w:t>
            </w:r>
          </w:p>
        </w:tc>
        <w:tc>
          <w:tcPr>
            <w:tcW w:w="1168" w:type="dxa"/>
          </w:tcPr>
          <w:p w:rsidR="00367344" w:rsidRPr="00CE6FB3" w:rsidRDefault="007D027E" w:rsidP="00A32EF0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1 447</w:t>
            </w:r>
          </w:p>
        </w:tc>
        <w:tc>
          <w:tcPr>
            <w:tcW w:w="1169" w:type="dxa"/>
          </w:tcPr>
          <w:p w:rsidR="00367344" w:rsidRPr="00CE6FB3" w:rsidRDefault="007D027E" w:rsidP="00A32EF0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1 352</w:t>
            </w:r>
          </w:p>
        </w:tc>
      </w:tr>
    </w:tbl>
    <w:p w:rsidR="00AA5F79" w:rsidRPr="00CE6FB3" w:rsidRDefault="00ED78E8" w:rsidP="00F241A3">
      <w:pPr>
        <w:rPr>
          <w:lang w:val="ru-RU"/>
        </w:rPr>
      </w:pPr>
    </w:p>
    <w:p w:rsidR="00F66AAB" w:rsidRPr="00CE6FB3" w:rsidRDefault="00ED78E8" w:rsidP="00F241A3">
      <w:pPr>
        <w:rPr>
          <w:lang w:val="ru-RU"/>
        </w:rPr>
      </w:pPr>
    </w:p>
    <w:p w:rsidR="00AA5F79" w:rsidRPr="00CE6FB3" w:rsidRDefault="007D027E" w:rsidP="00F241A3">
      <w:pPr>
        <w:rPr>
          <w:b/>
          <w:bCs/>
          <w:szCs w:val="22"/>
          <w:lang w:val="ru-RU"/>
        </w:rPr>
      </w:pPr>
      <w:r w:rsidRPr="00CE6FB3">
        <w:rPr>
          <w:b/>
          <w:bCs/>
          <w:szCs w:val="22"/>
          <w:lang w:val="ru-RU"/>
        </w:rPr>
        <w:t>Основные ведомства/государства, в которых притязания на приоритет основываются на национальных заявках</w:t>
      </w:r>
    </w:p>
    <w:p w:rsidR="00F66AAB" w:rsidRPr="00CE6FB3" w:rsidRDefault="00ED78E8" w:rsidP="00F241A3">
      <w:pPr>
        <w:rPr>
          <w:lang w:val="ru-RU"/>
        </w:rPr>
      </w:pPr>
    </w:p>
    <w:p w:rsidR="00AA5F79" w:rsidRPr="00CE6FB3" w:rsidRDefault="007D027E" w:rsidP="00F241A3">
      <w:pPr>
        <w:rPr>
          <w:lang w:val="ru-RU"/>
        </w:rPr>
      </w:pPr>
      <w:r w:rsidRPr="00CE6FB3">
        <w:rPr>
          <w:lang w:val="ru-RU"/>
        </w:rPr>
        <w:t>SE, EP, US, CN, CA, KR, JP, AU, DE.</w:t>
      </w:r>
    </w:p>
    <w:p w:rsidR="00F66AAB" w:rsidRPr="00CE6FB3" w:rsidRDefault="00ED78E8" w:rsidP="00F241A3">
      <w:pPr>
        <w:rPr>
          <w:lang w:val="ru-RU"/>
        </w:rPr>
      </w:pPr>
    </w:p>
    <w:p w:rsidR="00F66AAB" w:rsidRPr="00CE6FB3" w:rsidRDefault="00ED78E8" w:rsidP="00F241A3">
      <w:pPr>
        <w:rPr>
          <w:lang w:val="ru-RU"/>
        </w:rPr>
      </w:pPr>
    </w:p>
    <w:p w:rsidR="00F66AAB" w:rsidRPr="00CE6FB3" w:rsidRDefault="007D027E" w:rsidP="00F66AAB">
      <w:pPr>
        <w:keepNext/>
        <w:rPr>
          <w:b/>
          <w:lang w:val="ru-RU"/>
        </w:rPr>
      </w:pPr>
      <w:r w:rsidRPr="00CE6FB3">
        <w:rPr>
          <w:b/>
          <w:bCs/>
          <w:lang w:val="ru-RU"/>
        </w:rPr>
        <w:lastRenderedPageBreak/>
        <w:t xml:space="preserve">Средний срок обработки национальной патентной заявки </w:t>
      </w:r>
    </w:p>
    <w:p w:rsidR="00F66AAB" w:rsidRPr="00CE6FB3" w:rsidRDefault="00ED78E8" w:rsidP="00F66AAB">
      <w:pPr>
        <w:keepNext/>
        <w:rPr>
          <w:b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5945"/>
        <w:gridCol w:w="1837"/>
      </w:tblGrid>
      <w:tr w:rsidR="001B6ED2" w:rsidRPr="00CE6FB3" w:rsidTr="00841682">
        <w:tc>
          <w:tcPr>
            <w:tcW w:w="1563" w:type="dxa"/>
          </w:tcPr>
          <w:p w:rsidR="00F66AAB" w:rsidRPr="00CE6FB3" w:rsidRDefault="007D027E" w:rsidP="00F66AAB">
            <w:pPr>
              <w:keepNext/>
              <w:jc w:val="center"/>
              <w:rPr>
                <w:b/>
                <w:i/>
                <w:lang w:val="ru-RU"/>
              </w:rPr>
            </w:pPr>
            <w:r w:rsidRPr="00CE6FB3">
              <w:rPr>
                <w:b/>
                <w:bCs/>
                <w:i/>
                <w:iCs/>
                <w:lang w:val="ru-RU"/>
              </w:rPr>
              <w:t>Показатель</w:t>
            </w:r>
          </w:p>
        </w:tc>
        <w:tc>
          <w:tcPr>
            <w:tcW w:w="5945" w:type="dxa"/>
          </w:tcPr>
          <w:p w:rsidR="00F66AAB" w:rsidRPr="00CE6FB3" w:rsidRDefault="00FA59B9" w:rsidP="00FA59B9">
            <w:pPr>
              <w:keepNext/>
              <w:rPr>
                <w:b/>
                <w:i/>
                <w:lang w:val="ru-RU"/>
              </w:rPr>
            </w:pPr>
            <w:r>
              <w:rPr>
                <w:b/>
                <w:bCs/>
                <w:i/>
                <w:iCs/>
                <w:lang w:val="ru-RU"/>
              </w:rPr>
              <w:t>Точка отсчета</w:t>
            </w:r>
          </w:p>
        </w:tc>
        <w:tc>
          <w:tcPr>
            <w:tcW w:w="1837" w:type="dxa"/>
          </w:tcPr>
          <w:p w:rsidR="00F66AAB" w:rsidRPr="00CE6FB3" w:rsidRDefault="007D027E" w:rsidP="00F66AAB">
            <w:pPr>
              <w:keepNext/>
              <w:jc w:val="center"/>
              <w:rPr>
                <w:b/>
                <w:i/>
                <w:lang w:val="ru-RU"/>
              </w:rPr>
            </w:pPr>
            <w:r w:rsidRPr="00CE6FB3">
              <w:rPr>
                <w:b/>
                <w:bCs/>
                <w:i/>
                <w:iCs/>
                <w:lang w:val="ru-RU"/>
              </w:rPr>
              <w:t>Срок (месяцы)</w:t>
            </w:r>
          </w:p>
        </w:tc>
      </w:tr>
      <w:tr w:rsidR="001B6ED2" w:rsidRPr="00CE6FB3" w:rsidTr="00841682">
        <w:tc>
          <w:tcPr>
            <w:tcW w:w="1563" w:type="dxa"/>
          </w:tcPr>
          <w:p w:rsidR="00F66AAB" w:rsidRPr="00CE6FB3" w:rsidRDefault="007D027E" w:rsidP="00F66AAB">
            <w:pPr>
              <w:keepNext/>
              <w:rPr>
                <w:lang w:val="ru-RU"/>
              </w:rPr>
            </w:pPr>
            <w:r w:rsidRPr="00CE6FB3">
              <w:rPr>
                <w:lang w:val="ru-RU"/>
              </w:rPr>
              <w:t>Поиск</w:t>
            </w:r>
          </w:p>
        </w:tc>
        <w:tc>
          <w:tcPr>
            <w:tcW w:w="5945" w:type="dxa"/>
          </w:tcPr>
          <w:p w:rsidR="00F66AAB" w:rsidRPr="00CE6FB3" w:rsidRDefault="007D027E" w:rsidP="00F66AAB">
            <w:pPr>
              <w:keepNext/>
              <w:rPr>
                <w:lang w:val="ru-RU"/>
              </w:rPr>
            </w:pPr>
            <w:r w:rsidRPr="00CE6FB3">
              <w:rPr>
                <w:lang w:val="ru-RU"/>
              </w:rPr>
              <w:t>Дат</w:t>
            </w:r>
            <w:r w:rsidR="00FA59B9">
              <w:rPr>
                <w:lang w:val="ru-RU"/>
              </w:rPr>
              <w:t>а</w:t>
            </w:r>
            <w:r w:rsidRPr="00CE6FB3">
              <w:rPr>
                <w:lang w:val="ru-RU"/>
              </w:rPr>
              <w:t xml:space="preserve"> первой подачи.  Расчет выполнен по отчетам о поиске за 2016 г.</w:t>
            </w:r>
          </w:p>
          <w:p w:rsidR="00F66AAB" w:rsidRPr="00CE6FB3" w:rsidRDefault="007D027E" w:rsidP="00F66AAB">
            <w:pPr>
              <w:keepNext/>
              <w:rPr>
                <w:lang w:val="ru-RU"/>
              </w:rPr>
            </w:pPr>
            <w:r w:rsidRPr="00CE6FB3">
              <w:rPr>
                <w:lang w:val="ru-RU"/>
              </w:rPr>
              <w:t>Время между днем подачи заявки и датой отчета о проведенном поиске.</w:t>
            </w:r>
          </w:p>
        </w:tc>
        <w:tc>
          <w:tcPr>
            <w:tcW w:w="1837" w:type="dxa"/>
          </w:tcPr>
          <w:p w:rsidR="00F66AAB" w:rsidRPr="00CE6FB3" w:rsidRDefault="007D027E" w:rsidP="00F66AAB">
            <w:pPr>
              <w:keepNext/>
              <w:jc w:val="center"/>
              <w:rPr>
                <w:lang w:val="ru-RU"/>
              </w:rPr>
            </w:pPr>
            <w:r w:rsidRPr="00CE6FB3">
              <w:rPr>
                <w:lang w:val="ru-RU"/>
              </w:rPr>
              <w:t>7,0</w:t>
            </w:r>
          </w:p>
        </w:tc>
      </w:tr>
      <w:tr w:rsidR="001B6ED2" w:rsidRPr="00CE6FB3" w:rsidTr="00841682">
        <w:tc>
          <w:tcPr>
            <w:tcW w:w="1563" w:type="dxa"/>
          </w:tcPr>
          <w:p w:rsidR="00F66AAB" w:rsidRPr="00CE6FB3" w:rsidRDefault="007D027E" w:rsidP="00F66AAB">
            <w:pPr>
              <w:keepNext/>
              <w:rPr>
                <w:lang w:val="ru-RU"/>
              </w:rPr>
            </w:pPr>
            <w:r w:rsidRPr="00CE6FB3">
              <w:rPr>
                <w:lang w:val="ru-RU"/>
              </w:rPr>
              <w:t>Первая экспертиза</w:t>
            </w:r>
          </w:p>
        </w:tc>
        <w:tc>
          <w:tcPr>
            <w:tcW w:w="5945" w:type="dxa"/>
          </w:tcPr>
          <w:p w:rsidR="00F66AAB" w:rsidRPr="00CE6FB3" w:rsidRDefault="00FA59B9" w:rsidP="00F66AAB">
            <w:pPr>
              <w:keepNext/>
              <w:rPr>
                <w:lang w:val="ru-RU"/>
              </w:rPr>
            </w:pPr>
            <w:r w:rsidRPr="00CE6FB3">
              <w:rPr>
                <w:lang w:val="ru-RU"/>
              </w:rPr>
              <w:t>Дат</w:t>
            </w:r>
            <w:r>
              <w:rPr>
                <w:lang w:val="ru-RU"/>
              </w:rPr>
              <w:t>а</w:t>
            </w:r>
            <w:r w:rsidRPr="00CE6FB3">
              <w:rPr>
                <w:lang w:val="ru-RU"/>
              </w:rPr>
              <w:t xml:space="preserve"> </w:t>
            </w:r>
            <w:r w:rsidR="007D027E" w:rsidRPr="00CE6FB3">
              <w:rPr>
                <w:lang w:val="ru-RU"/>
              </w:rPr>
              <w:t>первой подачи.  Время между днем подачи заявки и датой направления заявителю отчета о проведенных поиске и экспертизе в 2016 г.</w:t>
            </w:r>
          </w:p>
          <w:p w:rsidR="00F66AAB" w:rsidRPr="00CE6FB3" w:rsidRDefault="007D027E" w:rsidP="00F66AAB">
            <w:pPr>
              <w:keepNext/>
              <w:rPr>
                <w:lang w:val="ru-RU"/>
              </w:rPr>
            </w:pPr>
            <w:r w:rsidRPr="00CE6FB3">
              <w:rPr>
                <w:lang w:val="ru-RU"/>
              </w:rPr>
              <w:t>Просим обратить внимание, что поиск и экспертиза выполняются одновременно.</w:t>
            </w:r>
          </w:p>
        </w:tc>
        <w:tc>
          <w:tcPr>
            <w:tcW w:w="1837" w:type="dxa"/>
          </w:tcPr>
          <w:p w:rsidR="00F66AAB" w:rsidRPr="00CE6FB3" w:rsidRDefault="007D027E" w:rsidP="00F66AAB">
            <w:pPr>
              <w:keepNext/>
              <w:jc w:val="center"/>
              <w:rPr>
                <w:lang w:val="ru-RU"/>
              </w:rPr>
            </w:pPr>
            <w:r w:rsidRPr="00CE6FB3">
              <w:rPr>
                <w:lang w:val="ru-RU"/>
              </w:rPr>
              <w:t>7,0</w:t>
            </w:r>
          </w:p>
        </w:tc>
      </w:tr>
      <w:tr w:rsidR="001B6ED2" w:rsidRPr="00CE6FB3" w:rsidTr="00841682">
        <w:tc>
          <w:tcPr>
            <w:tcW w:w="1563" w:type="dxa"/>
          </w:tcPr>
          <w:p w:rsidR="00F66AAB" w:rsidRPr="00CE6FB3" w:rsidRDefault="007D027E" w:rsidP="00F66AAB">
            <w:pPr>
              <w:keepNext/>
              <w:rPr>
                <w:lang w:val="ru-RU"/>
              </w:rPr>
            </w:pPr>
            <w:r w:rsidRPr="00CE6FB3">
              <w:rPr>
                <w:lang w:val="ru-RU"/>
              </w:rPr>
              <w:t>Выдача патента</w:t>
            </w:r>
          </w:p>
        </w:tc>
        <w:tc>
          <w:tcPr>
            <w:tcW w:w="5945" w:type="dxa"/>
          </w:tcPr>
          <w:p w:rsidR="00F66AAB" w:rsidRPr="00CE6FB3" w:rsidRDefault="00FA59B9" w:rsidP="00F66AAB">
            <w:pPr>
              <w:keepNext/>
              <w:rPr>
                <w:lang w:val="ru-RU"/>
              </w:rPr>
            </w:pPr>
            <w:r w:rsidRPr="00CE6FB3">
              <w:rPr>
                <w:lang w:val="ru-RU"/>
              </w:rPr>
              <w:t>Дат</w:t>
            </w:r>
            <w:r>
              <w:rPr>
                <w:lang w:val="ru-RU"/>
              </w:rPr>
              <w:t>а</w:t>
            </w:r>
            <w:r w:rsidRPr="00CE6FB3">
              <w:rPr>
                <w:lang w:val="ru-RU"/>
              </w:rPr>
              <w:t xml:space="preserve"> </w:t>
            </w:r>
            <w:r w:rsidR="007D027E" w:rsidRPr="00CE6FB3">
              <w:rPr>
                <w:lang w:val="ru-RU"/>
              </w:rPr>
              <w:t>первой подачи.  Расчет выполнен по удовлетворенным заявкам за 2016 г</w:t>
            </w:r>
          </w:p>
          <w:p w:rsidR="00F66AAB" w:rsidRPr="00CE6FB3" w:rsidRDefault="007D027E" w:rsidP="00F66AAB">
            <w:pPr>
              <w:keepNext/>
              <w:rPr>
                <w:lang w:val="ru-RU"/>
              </w:rPr>
            </w:pPr>
            <w:r w:rsidRPr="00CE6FB3">
              <w:rPr>
                <w:lang w:val="ru-RU"/>
              </w:rPr>
              <w:t>Время между днем подачи заявки и датой выдачи и публикации патента.</w:t>
            </w:r>
          </w:p>
        </w:tc>
        <w:tc>
          <w:tcPr>
            <w:tcW w:w="1837" w:type="dxa"/>
          </w:tcPr>
          <w:p w:rsidR="00F66AAB" w:rsidRPr="00CE6FB3" w:rsidRDefault="007D027E" w:rsidP="00F66AAB">
            <w:pPr>
              <w:keepNext/>
              <w:jc w:val="center"/>
              <w:rPr>
                <w:lang w:val="ru-RU"/>
              </w:rPr>
            </w:pPr>
            <w:r w:rsidRPr="00CE6FB3">
              <w:rPr>
                <w:lang w:val="ru-RU"/>
              </w:rPr>
              <w:t>28,9</w:t>
            </w:r>
          </w:p>
        </w:tc>
      </w:tr>
    </w:tbl>
    <w:p w:rsidR="00AA5F79" w:rsidRPr="00CE6FB3" w:rsidRDefault="00ED78E8" w:rsidP="00F241A3">
      <w:pPr>
        <w:rPr>
          <w:lang w:val="ru-RU"/>
        </w:rPr>
      </w:pPr>
    </w:p>
    <w:p w:rsidR="00AA5F79" w:rsidRPr="00CE6FB3" w:rsidRDefault="00ED78E8" w:rsidP="00F241A3">
      <w:pPr>
        <w:rPr>
          <w:lang w:val="ru-RU"/>
        </w:rPr>
      </w:pPr>
    </w:p>
    <w:p w:rsidR="00F66AAB" w:rsidRPr="00CE6FB3" w:rsidRDefault="007D027E" w:rsidP="00F66AAB">
      <w:pPr>
        <w:rPr>
          <w:b/>
          <w:lang w:val="ru-RU"/>
        </w:rPr>
      </w:pPr>
      <w:r w:rsidRPr="00CE6FB3">
        <w:rPr>
          <w:b/>
          <w:bCs/>
          <w:lang w:val="ru-RU"/>
        </w:rPr>
        <w:t>Объем незавершенной работы ведомства</w:t>
      </w:r>
    </w:p>
    <w:p w:rsidR="00AA5F79" w:rsidRPr="00CE6FB3" w:rsidRDefault="00ED78E8" w:rsidP="00F241A3">
      <w:pPr>
        <w:rPr>
          <w:lang w:val="ru-RU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6345"/>
        <w:gridCol w:w="3261"/>
      </w:tblGrid>
      <w:tr w:rsidR="001B6ED2" w:rsidRPr="00CE6FB3" w:rsidTr="00F66AAB">
        <w:tc>
          <w:tcPr>
            <w:tcW w:w="6345" w:type="dxa"/>
          </w:tcPr>
          <w:p w:rsidR="00F66AAB" w:rsidRPr="00CE6FB3" w:rsidRDefault="007D027E" w:rsidP="00A32EF0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Показатель</w:t>
            </w:r>
          </w:p>
        </w:tc>
        <w:tc>
          <w:tcPr>
            <w:tcW w:w="3261" w:type="dxa"/>
          </w:tcPr>
          <w:p w:rsidR="00F66AAB" w:rsidRPr="00CE6FB3" w:rsidRDefault="007D027E" w:rsidP="00A32EF0">
            <w:pPr>
              <w:jc w:val="center"/>
              <w:rPr>
                <w:b/>
                <w:lang w:val="ru-RU"/>
              </w:rPr>
            </w:pPr>
            <w:r w:rsidRPr="00CE6FB3">
              <w:rPr>
                <w:b/>
                <w:bCs/>
                <w:lang w:val="ru-RU"/>
              </w:rPr>
              <w:t>Количество заявок</w:t>
            </w:r>
          </w:p>
        </w:tc>
      </w:tr>
      <w:tr w:rsidR="001B6ED2" w:rsidRPr="00CE6FB3" w:rsidTr="00F66AAB">
        <w:tc>
          <w:tcPr>
            <w:tcW w:w="6345" w:type="dxa"/>
          </w:tcPr>
          <w:p w:rsidR="00F66AAB" w:rsidRPr="00CE6FB3" w:rsidRDefault="007D027E" w:rsidP="00A32EF0">
            <w:pPr>
              <w:rPr>
                <w:lang w:val="ru-RU"/>
              </w:rPr>
            </w:pPr>
            <w:r w:rsidRPr="00CE6FB3">
              <w:rPr>
                <w:lang w:val="ru-RU"/>
              </w:rPr>
              <w:t>Все заявки, находящиеся на рассмотрении</w:t>
            </w:r>
          </w:p>
        </w:tc>
        <w:tc>
          <w:tcPr>
            <w:tcW w:w="3261" w:type="dxa"/>
          </w:tcPr>
          <w:p w:rsidR="00F66AAB" w:rsidRPr="00CE6FB3" w:rsidRDefault="007D027E" w:rsidP="00A32EF0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4 174</w:t>
            </w:r>
          </w:p>
        </w:tc>
      </w:tr>
      <w:tr w:rsidR="001B6ED2" w:rsidRPr="00CE6FB3" w:rsidTr="00F66AAB">
        <w:tc>
          <w:tcPr>
            <w:tcW w:w="6345" w:type="dxa"/>
          </w:tcPr>
          <w:p w:rsidR="00F66AAB" w:rsidRPr="00CE6FB3" w:rsidRDefault="007D027E" w:rsidP="00A32EF0">
            <w:pPr>
              <w:rPr>
                <w:lang w:val="ru-RU"/>
              </w:rPr>
            </w:pPr>
            <w:r w:rsidRPr="00CE6FB3">
              <w:rPr>
                <w:lang w:val="ru-RU"/>
              </w:rPr>
              <w:t>Заявки в ожидании патентного поиска (пошлины за который уже уплачены)</w:t>
            </w:r>
          </w:p>
        </w:tc>
        <w:tc>
          <w:tcPr>
            <w:tcW w:w="3261" w:type="dxa"/>
          </w:tcPr>
          <w:p w:rsidR="00F66AAB" w:rsidRPr="00CE6FB3" w:rsidRDefault="007D027E" w:rsidP="00A32EF0">
            <w:pPr>
              <w:jc w:val="right"/>
              <w:rPr>
                <w:lang w:val="ru-RU"/>
              </w:rPr>
            </w:pPr>
            <w:r w:rsidRPr="00CE6FB3">
              <w:rPr>
                <w:lang w:val="ru-RU"/>
              </w:rPr>
              <w:t>1 241</w:t>
            </w:r>
          </w:p>
        </w:tc>
      </w:tr>
    </w:tbl>
    <w:p w:rsidR="00AA5F79" w:rsidRPr="00CE6FB3" w:rsidRDefault="00ED78E8" w:rsidP="00F241A3">
      <w:pPr>
        <w:rPr>
          <w:lang w:val="ru-RU"/>
        </w:rPr>
      </w:pPr>
    </w:p>
    <w:p w:rsidR="00AF3C58" w:rsidRPr="00CE6FB3" w:rsidRDefault="00ED78E8" w:rsidP="00AF3C58">
      <w:pPr>
        <w:rPr>
          <w:lang w:val="ru-RU"/>
        </w:rPr>
      </w:pPr>
    </w:p>
    <w:p w:rsidR="00AF3C58" w:rsidRPr="00CE6FB3" w:rsidRDefault="007D027E" w:rsidP="00AF3C58">
      <w:pPr>
        <w:pStyle w:val="SectionHeading"/>
        <w:rPr>
          <w:sz w:val="22"/>
          <w:szCs w:val="22"/>
          <w:lang w:val="ru-RU"/>
        </w:rPr>
      </w:pPr>
      <w:r w:rsidRPr="00CE6FB3">
        <w:rPr>
          <w:sz w:val="22"/>
          <w:szCs w:val="22"/>
          <w:lang w:val="ru-RU"/>
        </w:rPr>
        <w:t>7 – Требуемая поддержка</w:t>
      </w:r>
    </w:p>
    <w:p w:rsidR="00AF3C58" w:rsidRPr="00CE6FB3" w:rsidRDefault="007D027E" w:rsidP="00AF3C58">
      <w:pPr>
        <w:rPr>
          <w:iCs/>
          <w:lang w:val="ru-RU"/>
        </w:rPr>
      </w:pPr>
      <w:r w:rsidRPr="00CE6FB3">
        <w:rPr>
          <w:iCs/>
          <w:lang w:val="ru-RU"/>
        </w:rPr>
        <w:t>Особой поддержки не требуется</w:t>
      </w:r>
      <w:r w:rsidR="00FA59B9">
        <w:rPr>
          <w:iCs/>
          <w:lang w:val="ru-RU"/>
        </w:rPr>
        <w:t>.</w:t>
      </w:r>
    </w:p>
    <w:p w:rsidR="00AF3C58" w:rsidRPr="00CE6FB3" w:rsidRDefault="00ED78E8" w:rsidP="00AF3C58">
      <w:pPr>
        <w:rPr>
          <w:lang w:val="ru-RU"/>
        </w:rPr>
      </w:pPr>
    </w:p>
    <w:p w:rsidR="00AF3C58" w:rsidRPr="00CE6FB3" w:rsidRDefault="007D027E" w:rsidP="00AF3C58">
      <w:pPr>
        <w:pStyle w:val="SectionHeading"/>
        <w:rPr>
          <w:sz w:val="22"/>
          <w:szCs w:val="22"/>
          <w:lang w:val="ru-RU"/>
        </w:rPr>
      </w:pPr>
      <w:r w:rsidRPr="00CE6FB3">
        <w:rPr>
          <w:sz w:val="22"/>
          <w:szCs w:val="22"/>
          <w:lang w:val="ru-RU"/>
        </w:rPr>
        <w:t>8 – Прочее</w:t>
      </w:r>
    </w:p>
    <w:p w:rsidR="00AF3C58" w:rsidRPr="00CE6FB3" w:rsidRDefault="007D027E" w:rsidP="00AF3C58">
      <w:pPr>
        <w:rPr>
          <w:iCs/>
          <w:szCs w:val="22"/>
          <w:lang w:val="ru-RU"/>
        </w:rPr>
      </w:pPr>
      <w:r w:rsidRPr="00CE6FB3">
        <w:rPr>
          <w:iCs/>
          <w:szCs w:val="22"/>
          <w:lang w:val="ru-RU"/>
        </w:rPr>
        <w:t>Не применимо</w:t>
      </w:r>
      <w:r w:rsidR="00FA59B9">
        <w:rPr>
          <w:iCs/>
          <w:szCs w:val="22"/>
          <w:lang w:val="ru-RU"/>
        </w:rPr>
        <w:t>.</w:t>
      </w:r>
    </w:p>
    <w:p w:rsidR="00AF3C58" w:rsidRPr="00CE6FB3" w:rsidRDefault="00ED78E8" w:rsidP="00AF3C58">
      <w:pPr>
        <w:rPr>
          <w:szCs w:val="22"/>
          <w:lang w:val="ru-RU"/>
        </w:rPr>
      </w:pPr>
    </w:p>
    <w:p w:rsidR="00AF3C58" w:rsidRPr="00CE6FB3" w:rsidRDefault="007D027E" w:rsidP="00AF3C58">
      <w:pPr>
        <w:pStyle w:val="SectionHeading"/>
        <w:rPr>
          <w:sz w:val="22"/>
          <w:szCs w:val="22"/>
          <w:lang w:val="ru-RU"/>
        </w:rPr>
      </w:pPr>
      <w:r w:rsidRPr="00CE6FB3">
        <w:rPr>
          <w:sz w:val="22"/>
          <w:szCs w:val="22"/>
          <w:lang w:val="ru-RU"/>
        </w:rPr>
        <w:t>9 – Оценка другими органами</w:t>
      </w:r>
    </w:p>
    <w:p w:rsidR="00AF3C58" w:rsidRPr="00CE6FB3" w:rsidRDefault="007D027E" w:rsidP="00AF3C58">
      <w:pPr>
        <w:rPr>
          <w:szCs w:val="22"/>
          <w:lang w:val="ru-RU"/>
        </w:rPr>
      </w:pPr>
      <w:r w:rsidRPr="00CE6FB3">
        <w:rPr>
          <w:szCs w:val="22"/>
          <w:lang w:val="ru-RU"/>
        </w:rPr>
        <w:t xml:space="preserve">За годы своей работы PRV провело несколько мероприятий по оценке своей деятельности в сравнении с другими международными органами.  В будущем PRV продолжит такую работу и </w:t>
      </w:r>
      <w:r w:rsidR="00FA59B9">
        <w:rPr>
          <w:szCs w:val="22"/>
          <w:lang w:val="ru-RU"/>
        </w:rPr>
        <w:t>принимает предложения</w:t>
      </w:r>
      <w:r w:rsidRPr="00CE6FB3">
        <w:rPr>
          <w:szCs w:val="22"/>
          <w:lang w:val="ru-RU"/>
        </w:rPr>
        <w:t xml:space="preserve"> </w:t>
      </w:r>
      <w:r w:rsidR="00FA59B9">
        <w:rPr>
          <w:szCs w:val="22"/>
          <w:lang w:val="ru-RU"/>
        </w:rPr>
        <w:t xml:space="preserve">о </w:t>
      </w:r>
      <w:r w:rsidR="00FA59B9" w:rsidRPr="00CE6FB3">
        <w:rPr>
          <w:szCs w:val="22"/>
          <w:lang w:val="ru-RU"/>
        </w:rPr>
        <w:t>схем</w:t>
      </w:r>
      <w:r w:rsidR="00FA59B9">
        <w:rPr>
          <w:szCs w:val="22"/>
          <w:lang w:val="ru-RU"/>
        </w:rPr>
        <w:t>ах</w:t>
      </w:r>
      <w:r w:rsidR="00FA59B9" w:rsidRPr="00CE6FB3">
        <w:rPr>
          <w:szCs w:val="22"/>
          <w:lang w:val="ru-RU"/>
        </w:rPr>
        <w:t xml:space="preserve"> взаимной оценки </w:t>
      </w:r>
      <w:r w:rsidRPr="00CE6FB3">
        <w:rPr>
          <w:szCs w:val="22"/>
          <w:lang w:val="ru-RU"/>
        </w:rPr>
        <w:t>от любых международ</w:t>
      </w:r>
      <w:r w:rsidR="00FA59B9">
        <w:rPr>
          <w:szCs w:val="22"/>
          <w:lang w:val="ru-RU"/>
        </w:rPr>
        <w:t>ных или национальных ведомств</w:t>
      </w:r>
      <w:r w:rsidRPr="00CE6FB3">
        <w:rPr>
          <w:szCs w:val="22"/>
          <w:lang w:val="ru-RU"/>
        </w:rPr>
        <w:t>.  С 2018 г. PRV будет участвовать в оценке, предложенной Канадским ведомством ИС (CIPO), которая будет проводиться в рамках совещания Подгруппы обеспечения качества.</w:t>
      </w:r>
    </w:p>
    <w:p w:rsidR="00AF3C58" w:rsidRPr="00CE6FB3" w:rsidRDefault="00ED78E8" w:rsidP="000A7B95">
      <w:pPr>
        <w:rPr>
          <w:szCs w:val="22"/>
          <w:lang w:val="ru-RU"/>
        </w:rPr>
      </w:pPr>
    </w:p>
    <w:p w:rsidR="00F241A3" w:rsidRPr="00CE6FB3" w:rsidRDefault="00ED78E8" w:rsidP="00F241A3">
      <w:pPr>
        <w:rPr>
          <w:lang w:val="ru-RU"/>
        </w:rPr>
      </w:pPr>
    </w:p>
    <w:p w:rsidR="00AA5F79" w:rsidRPr="00CE6FB3" w:rsidRDefault="007D027E" w:rsidP="00FA4CE0">
      <w:pPr>
        <w:pStyle w:val="Endofdocument-Annex"/>
        <w:rPr>
          <w:lang w:val="ru-RU"/>
        </w:rPr>
      </w:pPr>
      <w:r w:rsidRPr="00CE6FB3">
        <w:rPr>
          <w:lang w:val="ru-RU"/>
        </w:rPr>
        <w:t>[Конец приложения и документа]</w:t>
      </w:r>
    </w:p>
    <w:sectPr w:rsidR="00AA5F79" w:rsidRPr="00CE6FB3" w:rsidSect="00AA5F79">
      <w:headerReference w:type="default" r:id="rId13"/>
      <w:headerReference w:type="first" r:id="rId14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27E" w:rsidRDefault="007D027E">
      <w:r>
        <w:separator/>
      </w:r>
    </w:p>
  </w:endnote>
  <w:endnote w:type="continuationSeparator" w:id="0">
    <w:p w:rsidR="007D027E" w:rsidRDefault="007D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27E" w:rsidRDefault="007D027E">
      <w:r>
        <w:separator/>
      </w:r>
    </w:p>
  </w:footnote>
  <w:footnote w:type="continuationSeparator" w:id="0">
    <w:p w:rsidR="007D027E" w:rsidRDefault="007D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D027E" w:rsidP="00477D6B">
    <w:pPr>
      <w:jc w:val="right"/>
    </w:pPr>
    <w:bookmarkStart w:id="6" w:name="Code2"/>
    <w:bookmarkEnd w:id="6"/>
    <w:r>
      <w:rPr>
        <w:lang w:val="ru-RU"/>
      </w:rPr>
      <w:t>PCT/CTC/30/xx</w:t>
    </w:r>
  </w:p>
  <w:p w:rsidR="00EC4E49" w:rsidRDefault="007D027E" w:rsidP="00477D6B">
    <w:pPr>
      <w:jc w:val="right"/>
    </w:pPr>
    <w:r>
      <w:rPr>
        <w:lang w:val="ru-RU"/>
      </w:rP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EC4E49" w:rsidRDefault="00ED78E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79" w:rsidRPr="001755A1" w:rsidRDefault="007D027E" w:rsidP="00477D6B">
    <w:pPr>
      <w:jc w:val="right"/>
      <w:rPr>
        <w:lang w:val="en-GB"/>
      </w:rPr>
    </w:pPr>
    <w:r w:rsidRPr="00AA5F79">
      <w:rPr>
        <w:lang w:val="ru-RU"/>
      </w:rPr>
      <w:t>PCT/CTC/30/18</w:t>
    </w:r>
  </w:p>
  <w:p w:rsidR="00AA5F79" w:rsidRPr="00AA5F79" w:rsidRDefault="007D027E" w:rsidP="00477D6B">
    <w:pPr>
      <w:jc w:val="right"/>
      <w:rPr>
        <w:lang w:val="fr-FR"/>
      </w:rPr>
    </w:pPr>
    <w:r w:rsidRPr="001755A1">
      <w:rPr>
        <w:lang w:val="ru-RU"/>
      </w:rPr>
      <w:t xml:space="preserve">Приложение, стр. 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ED78E8">
      <w:rPr>
        <w:noProof/>
        <w:lang w:val="fr-FR"/>
      </w:rPr>
      <w:t>8</w:t>
    </w:r>
    <w:r>
      <w:fldChar w:fldCharType="end"/>
    </w:r>
  </w:p>
  <w:p w:rsidR="00AA5F79" w:rsidRPr="00AA5F79" w:rsidRDefault="00ED78E8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79" w:rsidRDefault="007D027E" w:rsidP="00AA5F79">
    <w:pPr>
      <w:pStyle w:val="Header"/>
      <w:jc w:val="right"/>
    </w:pPr>
    <w:r>
      <w:rPr>
        <w:lang w:val="ru-RU"/>
      </w:rPr>
      <w:t>PCT/CTC/30/18</w:t>
    </w:r>
  </w:p>
  <w:p w:rsidR="00AA5F79" w:rsidRDefault="007D027E" w:rsidP="00AA5F79">
    <w:pPr>
      <w:pStyle w:val="Header"/>
      <w:jc w:val="right"/>
    </w:pPr>
    <w:r>
      <w:rPr>
        <w:lang w:val="ru-RU"/>
      </w:rPr>
      <w:t>ПРИЛОЖЕНИЕ</w:t>
    </w:r>
  </w:p>
  <w:p w:rsidR="00AA5F79" w:rsidRDefault="00ED78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9C54F2BC">
      <w:start w:val="1"/>
      <w:numFmt w:val="decimal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D4A0A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D4E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D69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7A5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87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44BF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5C67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AB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D2"/>
    <w:rsid w:val="001B6ED2"/>
    <w:rsid w:val="0066024A"/>
    <w:rsid w:val="007D027E"/>
    <w:rsid w:val="00841682"/>
    <w:rsid w:val="008C7A16"/>
    <w:rsid w:val="00956A3A"/>
    <w:rsid w:val="009D6EFD"/>
    <w:rsid w:val="00A353E7"/>
    <w:rsid w:val="00B25538"/>
    <w:rsid w:val="00CE6FB3"/>
    <w:rsid w:val="00ED78E8"/>
    <w:rsid w:val="00FA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SectionHeadingChar">
    <w:name w:val="Section Heading Char"/>
    <w:link w:val="SectionHeading"/>
    <w:locked/>
    <w:rsid w:val="00A8418E"/>
    <w:rPr>
      <w:rFonts w:ascii="Arial" w:hAnsi="Arial" w:cs="Arial"/>
      <w:b/>
      <w:bCs/>
      <w:caps/>
      <w:kern w:val="32"/>
      <w:szCs w:val="3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A8418E"/>
    <w:pPr>
      <w:pBdr>
        <w:top w:val="single" w:sz="4" w:space="1" w:color="auto"/>
        <w:bottom w:val="single" w:sz="4" w:space="1" w:color="auto"/>
      </w:pBdr>
      <w:spacing w:before="360" w:after="200"/>
    </w:pPr>
    <w:rPr>
      <w:rFonts w:eastAsia="Times New Roman"/>
      <w:sz w:val="20"/>
    </w:rPr>
  </w:style>
  <w:style w:type="character" w:styleId="Hyperlink">
    <w:name w:val="Hyperlink"/>
    <w:basedOn w:val="DefaultParagraphFont"/>
    <w:rsid w:val="00DF53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D5802"/>
    <w:rPr>
      <w:color w:val="800080" w:themeColor="followedHyperlink"/>
      <w:u w:val="single"/>
    </w:rPr>
  </w:style>
  <w:style w:type="table" w:styleId="TableGrid">
    <w:name w:val="Table Grid"/>
    <w:basedOn w:val="TableNormal"/>
    <w:rsid w:val="0000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SectionHeadingChar">
    <w:name w:val="Section Heading Char"/>
    <w:link w:val="SectionHeading"/>
    <w:locked/>
    <w:rsid w:val="00A8418E"/>
    <w:rPr>
      <w:rFonts w:ascii="Arial" w:hAnsi="Arial" w:cs="Arial"/>
      <w:b/>
      <w:bCs/>
      <w:caps/>
      <w:kern w:val="32"/>
      <w:szCs w:val="32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A8418E"/>
    <w:pPr>
      <w:pBdr>
        <w:top w:val="single" w:sz="4" w:space="1" w:color="auto"/>
        <w:bottom w:val="single" w:sz="4" w:space="1" w:color="auto"/>
      </w:pBdr>
      <w:spacing w:before="360" w:after="200"/>
    </w:pPr>
    <w:rPr>
      <w:rFonts w:eastAsia="Times New Roman"/>
      <w:sz w:val="20"/>
    </w:rPr>
  </w:style>
  <w:style w:type="character" w:styleId="Hyperlink">
    <w:name w:val="Hyperlink"/>
    <w:basedOn w:val="DefaultParagraphFont"/>
    <w:rsid w:val="00DF53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D5802"/>
    <w:rPr>
      <w:color w:val="800080" w:themeColor="followedHyperlink"/>
      <w:u w:val="single"/>
    </w:rPr>
  </w:style>
  <w:style w:type="table" w:styleId="TableGrid">
    <w:name w:val="Table Grid"/>
    <w:basedOn w:val="TableNormal"/>
    <w:rsid w:val="0000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ipo.int/pct/en/quality/authorities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D312A-DA6D-448A-AF02-12B703D0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2058</Words>
  <Characters>13801</Characters>
  <Application>Microsoft Office Word</Application>
  <DocSecurity>0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PCT/CTC/30/18</vt:lpstr>
    </vt:vector>
  </TitlesOfParts>
  <Company>WIPO</Company>
  <LinksUpToDate>false</LinksUpToDate>
  <CharactersWithSpaces>15828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PCT/CTC/30/18</dc:title>
  <dc:subject>Extension of Appointment of the Swedish Patent and Registration Office as an International Searching and Preliminary Examining Authority Under the PCT</dc:subject>
  <dc:creator>MARLOW Thomas</dc:creator>
  <cp:lastModifiedBy>MARLOW Thomas</cp:lastModifiedBy>
  <cp:revision>3</cp:revision>
  <cp:lastPrinted>2017-03-14T14:26:00Z</cp:lastPrinted>
  <dcterms:created xsi:type="dcterms:W3CDTF">2017-04-05T16:55:00Z</dcterms:created>
  <dcterms:modified xsi:type="dcterms:W3CDTF">2017-04-05T16:56:00Z</dcterms:modified>
</cp:coreProperties>
</file>