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65FD3" w:rsidTr="000328E4">
        <w:tc>
          <w:tcPr>
            <w:tcW w:w="4513" w:type="dxa"/>
            <w:shd w:val="clear" w:color="auto" w:fill="auto"/>
            <w:tcMar>
              <w:bottom w:w="170" w:type="dxa"/>
            </w:tcMar>
          </w:tcPr>
          <w:p w:rsidR="00EC4E49" w:rsidRPr="003178FE" w:rsidRDefault="00EC4E49" w:rsidP="00916EE2"/>
        </w:tc>
        <w:tc>
          <w:tcPr>
            <w:tcW w:w="4337" w:type="dxa"/>
            <w:shd w:val="clear" w:color="auto" w:fill="auto"/>
            <w:tcMar>
              <w:left w:w="0" w:type="dxa"/>
              <w:right w:w="0" w:type="dxa"/>
            </w:tcMar>
          </w:tcPr>
          <w:p w:rsidR="00EC4E49" w:rsidRPr="00465FD3" w:rsidRDefault="001C42B8" w:rsidP="00916EE2">
            <w:r w:rsidRPr="009263C2">
              <w:rPr>
                <w:noProof/>
                <w:lang w:val="en-US" w:eastAsia="en-US" w:bidi="ar-SA"/>
              </w:rPr>
              <w:drawing>
                <wp:inline distT="0" distB="0" distL="0" distR="0" wp14:anchorId="61982CCC" wp14:editId="25FB6DF2">
                  <wp:extent cx="1809750" cy="1343025"/>
                  <wp:effectExtent l="0" t="0" r="0" b="952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shd w:val="clear" w:color="auto" w:fill="auto"/>
            <w:tcMar>
              <w:left w:w="0" w:type="dxa"/>
              <w:right w:w="0" w:type="dxa"/>
            </w:tcMar>
          </w:tcPr>
          <w:p w:rsidR="00EC4E49" w:rsidRPr="00465FD3" w:rsidRDefault="00EC4E49" w:rsidP="00916EE2">
            <w:pPr>
              <w:jc w:val="right"/>
            </w:pPr>
            <w:r w:rsidRPr="00465FD3">
              <w:rPr>
                <w:b/>
                <w:sz w:val="40"/>
              </w:rPr>
              <w:t>R</w:t>
            </w:r>
          </w:p>
        </w:tc>
      </w:tr>
      <w:tr w:rsidR="008B2CC1" w:rsidRPr="00465FD3" w:rsidTr="000328E4">
        <w:trPr>
          <w:trHeight w:hRule="exact" w:val="357"/>
        </w:trPr>
        <w:tc>
          <w:tcPr>
            <w:tcW w:w="9356" w:type="dxa"/>
            <w:gridSpan w:val="3"/>
            <w:shd w:val="clear" w:color="auto" w:fill="auto"/>
            <w:tcMar>
              <w:top w:w="170" w:type="dxa"/>
              <w:left w:w="0" w:type="dxa"/>
              <w:right w:w="0" w:type="dxa"/>
            </w:tcMar>
            <w:vAlign w:val="bottom"/>
          </w:tcPr>
          <w:p w:rsidR="008B2CC1" w:rsidRPr="00465FD3" w:rsidRDefault="00BD078D" w:rsidP="00BD078D">
            <w:pPr>
              <w:jc w:val="right"/>
              <w:rPr>
                <w:rFonts w:ascii="Arial Black" w:hAnsi="Arial Black"/>
                <w:caps/>
                <w:sz w:val="15"/>
              </w:rPr>
            </w:pPr>
            <w:r w:rsidRPr="00465FD3">
              <w:rPr>
                <w:rFonts w:ascii="Arial Black" w:hAnsi="Arial Black"/>
                <w:caps/>
                <w:sz w:val="15"/>
              </w:rPr>
              <w:t>PCT/CTC/30/6</w:t>
            </w:r>
          </w:p>
        </w:tc>
      </w:tr>
      <w:tr w:rsidR="008B2CC1" w:rsidRPr="00465FD3" w:rsidTr="000328E4">
        <w:trPr>
          <w:trHeight w:hRule="exact" w:val="170"/>
        </w:trPr>
        <w:tc>
          <w:tcPr>
            <w:tcW w:w="9356" w:type="dxa"/>
            <w:gridSpan w:val="3"/>
            <w:shd w:val="clear" w:color="auto" w:fill="auto"/>
            <w:noWrap/>
            <w:tcMar>
              <w:left w:w="0" w:type="dxa"/>
              <w:right w:w="0" w:type="dxa"/>
            </w:tcMar>
            <w:vAlign w:val="bottom"/>
          </w:tcPr>
          <w:p w:rsidR="008B2CC1" w:rsidRPr="00465FD3" w:rsidRDefault="008B2CC1" w:rsidP="00CD04F1">
            <w:pPr>
              <w:jc w:val="right"/>
              <w:rPr>
                <w:rFonts w:ascii="Arial Black" w:hAnsi="Arial Black"/>
                <w:caps/>
                <w:sz w:val="15"/>
              </w:rPr>
            </w:pPr>
            <w:r w:rsidRPr="00465FD3">
              <w:rPr>
                <w:rFonts w:ascii="Arial Black" w:hAnsi="Arial Black"/>
                <w:caps/>
                <w:sz w:val="15"/>
              </w:rPr>
              <w:t>ОРИГИНАЛ</w:t>
            </w:r>
            <w:r w:rsidR="00465FD3">
              <w:rPr>
                <w:rFonts w:ascii="Arial Black" w:hAnsi="Arial Black"/>
                <w:caps/>
                <w:sz w:val="15"/>
              </w:rPr>
              <w:t>:  а</w:t>
            </w:r>
            <w:r w:rsidRPr="00465FD3">
              <w:rPr>
                <w:rFonts w:ascii="Arial Black" w:hAnsi="Arial Black"/>
                <w:caps/>
                <w:sz w:val="15"/>
              </w:rPr>
              <w:t>нглийский</w:t>
            </w:r>
          </w:p>
        </w:tc>
      </w:tr>
      <w:tr w:rsidR="008B2CC1" w:rsidRPr="00465FD3" w:rsidTr="000328E4">
        <w:trPr>
          <w:trHeight w:hRule="exact" w:val="198"/>
        </w:trPr>
        <w:tc>
          <w:tcPr>
            <w:tcW w:w="9356" w:type="dxa"/>
            <w:gridSpan w:val="3"/>
            <w:shd w:val="clear" w:color="auto" w:fill="auto"/>
            <w:tcMar>
              <w:left w:w="0" w:type="dxa"/>
              <w:right w:w="0" w:type="dxa"/>
            </w:tcMar>
            <w:vAlign w:val="bottom"/>
          </w:tcPr>
          <w:p w:rsidR="008B2CC1" w:rsidRPr="00465FD3" w:rsidRDefault="008B2CC1" w:rsidP="007C0F8E">
            <w:pPr>
              <w:jc w:val="right"/>
              <w:rPr>
                <w:rFonts w:ascii="Arial Black" w:hAnsi="Arial Black"/>
                <w:caps/>
                <w:sz w:val="15"/>
              </w:rPr>
            </w:pPr>
            <w:r w:rsidRPr="00465FD3">
              <w:rPr>
                <w:rFonts w:ascii="Arial Black" w:hAnsi="Arial Black"/>
                <w:caps/>
                <w:sz w:val="15"/>
              </w:rPr>
              <w:t>ДАТА</w:t>
            </w:r>
            <w:r w:rsidR="00465FD3">
              <w:rPr>
                <w:rFonts w:ascii="Arial Black" w:hAnsi="Arial Black"/>
                <w:caps/>
                <w:sz w:val="15"/>
              </w:rPr>
              <w:t>:  1</w:t>
            </w:r>
            <w:r w:rsidRPr="00465FD3">
              <w:rPr>
                <w:rFonts w:ascii="Arial Black" w:hAnsi="Arial Black"/>
                <w:caps/>
                <w:sz w:val="15"/>
              </w:rPr>
              <w:t>6 марта 2017 г.</w:t>
            </w:r>
          </w:p>
        </w:tc>
      </w:tr>
    </w:tbl>
    <w:p w:rsidR="008B2CC1" w:rsidRPr="00465FD3" w:rsidRDefault="008B2CC1" w:rsidP="008B2CC1"/>
    <w:p w:rsidR="008B2CC1" w:rsidRPr="00465FD3" w:rsidRDefault="008B2CC1" w:rsidP="008B2CC1"/>
    <w:p w:rsidR="008B2CC1" w:rsidRPr="00465FD3" w:rsidRDefault="008B2CC1" w:rsidP="008B2CC1"/>
    <w:p w:rsidR="008B2CC1" w:rsidRPr="00465FD3" w:rsidRDefault="008B2CC1" w:rsidP="008B2CC1"/>
    <w:p w:rsidR="008B2CC1" w:rsidRPr="00465FD3" w:rsidRDefault="008B2CC1" w:rsidP="008B2CC1"/>
    <w:p w:rsidR="008B2CC1" w:rsidRPr="00E04056" w:rsidRDefault="00BD078D" w:rsidP="008B2CC1">
      <w:pPr>
        <w:rPr>
          <w:b/>
          <w:sz w:val="28"/>
          <w:szCs w:val="28"/>
        </w:rPr>
      </w:pPr>
      <w:r w:rsidRPr="00465FD3">
        <w:rPr>
          <w:b/>
          <w:sz w:val="28"/>
        </w:rPr>
        <w:t>Договор о патентной кооперации (РСТ)</w:t>
      </w:r>
    </w:p>
    <w:p w:rsidR="00BD078D" w:rsidRPr="00465FD3" w:rsidRDefault="00BD078D" w:rsidP="008B2CC1">
      <w:pPr>
        <w:rPr>
          <w:b/>
          <w:sz w:val="28"/>
          <w:szCs w:val="28"/>
        </w:rPr>
      </w:pPr>
      <w:r w:rsidRPr="00465FD3">
        <w:rPr>
          <w:b/>
          <w:sz w:val="28"/>
        </w:rPr>
        <w:t>Комитет по техническому сотрудничеству</w:t>
      </w:r>
    </w:p>
    <w:p w:rsidR="003845C1" w:rsidRPr="00465FD3" w:rsidRDefault="003845C1" w:rsidP="003845C1"/>
    <w:p w:rsidR="003845C1" w:rsidRPr="00465FD3" w:rsidRDefault="003845C1" w:rsidP="003845C1"/>
    <w:p w:rsidR="008B2CC1" w:rsidRPr="00465FD3" w:rsidRDefault="00BD078D" w:rsidP="008B2CC1">
      <w:pPr>
        <w:rPr>
          <w:b/>
          <w:sz w:val="24"/>
          <w:szCs w:val="24"/>
        </w:rPr>
      </w:pPr>
      <w:r w:rsidRPr="00465FD3">
        <w:rPr>
          <w:b/>
          <w:sz w:val="24"/>
        </w:rPr>
        <w:t>Тридцатая сессия</w:t>
      </w:r>
    </w:p>
    <w:p w:rsidR="008B2CC1" w:rsidRPr="00465FD3" w:rsidRDefault="00BD078D" w:rsidP="008B2CC1">
      <w:pPr>
        <w:rPr>
          <w:b/>
          <w:sz w:val="24"/>
          <w:szCs w:val="24"/>
        </w:rPr>
      </w:pPr>
      <w:r w:rsidRPr="00465FD3">
        <w:rPr>
          <w:b/>
          <w:sz w:val="24"/>
        </w:rPr>
        <w:t>Женева, 8–12 мая 2017 г.</w:t>
      </w:r>
    </w:p>
    <w:p w:rsidR="008B2CC1" w:rsidRPr="00465FD3" w:rsidRDefault="008B2CC1" w:rsidP="008B2CC1"/>
    <w:p w:rsidR="008B2CC1" w:rsidRPr="00465FD3" w:rsidRDefault="008B2CC1" w:rsidP="008B2CC1"/>
    <w:p w:rsidR="008B2CC1" w:rsidRPr="00465FD3" w:rsidRDefault="008B2CC1" w:rsidP="008B2CC1"/>
    <w:p w:rsidR="008B2CC1" w:rsidRPr="00465FD3" w:rsidRDefault="00C650A4" w:rsidP="008B2CC1">
      <w:pPr>
        <w:rPr>
          <w:caps/>
          <w:sz w:val="24"/>
        </w:rPr>
      </w:pPr>
      <w:bookmarkStart w:id="0" w:name="TitleOfDoc"/>
      <w:bookmarkEnd w:id="0"/>
      <w:r w:rsidRPr="00465FD3">
        <w:rPr>
          <w:caps/>
          <w:sz w:val="24"/>
        </w:rPr>
        <w:t>Продление назначения Канадского ведомства интеллектуальной собственности в качестве международного поискового органа и органа международной предварительной экспертизы в рамках PCT</w:t>
      </w:r>
    </w:p>
    <w:p w:rsidR="008B2CC1" w:rsidRPr="00465FD3" w:rsidRDefault="008B2CC1" w:rsidP="008B2CC1"/>
    <w:p w:rsidR="008B2CC1" w:rsidRPr="00465FD3" w:rsidRDefault="00C650A4" w:rsidP="008B2CC1">
      <w:pPr>
        <w:rPr>
          <w:i/>
        </w:rPr>
      </w:pPr>
      <w:bookmarkStart w:id="1" w:name="Prepared"/>
      <w:bookmarkEnd w:id="1"/>
      <w:r w:rsidRPr="00465FD3">
        <w:rPr>
          <w:i/>
        </w:rPr>
        <w:t>Документ подготовлен Международным бюро</w:t>
      </w:r>
    </w:p>
    <w:p w:rsidR="00AC205C" w:rsidRPr="00465FD3" w:rsidRDefault="00AC205C"/>
    <w:p w:rsidR="000F5E56" w:rsidRPr="00465FD3" w:rsidRDefault="000F5E56"/>
    <w:p w:rsidR="002928D3" w:rsidRPr="00465FD3" w:rsidRDefault="002928D3"/>
    <w:p w:rsidR="002928D3" w:rsidRPr="00465FD3" w:rsidRDefault="002928D3" w:rsidP="0053057A"/>
    <w:p w:rsidR="005C40A3" w:rsidRPr="00465FD3" w:rsidRDefault="00A93FC2" w:rsidP="005C40A3">
      <w:pPr>
        <w:pStyle w:val="ONUME"/>
      </w:pPr>
      <w:bookmarkStart w:id="2" w:name="_Ref447032909"/>
      <w:r w:rsidRPr="00465FD3">
        <w:t>Все действующие международные органы были назначены Ассамблеей PCT на срок, заканчивающийся 31 декабря 2017 г.  Следовательно, в 2017 г</w:t>
      </w:r>
      <w:r w:rsidR="00465FD3" w:rsidRPr="00465FD3">
        <w:t xml:space="preserve">. </w:t>
      </w:r>
      <w:r w:rsidR="000B29E1" w:rsidRPr="00465FD3">
        <w:t>А</w:t>
      </w:r>
      <w:r w:rsidRPr="00465FD3">
        <w:t>ссамблея должна будет принять решение о продлении назначения каждого из действующих международных органов, который пожелает продлить срок своего назначения, для чего предварительно запросит мнение Комитета (см. статьи PCT 16(3)(e) и 32(3)).</w:t>
      </w:r>
      <w:bookmarkEnd w:id="2"/>
      <w:r w:rsidRPr="00465FD3">
        <w:t xml:space="preserve">  Информация о данной процедуре и роли Комитета приводится в документе PCT/CTC/30/INF/1.</w:t>
      </w:r>
    </w:p>
    <w:p w:rsidR="005C40A3" w:rsidRPr="00465FD3" w:rsidRDefault="00AA5F79" w:rsidP="005C40A3">
      <w:pPr>
        <w:pStyle w:val="ONUME"/>
      </w:pPr>
      <w:r w:rsidRPr="00465FD3">
        <w:t>Канадское ведомство интеллектуальной собственности подало заявление о продлении своего назначения в качестве Международного поискового органа и Органа международной предварительной экспертизы в рамках PCT 8 марта 2017 г.  Данное заявление воспроизводится в Приложении к настоящему документу.</w:t>
      </w:r>
    </w:p>
    <w:p w:rsidR="005C40A3" w:rsidRPr="00465FD3" w:rsidRDefault="00AA5F79" w:rsidP="0035027E">
      <w:pPr>
        <w:pStyle w:val="ONUME"/>
        <w:tabs>
          <w:tab w:val="left" w:pos="6096"/>
        </w:tabs>
        <w:ind w:left="5533"/>
        <w:rPr>
          <w:i/>
        </w:rPr>
      </w:pPr>
      <w:r w:rsidRPr="00465FD3">
        <w:rPr>
          <w:i/>
        </w:rPr>
        <w:t>Комитету предлагается высказать свое мнение по данному вопросу.</w:t>
      </w:r>
    </w:p>
    <w:p w:rsidR="00AA5F79" w:rsidRPr="00465FD3" w:rsidRDefault="00AA5F79" w:rsidP="00AA5F79">
      <w:pPr>
        <w:pStyle w:val="ONUME"/>
        <w:numPr>
          <w:ilvl w:val="0"/>
          <w:numId w:val="0"/>
        </w:numPr>
      </w:pPr>
    </w:p>
    <w:p w:rsidR="00AA5F79" w:rsidRPr="00465FD3" w:rsidRDefault="00AA5F79" w:rsidP="00AA5F79">
      <w:pPr>
        <w:pStyle w:val="ONUME"/>
        <w:numPr>
          <w:ilvl w:val="0"/>
          <w:numId w:val="0"/>
        </w:numPr>
        <w:ind w:left="5533"/>
        <w:sectPr w:rsidR="00AA5F79" w:rsidRPr="00465FD3" w:rsidSect="00C650A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465FD3">
        <w:t>[Приложение следует]</w:t>
      </w:r>
    </w:p>
    <w:p w:rsidR="00AA5F79" w:rsidRPr="00465FD3" w:rsidRDefault="00AA5F79" w:rsidP="00AA5F79">
      <w:pPr>
        <w:pStyle w:val="ONUME"/>
        <w:numPr>
          <w:ilvl w:val="0"/>
          <w:numId w:val="0"/>
        </w:numPr>
        <w:jc w:val="center"/>
        <w:rPr>
          <w:caps/>
        </w:rPr>
      </w:pPr>
      <w:r w:rsidRPr="00465FD3">
        <w:rPr>
          <w:caps/>
        </w:rPr>
        <w:lastRenderedPageBreak/>
        <w:t>Заявление Канадского ведомства интеллектуальной собственности о продлении его назначения в качестве Международного поискового органа и Органа международной предварительной экспертизы в рамках PCT</w:t>
      </w:r>
    </w:p>
    <w:p w:rsidR="00AA5F79" w:rsidRPr="00465FD3" w:rsidRDefault="00AA5F79" w:rsidP="00AA5F79">
      <w:pPr>
        <w:pStyle w:val="ONUME"/>
        <w:numPr>
          <w:ilvl w:val="0"/>
          <w:numId w:val="0"/>
        </w:numPr>
      </w:pPr>
    </w:p>
    <w:p w:rsidR="0050667A" w:rsidRPr="00465FD3" w:rsidRDefault="0050667A" w:rsidP="0050667A">
      <w:pPr>
        <w:pStyle w:val="SectionHeading"/>
      </w:pPr>
      <w:r w:rsidRPr="00465FD3">
        <w:t>1 – Общие сведения</w:t>
      </w:r>
    </w:p>
    <w:p w:rsidR="0050667A" w:rsidRPr="00465FD3" w:rsidRDefault="0050667A" w:rsidP="00354444">
      <w:pPr>
        <w:pStyle w:val="Subsection"/>
      </w:pPr>
      <w:r w:rsidRPr="00465FD3">
        <w:t>a.</w:t>
      </w:r>
      <w:r w:rsidRPr="00465FD3">
        <w:tab/>
        <w:t>Название национальн</w:t>
      </w:r>
      <w:r w:rsidR="00082BBB">
        <w:t>ого ведомства и должностных лиц</w:t>
      </w:r>
    </w:p>
    <w:p w:rsidR="0050667A" w:rsidRPr="00465FD3" w:rsidRDefault="00082BBB" w:rsidP="00354444">
      <w:pPr>
        <w:pStyle w:val="Subsection"/>
      </w:pPr>
      <w:r>
        <w:t>i.  Название</w:t>
      </w:r>
    </w:p>
    <w:p w:rsidR="0050667A" w:rsidRPr="00465FD3" w:rsidRDefault="0050667A" w:rsidP="0050667A">
      <w:pPr>
        <w:ind w:left="567"/>
      </w:pPr>
      <w:r w:rsidRPr="00465FD3">
        <w:t>Канадское ведомство интеллектуальной собственности (CIPO),</w:t>
      </w:r>
    </w:p>
    <w:p w:rsidR="0050667A" w:rsidRPr="00465FD3" w:rsidRDefault="0050667A" w:rsidP="0050667A">
      <w:pPr>
        <w:ind w:left="567"/>
      </w:pPr>
      <w:r w:rsidRPr="00465FD3">
        <w:t>Специальный исполнительный орган</w:t>
      </w:r>
    </w:p>
    <w:p w:rsidR="0050667A" w:rsidRPr="00465FD3" w:rsidRDefault="0050667A" w:rsidP="0050667A">
      <w:pPr>
        <w:ind w:left="567"/>
      </w:pPr>
      <w:r w:rsidRPr="00465FD3">
        <w:t>при Министерстве инновационной деятельности, науки и экономического развития Канады,</w:t>
      </w:r>
    </w:p>
    <w:p w:rsidR="0050667A" w:rsidRPr="00465FD3" w:rsidRDefault="0050667A" w:rsidP="0050667A">
      <w:pPr>
        <w:ind w:left="567"/>
      </w:pPr>
      <w:r w:rsidRPr="00465FD3">
        <w:t>Правительство Канады.</w:t>
      </w:r>
    </w:p>
    <w:p w:rsidR="0050667A" w:rsidRPr="00465FD3" w:rsidRDefault="0050667A" w:rsidP="0050667A"/>
    <w:p w:rsidR="0050667A" w:rsidRPr="00465FD3" w:rsidRDefault="0050667A" w:rsidP="00354444">
      <w:pPr>
        <w:pStyle w:val="Subsection"/>
      </w:pPr>
      <w:r w:rsidRPr="00465FD3">
        <w:t>ii.  Контактное лицо, связанное с</w:t>
      </w:r>
      <w:r w:rsidR="00082BBB">
        <w:t xml:space="preserve"> содержанием настоящего доклада</w:t>
      </w:r>
    </w:p>
    <w:p w:rsidR="0050667A" w:rsidRPr="00465FD3" w:rsidRDefault="0050667A" w:rsidP="0050667A">
      <w:pPr>
        <w:ind w:left="567"/>
      </w:pPr>
      <w:r w:rsidRPr="00465FD3">
        <w:t>Элен А. Эллье, дипломированный инженер,</w:t>
      </w:r>
      <w:r w:rsidRPr="00465FD3">
        <w:tab/>
      </w:r>
    </w:p>
    <w:p w:rsidR="0050667A" w:rsidRPr="00465FD3" w:rsidRDefault="0050667A" w:rsidP="0050667A">
      <w:pPr>
        <w:ind w:left="567"/>
      </w:pPr>
      <w:r w:rsidRPr="00465FD3">
        <w:t>руководитель международных программ</w:t>
      </w:r>
      <w:r w:rsidR="00082BBB">
        <w:t xml:space="preserve"> (PCT–</w:t>
      </w:r>
      <w:r w:rsidRPr="00465FD3">
        <w:t>PPH)</w:t>
      </w:r>
    </w:p>
    <w:p w:rsidR="0050667A" w:rsidRPr="00465FD3" w:rsidRDefault="000328E4" w:rsidP="0050667A">
      <w:pPr>
        <w:ind w:left="567"/>
      </w:pPr>
      <w:hyperlink r:id="rId16">
        <w:r w:rsidR="00F454D3" w:rsidRPr="00465FD3">
          <w:t>elaine.hellyer@canada.ca</w:t>
        </w:r>
      </w:hyperlink>
      <w:r w:rsidR="00F454D3" w:rsidRPr="00465FD3">
        <w:t xml:space="preserve"> / Тел.</w:t>
      </w:r>
      <w:r w:rsidR="00465FD3">
        <w:t>:  8</w:t>
      </w:r>
      <w:r w:rsidR="00F454D3" w:rsidRPr="00465FD3">
        <w:t>19-635-7725/телетайп</w:t>
      </w:r>
      <w:r w:rsidR="00465FD3">
        <w:t>:  1</w:t>
      </w:r>
      <w:r w:rsidR="00F454D3" w:rsidRPr="00465FD3">
        <w:t>-866-694-8389</w:t>
      </w:r>
    </w:p>
    <w:p w:rsidR="0050667A" w:rsidRPr="00465FD3" w:rsidRDefault="0050667A" w:rsidP="0050667A"/>
    <w:p w:rsidR="0050667A" w:rsidRPr="00465FD3" w:rsidRDefault="0050667A" w:rsidP="00354444">
      <w:pPr>
        <w:pStyle w:val="Subsection"/>
      </w:pPr>
      <w:r w:rsidRPr="00465FD3">
        <w:t>b.</w:t>
      </w:r>
      <w:r w:rsidRPr="00465FD3">
        <w:tab/>
        <w:t>Дата получения заявления о назначении Генеральным директором:</w:t>
      </w:r>
    </w:p>
    <w:p w:rsidR="0050667A" w:rsidRPr="00465FD3" w:rsidRDefault="0050667A" w:rsidP="00354444">
      <w:pPr>
        <w:pStyle w:val="Subsection"/>
      </w:pPr>
      <w:r w:rsidRPr="00465FD3">
        <w:t>8 марта 2017 г.</w:t>
      </w:r>
    </w:p>
    <w:p w:rsidR="0050667A" w:rsidRPr="00465FD3" w:rsidRDefault="0050667A" w:rsidP="0050667A"/>
    <w:p w:rsidR="0050667A" w:rsidRPr="00465FD3" w:rsidRDefault="0050667A" w:rsidP="00354444">
      <w:pPr>
        <w:pStyle w:val="Subsection"/>
      </w:pPr>
      <w:r w:rsidRPr="00465FD3">
        <w:t>c.</w:t>
      </w:r>
      <w:r w:rsidRPr="00465FD3">
        <w:tab/>
        <w:t>Сессия Ассамблеи, на которой будет</w:t>
      </w:r>
      <w:r w:rsidR="00082BBB">
        <w:t xml:space="preserve"> рассмотрен вопрос о назначении</w:t>
      </w:r>
    </w:p>
    <w:p w:rsidR="0050667A" w:rsidRPr="00465FD3" w:rsidRDefault="0050667A" w:rsidP="0050667A">
      <w:pPr>
        <w:ind w:left="567"/>
      </w:pPr>
      <w:r w:rsidRPr="00465FD3">
        <w:t>Вопрос о повторном назначении CIPO в качестве международного органа будет рассматриваться на 49-й (21-й очередной) сессии Ассамблеи Союза РСТ в 2017 г.</w:t>
      </w:r>
    </w:p>
    <w:p w:rsidR="0050667A" w:rsidRPr="00465FD3" w:rsidRDefault="0050667A" w:rsidP="0050667A"/>
    <w:p w:rsidR="0050667A" w:rsidRPr="00465FD3" w:rsidRDefault="0050667A" w:rsidP="00354444">
      <w:pPr>
        <w:pStyle w:val="Subsection"/>
      </w:pPr>
      <w:r w:rsidRPr="00465FD3">
        <w:t>d.</w:t>
      </w:r>
      <w:r w:rsidRPr="00465FD3">
        <w:tab/>
        <w:t>Предполагаемая дата начала д</w:t>
      </w:r>
      <w:r w:rsidR="00082BBB">
        <w:t>еятельности в качестве МПО/ОМПЭ</w:t>
      </w:r>
    </w:p>
    <w:p w:rsidR="0050667A" w:rsidRPr="00465FD3" w:rsidRDefault="0050667A" w:rsidP="0050667A">
      <w:pPr>
        <w:ind w:left="567"/>
      </w:pPr>
      <w:r w:rsidRPr="00465FD3">
        <w:t xml:space="preserve">CIPO сможет действовать в качестве МПО/ОМПЭ с 1 января 2018 года, то есть со дня вступления в действие потенциального нового соглашения </w:t>
      </w:r>
      <w:r w:rsidR="00082BBB">
        <w:t xml:space="preserve">Ведомства </w:t>
      </w:r>
      <w:r w:rsidRPr="00465FD3">
        <w:t xml:space="preserve">с Международным бюро. </w:t>
      </w:r>
    </w:p>
    <w:p w:rsidR="0050667A" w:rsidRPr="00465FD3" w:rsidRDefault="0050667A" w:rsidP="0050667A"/>
    <w:p w:rsidR="0050667A" w:rsidRPr="00465FD3" w:rsidRDefault="0050667A" w:rsidP="00354444">
      <w:pPr>
        <w:pStyle w:val="Subsection"/>
      </w:pPr>
      <w:bookmarkStart w:id="4" w:name="OtherIAHelpAndAssessment"/>
      <w:bookmarkEnd w:id="4"/>
      <w:r w:rsidRPr="00465FD3">
        <w:t>e.</w:t>
      </w:r>
      <w:r w:rsidRPr="00465FD3">
        <w:tab/>
        <w:t xml:space="preserve">Действующие МПО/ОМПЭ, оказывающие содействие в оценке степени выполнения критериев </w:t>
      </w:r>
    </w:p>
    <w:p w:rsidR="0050667A" w:rsidRPr="00465FD3" w:rsidRDefault="0050667A" w:rsidP="0050667A">
      <w:pPr>
        <w:ind w:left="567"/>
      </w:pPr>
      <w:r w:rsidRPr="00465FD3">
        <w:t xml:space="preserve">В соответствии с Процедурой назначения Международных органов, утвержденной на 46-й сессии Союза PCT, при рассмотрении поданного CIPO заявления содействие Ведомству оказывали Австралийское патентное ведомство (Ведомство ИС Австралии), Израильское патентное ведомство (ILPO) и Ведомство Соединенного Королевства по интеллектуальной собственности (UKIPO).  Кроме того, CIPO направило проект заявления на оценку в МБ.  Все полученные замечания были приняты во внимание при </w:t>
      </w:r>
      <w:r w:rsidR="00082BBB">
        <w:t>подготовке</w:t>
      </w:r>
      <w:r w:rsidRPr="00465FD3">
        <w:t xml:space="preserve"> окончательной </w:t>
      </w:r>
      <w:r w:rsidR="00082BBB">
        <w:t>редакции заявления.</w:t>
      </w:r>
    </w:p>
    <w:p w:rsidR="0050667A" w:rsidRPr="00465FD3" w:rsidRDefault="0050667A" w:rsidP="0050667A">
      <w:pPr>
        <w:ind w:left="567"/>
      </w:pPr>
    </w:p>
    <w:p w:rsidR="0050667A" w:rsidRPr="00465FD3" w:rsidRDefault="0050667A" w:rsidP="0050667A">
      <w:pPr>
        <w:ind w:left="567"/>
      </w:pPr>
      <w:r w:rsidRPr="00465FD3">
        <w:t>Ведомство ИС Австралии в преддверии экспериментального мероприятия, проведенного на заседании Подгруппы обеспечения качества (ПГК) в 2017 году, провело анализ отчета о Системе управления качеством CIPO за 2015 г. и представило отзыв по его результатам.  В ходе экспериментального мероприятия на заседании ПГК был рассмотрен отчет о Системе управления качеством одного из ведомств, добровольно принявшего участие в эксперименте, а также отчет о Системе управления качеством</w:t>
      </w:r>
      <w:r w:rsidR="00915B35">
        <w:t xml:space="preserve">, действующей в </w:t>
      </w:r>
      <w:r w:rsidR="00915B35">
        <w:rPr>
          <w:lang w:val="en-US"/>
        </w:rPr>
        <w:t>CIPO</w:t>
      </w:r>
      <w:r w:rsidR="00915B35" w:rsidRPr="00915B35">
        <w:t>,</w:t>
      </w:r>
      <w:r w:rsidRPr="00465FD3">
        <w:t xml:space="preserve"> за 2016 год.  Сводное резюме проведенного Ведомством ИС Австралии и Австрийским патентным ведомством (APO) анализа приводится в </w:t>
      </w:r>
      <w:hyperlink w:anchor="ArticleXI" w:history="1">
        <w:r w:rsidRPr="00465FD3">
          <w:t>статье IX</w:t>
        </w:r>
      </w:hyperlink>
      <w:r w:rsidRPr="00465FD3">
        <w:t xml:space="preserve"> ниже.</w:t>
      </w:r>
    </w:p>
    <w:p w:rsidR="0050667A" w:rsidRPr="00465FD3" w:rsidRDefault="0050667A" w:rsidP="0050667A">
      <w:pPr>
        <w:ind w:left="567"/>
      </w:pPr>
    </w:p>
    <w:p w:rsidR="0050667A" w:rsidRPr="00465FD3" w:rsidRDefault="0050667A" w:rsidP="0050667A">
      <w:pPr>
        <w:ind w:left="567"/>
      </w:pPr>
      <w:r w:rsidRPr="00465FD3">
        <w:lastRenderedPageBreak/>
        <w:t xml:space="preserve">CIPO </w:t>
      </w:r>
      <w:r w:rsidR="00915B35">
        <w:t xml:space="preserve">неустанно </w:t>
      </w:r>
      <w:r w:rsidRPr="00465FD3">
        <w:t>стремится совершенствовать свою деятельность</w:t>
      </w:r>
      <w:r w:rsidR="00915B35">
        <w:t>,</w:t>
      </w:r>
      <w:r w:rsidRPr="00465FD3">
        <w:t xml:space="preserve"> </w:t>
      </w:r>
      <w:r w:rsidR="00915B35">
        <w:t xml:space="preserve">чтобы </w:t>
      </w:r>
      <w:r w:rsidRPr="00465FD3">
        <w:t>эксперт</w:t>
      </w:r>
      <w:r w:rsidR="00915B35">
        <w:t>ы Ведомства могли обеспечивать более высокий уровень качества,</w:t>
      </w:r>
      <w:r w:rsidRPr="00465FD3">
        <w:t xml:space="preserve"> чем </w:t>
      </w:r>
      <w:r w:rsidR="00915B35">
        <w:t>диктуют</w:t>
      </w:r>
      <w:r w:rsidRPr="00465FD3">
        <w:t xml:space="preserve"> минимальны</w:t>
      </w:r>
      <w:r w:rsidR="00915B35">
        <w:t>е критерии</w:t>
      </w:r>
      <w:r w:rsidRPr="00465FD3">
        <w:t>.  Отчасти это достигается за счет обмена информацией и предложениями о</w:t>
      </w:r>
      <w:r w:rsidR="00915B35">
        <w:t xml:space="preserve"> </w:t>
      </w:r>
      <w:r w:rsidRPr="00465FD3">
        <w:t>передовых практических метод</w:t>
      </w:r>
      <w:r w:rsidR="00915B35">
        <w:t>ах</w:t>
      </w:r>
      <w:r w:rsidRPr="00465FD3">
        <w:t xml:space="preserve"> с другими Международными органами.  После такого обмена CIPO проводит сопоставительный анализ и самооценку с целью установить, в какой мере оно отвечает критериям или превосходит их.  Кроме того, CIPO принимает участие в совместных мероприятиях с другими международными органами</w:t>
      </w:r>
      <w:r w:rsidR="00915B35">
        <w:t>,</w:t>
      </w:r>
      <w:r w:rsidRPr="00465FD3">
        <w:t xml:space="preserve"> </w:t>
      </w:r>
      <w:r w:rsidR="00915B35">
        <w:t xml:space="preserve">направленных на стимулирование </w:t>
      </w:r>
      <w:r w:rsidRPr="00465FD3">
        <w:t>непрерывно</w:t>
      </w:r>
      <w:r w:rsidR="00915B35">
        <w:t>го</w:t>
      </w:r>
      <w:r w:rsidRPr="00465FD3">
        <w:t xml:space="preserve"> совершенствовани</w:t>
      </w:r>
      <w:r w:rsidR="00915B35">
        <w:t>я</w:t>
      </w:r>
      <w:r w:rsidRPr="00465FD3">
        <w:t xml:space="preserve"> системы PCT в целом на благо всех договаривающихся государств.  Ниже приводятся примеры участия Канадского ведомства интеллектуальной собственности в таких мероприятиях:</w:t>
      </w:r>
    </w:p>
    <w:p w:rsidR="0050667A" w:rsidRPr="00465FD3" w:rsidRDefault="0050667A" w:rsidP="0050667A">
      <w:pPr>
        <w:ind w:left="1134" w:hanging="567"/>
      </w:pPr>
      <w:r w:rsidRPr="00465FD3">
        <w:t>–</w:t>
      </w:r>
      <w:r w:rsidRPr="00465FD3">
        <w:tab/>
        <w:t>совместные аудиты качества экспертизы на национальном уровне с ведомствами по интеллектуальной собственности, входящими в Ванкуверскую группу (UKIPO и Ведомством ИС Австралии);</w:t>
      </w:r>
    </w:p>
    <w:p w:rsidR="0050667A" w:rsidRPr="00465FD3" w:rsidRDefault="0050667A" w:rsidP="0050667A">
      <w:pPr>
        <w:ind w:left="1134" w:hanging="567"/>
      </w:pPr>
      <w:r w:rsidRPr="00465FD3">
        <w:t>–</w:t>
      </w:r>
      <w:r w:rsidRPr="00465FD3">
        <w:tab/>
        <w:t>инициатива о публикации стратегий поиска;</w:t>
      </w:r>
    </w:p>
    <w:p w:rsidR="0050667A" w:rsidRPr="00465FD3" w:rsidRDefault="0050667A" w:rsidP="0050667A">
      <w:pPr>
        <w:ind w:left="1134" w:hanging="567"/>
      </w:pPr>
      <w:r w:rsidRPr="00465FD3">
        <w:t>–</w:t>
      </w:r>
      <w:r w:rsidRPr="00465FD3">
        <w:tab/>
        <w:t xml:space="preserve">соглашение с другими ведомствами, входящими в Ванкуверскую группу (UKIPO и Ведомством ИС Австралии), </w:t>
      </w:r>
      <w:r w:rsidR="00915B35">
        <w:t>п</w:t>
      </w:r>
      <w:r w:rsidRPr="00465FD3">
        <w:t>о содержани</w:t>
      </w:r>
      <w:r w:rsidR="00915B35">
        <w:t>ю</w:t>
      </w:r>
      <w:r w:rsidRPr="00465FD3">
        <w:t xml:space="preserve"> разработанных </w:t>
      </w:r>
      <w:r w:rsidR="00915B35">
        <w:t xml:space="preserve">соответствующими ведомствами </w:t>
      </w:r>
      <w:r w:rsidRPr="00465FD3">
        <w:t>стратегий поиска и распространени</w:t>
      </w:r>
      <w:r w:rsidR="00915B35">
        <w:t>ю</w:t>
      </w:r>
      <w:r w:rsidRPr="00465FD3">
        <w:t xml:space="preserve"> информации о них;</w:t>
      </w:r>
    </w:p>
    <w:p w:rsidR="0050667A" w:rsidRPr="00465FD3" w:rsidRDefault="0050667A" w:rsidP="0050667A">
      <w:pPr>
        <w:ind w:left="1134" w:hanging="567"/>
      </w:pPr>
      <w:r w:rsidRPr="00465FD3">
        <w:t>–</w:t>
      </w:r>
      <w:r w:rsidRPr="00465FD3">
        <w:tab/>
        <w:t>Ведомство выступило с предложением о применении стандартных условий к отчетам и заключениям, создаваемым в рамках международной фазы;</w:t>
      </w:r>
    </w:p>
    <w:p w:rsidR="0050667A" w:rsidRPr="00465FD3" w:rsidRDefault="0050667A" w:rsidP="0050667A">
      <w:pPr>
        <w:ind w:left="1134" w:hanging="567"/>
      </w:pPr>
      <w:r w:rsidRPr="00465FD3">
        <w:t>–</w:t>
      </w:r>
      <w:r w:rsidRPr="00465FD3">
        <w:tab/>
      </w:r>
      <w:r w:rsidR="00915B35">
        <w:t>ведет</w:t>
      </w:r>
      <w:r w:rsidRPr="00465FD3">
        <w:t xml:space="preserve"> вики-страничк</w:t>
      </w:r>
      <w:r w:rsidR="00915B35">
        <w:t>у</w:t>
      </w:r>
      <w:r w:rsidRPr="00465FD3">
        <w:t xml:space="preserve"> ПГК </w:t>
      </w:r>
      <w:r w:rsidR="00465FD3" w:rsidRPr="00465FD3">
        <w:t>«</w:t>
      </w:r>
      <w:r w:rsidRPr="00465FD3">
        <w:t>Стандартные требования</w:t>
      </w:r>
      <w:r w:rsidR="00465FD3" w:rsidRPr="00465FD3">
        <w:t>»</w:t>
      </w:r>
      <w:r w:rsidRPr="00465FD3">
        <w:t>;</w:t>
      </w:r>
    </w:p>
    <w:p w:rsidR="0050667A" w:rsidRPr="00465FD3" w:rsidRDefault="0050667A" w:rsidP="0050667A">
      <w:pPr>
        <w:ind w:left="1134" w:hanging="567"/>
      </w:pPr>
      <w:r w:rsidRPr="00465FD3">
        <w:t>–</w:t>
      </w:r>
      <w:r w:rsidRPr="00465FD3">
        <w:tab/>
      </w:r>
      <w:r w:rsidR="00915B35" w:rsidRPr="00465FD3">
        <w:t xml:space="preserve">совместно с ILPO </w:t>
      </w:r>
      <w:r w:rsidRPr="00465FD3">
        <w:t>предложило внедрить PCT</w:t>
      </w:r>
      <w:r w:rsidR="00915B35">
        <w:t>–</w:t>
      </w:r>
      <w:r w:rsidRPr="00465FD3">
        <w:t>PPH в ПГК;</w:t>
      </w:r>
    </w:p>
    <w:p w:rsidR="0050667A" w:rsidRPr="00465FD3" w:rsidRDefault="0050667A" w:rsidP="0050667A">
      <w:pPr>
        <w:ind w:left="1134" w:hanging="567"/>
      </w:pPr>
      <w:r w:rsidRPr="00465FD3">
        <w:t>–</w:t>
      </w:r>
      <w:r w:rsidRPr="00465FD3">
        <w:tab/>
        <w:t>участвует во Всемирном проекте ускоренного патентного делопроизводства</w:t>
      </w:r>
      <w:r w:rsidR="00915B35" w:rsidRPr="00915B35">
        <w:t xml:space="preserve"> </w:t>
      </w:r>
      <w:r w:rsidR="00915B35">
        <w:t>(</w:t>
      </w:r>
      <w:r w:rsidR="00915B35">
        <w:rPr>
          <w:lang w:val="en-US"/>
        </w:rPr>
        <w:t>PPH</w:t>
      </w:r>
      <w:r w:rsidR="00915B35" w:rsidRPr="00915B35">
        <w:t>)</w:t>
      </w:r>
      <w:r w:rsidRPr="00465FD3">
        <w:t>;</w:t>
      </w:r>
    </w:p>
    <w:p w:rsidR="0050667A" w:rsidRPr="00465FD3" w:rsidRDefault="0050667A" w:rsidP="0050667A">
      <w:pPr>
        <w:ind w:left="1134" w:hanging="567"/>
      </w:pPr>
      <w:r w:rsidRPr="00465FD3">
        <w:t>–</w:t>
      </w:r>
      <w:r w:rsidRPr="00465FD3">
        <w:tab/>
        <w:t>участвует в двусторонних экспериментальных программах ускоренного патентного делопроизводства совместно с Мексикой, ЕПВ и Чили;</w:t>
      </w:r>
    </w:p>
    <w:p w:rsidR="0050667A" w:rsidRPr="00465FD3" w:rsidRDefault="0050667A" w:rsidP="0050667A">
      <w:pPr>
        <w:ind w:left="1134" w:hanging="567"/>
      </w:pPr>
      <w:r w:rsidRPr="00465FD3">
        <w:t>–</w:t>
      </w:r>
      <w:r w:rsidRPr="00465FD3">
        <w:tab/>
        <w:t>принимало у себя патентных экспертов Японского патентного ведомства в период их отпуска для исследовательской работы. Эксперты изучали принятые CIPO подходы к осуществлению PPH, действующие в Канаде стандарты достоверного прогнозирования с акцентом на полезность и опорой на правовую практику, а также систему контроля качества CIPO;</w:t>
      </w:r>
    </w:p>
    <w:p w:rsidR="0050667A" w:rsidRPr="00465FD3" w:rsidRDefault="0050667A" w:rsidP="0050667A">
      <w:pPr>
        <w:ind w:left="1134" w:hanging="567"/>
      </w:pPr>
      <w:r w:rsidRPr="00465FD3">
        <w:t>–</w:t>
      </w:r>
      <w:r w:rsidRPr="00465FD3">
        <w:tab/>
        <w:t>каждые два года Ведомство организует круглые столы по PCT с участием представителей ВОИС, ЕПВ и Ведомства по патентам и товарным знакам Соединенных Штатов Америки;</w:t>
      </w:r>
    </w:p>
    <w:p w:rsidR="0050667A" w:rsidRPr="00465FD3" w:rsidRDefault="0050667A" w:rsidP="0050667A">
      <w:pPr>
        <w:ind w:left="1134" w:hanging="567"/>
      </w:pPr>
      <w:r w:rsidRPr="00465FD3">
        <w:t>–</w:t>
      </w:r>
      <w:r w:rsidRPr="00465FD3">
        <w:tab/>
        <w:t>проводит телеконференции с Европейским патентным ведомством (ЕПВ), на которых обсуждаются вопросы качества;</w:t>
      </w:r>
    </w:p>
    <w:p w:rsidR="0050667A" w:rsidRPr="00465FD3" w:rsidRDefault="0050667A" w:rsidP="0050667A">
      <w:pPr>
        <w:ind w:left="1134" w:hanging="567"/>
      </w:pPr>
      <w:r w:rsidRPr="00465FD3">
        <w:t>–</w:t>
      </w:r>
      <w:r w:rsidRPr="00465FD3">
        <w:tab/>
        <w:t>обменивается передовыми практическими методами с патентными экспертами из других стран/регионов на семинарах по патентному законодательству и экспертизе в Канаде</w:t>
      </w:r>
      <w:r w:rsidR="00465FD3">
        <w:t>;  и</w:t>
      </w:r>
    </w:p>
    <w:p w:rsidR="0050667A" w:rsidRPr="00465FD3" w:rsidRDefault="0050667A" w:rsidP="0050667A">
      <w:pPr>
        <w:ind w:left="1134" w:hanging="567"/>
      </w:pPr>
      <w:r w:rsidRPr="00465FD3">
        <w:t>–</w:t>
      </w:r>
      <w:r w:rsidRPr="00465FD3">
        <w:tab/>
        <w:t>регулярно предоставляет материалы для вики-страницы ПГК и отвечает на циркулярные письма ПГК.</w:t>
      </w:r>
    </w:p>
    <w:p w:rsidR="0050667A" w:rsidRPr="00465FD3" w:rsidRDefault="0050667A" w:rsidP="0050667A"/>
    <w:p w:rsidR="0050667A" w:rsidRPr="00465FD3" w:rsidRDefault="0050667A" w:rsidP="0050667A">
      <w:pPr>
        <w:pStyle w:val="SectionHeading"/>
        <w:rPr>
          <w:rStyle w:val="InsertedText"/>
          <w:color w:val="auto"/>
          <w:u w:val="none"/>
        </w:rPr>
      </w:pPr>
      <w:r w:rsidRPr="00465FD3">
        <w:rPr>
          <w:rStyle w:val="InsertedText"/>
          <w:color w:val="auto"/>
          <w:u w:val="none"/>
        </w:rPr>
        <w:t>2 –Основные критерии:  минимальные требования для назначения</w:t>
      </w:r>
    </w:p>
    <w:p w:rsidR="0050667A" w:rsidRPr="00465FD3" w:rsidRDefault="0050667A" w:rsidP="0050667A">
      <w:pPr>
        <w:rPr>
          <w:sz w:val="16"/>
          <w:szCs w:val="16"/>
        </w:rPr>
      </w:pPr>
    </w:p>
    <w:p w:rsidR="0050667A" w:rsidRPr="00465FD3" w:rsidRDefault="0050667A" w:rsidP="0050667A">
      <w:pPr>
        <w:pStyle w:val="SectionHeading"/>
        <w:spacing w:before="0"/>
      </w:pPr>
      <w:r w:rsidRPr="00465FD3">
        <w:t>2.1 – Возможности для проведения поиска и экспертизы</w:t>
      </w:r>
    </w:p>
    <w:p w:rsidR="0050667A" w:rsidRPr="00465FD3" w:rsidRDefault="0050667A" w:rsidP="0050667A">
      <w:pPr>
        <w:rPr>
          <w:b/>
          <w:i/>
        </w:rPr>
      </w:pPr>
      <w:r w:rsidRPr="00465FD3">
        <w:rPr>
          <w:b/>
          <w:i/>
        </w:rPr>
        <w:t>Правила 36.1(i) и 63.1(i).  Национальное ведомство или межправительственная организация должны иметь по крайней мере 100 сотрудников, занятых полную рабочую неделю и обладающих достаточной технической квалификацией для проведения поиска и экспертизы.</w:t>
      </w:r>
    </w:p>
    <w:p w:rsidR="0050667A" w:rsidRPr="00465FD3" w:rsidRDefault="0050667A" w:rsidP="0050667A">
      <w:pPr>
        <w:keepNext/>
        <w:keepLines/>
        <w:rPr>
          <w:b/>
          <w:bCs/>
          <w:szCs w:val="22"/>
        </w:rPr>
      </w:pPr>
    </w:p>
    <w:p w:rsidR="0050667A" w:rsidRPr="00465FD3" w:rsidRDefault="0050667A" w:rsidP="00354444">
      <w:pPr>
        <w:pStyle w:val="Subsection"/>
      </w:pPr>
      <w:bookmarkStart w:id="5" w:name="PatentExaminerQualifications"/>
      <w:bookmarkEnd w:id="5"/>
      <w:r w:rsidRPr="00465FD3">
        <w:t xml:space="preserve">Количество сотрудников, обладающих квалификацией для </w:t>
      </w:r>
      <w:r w:rsidR="00B25C1D">
        <w:t>проведения поиска и экспертизы</w:t>
      </w:r>
    </w:p>
    <w:p w:rsidR="0050667A" w:rsidRPr="00465FD3" w:rsidRDefault="0050667A" w:rsidP="0050667A">
      <w:r w:rsidRPr="00465FD3">
        <w:t>В CIPO сложи</w:t>
      </w:r>
      <w:r w:rsidR="00E4193A">
        <w:t>лся</w:t>
      </w:r>
      <w:r w:rsidRPr="00465FD3">
        <w:t xml:space="preserve"> надежный коллектив экспертов, которые трудятся в четырех подразделениях, специализирующихся на конкретных областях техники.  В число экспертов входят специалисты как по патентной экспертизе, так и по патентной классификации</w:t>
      </w:r>
      <w:r w:rsidR="000B29E1" w:rsidRPr="00465FD3">
        <w:t>.  В</w:t>
      </w:r>
      <w:r w:rsidRPr="00465FD3">
        <w:t xml:space="preserve">се они работают с заявками как национального, так и международного уровня.  CIPO стремится отойти от разграничения этих двух </w:t>
      </w:r>
      <w:r w:rsidR="00E4193A">
        <w:t>задач</w:t>
      </w:r>
      <w:r w:rsidRPr="00465FD3">
        <w:t xml:space="preserve">, и некоторые эксперты в каждой из групп начали проводить экспертизу в области специализации другой группы.  Все вновь </w:t>
      </w:r>
      <w:r w:rsidR="00E4193A">
        <w:t>нанимаемые</w:t>
      </w:r>
      <w:r w:rsidRPr="00465FD3">
        <w:t xml:space="preserve"> эксперты будут заниматься </w:t>
      </w:r>
      <w:r w:rsidR="00B25C1D">
        <w:t xml:space="preserve">и </w:t>
      </w:r>
      <w:r w:rsidRPr="00465FD3">
        <w:t>экспертизой, и классификацией.</w:t>
      </w:r>
    </w:p>
    <w:p w:rsidR="0050667A" w:rsidRPr="00465FD3" w:rsidRDefault="0050667A" w:rsidP="0050667A"/>
    <w:p w:rsidR="0050667A" w:rsidRPr="00465FD3" w:rsidRDefault="0050667A" w:rsidP="0050667A">
      <w:r w:rsidRPr="00465FD3">
        <w:t xml:space="preserve">CIPO было учреждено как Специальный исполнительный орган (СИО) и полностью финансируется за счет взимаемой им платы за предоставляемые продукты и услуги.  Такие гибкие возможности позволяют CIPO уделять пристальное внимание оказанию услуг и качеству </w:t>
      </w:r>
      <w:r w:rsidR="00B25C1D">
        <w:t>отчетов и заключений</w:t>
      </w:r>
      <w:r w:rsidRPr="00465FD3">
        <w:t xml:space="preserve">, с учетом изменяющихся потребностей клиентов (как внутри страны, так и за рубежом).  Для поддержки принятия руководством решений относительно </w:t>
      </w:r>
      <w:r w:rsidR="00F42B3D">
        <w:t>распределения</w:t>
      </w:r>
      <w:r w:rsidRPr="00465FD3">
        <w:t xml:space="preserve"> людских ресурсов и потребности в них в CIPO применяется сложна</w:t>
      </w:r>
      <w:r w:rsidR="00B25C1D">
        <w:t>я модель прогнозирования.</w:t>
      </w:r>
    </w:p>
    <w:p w:rsidR="0050667A" w:rsidRPr="00465FD3" w:rsidRDefault="0050667A" w:rsidP="0050667A"/>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440"/>
        <w:gridCol w:w="1080"/>
        <w:gridCol w:w="1170"/>
        <w:gridCol w:w="990"/>
        <w:gridCol w:w="1063"/>
        <w:gridCol w:w="1650"/>
      </w:tblGrid>
      <w:tr w:rsidR="0050667A" w:rsidRPr="00465FD3" w:rsidTr="0050667A">
        <w:trPr>
          <w:cantSplit/>
        </w:trPr>
        <w:tc>
          <w:tcPr>
            <w:tcW w:w="2178" w:type="dxa"/>
            <w:vMerge w:val="restart"/>
            <w:shd w:val="clear" w:color="auto" w:fill="auto"/>
          </w:tcPr>
          <w:p w:rsidR="0050667A" w:rsidRPr="00465FD3" w:rsidRDefault="0050667A" w:rsidP="0050667A">
            <w:r w:rsidRPr="00465FD3">
              <w:t>Область техники</w:t>
            </w:r>
          </w:p>
        </w:tc>
        <w:tc>
          <w:tcPr>
            <w:tcW w:w="1440" w:type="dxa"/>
            <w:vMerge w:val="restart"/>
            <w:shd w:val="clear" w:color="auto" w:fill="auto"/>
          </w:tcPr>
          <w:p w:rsidR="0050667A" w:rsidRPr="00465FD3" w:rsidRDefault="0050667A" w:rsidP="0050667A">
            <w:r w:rsidRPr="00465FD3">
              <w:t>Количество</w:t>
            </w:r>
          </w:p>
          <w:p w:rsidR="0050667A" w:rsidRPr="00465FD3" w:rsidRDefault="0050667A" w:rsidP="0050667A">
            <w:r w:rsidRPr="00465FD3">
              <w:t>(сотрудники, занятые полную рабочую неделю)</w:t>
            </w:r>
          </w:p>
        </w:tc>
        <w:tc>
          <w:tcPr>
            <w:tcW w:w="4303" w:type="dxa"/>
            <w:gridSpan w:val="4"/>
          </w:tcPr>
          <w:p w:rsidR="0050667A" w:rsidRPr="00465FD3" w:rsidRDefault="0050667A" w:rsidP="0050667A">
            <w:r w:rsidRPr="00465FD3">
              <w:t>Средний опыт работы в качестве экспертов (годы)</w:t>
            </w:r>
          </w:p>
        </w:tc>
        <w:tc>
          <w:tcPr>
            <w:tcW w:w="1650" w:type="dxa"/>
            <w:vMerge w:val="restart"/>
          </w:tcPr>
          <w:p w:rsidR="0050667A" w:rsidRPr="00465FD3" w:rsidRDefault="0050667A" w:rsidP="0050667A">
            <w:r w:rsidRPr="00465FD3">
              <w:t>Разбивка по квалификации</w:t>
            </w:r>
          </w:p>
        </w:tc>
      </w:tr>
      <w:tr w:rsidR="0050667A" w:rsidRPr="00465FD3" w:rsidTr="0050667A">
        <w:trPr>
          <w:cantSplit/>
        </w:trPr>
        <w:tc>
          <w:tcPr>
            <w:tcW w:w="2178" w:type="dxa"/>
            <w:vMerge/>
            <w:shd w:val="clear" w:color="auto" w:fill="auto"/>
          </w:tcPr>
          <w:p w:rsidR="0050667A" w:rsidRPr="00465FD3" w:rsidRDefault="0050667A" w:rsidP="0050667A"/>
        </w:tc>
        <w:tc>
          <w:tcPr>
            <w:tcW w:w="1440" w:type="dxa"/>
            <w:vMerge/>
            <w:shd w:val="clear" w:color="auto" w:fill="auto"/>
          </w:tcPr>
          <w:p w:rsidR="0050667A" w:rsidRPr="00465FD3" w:rsidRDefault="0050667A" w:rsidP="0050667A"/>
        </w:tc>
        <w:tc>
          <w:tcPr>
            <w:tcW w:w="1080" w:type="dxa"/>
          </w:tcPr>
          <w:p w:rsidR="0050667A" w:rsidRPr="00465FD3" w:rsidRDefault="0050667A" w:rsidP="0050667A">
            <w:r w:rsidRPr="00465FD3">
              <w:t>SG-04</w:t>
            </w:r>
          </w:p>
          <w:p w:rsidR="0050667A" w:rsidRPr="00465FD3" w:rsidRDefault="0050667A" w:rsidP="0050667A">
            <w:r w:rsidRPr="00465FD3">
              <w:t>Рабочий уровень</w:t>
            </w:r>
          </w:p>
        </w:tc>
        <w:tc>
          <w:tcPr>
            <w:tcW w:w="1170" w:type="dxa"/>
          </w:tcPr>
          <w:p w:rsidR="0050667A" w:rsidRPr="00465FD3" w:rsidRDefault="0050667A" w:rsidP="0050667A">
            <w:r w:rsidRPr="00465FD3">
              <w:t>SG-05</w:t>
            </w:r>
          </w:p>
          <w:p w:rsidR="0050667A" w:rsidRPr="00465FD3" w:rsidRDefault="0050667A" w:rsidP="0050667A">
            <w:r w:rsidRPr="00465FD3">
              <w:t>Старший</w:t>
            </w:r>
          </w:p>
          <w:p w:rsidR="0050667A" w:rsidRPr="00465FD3" w:rsidRDefault="0050667A" w:rsidP="0050667A">
            <w:r w:rsidRPr="00465FD3">
              <w:t>эксперт</w:t>
            </w:r>
          </w:p>
        </w:tc>
        <w:tc>
          <w:tcPr>
            <w:tcW w:w="990" w:type="dxa"/>
          </w:tcPr>
          <w:p w:rsidR="0050667A" w:rsidRPr="00465FD3" w:rsidRDefault="0050667A" w:rsidP="0050667A">
            <w:r w:rsidRPr="00465FD3">
              <w:t>SG-06</w:t>
            </w:r>
          </w:p>
          <w:p w:rsidR="0050667A" w:rsidRPr="00465FD3" w:rsidRDefault="0050667A" w:rsidP="0050667A">
            <w:r w:rsidRPr="00465FD3">
              <w:t>Руководитель</w:t>
            </w:r>
          </w:p>
          <w:p w:rsidR="0050667A" w:rsidRPr="00465FD3" w:rsidRDefault="0050667A" w:rsidP="0050667A">
            <w:r w:rsidRPr="00465FD3">
              <w:t>отдела</w:t>
            </w:r>
          </w:p>
        </w:tc>
        <w:tc>
          <w:tcPr>
            <w:tcW w:w="1063" w:type="dxa"/>
          </w:tcPr>
          <w:p w:rsidR="0050667A" w:rsidRPr="00465FD3" w:rsidRDefault="0050667A" w:rsidP="0050667A">
            <w:r w:rsidRPr="00465FD3">
              <w:t>Итого по всем уровням</w:t>
            </w:r>
          </w:p>
        </w:tc>
        <w:tc>
          <w:tcPr>
            <w:tcW w:w="1650" w:type="dxa"/>
            <w:vMerge/>
          </w:tcPr>
          <w:p w:rsidR="0050667A" w:rsidRPr="00465FD3" w:rsidRDefault="0050667A" w:rsidP="0050667A"/>
        </w:tc>
      </w:tr>
      <w:tr w:rsidR="0050667A" w:rsidRPr="00465FD3" w:rsidTr="0050667A">
        <w:trPr>
          <w:cantSplit/>
        </w:trPr>
        <w:tc>
          <w:tcPr>
            <w:tcW w:w="2178" w:type="dxa"/>
            <w:shd w:val="clear" w:color="auto" w:fill="auto"/>
          </w:tcPr>
          <w:p w:rsidR="0050667A" w:rsidRPr="00465FD3" w:rsidRDefault="0050667A" w:rsidP="0050667A">
            <w:r w:rsidRPr="00465FD3">
              <w:t>Механика</w:t>
            </w:r>
          </w:p>
        </w:tc>
        <w:tc>
          <w:tcPr>
            <w:tcW w:w="1440" w:type="dxa"/>
            <w:shd w:val="clear" w:color="auto" w:fill="auto"/>
          </w:tcPr>
          <w:p w:rsidR="0050667A" w:rsidRPr="00465FD3" w:rsidRDefault="0050667A" w:rsidP="0050667A">
            <w:r w:rsidRPr="00465FD3">
              <w:t>100</w:t>
            </w:r>
          </w:p>
        </w:tc>
        <w:tc>
          <w:tcPr>
            <w:tcW w:w="1080" w:type="dxa"/>
          </w:tcPr>
          <w:p w:rsidR="0050667A" w:rsidRPr="00465FD3" w:rsidRDefault="0050667A" w:rsidP="0050667A">
            <w:r w:rsidRPr="00465FD3">
              <w:t>9,1</w:t>
            </w:r>
          </w:p>
        </w:tc>
        <w:tc>
          <w:tcPr>
            <w:tcW w:w="1170" w:type="dxa"/>
          </w:tcPr>
          <w:p w:rsidR="0050667A" w:rsidRPr="00465FD3" w:rsidRDefault="0050667A" w:rsidP="0050667A">
            <w:r w:rsidRPr="00465FD3">
              <w:t>9,8</w:t>
            </w:r>
          </w:p>
        </w:tc>
        <w:tc>
          <w:tcPr>
            <w:tcW w:w="990" w:type="dxa"/>
          </w:tcPr>
          <w:p w:rsidR="0050667A" w:rsidRPr="00465FD3" w:rsidRDefault="0050667A" w:rsidP="0050667A">
            <w:r w:rsidRPr="00465FD3">
              <w:t>10,2</w:t>
            </w:r>
          </w:p>
        </w:tc>
        <w:tc>
          <w:tcPr>
            <w:tcW w:w="1063" w:type="dxa"/>
          </w:tcPr>
          <w:p w:rsidR="0050667A" w:rsidRPr="00465FD3" w:rsidRDefault="0050667A" w:rsidP="0050667A">
            <w:r w:rsidRPr="00465FD3">
              <w:t>9,3</w:t>
            </w:r>
          </w:p>
        </w:tc>
        <w:tc>
          <w:tcPr>
            <w:tcW w:w="1650" w:type="dxa"/>
          </w:tcPr>
          <w:p w:rsidR="0050667A" w:rsidRPr="00465FD3" w:rsidRDefault="0050667A" w:rsidP="0050667A">
            <w:r w:rsidRPr="00465FD3">
              <w:t>*</w:t>
            </w:r>
          </w:p>
        </w:tc>
      </w:tr>
      <w:tr w:rsidR="0050667A" w:rsidRPr="00465FD3" w:rsidTr="0050667A">
        <w:trPr>
          <w:cantSplit/>
        </w:trPr>
        <w:tc>
          <w:tcPr>
            <w:tcW w:w="2178" w:type="dxa"/>
            <w:shd w:val="clear" w:color="auto" w:fill="auto"/>
          </w:tcPr>
          <w:p w:rsidR="0050667A" w:rsidRPr="00465FD3" w:rsidRDefault="0050667A" w:rsidP="0050667A">
            <w:r w:rsidRPr="00465FD3">
              <w:t>Электричество, электронные устройства</w:t>
            </w:r>
          </w:p>
        </w:tc>
        <w:tc>
          <w:tcPr>
            <w:tcW w:w="1440" w:type="dxa"/>
            <w:shd w:val="clear" w:color="auto" w:fill="auto"/>
          </w:tcPr>
          <w:p w:rsidR="0050667A" w:rsidRPr="00465FD3" w:rsidRDefault="0050667A" w:rsidP="0050667A">
            <w:r w:rsidRPr="00465FD3">
              <w:t>112</w:t>
            </w:r>
          </w:p>
        </w:tc>
        <w:tc>
          <w:tcPr>
            <w:tcW w:w="1080" w:type="dxa"/>
          </w:tcPr>
          <w:p w:rsidR="0050667A" w:rsidRPr="00465FD3" w:rsidRDefault="0050667A" w:rsidP="0050667A">
            <w:r w:rsidRPr="00465FD3">
              <w:t>7,3</w:t>
            </w:r>
          </w:p>
        </w:tc>
        <w:tc>
          <w:tcPr>
            <w:tcW w:w="1170" w:type="dxa"/>
          </w:tcPr>
          <w:p w:rsidR="0050667A" w:rsidRPr="00465FD3" w:rsidRDefault="0050667A" w:rsidP="0050667A">
            <w:r w:rsidRPr="00465FD3">
              <w:t>8,6</w:t>
            </w:r>
          </w:p>
        </w:tc>
        <w:tc>
          <w:tcPr>
            <w:tcW w:w="990" w:type="dxa"/>
          </w:tcPr>
          <w:p w:rsidR="0050667A" w:rsidRPr="00465FD3" w:rsidRDefault="0050667A" w:rsidP="0050667A">
            <w:r w:rsidRPr="00465FD3">
              <w:t>8,9</w:t>
            </w:r>
          </w:p>
        </w:tc>
        <w:tc>
          <w:tcPr>
            <w:tcW w:w="1063" w:type="dxa"/>
          </w:tcPr>
          <w:p w:rsidR="0050667A" w:rsidRPr="00465FD3" w:rsidRDefault="0050667A" w:rsidP="0050667A">
            <w:r w:rsidRPr="00465FD3">
              <w:t>7,6</w:t>
            </w:r>
          </w:p>
        </w:tc>
        <w:tc>
          <w:tcPr>
            <w:tcW w:w="1650" w:type="dxa"/>
          </w:tcPr>
          <w:p w:rsidR="0050667A" w:rsidRPr="00465FD3" w:rsidRDefault="0050667A" w:rsidP="0050667A">
            <w:r w:rsidRPr="00465FD3">
              <w:t>*</w:t>
            </w:r>
          </w:p>
        </w:tc>
      </w:tr>
      <w:tr w:rsidR="0050667A" w:rsidRPr="00465FD3" w:rsidTr="0050667A">
        <w:trPr>
          <w:cantSplit/>
        </w:trPr>
        <w:tc>
          <w:tcPr>
            <w:tcW w:w="2178" w:type="dxa"/>
            <w:shd w:val="clear" w:color="auto" w:fill="auto"/>
          </w:tcPr>
          <w:p w:rsidR="0050667A" w:rsidRPr="00465FD3" w:rsidRDefault="0050667A" w:rsidP="0050667A">
            <w:r w:rsidRPr="00465FD3">
              <w:t>Химия</w:t>
            </w:r>
          </w:p>
        </w:tc>
        <w:tc>
          <w:tcPr>
            <w:tcW w:w="1440" w:type="dxa"/>
            <w:shd w:val="clear" w:color="auto" w:fill="auto"/>
          </w:tcPr>
          <w:p w:rsidR="0050667A" w:rsidRPr="00465FD3" w:rsidRDefault="0050667A" w:rsidP="0050667A">
            <w:r w:rsidRPr="00465FD3">
              <w:t>118</w:t>
            </w:r>
          </w:p>
        </w:tc>
        <w:tc>
          <w:tcPr>
            <w:tcW w:w="1080" w:type="dxa"/>
          </w:tcPr>
          <w:p w:rsidR="0050667A" w:rsidRPr="00465FD3" w:rsidRDefault="0050667A" w:rsidP="0050667A">
            <w:r w:rsidRPr="00465FD3">
              <w:t>9,2</w:t>
            </w:r>
          </w:p>
        </w:tc>
        <w:tc>
          <w:tcPr>
            <w:tcW w:w="1170" w:type="dxa"/>
          </w:tcPr>
          <w:p w:rsidR="0050667A" w:rsidRPr="00465FD3" w:rsidRDefault="0050667A" w:rsidP="0050667A">
            <w:r w:rsidRPr="00465FD3">
              <w:t>10,9</w:t>
            </w:r>
          </w:p>
        </w:tc>
        <w:tc>
          <w:tcPr>
            <w:tcW w:w="990" w:type="dxa"/>
          </w:tcPr>
          <w:p w:rsidR="0050667A" w:rsidRPr="00465FD3" w:rsidRDefault="0050667A" w:rsidP="0050667A">
            <w:r w:rsidRPr="00465FD3">
              <w:t>12,8</w:t>
            </w:r>
          </w:p>
        </w:tc>
        <w:tc>
          <w:tcPr>
            <w:tcW w:w="1063" w:type="dxa"/>
          </w:tcPr>
          <w:p w:rsidR="0050667A" w:rsidRPr="00465FD3" w:rsidRDefault="0050667A" w:rsidP="0050667A">
            <w:r w:rsidRPr="00465FD3">
              <w:t>9,7</w:t>
            </w:r>
          </w:p>
        </w:tc>
        <w:tc>
          <w:tcPr>
            <w:tcW w:w="1650" w:type="dxa"/>
          </w:tcPr>
          <w:p w:rsidR="0050667A" w:rsidRPr="00465FD3" w:rsidRDefault="0050667A" w:rsidP="0050667A">
            <w:r w:rsidRPr="00465FD3">
              <w:t>*</w:t>
            </w:r>
          </w:p>
        </w:tc>
      </w:tr>
      <w:tr w:rsidR="0050667A" w:rsidRPr="00465FD3" w:rsidTr="0050667A">
        <w:trPr>
          <w:cantSplit/>
        </w:trPr>
        <w:tc>
          <w:tcPr>
            <w:tcW w:w="2178" w:type="dxa"/>
            <w:shd w:val="clear" w:color="auto" w:fill="auto"/>
          </w:tcPr>
          <w:p w:rsidR="0050667A" w:rsidRPr="00465FD3" w:rsidRDefault="0050667A" w:rsidP="0050667A">
            <w:r w:rsidRPr="00465FD3">
              <w:t>Биотехнологии</w:t>
            </w:r>
          </w:p>
        </w:tc>
        <w:tc>
          <w:tcPr>
            <w:tcW w:w="1440" w:type="dxa"/>
            <w:shd w:val="clear" w:color="auto" w:fill="auto"/>
          </w:tcPr>
          <w:p w:rsidR="0050667A" w:rsidRPr="00465FD3" w:rsidRDefault="0050667A" w:rsidP="0050667A">
            <w:r w:rsidRPr="00465FD3">
              <w:t>68</w:t>
            </w:r>
          </w:p>
        </w:tc>
        <w:tc>
          <w:tcPr>
            <w:tcW w:w="1080" w:type="dxa"/>
          </w:tcPr>
          <w:p w:rsidR="0050667A" w:rsidRPr="00465FD3" w:rsidRDefault="0050667A" w:rsidP="0050667A">
            <w:r w:rsidRPr="00465FD3">
              <w:t>8,9</w:t>
            </w:r>
          </w:p>
        </w:tc>
        <w:tc>
          <w:tcPr>
            <w:tcW w:w="1170" w:type="dxa"/>
          </w:tcPr>
          <w:p w:rsidR="0050667A" w:rsidRPr="00465FD3" w:rsidRDefault="0050667A" w:rsidP="0050667A">
            <w:r w:rsidRPr="00465FD3">
              <w:t>9,3</w:t>
            </w:r>
          </w:p>
        </w:tc>
        <w:tc>
          <w:tcPr>
            <w:tcW w:w="990" w:type="dxa"/>
          </w:tcPr>
          <w:p w:rsidR="0050667A" w:rsidRPr="00465FD3" w:rsidRDefault="0050667A" w:rsidP="0050667A">
            <w:r w:rsidRPr="00465FD3">
              <w:t>11,2</w:t>
            </w:r>
          </w:p>
        </w:tc>
        <w:tc>
          <w:tcPr>
            <w:tcW w:w="1063" w:type="dxa"/>
          </w:tcPr>
          <w:p w:rsidR="0050667A" w:rsidRPr="00465FD3" w:rsidRDefault="0050667A" w:rsidP="0050667A">
            <w:r w:rsidRPr="00465FD3">
              <w:t>9,1</w:t>
            </w:r>
          </w:p>
        </w:tc>
        <w:tc>
          <w:tcPr>
            <w:tcW w:w="1650" w:type="dxa"/>
          </w:tcPr>
          <w:p w:rsidR="0050667A" w:rsidRPr="00465FD3" w:rsidRDefault="0050667A" w:rsidP="0050667A">
            <w:r w:rsidRPr="00465FD3">
              <w:t>*</w:t>
            </w:r>
          </w:p>
        </w:tc>
      </w:tr>
      <w:tr w:rsidR="0050667A" w:rsidRPr="00465FD3" w:rsidTr="0050667A">
        <w:trPr>
          <w:cantSplit/>
        </w:trPr>
        <w:tc>
          <w:tcPr>
            <w:tcW w:w="2178" w:type="dxa"/>
            <w:shd w:val="clear" w:color="auto" w:fill="auto"/>
          </w:tcPr>
          <w:p w:rsidR="0050667A" w:rsidRPr="00465FD3" w:rsidRDefault="0050667A" w:rsidP="0050667A">
            <w:r w:rsidRPr="00465FD3">
              <w:t>Всего</w:t>
            </w:r>
          </w:p>
        </w:tc>
        <w:tc>
          <w:tcPr>
            <w:tcW w:w="1440" w:type="dxa"/>
            <w:shd w:val="clear" w:color="auto" w:fill="auto"/>
          </w:tcPr>
          <w:p w:rsidR="0050667A" w:rsidRPr="00465FD3" w:rsidRDefault="0050667A" w:rsidP="0050667A">
            <w:r w:rsidRPr="00465FD3">
              <w:t>398</w:t>
            </w:r>
          </w:p>
        </w:tc>
        <w:tc>
          <w:tcPr>
            <w:tcW w:w="1080" w:type="dxa"/>
          </w:tcPr>
          <w:p w:rsidR="0050667A" w:rsidRPr="00465FD3" w:rsidRDefault="0050667A" w:rsidP="0050667A">
            <w:r w:rsidRPr="00465FD3">
              <w:t>8,6</w:t>
            </w:r>
          </w:p>
        </w:tc>
        <w:tc>
          <w:tcPr>
            <w:tcW w:w="1170" w:type="dxa"/>
          </w:tcPr>
          <w:p w:rsidR="0050667A" w:rsidRPr="00465FD3" w:rsidRDefault="0050667A" w:rsidP="0050667A">
            <w:r w:rsidRPr="00465FD3">
              <w:t>9,8</w:t>
            </w:r>
          </w:p>
        </w:tc>
        <w:tc>
          <w:tcPr>
            <w:tcW w:w="990" w:type="dxa"/>
          </w:tcPr>
          <w:p w:rsidR="0050667A" w:rsidRPr="00465FD3" w:rsidRDefault="0050667A" w:rsidP="0050667A">
            <w:r w:rsidRPr="00465FD3">
              <w:t>10,7</w:t>
            </w:r>
          </w:p>
        </w:tc>
        <w:tc>
          <w:tcPr>
            <w:tcW w:w="1063" w:type="dxa"/>
          </w:tcPr>
          <w:p w:rsidR="0050667A" w:rsidRPr="00465FD3" w:rsidRDefault="0050667A" w:rsidP="0050667A"/>
        </w:tc>
        <w:tc>
          <w:tcPr>
            <w:tcW w:w="1650" w:type="dxa"/>
          </w:tcPr>
          <w:p w:rsidR="0050667A" w:rsidRPr="00465FD3" w:rsidRDefault="0050667A" w:rsidP="0050667A"/>
        </w:tc>
      </w:tr>
    </w:tbl>
    <w:p w:rsidR="0050667A" w:rsidRPr="00465FD3" w:rsidRDefault="0050667A" w:rsidP="0050667A">
      <w:pPr>
        <w:rPr>
          <w:rFonts w:ascii="Century Gothic" w:hAnsi="Century Gothic"/>
          <w:color w:val="0000FF"/>
          <w:sz w:val="20"/>
        </w:rPr>
      </w:pPr>
    </w:p>
    <w:p w:rsidR="0050667A" w:rsidRPr="00465FD3" w:rsidRDefault="0050667A" w:rsidP="0050667A">
      <w:r w:rsidRPr="00465FD3">
        <w:t>*</w:t>
      </w:r>
      <w:r w:rsidRPr="00465FD3">
        <w:tab/>
        <w:t xml:space="preserve">В CIPO не составляется перечень научных степеней всех экспертов.  Тем не менее </w:t>
      </w:r>
      <w:r w:rsidR="00E4193A">
        <w:t>кандидаты на занятие соответствующих должностей</w:t>
      </w:r>
      <w:r w:rsidRPr="00465FD3">
        <w:t xml:space="preserve"> должны обладать определенным минимальным уровнем квалификации.   Минимальный уровень квалификации зависит от дисциплины</w:t>
      </w:r>
      <w:r w:rsidR="000B29E1" w:rsidRPr="00465FD3">
        <w:t>.  К</w:t>
      </w:r>
      <w:r w:rsidRPr="00465FD3">
        <w:t xml:space="preserve"> специалистам предъявляются следующие требования:</w:t>
      </w:r>
    </w:p>
    <w:p w:rsidR="0050667A" w:rsidRPr="00465FD3" w:rsidRDefault="0050667A" w:rsidP="0050667A">
      <w:pPr>
        <w:ind w:left="1134" w:hanging="567"/>
      </w:pPr>
      <w:r w:rsidRPr="00465FD3">
        <w:t>–</w:t>
      </w:r>
      <w:r w:rsidRPr="00465FD3">
        <w:tab/>
        <w:t>Механика.  Полученная в авторитетном учреждении среднего или высшего профессионального образования степень бакалавра в области проектирования механических систем или иная приемлемая степень в смежной области по окончании курса, дающего фундаментальные знания о принципах проектирования механических систем.  Например, это могут быть степени в таких областях, как гражданское строительство, авиакосмическое, биомедицинское машиностроение и горное дело.</w:t>
      </w:r>
    </w:p>
    <w:p w:rsidR="0050667A" w:rsidRPr="00465FD3" w:rsidRDefault="0050667A" w:rsidP="0050667A">
      <w:pPr>
        <w:ind w:left="1134" w:hanging="567"/>
      </w:pPr>
      <w:r w:rsidRPr="00465FD3">
        <w:t>–</w:t>
      </w:r>
      <w:r w:rsidRPr="00465FD3">
        <w:tab/>
        <w:t>Электричество, электронные устройства.  Полученная в авторитетном учреждении среднего или высшего профессионального образования степень бакалавра в области электротехники, проектирования компьютеров или проектирования программного обеспечения (степени в области компьютерных наук не принимаются).</w:t>
      </w:r>
    </w:p>
    <w:p w:rsidR="0050667A" w:rsidRPr="00465FD3" w:rsidRDefault="0050667A" w:rsidP="0050667A">
      <w:pPr>
        <w:ind w:left="1134" w:hanging="567"/>
      </w:pPr>
      <w:r w:rsidRPr="00465FD3">
        <w:t>–</w:t>
      </w:r>
      <w:r w:rsidRPr="00465FD3">
        <w:tab/>
        <w:t xml:space="preserve">Химия: </w:t>
      </w:r>
    </w:p>
    <w:p w:rsidR="0050667A" w:rsidRPr="00465FD3" w:rsidRDefault="0050667A" w:rsidP="0050667A">
      <w:pPr>
        <w:ind w:left="1701" w:hanging="567"/>
      </w:pPr>
      <w:r w:rsidRPr="00465FD3">
        <w:t>–</w:t>
      </w:r>
      <w:r w:rsidRPr="00465FD3">
        <w:tab/>
        <w:t>органическая химия</w:t>
      </w:r>
      <w:r w:rsidR="00B25C1D">
        <w:t>:</w:t>
      </w:r>
      <w:r w:rsidRPr="00465FD3">
        <w:t xml:space="preserve">  </w:t>
      </w:r>
      <w:r w:rsidR="00B25C1D">
        <w:t>п</w:t>
      </w:r>
      <w:r w:rsidRPr="00465FD3">
        <w:t>олученная в авторитетном учреждении среднего или высшего профессионального образования степень с отличием в области химии или иная приемлемая степень по одной из дисциплин, относящихся к выполняемым функциям;</w:t>
      </w:r>
    </w:p>
    <w:p w:rsidR="0050667A" w:rsidRPr="00465FD3" w:rsidRDefault="0050667A" w:rsidP="0050667A">
      <w:pPr>
        <w:ind w:left="1701" w:hanging="567"/>
      </w:pPr>
      <w:r w:rsidRPr="00465FD3">
        <w:t>–</w:t>
      </w:r>
      <w:r w:rsidRPr="00465FD3">
        <w:tab/>
        <w:t>общая химия:  полученный в авторитетном университете диплом с отличием в области химического машиностроения, химии или иная приемлемая степень по одной из дисциплин, относящихся к выполняемым функциям</w:t>
      </w:r>
      <w:r w:rsidR="00465FD3">
        <w:t>;  и</w:t>
      </w:r>
    </w:p>
    <w:p w:rsidR="0050667A" w:rsidRPr="00465FD3" w:rsidRDefault="0050667A" w:rsidP="0050667A">
      <w:pPr>
        <w:ind w:left="1701" w:hanging="567"/>
      </w:pPr>
      <w:r w:rsidRPr="00465FD3">
        <w:t>–</w:t>
      </w:r>
      <w:r w:rsidRPr="00465FD3">
        <w:tab/>
        <w:t xml:space="preserve">биотехнология:  полученная в авторитетном университете степень магистра или доктора </w:t>
      </w:r>
      <w:r w:rsidR="00B25C1D">
        <w:t>(</w:t>
      </w:r>
      <w:proofErr w:type="spellStart"/>
      <w:r w:rsidR="00B25C1D">
        <w:rPr>
          <w:lang w:val="en-US"/>
        </w:rPr>
        <w:t>Ph</w:t>
      </w:r>
      <w:proofErr w:type="spellEnd"/>
      <w:r w:rsidR="00B25C1D" w:rsidRPr="00B25C1D">
        <w:t>.</w:t>
      </w:r>
      <w:r w:rsidR="00B25C1D">
        <w:rPr>
          <w:lang w:val="en-US"/>
        </w:rPr>
        <w:t>D</w:t>
      </w:r>
      <w:r w:rsidR="00B25C1D" w:rsidRPr="00B25C1D">
        <w:t xml:space="preserve">.) </w:t>
      </w:r>
      <w:r w:rsidRPr="00465FD3">
        <w:t>в области биохимии или по другой смежной дисциплине.</w:t>
      </w:r>
    </w:p>
    <w:p w:rsidR="0050667A" w:rsidRPr="00465FD3" w:rsidRDefault="0050667A" w:rsidP="0050667A">
      <w:r w:rsidRPr="00465FD3">
        <w:t>В случаях, когда степень получена в учреждении за пределами Канады, CIPO пользуется услугами двух органов, подтверждающих эквивалентность образования.  Это Служба сопоставления образования (ССО) Университета Торонто и Служба оценки документов об образовании Всемирных служб образования (ВСО).</w:t>
      </w:r>
    </w:p>
    <w:p w:rsidR="0050667A" w:rsidRPr="00465FD3" w:rsidRDefault="0050667A" w:rsidP="0050667A"/>
    <w:p w:rsidR="0050667A" w:rsidRPr="00465FD3" w:rsidRDefault="0050667A" w:rsidP="0050667A">
      <w:r w:rsidRPr="00465FD3">
        <w:t>В CIPO действуют две группы по</w:t>
      </w:r>
      <w:r w:rsidR="00B25C1D">
        <w:t xml:space="preserve"> обеспечению</w:t>
      </w:r>
      <w:r w:rsidRPr="00465FD3">
        <w:t xml:space="preserve"> экспертизы:  </w:t>
      </w:r>
      <w:r w:rsidR="00B25C1D">
        <w:t>специалисты по работе</w:t>
      </w:r>
      <w:r w:rsidRPr="00465FD3">
        <w:t xml:space="preserve"> на национальном уровне</w:t>
      </w:r>
      <w:r w:rsidR="00E4193A">
        <w:t xml:space="preserve"> </w:t>
      </w:r>
      <w:r w:rsidRPr="00465FD3">
        <w:t xml:space="preserve"> сотрудники нашего получающего ведомства, </w:t>
      </w:r>
      <w:r w:rsidR="00B25C1D">
        <w:t>оказывающие</w:t>
      </w:r>
      <w:r w:rsidRPr="00465FD3">
        <w:t xml:space="preserve"> экспертам </w:t>
      </w:r>
      <w:r w:rsidR="00B25C1D">
        <w:t>помощь</w:t>
      </w:r>
      <w:r w:rsidR="00E4193A">
        <w:t xml:space="preserve"> в выполнении их задач</w:t>
      </w:r>
      <w:r w:rsidRPr="00465FD3">
        <w:t xml:space="preserve"> на международном уровне.  Последняя группа помогает обеспечивать своевременную передачу международных отчетов и заключений.  См. более подробную информацию о</w:t>
      </w:r>
      <w:r w:rsidR="00B25C1D">
        <w:t>б</w:t>
      </w:r>
      <w:r w:rsidRPr="00465FD3">
        <w:t xml:space="preserve"> оперативно</w:t>
      </w:r>
      <w:r w:rsidR="00B25C1D">
        <w:t>сти нашей работы</w:t>
      </w:r>
      <w:r w:rsidRPr="00465FD3">
        <w:t xml:space="preserve"> в последнем докладе (</w:t>
      </w:r>
      <w:r w:rsidR="00F42B3D">
        <w:t>«</w:t>
      </w:r>
      <w:hyperlink r:id="rId17">
        <w:r w:rsidRPr="00465FD3">
          <w:rPr>
            <w:rStyle w:val="Hyperlink"/>
            <w:noProof w:val="0"/>
          </w:rPr>
          <w:t>Статистика по PCT</w:t>
        </w:r>
      </w:hyperlink>
      <w:r w:rsidR="00F42B3D">
        <w:rPr>
          <w:rStyle w:val="Hyperlink"/>
          <w:noProof w:val="0"/>
        </w:rPr>
        <w:t>»</w:t>
      </w:r>
      <w:r w:rsidRPr="00465FD3">
        <w:t>), представленном Международным бюро на Заседании Международных органов PCT в феврале 2017 г.</w:t>
      </w:r>
    </w:p>
    <w:p w:rsidR="0050667A" w:rsidRPr="00465FD3" w:rsidRDefault="0050667A" w:rsidP="0050667A"/>
    <w:p w:rsidR="0050667A" w:rsidRPr="00465FD3" w:rsidRDefault="0050667A" w:rsidP="00354444">
      <w:pPr>
        <w:pStyle w:val="Subsection"/>
      </w:pPr>
      <w:r w:rsidRPr="00465FD3">
        <w:t>Учебные программы</w:t>
      </w:r>
    </w:p>
    <w:p w:rsidR="0050667A" w:rsidRPr="00465FD3" w:rsidRDefault="0050667A" w:rsidP="00354444">
      <w:r w:rsidRPr="00465FD3">
        <w:t xml:space="preserve">За все учебные программы для патентных экспертов отвечает отдельный руководитель программ.  Действующий в CIPO режим обучения патентных экспертов предусматривает двухгодичную программу наставничества, в рамках которой вновь принятый патентный эксперт проходит стажировку на рабочем месте под индивидуальным руководством старшего патентного эксперта.  Она дополняется формальным обучением по ряду </w:t>
      </w:r>
      <w:r w:rsidR="00B25C1D">
        <w:t>вопросов</w:t>
      </w:r>
      <w:r w:rsidRPr="00465FD3">
        <w:t xml:space="preserve"> патентного законодательства и патентной экспертизы, таким как:  Закон о патентах и правила выдачи патентов Канады, юриспруденция, формальная экспертиза, экспертиза по существу, новизна, изобретательский уровень, промышленная применимость, патентоспособный объект, единство, ясность, базы данных (Questel Orbit и др.) и методы поиска, системы классификации (МПК, СПК), патентное делопроизводство (</w:t>
      </w:r>
      <w:r w:rsidR="00B60AA7">
        <w:t>углубленное изучение</w:t>
      </w:r>
      <w:r w:rsidRPr="00465FD3">
        <w:t>), инструкции Ведомства по документообороту и составлению схем процессов, а также все используе</w:t>
      </w:r>
      <w:r w:rsidR="006B2709">
        <w:t xml:space="preserve">мые в учреждении инструменты.  </w:t>
      </w:r>
      <w:r w:rsidRPr="00465FD3">
        <w:t xml:space="preserve">Обучение предусматривает, в частности, недельный интенсивный тренинг по вопросам, относящимся к деятельности Международного поискового органа и Органа международной экспертизы (МПО/ОМПЭ), в рамках которого частично объясняются различия между практикой, принятой в Канаде, и требованиями Договора о патентной кооперации.  На протяжении двухлетнего периода проводится оценка экспертов с точки зрения их квалификации в области экспертизы и способности </w:t>
      </w:r>
      <w:r w:rsidR="00E4193A">
        <w:t>действовать</w:t>
      </w:r>
      <w:r w:rsidRPr="00465FD3">
        <w:t xml:space="preserve"> независимо.  Период наставничества является </w:t>
      </w:r>
      <w:r w:rsidR="00E04056">
        <w:t>испытательным</w:t>
      </w:r>
      <w:r w:rsidRPr="00465FD3">
        <w:t xml:space="preserve"> периодом для эксперта</w:t>
      </w:r>
      <w:r w:rsidR="00E04056">
        <w:t xml:space="preserve"> и заканчивается</w:t>
      </w:r>
      <w:r w:rsidRPr="00465FD3">
        <w:t xml:space="preserve"> итогов</w:t>
      </w:r>
      <w:r w:rsidR="00E04056">
        <w:t>ой</w:t>
      </w:r>
      <w:r w:rsidRPr="00465FD3">
        <w:t xml:space="preserve"> оценк</w:t>
      </w:r>
      <w:r w:rsidR="00E04056">
        <w:t>ой</w:t>
      </w:r>
      <w:r w:rsidRPr="00465FD3">
        <w:t>.  Кроме того, эксперты CIPO имеют возможность обучаться на языковых курсах и проходить курсы дистанционного обучения ВОИС и ЕПВ.</w:t>
      </w:r>
    </w:p>
    <w:p w:rsidR="0050667A" w:rsidRPr="00465FD3" w:rsidRDefault="0050667A" w:rsidP="0050667A"/>
    <w:p w:rsidR="0050667A" w:rsidRPr="00465FD3" w:rsidRDefault="0050667A" w:rsidP="0050667A">
      <w:r w:rsidRPr="00465FD3">
        <w:t xml:space="preserve">Учебные мероприятия не ограничиваются обучением вновь </w:t>
      </w:r>
      <w:r w:rsidR="00E4193A">
        <w:t xml:space="preserve">нанятых </w:t>
      </w:r>
      <w:r w:rsidRPr="00465FD3">
        <w:t>экспертов.  Приветствуется стремление опытных экспертов быть в курсе технических новинок в области их специализации</w:t>
      </w:r>
      <w:r w:rsidR="000B29E1" w:rsidRPr="00465FD3">
        <w:t>.  Д</w:t>
      </w:r>
      <w:r w:rsidRPr="00465FD3">
        <w:t>ля этого они анализируют периодические издания технической направленности, посещают конференции и принимают участие в промышленных экскурсиях на канадские предприятия.  Кроме того, несколько раз в год они должны посещать обязательные семинары, курсы и доклады по темам, относящимся к экспертизе, патентам и ИС.</w:t>
      </w:r>
    </w:p>
    <w:p w:rsidR="0050667A" w:rsidRPr="00465FD3" w:rsidRDefault="0050667A" w:rsidP="0050667A"/>
    <w:p w:rsidR="0050667A" w:rsidRPr="00465FD3" w:rsidRDefault="0050667A" w:rsidP="0050667A">
      <w:r w:rsidRPr="00465FD3">
        <w:t>Более подробная информация представлена в двух следующих документах:</w:t>
      </w:r>
    </w:p>
    <w:p w:rsidR="0050667A" w:rsidRPr="00465FD3" w:rsidRDefault="0050667A" w:rsidP="00354444">
      <w:pPr>
        <w:ind w:left="567"/>
      </w:pPr>
      <w:r w:rsidRPr="00465FD3">
        <w:rPr>
          <w:i/>
        </w:rPr>
        <w:t>The Canadian Patent Examiner Continuous Training Program [Программа непрерывного обучения канадских патентных экспертов]</w:t>
      </w:r>
      <w:r w:rsidRPr="00465FD3">
        <w:t>;  De Vleeschauwer, M. World Patent Information, 39 (декабрь), 2014 г., 73-78</w:t>
      </w:r>
      <w:r w:rsidR="00465FD3">
        <w:t>;  и</w:t>
      </w:r>
    </w:p>
    <w:p w:rsidR="0050667A" w:rsidRPr="00465FD3" w:rsidRDefault="0050667A" w:rsidP="00354444">
      <w:pPr>
        <w:ind w:left="567"/>
      </w:pPr>
      <w:r w:rsidRPr="00465FD3">
        <w:rPr>
          <w:i/>
        </w:rPr>
        <w:t>The Canadian Patent Examiner Continuous Qualification Program [Программа подтверждения квалификации канадских патентных экспертов]</w:t>
      </w:r>
      <w:r w:rsidRPr="00465FD3">
        <w:t>;  De Vleeschauwer, M. World Patent Information, 35 (3), 2013 г., 224-229.</w:t>
      </w:r>
    </w:p>
    <w:p w:rsidR="0050667A" w:rsidRPr="00465FD3" w:rsidRDefault="0050667A" w:rsidP="0050667A"/>
    <w:p w:rsidR="00354444" w:rsidRPr="00465FD3" w:rsidRDefault="00354444" w:rsidP="0050667A"/>
    <w:p w:rsidR="0050667A" w:rsidRPr="00465FD3" w:rsidRDefault="0050667A" w:rsidP="0050667A">
      <w:pPr>
        <w:rPr>
          <w:b/>
          <w:i/>
        </w:rPr>
      </w:pPr>
      <w:r w:rsidRPr="00465FD3">
        <w:rPr>
          <w:b/>
          <w:i/>
        </w:rPr>
        <w:t xml:space="preserve">Правила 36.1(ii) и 63.1(ii).  Это ведомство или </w:t>
      </w:r>
      <w:r w:rsidR="00B25C1D">
        <w:rPr>
          <w:b/>
          <w:i/>
        </w:rPr>
        <w:t xml:space="preserve">эта </w:t>
      </w:r>
      <w:r w:rsidRPr="00465FD3">
        <w:rPr>
          <w:b/>
          <w:i/>
        </w:rPr>
        <w:t>организация должны иметь в своем распоряжении или иметь в доступности по крайней мере минимум документации, упомянутый в правиле 34 и подобранный соответствующим образом для целей поиска, на бумаге, в микроформах или на электронных носителях.</w:t>
      </w:r>
    </w:p>
    <w:p w:rsidR="0050667A" w:rsidRPr="00465FD3" w:rsidRDefault="0050667A" w:rsidP="0050667A"/>
    <w:p w:rsidR="0050667A" w:rsidRPr="00465FD3" w:rsidRDefault="0050667A" w:rsidP="00354444">
      <w:pPr>
        <w:pStyle w:val="Subsection"/>
      </w:pPr>
      <w:r w:rsidRPr="00465FD3">
        <w:t xml:space="preserve">Доступ к минимуму документации для целей поиска  </w:t>
      </w:r>
    </w:p>
    <w:p w:rsidR="0050667A" w:rsidRPr="00465FD3" w:rsidRDefault="0050667A" w:rsidP="00354444">
      <w:r w:rsidRPr="00465FD3">
        <w:t>(X)</w:t>
      </w:r>
      <w:r w:rsidRPr="00465FD3">
        <w:tab/>
        <w:t>Полный доступ</w:t>
      </w:r>
    </w:p>
    <w:p w:rsidR="0050667A" w:rsidRPr="00465FD3" w:rsidRDefault="0050667A" w:rsidP="00354444"/>
    <w:p w:rsidR="0050667A" w:rsidRPr="00465FD3" w:rsidRDefault="0050667A" w:rsidP="00354444">
      <w:pPr>
        <w:pStyle w:val="Subsection"/>
      </w:pPr>
      <w:r w:rsidRPr="00465FD3">
        <w:t xml:space="preserve">Поисковые системы:  </w:t>
      </w:r>
    </w:p>
    <w:p w:rsidR="0050667A" w:rsidRPr="00465FD3" w:rsidRDefault="0050667A" w:rsidP="00354444">
      <w:r w:rsidRPr="00465FD3">
        <w:t>Патентные эксперты CIPO имеют в своем распоряжении современные, оборудованные по последнему слову техники рабочие станции</w:t>
      </w:r>
      <w:r w:rsidR="00D05F1D">
        <w:t>, оборудованные</w:t>
      </w:r>
      <w:r w:rsidRPr="00465FD3">
        <w:t xml:space="preserve"> мониторами</w:t>
      </w:r>
      <w:r w:rsidR="00D05F1D">
        <w:t xml:space="preserve"> с диагональю </w:t>
      </w:r>
      <w:r w:rsidRPr="00465FD3">
        <w:t>21”</w:t>
      </w:r>
      <w:r w:rsidR="00D05F1D">
        <w:t>,</w:t>
      </w:r>
      <w:r w:rsidRPr="00465FD3">
        <w:t xml:space="preserve"> </w:t>
      </w:r>
      <w:r w:rsidR="00D05F1D">
        <w:t>с</w:t>
      </w:r>
      <w:r w:rsidRPr="00465FD3">
        <w:t xml:space="preserve"> доступом к </w:t>
      </w:r>
      <w:r w:rsidR="00D05F1D">
        <w:t>И</w:t>
      </w:r>
      <w:r w:rsidRPr="00465FD3">
        <w:t>нтернету.  Благодаря этому патентные эксперты имеют доступ к нашим внутренним системам TechSource и InterApp (мейнфреймовые приложения для обработки заявок национального и международного уровней соответственно, обеспечивающие ведение документооборота и хранение патентных данных) и к инструментарию, необходимому для поиска</w:t>
      </w:r>
      <w:r w:rsidR="00D05F1D">
        <w:t xml:space="preserve">, </w:t>
      </w:r>
      <w:r w:rsidRPr="00465FD3">
        <w:t>экспертизы</w:t>
      </w:r>
      <w:r w:rsidR="00D05F1D">
        <w:t xml:space="preserve"> и</w:t>
      </w:r>
      <w:r w:rsidRPr="00465FD3">
        <w:t xml:space="preserve"> оценки всей документации, </w:t>
      </w:r>
      <w:r w:rsidR="00E4193A">
        <w:t>требующейся</w:t>
      </w:r>
      <w:r w:rsidR="00D05F1D">
        <w:t xml:space="preserve"> при </w:t>
      </w:r>
      <w:r w:rsidRPr="00465FD3">
        <w:t>работ</w:t>
      </w:r>
      <w:r w:rsidR="00D05F1D">
        <w:t>е</w:t>
      </w:r>
      <w:r w:rsidRPr="00465FD3">
        <w:t xml:space="preserve"> как </w:t>
      </w:r>
      <w:r w:rsidR="00D05F1D">
        <w:t xml:space="preserve">на </w:t>
      </w:r>
      <w:r w:rsidRPr="00465FD3">
        <w:t>национально</w:t>
      </w:r>
      <w:r w:rsidR="00D05F1D">
        <w:t>м</w:t>
      </w:r>
      <w:r w:rsidRPr="00465FD3">
        <w:t xml:space="preserve">, так и </w:t>
      </w:r>
      <w:r w:rsidR="00D05F1D">
        <w:t xml:space="preserve">на </w:t>
      </w:r>
      <w:r w:rsidRPr="00465FD3">
        <w:t>международно</w:t>
      </w:r>
      <w:r w:rsidR="00D05F1D">
        <w:t>м</w:t>
      </w:r>
      <w:r w:rsidRPr="00465FD3">
        <w:t xml:space="preserve"> уровн</w:t>
      </w:r>
      <w:r w:rsidR="00D05F1D">
        <w:t>ях</w:t>
      </w:r>
      <w:r w:rsidRPr="00465FD3">
        <w:t xml:space="preserve">.  Экспертам, работающим дистанционно, также выделяются переносные компьютеры </w:t>
      </w:r>
      <w:r w:rsidR="00E4193A">
        <w:t xml:space="preserve">и док-станции, что позволяет им </w:t>
      </w:r>
      <w:r w:rsidRPr="00465FD3">
        <w:t>подключаться к сети Ведомства с помощью системы безопасного удаленного доступа правительства Канады (БУД ПК)</w:t>
      </w:r>
      <w:r w:rsidR="000D1E50">
        <w:t>,</w:t>
      </w:r>
      <w:r w:rsidRPr="00465FD3">
        <w:t xml:space="preserve"> </w:t>
      </w:r>
      <w:r w:rsidR="000D1E50">
        <w:t>виртуальной выделенной сети</w:t>
      </w:r>
      <w:r w:rsidRPr="00465FD3">
        <w:t>.</w:t>
      </w:r>
    </w:p>
    <w:p w:rsidR="0050667A" w:rsidRPr="00465FD3" w:rsidRDefault="0050667A" w:rsidP="00354444"/>
    <w:p w:rsidR="0050667A" w:rsidRPr="00465FD3" w:rsidRDefault="0050667A" w:rsidP="00354444">
      <w:r w:rsidRPr="00465FD3">
        <w:t xml:space="preserve">Внутренняя система CIPO TechSource содержит библиографические данные по Канаде (с 1896 г. по настоящее время), тексты (рефераты, пункты формул изобретений и описания находящихся в открытом доступе канадских патентных документов </w:t>
      </w:r>
      <w:r w:rsidR="000D1E50">
        <w:t>с 1978 г. по настоящее время).</w:t>
      </w:r>
    </w:p>
    <w:p w:rsidR="0050667A" w:rsidRPr="00465FD3" w:rsidRDefault="0050667A" w:rsidP="00354444"/>
    <w:p w:rsidR="0050667A" w:rsidRPr="00465FD3" w:rsidRDefault="000D1E50" w:rsidP="00354444">
      <w:r>
        <w:t>Э</w:t>
      </w:r>
      <w:r w:rsidR="0050667A" w:rsidRPr="00465FD3">
        <w:t xml:space="preserve">ксперты имеют доступ к множеству </w:t>
      </w:r>
      <w:r>
        <w:t xml:space="preserve">внешних </w:t>
      </w:r>
      <w:r w:rsidR="0050667A" w:rsidRPr="00465FD3">
        <w:t xml:space="preserve">баз данных и механизмов – как находящихся в открытом доступе, так и платных.  Ниже приводится </w:t>
      </w:r>
      <w:r>
        <w:t xml:space="preserve">их </w:t>
      </w:r>
      <w:r w:rsidR="0050667A" w:rsidRPr="00465FD3">
        <w:t>неполный перечень:</w:t>
      </w:r>
    </w:p>
    <w:p w:rsidR="0050667A" w:rsidRPr="00465FD3" w:rsidRDefault="0050667A" w:rsidP="00354444"/>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tblGrid>
      <w:tr w:rsidR="0050667A" w:rsidRPr="00465FD3" w:rsidTr="00354444">
        <w:tc>
          <w:tcPr>
            <w:tcW w:w="9571" w:type="dxa"/>
          </w:tcPr>
          <w:p w:rsidR="0050667A" w:rsidRPr="00465FD3" w:rsidRDefault="0050667A" w:rsidP="00354444">
            <w:r w:rsidRPr="00465FD3">
              <w:t>AGRICOLA</w:t>
            </w:r>
          </w:p>
        </w:tc>
      </w:tr>
      <w:tr w:rsidR="0050667A" w:rsidRPr="00465FD3" w:rsidTr="00354444">
        <w:tc>
          <w:tcPr>
            <w:tcW w:w="9571" w:type="dxa"/>
          </w:tcPr>
          <w:p w:rsidR="0050667A" w:rsidRPr="00465FD3" w:rsidRDefault="0050667A" w:rsidP="00354444">
            <w:r w:rsidRPr="00465FD3">
              <w:t>Американское химическое сообщество (АХС)</w:t>
            </w:r>
          </w:p>
        </w:tc>
      </w:tr>
      <w:tr w:rsidR="0050667A" w:rsidRPr="00465FD3" w:rsidTr="00354444">
        <w:tc>
          <w:tcPr>
            <w:tcW w:w="9571" w:type="dxa"/>
          </w:tcPr>
          <w:p w:rsidR="0050667A" w:rsidRPr="00465FD3" w:rsidRDefault="0050667A" w:rsidP="00354444">
            <w:r w:rsidRPr="00465FD3">
              <w:t>Онлайн-журналы BioOne</w:t>
            </w:r>
          </w:p>
        </w:tc>
      </w:tr>
      <w:tr w:rsidR="0050667A" w:rsidRPr="00465FD3" w:rsidTr="00354444">
        <w:tc>
          <w:tcPr>
            <w:tcW w:w="9571" w:type="dxa"/>
          </w:tcPr>
          <w:p w:rsidR="0050667A" w:rsidRPr="00465FD3" w:rsidRDefault="0050667A" w:rsidP="00354444">
            <w:r w:rsidRPr="00465FD3">
              <w:t>BIOSIS</w:t>
            </w:r>
          </w:p>
        </w:tc>
      </w:tr>
      <w:tr w:rsidR="0050667A" w:rsidRPr="00465FD3" w:rsidTr="00354444">
        <w:tc>
          <w:tcPr>
            <w:tcW w:w="9571" w:type="dxa"/>
          </w:tcPr>
          <w:p w:rsidR="0050667A" w:rsidRPr="00465FD3" w:rsidRDefault="0050667A" w:rsidP="00354444">
            <w:r w:rsidRPr="00465FD3">
              <w:t xml:space="preserve">Интерфейс базы данных ChEMBL </w:t>
            </w:r>
          </w:p>
        </w:tc>
      </w:tr>
      <w:tr w:rsidR="0050667A" w:rsidRPr="00465FD3" w:rsidTr="00354444">
        <w:tc>
          <w:tcPr>
            <w:tcW w:w="9571" w:type="dxa"/>
          </w:tcPr>
          <w:p w:rsidR="0050667A" w:rsidRPr="00465FD3" w:rsidRDefault="0050667A" w:rsidP="00354444">
            <w:r w:rsidRPr="00465FD3">
              <w:t>ChemSpider</w:t>
            </w:r>
          </w:p>
        </w:tc>
      </w:tr>
      <w:tr w:rsidR="0050667A" w:rsidRPr="00465FD3" w:rsidTr="00354444">
        <w:tc>
          <w:tcPr>
            <w:tcW w:w="9571" w:type="dxa"/>
          </w:tcPr>
          <w:p w:rsidR="0050667A" w:rsidRPr="00465FD3" w:rsidRDefault="0050667A" w:rsidP="00354444">
            <w:r w:rsidRPr="00465FD3">
              <w:t>База данных по китайской традиционной медицине</w:t>
            </w:r>
          </w:p>
        </w:tc>
      </w:tr>
      <w:tr w:rsidR="0050667A" w:rsidRPr="00465FD3" w:rsidTr="00354444">
        <w:tc>
          <w:tcPr>
            <w:tcW w:w="9571" w:type="dxa"/>
          </w:tcPr>
          <w:p w:rsidR="0050667A" w:rsidRPr="00465FD3" w:rsidRDefault="0050667A" w:rsidP="00354444">
            <w:r w:rsidRPr="00465FD3">
              <w:t>Международный указатель патентов компании Derwent (DWPI)</w:t>
            </w:r>
          </w:p>
        </w:tc>
      </w:tr>
      <w:tr w:rsidR="0050667A" w:rsidRPr="00465FD3" w:rsidTr="00354444">
        <w:tc>
          <w:tcPr>
            <w:tcW w:w="9571" w:type="dxa"/>
          </w:tcPr>
          <w:p w:rsidR="0050667A" w:rsidRPr="00465FD3" w:rsidRDefault="0050667A" w:rsidP="00354444">
            <w:r w:rsidRPr="00465FD3">
              <w:t>EBSCOhost</w:t>
            </w:r>
          </w:p>
        </w:tc>
      </w:tr>
      <w:tr w:rsidR="0050667A" w:rsidRPr="00465FD3" w:rsidTr="00354444">
        <w:tc>
          <w:tcPr>
            <w:tcW w:w="9571" w:type="dxa"/>
          </w:tcPr>
          <w:p w:rsidR="0050667A" w:rsidRPr="00465FD3" w:rsidRDefault="0050667A" w:rsidP="00354444">
            <w:r w:rsidRPr="00465FD3">
              <w:t>Эльзевир (Elsevier)</w:t>
            </w:r>
          </w:p>
        </w:tc>
      </w:tr>
      <w:tr w:rsidR="0050667A" w:rsidRPr="00465FD3" w:rsidTr="00354444">
        <w:tc>
          <w:tcPr>
            <w:tcW w:w="9571" w:type="dxa"/>
          </w:tcPr>
          <w:p w:rsidR="0050667A" w:rsidRPr="00465FD3" w:rsidRDefault="0050667A" w:rsidP="00354444">
            <w:r w:rsidRPr="00465FD3">
              <w:t>Европейская лаборатория молекулярной биологии – Европейский институт биоинформатики (EMBL-EBI)</w:t>
            </w:r>
          </w:p>
        </w:tc>
      </w:tr>
      <w:tr w:rsidR="0050667A" w:rsidRPr="00465FD3" w:rsidTr="00354444">
        <w:tc>
          <w:tcPr>
            <w:tcW w:w="9571" w:type="dxa"/>
          </w:tcPr>
          <w:p w:rsidR="0050667A" w:rsidRPr="00465FD3" w:rsidRDefault="0050667A" w:rsidP="00354444">
            <w:r w:rsidRPr="00465FD3">
              <w:t>Genomequest</w:t>
            </w:r>
          </w:p>
        </w:tc>
      </w:tr>
      <w:tr w:rsidR="0050667A" w:rsidRPr="00465FD3" w:rsidTr="00354444">
        <w:tc>
          <w:tcPr>
            <w:tcW w:w="9571" w:type="dxa"/>
          </w:tcPr>
          <w:p w:rsidR="0050667A" w:rsidRPr="00465FD3" w:rsidRDefault="0050667A" w:rsidP="00354444">
            <w:r w:rsidRPr="00465FD3">
              <w:t>Цифровая библиотека IEEE Xplore</w:t>
            </w:r>
          </w:p>
        </w:tc>
      </w:tr>
      <w:tr w:rsidR="0050667A" w:rsidRPr="00465FD3" w:rsidTr="00354444">
        <w:tc>
          <w:tcPr>
            <w:tcW w:w="9571" w:type="dxa"/>
          </w:tcPr>
          <w:p w:rsidR="0050667A" w:rsidRPr="00465FD3" w:rsidRDefault="0050667A" w:rsidP="00354444">
            <w:r w:rsidRPr="00465FD3">
              <w:t>База данных традиционных знаний Индии</w:t>
            </w:r>
          </w:p>
        </w:tc>
      </w:tr>
      <w:tr w:rsidR="0050667A" w:rsidRPr="00465FD3" w:rsidTr="00354444">
        <w:tc>
          <w:tcPr>
            <w:tcW w:w="9571" w:type="dxa"/>
          </w:tcPr>
          <w:p w:rsidR="0050667A" w:rsidRPr="00465FD3" w:rsidRDefault="0050667A" w:rsidP="00354444">
            <w:r w:rsidRPr="00465FD3">
              <w:t xml:space="preserve">JSTOR </w:t>
            </w:r>
          </w:p>
        </w:tc>
      </w:tr>
      <w:tr w:rsidR="0050667A" w:rsidRPr="00465FD3" w:rsidTr="00354444">
        <w:tc>
          <w:tcPr>
            <w:tcW w:w="9571" w:type="dxa"/>
          </w:tcPr>
          <w:p w:rsidR="0050667A" w:rsidRPr="00465FD3" w:rsidRDefault="0050667A" w:rsidP="00354444">
            <w:r w:rsidRPr="00465FD3">
              <w:t>MEDLINE</w:t>
            </w:r>
          </w:p>
        </w:tc>
      </w:tr>
      <w:tr w:rsidR="0050667A" w:rsidRPr="00465FD3" w:rsidTr="00354444">
        <w:tc>
          <w:tcPr>
            <w:tcW w:w="9571" w:type="dxa"/>
          </w:tcPr>
          <w:p w:rsidR="0050667A" w:rsidRPr="00465FD3" w:rsidRDefault="0050667A" w:rsidP="00354444">
            <w:r w:rsidRPr="00465FD3">
              <w:t>Nature и Nature Biotechnology</w:t>
            </w:r>
          </w:p>
        </w:tc>
      </w:tr>
      <w:tr w:rsidR="0050667A" w:rsidRPr="00465FD3" w:rsidTr="00354444">
        <w:tc>
          <w:tcPr>
            <w:tcW w:w="9571" w:type="dxa"/>
          </w:tcPr>
          <w:p w:rsidR="0050667A" w:rsidRPr="00465FD3" w:rsidRDefault="0050667A" w:rsidP="00354444">
            <w:r w:rsidRPr="00465FD3">
              <w:t>PATENTSCOPE</w:t>
            </w:r>
          </w:p>
        </w:tc>
      </w:tr>
      <w:tr w:rsidR="0050667A" w:rsidRPr="00465FD3" w:rsidTr="00354444">
        <w:tc>
          <w:tcPr>
            <w:tcW w:w="9571" w:type="dxa"/>
          </w:tcPr>
          <w:p w:rsidR="0050667A" w:rsidRPr="00465FD3" w:rsidRDefault="0050667A" w:rsidP="00354444">
            <w:r w:rsidRPr="00465FD3">
              <w:t>PubAg</w:t>
            </w:r>
          </w:p>
        </w:tc>
      </w:tr>
      <w:tr w:rsidR="0050667A" w:rsidRPr="00082BBB" w:rsidTr="00354444">
        <w:tc>
          <w:tcPr>
            <w:tcW w:w="9571" w:type="dxa"/>
          </w:tcPr>
          <w:p w:rsidR="0050667A" w:rsidRPr="00E04056" w:rsidRDefault="0050667A" w:rsidP="00354444">
            <w:pPr>
              <w:rPr>
                <w:lang w:val="en-US"/>
              </w:rPr>
            </w:pPr>
            <w:r w:rsidRPr="00E04056">
              <w:rPr>
                <w:lang w:val="en-US"/>
              </w:rPr>
              <w:t xml:space="preserve">PubMed </w:t>
            </w:r>
            <w:r w:rsidRPr="00465FD3">
              <w:t>и</w:t>
            </w:r>
            <w:r w:rsidRPr="00E04056">
              <w:rPr>
                <w:lang w:val="en-US"/>
              </w:rPr>
              <w:t xml:space="preserve"> PubMed Central (</w:t>
            </w:r>
            <w:r w:rsidRPr="00465FD3">
              <w:t>Канада</w:t>
            </w:r>
            <w:r w:rsidRPr="00E04056">
              <w:rPr>
                <w:lang w:val="en-US"/>
              </w:rPr>
              <w:t>)</w:t>
            </w:r>
          </w:p>
        </w:tc>
      </w:tr>
      <w:tr w:rsidR="0050667A" w:rsidRPr="00465FD3" w:rsidTr="00354444">
        <w:tc>
          <w:tcPr>
            <w:tcW w:w="9571" w:type="dxa"/>
          </w:tcPr>
          <w:p w:rsidR="0050667A" w:rsidRPr="00465FD3" w:rsidRDefault="0050667A" w:rsidP="00354444">
            <w:r w:rsidRPr="00465FD3">
              <w:t>Questel Orbit</w:t>
            </w:r>
          </w:p>
        </w:tc>
      </w:tr>
      <w:tr w:rsidR="0050667A" w:rsidRPr="00465FD3" w:rsidTr="00354444">
        <w:tc>
          <w:tcPr>
            <w:tcW w:w="9571" w:type="dxa"/>
          </w:tcPr>
          <w:p w:rsidR="0050667A" w:rsidRPr="00465FD3" w:rsidRDefault="0050667A" w:rsidP="00354444">
            <w:r w:rsidRPr="00465FD3">
              <w:t>Сеть научной и технической информации (STN)</w:t>
            </w:r>
          </w:p>
        </w:tc>
      </w:tr>
      <w:tr w:rsidR="0050667A" w:rsidRPr="00465FD3" w:rsidTr="00354444">
        <w:tc>
          <w:tcPr>
            <w:tcW w:w="9571" w:type="dxa"/>
          </w:tcPr>
          <w:p w:rsidR="0050667A" w:rsidRPr="00465FD3" w:rsidRDefault="0050667A" w:rsidP="00354444">
            <w:r w:rsidRPr="00465FD3">
              <w:t>ScienceDirect</w:t>
            </w:r>
          </w:p>
        </w:tc>
      </w:tr>
      <w:tr w:rsidR="0050667A" w:rsidRPr="00465FD3" w:rsidTr="00354444">
        <w:tc>
          <w:tcPr>
            <w:tcW w:w="9571" w:type="dxa"/>
          </w:tcPr>
          <w:p w:rsidR="0050667A" w:rsidRPr="00465FD3" w:rsidRDefault="0050667A" w:rsidP="00354444">
            <w:r w:rsidRPr="00465FD3">
              <w:t>Scientific American</w:t>
            </w:r>
          </w:p>
        </w:tc>
      </w:tr>
      <w:tr w:rsidR="0050667A" w:rsidRPr="00465FD3" w:rsidTr="00354444">
        <w:tc>
          <w:tcPr>
            <w:tcW w:w="9571" w:type="dxa"/>
          </w:tcPr>
          <w:p w:rsidR="0050667A" w:rsidRPr="00465FD3" w:rsidRDefault="0050667A" w:rsidP="00354444">
            <w:r w:rsidRPr="00465FD3">
              <w:t>Springer</w:t>
            </w:r>
          </w:p>
        </w:tc>
      </w:tr>
      <w:tr w:rsidR="0050667A" w:rsidRPr="00465FD3" w:rsidTr="00354444">
        <w:tc>
          <w:tcPr>
            <w:tcW w:w="9571" w:type="dxa"/>
          </w:tcPr>
          <w:p w:rsidR="0050667A" w:rsidRPr="00465FD3" w:rsidRDefault="0050667A" w:rsidP="00354444">
            <w:r w:rsidRPr="00465FD3">
              <w:t>Онлайн-библиотека Wiley</w:t>
            </w:r>
          </w:p>
        </w:tc>
      </w:tr>
      <w:tr w:rsidR="0050667A" w:rsidRPr="00465FD3" w:rsidTr="00354444">
        <w:tc>
          <w:tcPr>
            <w:tcW w:w="9571" w:type="dxa"/>
          </w:tcPr>
          <w:p w:rsidR="0050667A" w:rsidRPr="00465FD3" w:rsidRDefault="0050667A" w:rsidP="00354444">
            <w:r w:rsidRPr="00465FD3">
              <w:t>WIPO CASE</w:t>
            </w:r>
          </w:p>
        </w:tc>
      </w:tr>
      <w:tr w:rsidR="0050667A" w:rsidRPr="00465FD3" w:rsidTr="00354444">
        <w:tc>
          <w:tcPr>
            <w:tcW w:w="9571" w:type="dxa"/>
          </w:tcPr>
          <w:p w:rsidR="0050667A" w:rsidRPr="00465FD3" w:rsidRDefault="0050667A" w:rsidP="00354444">
            <w:r w:rsidRPr="00465FD3">
              <w:t>Журнал World Patent Information</w:t>
            </w:r>
          </w:p>
        </w:tc>
      </w:tr>
      <w:tr w:rsidR="0050667A" w:rsidRPr="00465FD3" w:rsidTr="00354444">
        <w:tc>
          <w:tcPr>
            <w:tcW w:w="9571" w:type="dxa"/>
          </w:tcPr>
          <w:p w:rsidR="0050667A" w:rsidRPr="00465FD3" w:rsidRDefault="0050667A" w:rsidP="00F42B3D">
            <w:r w:rsidRPr="00465FD3">
              <w:t>Принадлежащие Ведомству базы данных по заявкам национального уровня (например, в частности, по следующим странам:  Австралия; Япония; Соединенные Штаты; Франция; Корея; Турция; ЕПВ и Дания)</w:t>
            </w:r>
          </w:p>
        </w:tc>
      </w:tr>
      <w:tr w:rsidR="0050667A" w:rsidRPr="00465FD3" w:rsidTr="00354444">
        <w:tc>
          <w:tcPr>
            <w:tcW w:w="9571" w:type="dxa"/>
          </w:tcPr>
          <w:p w:rsidR="0050667A" w:rsidRPr="00465FD3" w:rsidRDefault="0050667A" w:rsidP="00354444">
            <w:r w:rsidRPr="00465FD3">
              <w:t xml:space="preserve">Базы данных непатентной литературы (НПЛ) с прямым доступом, разработанные в соответствии с положениями части 4.2 </w:t>
            </w:r>
            <w:r w:rsidR="00465FD3" w:rsidRPr="00465FD3">
              <w:t>«</w:t>
            </w:r>
            <w:r w:rsidRPr="00465FD3">
              <w:t>Руководства ВОИС по информации и документации в области промышленно</w:t>
            </w:r>
            <w:r w:rsidR="00A00E42" w:rsidRPr="00465FD3">
              <w:t>й собственности</w:t>
            </w:r>
            <w:r w:rsidR="00465FD3" w:rsidRPr="00465FD3">
              <w:t>»</w:t>
            </w:r>
            <w:r w:rsidR="00A00E42" w:rsidRPr="00465FD3">
              <w:t xml:space="preserve"> (в частности, </w:t>
            </w:r>
            <w:r w:rsidRPr="00465FD3">
              <w:t>“</w:t>
            </w:r>
            <w:hyperlink r:id="rId18">
              <w:r w:rsidRPr="00465FD3">
                <w:rPr>
                  <w:rStyle w:val="Hyperlink"/>
                  <w:noProof w:val="0"/>
                </w:rPr>
                <w:t>Science</w:t>
              </w:r>
            </w:hyperlink>
            <w:r w:rsidR="00A00E42" w:rsidRPr="00465FD3">
              <w:t xml:space="preserve">”, </w:t>
            </w:r>
            <w:r w:rsidRPr="00465FD3">
              <w:t>Playthings, “</w:t>
            </w:r>
            <w:r w:rsidR="00E87D2B">
              <w:rPr>
                <w:szCs w:val="20"/>
              </w:rPr>
              <w:fldChar w:fldCharType="begin"/>
            </w:r>
            <w:r w:rsidR="00E87D2B">
              <w:instrText xml:space="preserve"> HYPERLINK "https://www.jstage.jst.go.jp/browse/bbb/-char/en" \h </w:instrText>
            </w:r>
            <w:r w:rsidR="00E87D2B">
              <w:rPr>
                <w:szCs w:val="20"/>
              </w:rPr>
              <w:fldChar w:fldCharType="separate"/>
            </w:r>
            <w:r w:rsidRPr="00465FD3">
              <w:rPr>
                <w:rStyle w:val="Hyperlink"/>
                <w:noProof w:val="0"/>
              </w:rPr>
              <w:t>Bioscience, Biotechnology and Biochemistry</w:t>
            </w:r>
            <w:r w:rsidR="00E87D2B">
              <w:rPr>
                <w:rStyle w:val="Hyperlink"/>
                <w:noProof w:val="0"/>
              </w:rPr>
              <w:fldChar w:fldCharType="end"/>
            </w:r>
            <w:r w:rsidRPr="00465FD3">
              <w:t>”)</w:t>
            </w:r>
          </w:p>
        </w:tc>
      </w:tr>
    </w:tbl>
    <w:p w:rsidR="0050667A" w:rsidRPr="00465FD3" w:rsidRDefault="0050667A" w:rsidP="00354444"/>
    <w:p w:rsidR="0050667A" w:rsidRPr="00465FD3" w:rsidRDefault="0050667A" w:rsidP="00354444">
      <w:r w:rsidRPr="00465FD3">
        <w:t xml:space="preserve">В CIPO имеется собственный </w:t>
      </w:r>
      <w:r w:rsidR="00465FD3" w:rsidRPr="00465FD3">
        <w:t>«</w:t>
      </w:r>
      <w:r w:rsidRPr="00465FD3">
        <w:t>Инструмент исследования библиотек</w:t>
      </w:r>
      <w:r w:rsidR="00465FD3" w:rsidRPr="00465FD3">
        <w:t>»</w:t>
      </w:r>
      <w:r w:rsidRPr="00465FD3">
        <w:t xml:space="preserve"> (</w:t>
      </w:r>
      <w:r w:rsidR="00465FD3" w:rsidRPr="00465FD3">
        <w:t>“</w:t>
      </w:r>
      <w:r w:rsidRPr="00465FD3">
        <w:t>Library Discovery Tool"), который дает экспертам доступ к полным текстам статей из источников или возможность быстро заказывать статьи.</w:t>
      </w:r>
    </w:p>
    <w:p w:rsidR="0050667A" w:rsidRPr="00465FD3" w:rsidRDefault="0050667A" w:rsidP="00354444"/>
    <w:p w:rsidR="0050667A" w:rsidRPr="00465FD3" w:rsidRDefault="0050667A" w:rsidP="00354444">
      <w:r w:rsidRPr="00465FD3">
        <w:t xml:space="preserve">CIPO имеет внутренние веб-страницы и энциклопедию в вики-формате, где эксперты могут публиковать ссылки на сайты, представляющие интерес для поиска.  Кроме того, в каждом подразделении CIPO действует хорошо зарекомендовавшая себя </w:t>
      </w:r>
      <w:r w:rsidR="00465FD3" w:rsidRPr="00465FD3">
        <w:t>«</w:t>
      </w:r>
      <w:r w:rsidRPr="00465FD3">
        <w:t>Мастерская совместного поиска</w:t>
      </w:r>
      <w:r w:rsidR="00465FD3" w:rsidRPr="00465FD3">
        <w:t>»</w:t>
      </w:r>
      <w:r w:rsidRPr="00465FD3">
        <w:t>, в которой объединена и через которую распространяется информация о передовы</w:t>
      </w:r>
      <w:r w:rsidR="000D1E50">
        <w:t>х практических методах поиска.</w:t>
      </w:r>
    </w:p>
    <w:p w:rsidR="0050667A" w:rsidRPr="00465FD3" w:rsidRDefault="0050667A" w:rsidP="00354444"/>
    <w:p w:rsidR="00354444" w:rsidRPr="00465FD3" w:rsidRDefault="00354444" w:rsidP="00354444"/>
    <w:p w:rsidR="0050667A" w:rsidRPr="00465FD3" w:rsidRDefault="0050667A" w:rsidP="00354444">
      <w:pPr>
        <w:rPr>
          <w:b/>
          <w:i/>
        </w:rPr>
      </w:pPr>
      <w:r w:rsidRPr="00465FD3">
        <w:rPr>
          <w:b/>
          <w:i/>
        </w:rPr>
        <w:t>Правила 36.1(iii) и 63.1(iii).  Это ведомство или эта организация должны иметь штат, который способен проводить поиск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p>
    <w:p w:rsidR="0050667A" w:rsidRPr="00465FD3" w:rsidRDefault="0050667A" w:rsidP="00354444"/>
    <w:p w:rsidR="0050667A" w:rsidRPr="00465FD3" w:rsidRDefault="0050667A" w:rsidP="00354444">
      <w:pPr>
        <w:pStyle w:val="Subsection"/>
      </w:pPr>
      <w:r w:rsidRPr="00465FD3">
        <w:t>Язык(и), на котором(ых) могут подаваться и обрабатыватьс</w:t>
      </w:r>
      <w:r w:rsidR="000D1E50">
        <w:t>я национальные заявки</w:t>
      </w:r>
    </w:p>
    <w:p w:rsidR="0050667A" w:rsidRPr="00465FD3" w:rsidRDefault="0050667A" w:rsidP="00354444">
      <w:r w:rsidRPr="00465FD3">
        <w:t>Международные патентные заявки, направляемые в CIPO как Международный орган, могут подаваться на английском или французском языке.</w:t>
      </w:r>
    </w:p>
    <w:p w:rsidR="0050667A" w:rsidRPr="00465FD3" w:rsidRDefault="0050667A" w:rsidP="00354444"/>
    <w:p w:rsidR="0050667A" w:rsidRPr="00465FD3" w:rsidRDefault="0050667A" w:rsidP="00354444">
      <w:pPr>
        <w:pStyle w:val="Subsection"/>
      </w:pPr>
      <w:r w:rsidRPr="00465FD3">
        <w:t xml:space="preserve">Другие языки, которыми владеет большое число экспертов  </w:t>
      </w:r>
    </w:p>
    <w:p w:rsidR="0050667A" w:rsidRPr="00465FD3" w:rsidRDefault="0050667A" w:rsidP="00354444">
      <w:r w:rsidRPr="00465FD3">
        <w:t>В CIPO работают патентные эксперты, владеющие следующими языками:</w:t>
      </w:r>
    </w:p>
    <w:p w:rsidR="0050667A" w:rsidRPr="00465FD3" w:rsidRDefault="00354444" w:rsidP="00354444">
      <w:r w:rsidRPr="00465FD3">
        <w:t>–</w:t>
      </w:r>
      <w:r w:rsidRPr="00465FD3">
        <w:tab/>
        <w:t>арабский (3);</w:t>
      </w:r>
    </w:p>
    <w:p w:rsidR="0050667A" w:rsidRPr="00465FD3" w:rsidRDefault="00354444" w:rsidP="00354444">
      <w:r w:rsidRPr="00465FD3">
        <w:t>–</w:t>
      </w:r>
      <w:r w:rsidRPr="00465FD3">
        <w:tab/>
        <w:t>боснийский (4);</w:t>
      </w:r>
    </w:p>
    <w:p w:rsidR="0050667A" w:rsidRPr="00465FD3" w:rsidRDefault="00354444" w:rsidP="00354444">
      <w:r w:rsidRPr="00465FD3">
        <w:t>–</w:t>
      </w:r>
      <w:r w:rsidRPr="00465FD3">
        <w:tab/>
        <w:t>китайский (11);</w:t>
      </w:r>
    </w:p>
    <w:p w:rsidR="0050667A" w:rsidRPr="00465FD3" w:rsidRDefault="00354444" w:rsidP="00354444">
      <w:r w:rsidRPr="00465FD3">
        <w:t>–</w:t>
      </w:r>
      <w:r w:rsidRPr="00465FD3">
        <w:tab/>
        <w:t>хорватский (4);</w:t>
      </w:r>
    </w:p>
    <w:p w:rsidR="0050667A" w:rsidRPr="00465FD3" w:rsidRDefault="00354444" w:rsidP="00354444">
      <w:r w:rsidRPr="00465FD3">
        <w:t>–</w:t>
      </w:r>
      <w:r w:rsidRPr="00465FD3">
        <w:tab/>
        <w:t>голландский/фламандский (1);</w:t>
      </w:r>
    </w:p>
    <w:p w:rsidR="0050667A" w:rsidRPr="00465FD3" w:rsidRDefault="00354444" w:rsidP="00354444">
      <w:r w:rsidRPr="00465FD3">
        <w:t>–</w:t>
      </w:r>
      <w:r w:rsidRPr="00465FD3">
        <w:tab/>
        <w:t>немецкий (4);</w:t>
      </w:r>
    </w:p>
    <w:p w:rsidR="0050667A" w:rsidRPr="00465FD3" w:rsidRDefault="00354444" w:rsidP="00354444">
      <w:r w:rsidRPr="00465FD3">
        <w:t>–</w:t>
      </w:r>
      <w:r w:rsidRPr="00465FD3">
        <w:tab/>
        <w:t>греческий (1);</w:t>
      </w:r>
    </w:p>
    <w:p w:rsidR="0050667A" w:rsidRPr="00465FD3" w:rsidRDefault="00354444" w:rsidP="00354444">
      <w:r w:rsidRPr="00465FD3">
        <w:t>–</w:t>
      </w:r>
      <w:r w:rsidRPr="00465FD3">
        <w:tab/>
        <w:t>хинди (3);</w:t>
      </w:r>
    </w:p>
    <w:p w:rsidR="0050667A" w:rsidRPr="00465FD3" w:rsidRDefault="00354444" w:rsidP="00354444">
      <w:r w:rsidRPr="00465FD3">
        <w:t>–</w:t>
      </w:r>
      <w:r w:rsidRPr="00465FD3">
        <w:tab/>
        <w:t>итальянский (4);</w:t>
      </w:r>
    </w:p>
    <w:p w:rsidR="0050667A" w:rsidRPr="00465FD3" w:rsidRDefault="00354444" w:rsidP="00354444">
      <w:r w:rsidRPr="00465FD3">
        <w:t>–</w:t>
      </w:r>
      <w:r w:rsidRPr="00465FD3">
        <w:tab/>
        <w:t>японский (1);</w:t>
      </w:r>
    </w:p>
    <w:p w:rsidR="0050667A" w:rsidRPr="00465FD3" w:rsidRDefault="00354444" w:rsidP="00354444">
      <w:r w:rsidRPr="00465FD3">
        <w:t>–</w:t>
      </w:r>
      <w:r w:rsidRPr="00465FD3">
        <w:tab/>
        <w:t>черногорский (2);</w:t>
      </w:r>
    </w:p>
    <w:p w:rsidR="0050667A" w:rsidRPr="00465FD3" w:rsidRDefault="00354444" w:rsidP="00354444">
      <w:r w:rsidRPr="00465FD3">
        <w:t>–</w:t>
      </w:r>
      <w:r w:rsidRPr="00465FD3">
        <w:tab/>
        <w:t>польский (6);</w:t>
      </w:r>
    </w:p>
    <w:p w:rsidR="0050667A" w:rsidRPr="00465FD3" w:rsidRDefault="00354444" w:rsidP="00354444">
      <w:r w:rsidRPr="00465FD3">
        <w:t>–</w:t>
      </w:r>
      <w:r w:rsidRPr="00465FD3">
        <w:tab/>
        <w:t>румынский (3);</w:t>
      </w:r>
    </w:p>
    <w:p w:rsidR="0050667A" w:rsidRPr="00465FD3" w:rsidRDefault="00354444" w:rsidP="00354444">
      <w:r w:rsidRPr="00465FD3">
        <w:t>–</w:t>
      </w:r>
      <w:r w:rsidRPr="00465FD3">
        <w:tab/>
        <w:t>русский (6);</w:t>
      </w:r>
    </w:p>
    <w:p w:rsidR="0050667A" w:rsidRPr="00465FD3" w:rsidRDefault="00354444" w:rsidP="00354444">
      <w:r w:rsidRPr="00465FD3">
        <w:t>–</w:t>
      </w:r>
      <w:r w:rsidRPr="00465FD3">
        <w:tab/>
        <w:t>санскрит (1);</w:t>
      </w:r>
    </w:p>
    <w:p w:rsidR="0050667A" w:rsidRPr="00465FD3" w:rsidRDefault="00354444" w:rsidP="00354444">
      <w:r w:rsidRPr="00465FD3">
        <w:t>–</w:t>
      </w:r>
      <w:r w:rsidRPr="00465FD3">
        <w:tab/>
        <w:t>сербский (4);</w:t>
      </w:r>
    </w:p>
    <w:p w:rsidR="0050667A" w:rsidRPr="00465FD3" w:rsidRDefault="00354444" w:rsidP="00354444">
      <w:r w:rsidRPr="00465FD3">
        <w:t>–</w:t>
      </w:r>
      <w:r w:rsidRPr="00465FD3">
        <w:tab/>
        <w:t>сербохорватский (3);</w:t>
      </w:r>
    </w:p>
    <w:p w:rsidR="0050667A" w:rsidRPr="00465FD3" w:rsidRDefault="00354444" w:rsidP="00354444">
      <w:r w:rsidRPr="00465FD3">
        <w:t>–</w:t>
      </w:r>
      <w:r w:rsidRPr="00465FD3">
        <w:tab/>
        <w:t>испанский (6) и</w:t>
      </w:r>
    </w:p>
    <w:p w:rsidR="0050667A" w:rsidRPr="00465FD3" w:rsidRDefault="00354444" w:rsidP="00354444">
      <w:r w:rsidRPr="00465FD3">
        <w:t>–</w:t>
      </w:r>
      <w:r w:rsidRPr="00465FD3">
        <w:tab/>
        <w:t>урду (1)</w:t>
      </w:r>
    </w:p>
    <w:p w:rsidR="0050667A" w:rsidRPr="00465FD3" w:rsidRDefault="0050667A" w:rsidP="00354444"/>
    <w:p w:rsidR="0050667A" w:rsidRPr="00465FD3" w:rsidRDefault="0050667A" w:rsidP="00354444">
      <w:pPr>
        <w:pStyle w:val="Subsection"/>
      </w:pPr>
      <w:r w:rsidRPr="00465FD3">
        <w:t xml:space="preserve">Услуги, предоставляемые для содействия в проведении поиска или понимании известного уровня техники на других языках </w:t>
      </w:r>
    </w:p>
    <w:p w:rsidR="0050667A" w:rsidRPr="00465FD3" w:rsidRDefault="0050667A" w:rsidP="00354444">
      <w:r w:rsidRPr="00465FD3">
        <w:t xml:space="preserve">Эксперты CIPO располагают следующими ресурсами для содействия в проведении поиска или понимании известного уровня техники на других языках: </w:t>
      </w:r>
    </w:p>
    <w:p w:rsidR="0050667A" w:rsidRPr="00465FD3" w:rsidRDefault="00354444" w:rsidP="00354444">
      <w:pPr>
        <w:ind w:left="567" w:hanging="567"/>
      </w:pPr>
      <w:r w:rsidRPr="00465FD3">
        <w:t>–</w:t>
      </w:r>
      <w:r w:rsidRPr="00465FD3">
        <w:tab/>
        <w:t>Бюро переводов Департамента общественных работ и правительственных служб Канады, которое предоставляет переводческие услуги более чем на 100 языках и диалектах;</w:t>
      </w:r>
    </w:p>
    <w:p w:rsidR="0050667A" w:rsidRPr="00E04056" w:rsidRDefault="00354444" w:rsidP="00354444">
      <w:pPr>
        <w:ind w:left="567" w:hanging="567"/>
        <w:rPr>
          <w:lang w:val="en-US"/>
        </w:rPr>
      </w:pPr>
      <w:r w:rsidRPr="00E04056">
        <w:rPr>
          <w:lang w:val="en-US"/>
        </w:rPr>
        <w:t>–</w:t>
      </w:r>
      <w:r w:rsidRPr="00E04056">
        <w:rPr>
          <w:lang w:val="en-US"/>
        </w:rPr>
        <w:tab/>
        <w:t>WIPO Translate;</w:t>
      </w:r>
    </w:p>
    <w:p w:rsidR="0050667A" w:rsidRPr="00E04056" w:rsidRDefault="00354444" w:rsidP="00354444">
      <w:pPr>
        <w:ind w:left="567" w:hanging="567"/>
        <w:rPr>
          <w:lang w:val="en-US"/>
        </w:rPr>
      </w:pPr>
      <w:r w:rsidRPr="00E04056">
        <w:rPr>
          <w:lang w:val="en-US"/>
        </w:rPr>
        <w:t>–</w:t>
      </w:r>
      <w:r w:rsidRPr="00E04056">
        <w:rPr>
          <w:lang w:val="en-US"/>
        </w:rPr>
        <w:tab/>
        <w:t>WIPO Pearl;</w:t>
      </w:r>
    </w:p>
    <w:p w:rsidR="0050667A" w:rsidRPr="00E04056" w:rsidRDefault="00354444" w:rsidP="00354444">
      <w:pPr>
        <w:ind w:left="567" w:hanging="567"/>
        <w:rPr>
          <w:lang w:val="en-US"/>
        </w:rPr>
      </w:pPr>
      <w:r w:rsidRPr="00E04056">
        <w:rPr>
          <w:lang w:val="en-US"/>
        </w:rPr>
        <w:t>–</w:t>
      </w:r>
      <w:r w:rsidRPr="00E04056">
        <w:rPr>
          <w:lang w:val="en-US"/>
        </w:rPr>
        <w:tab/>
        <w:t>Google-</w:t>
      </w:r>
      <w:r w:rsidRPr="00465FD3">
        <w:t>переводчик</w:t>
      </w:r>
      <w:r w:rsidRPr="00E04056">
        <w:rPr>
          <w:lang w:val="en-US"/>
        </w:rPr>
        <w:t>;</w:t>
      </w:r>
    </w:p>
    <w:p w:rsidR="0050667A" w:rsidRPr="00465FD3" w:rsidRDefault="00354444" w:rsidP="00354444">
      <w:pPr>
        <w:ind w:left="567" w:hanging="567"/>
      </w:pPr>
      <w:r w:rsidRPr="00465FD3">
        <w:t>–</w:t>
      </w:r>
      <w:r w:rsidRPr="00465FD3">
        <w:tab/>
        <w:t>Esp@cenet – переводчик патентов (на основе Google-переводчика);</w:t>
      </w:r>
    </w:p>
    <w:p w:rsidR="0050667A" w:rsidRPr="00465FD3" w:rsidRDefault="00354444" w:rsidP="00354444">
      <w:pPr>
        <w:ind w:left="567" w:hanging="567"/>
      </w:pPr>
      <w:r w:rsidRPr="00465FD3">
        <w:t>–</w:t>
      </w:r>
      <w:r w:rsidRPr="00465FD3">
        <w:tab/>
        <w:t>функция перевода Questel Orbit (на основе Google-переводчика).</w:t>
      </w:r>
    </w:p>
    <w:p w:rsidR="0050667A" w:rsidRPr="00465FD3" w:rsidRDefault="0050667A" w:rsidP="00837E2A">
      <w:pPr>
        <w:pStyle w:val="SectionHeading"/>
      </w:pPr>
      <w:r w:rsidRPr="00465FD3">
        <w:t>2.2 – Управление качеством</w:t>
      </w:r>
    </w:p>
    <w:p w:rsidR="0050667A" w:rsidRPr="00465FD3" w:rsidRDefault="0050667A" w:rsidP="00354444">
      <w:pPr>
        <w:rPr>
          <w:b/>
          <w:i/>
        </w:rPr>
      </w:pPr>
      <w:r w:rsidRPr="00465FD3">
        <w:rPr>
          <w:b/>
          <w:i/>
        </w:rPr>
        <w:t>Правила 36.1(iv) и 63.1(iv):  это ведомство или эта организация должны иметь систему управления качеством и механизмы внутреннего контроля в соответствии с общими правилами международного поиска.</w:t>
      </w:r>
    </w:p>
    <w:p w:rsidR="0050667A" w:rsidRPr="00465FD3" w:rsidRDefault="0050667A" w:rsidP="0050667A">
      <w:pPr>
        <w:rPr>
          <w:b/>
          <w:bCs/>
          <w:szCs w:val="22"/>
        </w:rPr>
      </w:pPr>
    </w:p>
    <w:p w:rsidR="0050667A" w:rsidRPr="00465FD3" w:rsidRDefault="0050667A" w:rsidP="00354444">
      <w:pPr>
        <w:pStyle w:val="Subsection"/>
      </w:pPr>
      <w:r w:rsidRPr="00465FD3">
        <w:t xml:space="preserve">Система управления качеством национального и международного уровней  </w:t>
      </w:r>
    </w:p>
    <w:p w:rsidR="0050667A" w:rsidRPr="00465FD3" w:rsidRDefault="0050667A" w:rsidP="00354444">
      <w:r w:rsidRPr="00465FD3">
        <w:t>В CIPO действуют официальная международная система управления качеством (с 2007 г.) и официальная национальная система управления качеством (с 2012 г.).  До ввода в действие этих систем в 2007 и 2012 годах соответственно контроль качества осуществляли руководители отдела экспертизы</w:t>
      </w:r>
      <w:r w:rsidR="000B29E1" w:rsidRPr="00465FD3">
        <w:t>.  В</w:t>
      </w:r>
      <w:r w:rsidRPr="00465FD3">
        <w:t xml:space="preserve">се они до занятия данной должности работали экспертами и имели многолетний опыт работы.  </w:t>
      </w:r>
    </w:p>
    <w:p w:rsidR="0050667A" w:rsidRPr="00465FD3" w:rsidRDefault="0050667A" w:rsidP="00354444"/>
    <w:p w:rsidR="0050667A" w:rsidRPr="00465FD3" w:rsidRDefault="0050667A" w:rsidP="00354444">
      <w:r w:rsidRPr="00465FD3">
        <w:t xml:space="preserve">В отчетах CIPO о системе управления качеством согласно требованиям главы 21 </w:t>
      </w:r>
      <w:r w:rsidR="0088062A" w:rsidRPr="0088062A">
        <w:t>Руководства PCT по проведению международного поиска и международной предварительной экспертизы</w:t>
      </w:r>
      <w:r w:rsidRPr="00465FD3">
        <w:t xml:space="preserve"> (опубликованы на странице </w:t>
      </w:r>
      <w:hyperlink r:id="rId19">
        <w:r w:rsidRPr="00465FD3">
          <w:rPr>
            <w:rStyle w:val="Hyperlink"/>
            <w:noProof w:val="0"/>
          </w:rPr>
          <w:t>Отчеты по качеству Международных органов РСТ</w:t>
        </w:r>
      </w:hyperlink>
      <w:r w:rsidRPr="00465FD3">
        <w:rPr>
          <w:rStyle w:val="FootnoteReference"/>
        </w:rPr>
        <w:footnoteReference w:id="2"/>
      </w:r>
      <w:r w:rsidRPr="00465FD3">
        <w:t>) приводится подробная информация о международной системе управления качеством в CIPO и демонстрируется твердое намерение CIPO обеспечивать высочайший уровень качества.</w:t>
      </w:r>
    </w:p>
    <w:p w:rsidR="0050667A" w:rsidRPr="00465FD3" w:rsidRDefault="0050667A" w:rsidP="00354444"/>
    <w:p w:rsidR="0050667A" w:rsidRPr="00465FD3" w:rsidRDefault="0050667A" w:rsidP="00354444">
      <w:r w:rsidRPr="00465FD3">
        <w:t xml:space="preserve">В настоящее время отделение патентоведения CIPO проходит сертификацию осуществляемых им в рамках национальной и международной патентной экспертизы комплексных процессов </w:t>
      </w:r>
      <w:r w:rsidR="00465FD3" w:rsidRPr="00465FD3">
        <w:t>«</w:t>
      </w:r>
      <w:r w:rsidRPr="00465FD3">
        <w:t>от подачи патентн</w:t>
      </w:r>
      <w:r w:rsidR="00CB0ECF">
        <w:t>ой заявки до выдачи патента</w:t>
      </w:r>
      <w:r w:rsidRPr="00465FD3">
        <w:t xml:space="preserve">/международного </w:t>
      </w:r>
      <w:r w:rsidR="00CB0ECF">
        <w:t>отчета или заключения</w:t>
      </w:r>
      <w:r w:rsidR="00465FD3" w:rsidRPr="00465FD3">
        <w:t>»</w:t>
      </w:r>
      <w:r w:rsidRPr="00465FD3">
        <w:t xml:space="preserve"> по стандарту ИСО 9001:2015.  Первый этап внешнего аудита был завершен 9 декабря 2016 года, а второй его этап запланирован на 6–8 марта 2017 г.   Отдел патентоведения проходит официальную сертификацию впервые.  Руководство CIPO твердо намерено непрерывно совершенствовать процессы</w:t>
      </w:r>
      <w:r w:rsidR="000D1E50">
        <w:t>, а также отчеты и заключения</w:t>
      </w:r>
      <w:r w:rsidRPr="00465FD3">
        <w:t>.</w:t>
      </w:r>
    </w:p>
    <w:p w:rsidR="0050667A" w:rsidRPr="00465FD3" w:rsidRDefault="0050667A" w:rsidP="000328E4">
      <w:pPr>
        <w:pStyle w:val="SectionHeading"/>
      </w:pPr>
      <w:r w:rsidRPr="00465FD3">
        <w:t>3. – Предполагаемая сфера охвата деятельности</w:t>
      </w:r>
    </w:p>
    <w:p w:rsidR="0050667A" w:rsidRPr="00465FD3" w:rsidRDefault="0050667A" w:rsidP="000328E4">
      <w:pPr>
        <w:pStyle w:val="Subsection"/>
      </w:pPr>
      <w:r w:rsidRPr="00465FD3">
        <w:t>Язык(и), на котором (кото</w:t>
      </w:r>
      <w:r w:rsidR="009D40D6">
        <w:t>рых) будут предлагаться услуги</w:t>
      </w:r>
    </w:p>
    <w:p w:rsidR="0050667A" w:rsidRPr="00465FD3" w:rsidRDefault="0050667A" w:rsidP="000328E4">
      <w:pPr>
        <w:keepNext/>
      </w:pPr>
      <w:r w:rsidRPr="00465FD3">
        <w:t>CIPO предлагает своим клиентам услуги на английском и французском языках.</w:t>
      </w:r>
    </w:p>
    <w:p w:rsidR="0050667A" w:rsidRPr="00465FD3" w:rsidRDefault="0050667A" w:rsidP="000328E4">
      <w:pPr>
        <w:keepNext/>
      </w:pPr>
    </w:p>
    <w:p w:rsidR="0050667A" w:rsidRPr="00465FD3" w:rsidRDefault="0050667A" w:rsidP="000328E4">
      <w:pPr>
        <w:pStyle w:val="Subsection"/>
      </w:pPr>
      <w:r w:rsidRPr="00465FD3">
        <w:t xml:space="preserve">Государство(а) или получающее ведомство (получающие ведомства), в отношении которого (которых) Ведомство планирует быть компетентным органом:  </w:t>
      </w:r>
    </w:p>
    <w:p w:rsidR="0050667A" w:rsidRPr="00465FD3" w:rsidRDefault="0050667A" w:rsidP="006A6C1D">
      <w:r w:rsidRPr="00465FD3">
        <w:t xml:space="preserve">В настоящее время CIPO является компетентным органом для: </w:t>
      </w:r>
    </w:p>
    <w:p w:rsidR="0050667A" w:rsidRPr="00465FD3" w:rsidRDefault="006A6C1D" w:rsidP="006A6C1D">
      <w:r w:rsidRPr="00465FD3">
        <w:t>–</w:t>
      </w:r>
      <w:r w:rsidRPr="00465FD3">
        <w:tab/>
        <w:t xml:space="preserve">Антигуа и Барбуды; </w:t>
      </w:r>
    </w:p>
    <w:p w:rsidR="0050667A" w:rsidRPr="00465FD3" w:rsidRDefault="006A6C1D" w:rsidP="006A6C1D">
      <w:r w:rsidRPr="00465FD3">
        <w:t>–</w:t>
      </w:r>
      <w:r w:rsidRPr="00465FD3">
        <w:tab/>
        <w:t>Белиза;</w:t>
      </w:r>
    </w:p>
    <w:p w:rsidR="0050667A" w:rsidRPr="00465FD3" w:rsidRDefault="006A6C1D" w:rsidP="006A6C1D">
      <w:r w:rsidRPr="00465FD3">
        <w:t>–</w:t>
      </w:r>
      <w:r w:rsidRPr="00465FD3">
        <w:tab/>
        <w:t xml:space="preserve">Канады; </w:t>
      </w:r>
    </w:p>
    <w:p w:rsidR="0050667A" w:rsidRPr="00465FD3" w:rsidRDefault="006A6C1D" w:rsidP="006A6C1D">
      <w:r w:rsidRPr="00465FD3">
        <w:t>–</w:t>
      </w:r>
      <w:r w:rsidRPr="00465FD3">
        <w:tab/>
        <w:t xml:space="preserve">Нигерии; </w:t>
      </w:r>
    </w:p>
    <w:p w:rsidR="0050667A" w:rsidRPr="00465FD3" w:rsidRDefault="009D40D6" w:rsidP="006A6C1D">
      <w:r>
        <w:t>–</w:t>
      </w:r>
      <w:r>
        <w:tab/>
        <w:t>Сент-Винсента и Гренадин;  и</w:t>
      </w:r>
    </w:p>
    <w:p w:rsidR="0050667A" w:rsidRPr="00465FD3" w:rsidRDefault="006A6C1D" w:rsidP="006A6C1D">
      <w:r w:rsidRPr="00465FD3">
        <w:t>–</w:t>
      </w:r>
      <w:r w:rsidRPr="00465FD3">
        <w:tab/>
        <w:t>Саудовской Аравии.</w:t>
      </w:r>
    </w:p>
    <w:p w:rsidR="0050667A" w:rsidRPr="00465FD3" w:rsidRDefault="0050667A" w:rsidP="006A6C1D"/>
    <w:p w:rsidR="0050667A" w:rsidRPr="00465FD3" w:rsidRDefault="0050667A" w:rsidP="006A6C1D">
      <w:r w:rsidRPr="00465FD3">
        <w:t>Кроме того, CIPO предлагает свои услуги любому государству, считающемуся развивающейся страной в соответствии с установившейся практикой Генеральной Ассамблеи Организации Объединенных Наций.</w:t>
      </w:r>
    </w:p>
    <w:p w:rsidR="0050667A" w:rsidRPr="00465FD3" w:rsidRDefault="0050667A" w:rsidP="006A6C1D"/>
    <w:p w:rsidR="0050667A" w:rsidRPr="00465FD3" w:rsidRDefault="0050667A" w:rsidP="006A6C1D">
      <w:r w:rsidRPr="00465FD3">
        <w:t>CIPO готово по запросу рассмотреть возможность выступать в качестве компетентного органа для получающих ведомств, которые желают получать услуги, предоставляемые на французском языке.</w:t>
      </w:r>
    </w:p>
    <w:p w:rsidR="0050667A" w:rsidRPr="00465FD3" w:rsidRDefault="0050667A" w:rsidP="0050667A">
      <w:pPr>
        <w:rPr>
          <w:rFonts w:ascii="Century Gothic" w:hAnsi="Century Gothic"/>
          <w:sz w:val="20"/>
        </w:rPr>
      </w:pPr>
    </w:p>
    <w:p w:rsidR="0050667A" w:rsidRPr="00465FD3" w:rsidRDefault="0050667A" w:rsidP="006A6C1D">
      <w:pPr>
        <w:pStyle w:val="Subsection"/>
      </w:pPr>
      <w:r w:rsidRPr="00465FD3">
        <w:t>Ограничения объема деятельности</w:t>
      </w:r>
    </w:p>
    <w:p w:rsidR="0050667A" w:rsidRPr="00465FD3" w:rsidRDefault="0050667A" w:rsidP="006A6C1D">
      <w:r w:rsidRPr="00465FD3">
        <w:t>Единственным ограничением объема деятельности CIPO является то, для каких государств оно действует в качестве компетентного органа и которым оно предложило услуги в качестве компетентного органа.</w:t>
      </w:r>
    </w:p>
    <w:p w:rsidR="0050667A" w:rsidRPr="00465FD3" w:rsidRDefault="0050667A" w:rsidP="006A6C1D">
      <w:pPr>
        <w:pStyle w:val="SectionHeading"/>
      </w:pPr>
      <w:r w:rsidRPr="00465FD3">
        <w:t>4. – Обоснование заявления</w:t>
      </w:r>
    </w:p>
    <w:p w:rsidR="0050667A" w:rsidRPr="00465FD3" w:rsidRDefault="0050667A" w:rsidP="006A6C1D">
      <w:r w:rsidRPr="00465FD3">
        <w:t xml:space="preserve">В качестве МПО/ОМПЭ CIPO обеспечивает своим клиентским группам более широкий доступ к международной патентной системе.  CIPO предлагает заявителям из Канады индивидуальный подход, так как является местным ведомством, где работают местные сотрудники, </w:t>
      </w:r>
      <w:r w:rsidR="009D40D6">
        <w:t xml:space="preserve">уже знакомые заявителям, </w:t>
      </w:r>
      <w:r w:rsidRPr="00465FD3">
        <w:t>которые могут оказывать им услуги на официальном языке по их выбору.  Благодаря тому, что Ведомство находится в Канаде, канадские заявители могут оплачивать услуги в канадской валюте и работать в пределах известных им часовых поясов.  Это облегчает обработку международным заявок по процедуре РСТ от канадских заявителей и тем самым повышает их производительность и конкурентоспособность в условиях экономики, основанной на знаниях.  Статус МПО/ОМПЭ позволяет CIPO более твердо придерживаться курса на обеспечение высочайшего качества в области клиентских отношений и предоставления услуг.</w:t>
      </w:r>
    </w:p>
    <w:p w:rsidR="0050667A" w:rsidRPr="00465FD3" w:rsidRDefault="0050667A" w:rsidP="006A6C1D"/>
    <w:p w:rsidR="0050667A" w:rsidRPr="00465FD3" w:rsidRDefault="0050667A" w:rsidP="006A6C1D">
      <w:r w:rsidRPr="00465FD3">
        <w:t>Если рассматривать ситуацию шире с точки зрения географии, то благодаря своему положению как международного органа среднего размера, чья деятельность ведется на основе британской правовой системы, CIPO может заполнить пробел в этом отношении в Северной и Южной Америке и предлагать целенаправленную помощь ведомствам в этом регионе, прежде всего тем, для которых оно выступает в качестве компетентного МО.  CIPO оказывает техническую помощь большинству стран Карибского бассейна посредством различных семинаров ВОИС по РСТ.  CIPO может обеспечить более масштабн</w:t>
      </w:r>
      <w:r w:rsidR="009D40D6">
        <w:t>ую</w:t>
      </w:r>
      <w:r w:rsidRPr="00465FD3">
        <w:t xml:space="preserve">, </w:t>
      </w:r>
      <w:r w:rsidR="009D40D6">
        <w:t>всеобъемлющую</w:t>
      </w:r>
      <w:r w:rsidRPr="00465FD3">
        <w:t xml:space="preserve"> и </w:t>
      </w:r>
      <w:r w:rsidR="009D40D6">
        <w:t>ориентированную на конкретных клиентов</w:t>
      </w:r>
      <w:r w:rsidRPr="00465FD3">
        <w:t xml:space="preserve"> </w:t>
      </w:r>
      <w:r w:rsidR="009D40D6">
        <w:t>поддержку</w:t>
      </w:r>
      <w:r w:rsidRPr="00465FD3">
        <w:t>, чем более крупные МО</w:t>
      </w:r>
      <w:r w:rsidR="009D40D6">
        <w:t xml:space="preserve"> </w:t>
      </w:r>
      <w:r w:rsidRPr="00465FD3">
        <w:t>регион</w:t>
      </w:r>
      <w:r w:rsidR="009D40D6">
        <w:t>а</w:t>
      </w:r>
      <w:r w:rsidRPr="00465FD3">
        <w:t>.</w:t>
      </w:r>
    </w:p>
    <w:p w:rsidR="0050667A" w:rsidRPr="00465FD3" w:rsidRDefault="0050667A" w:rsidP="006A6C1D"/>
    <w:p w:rsidR="0050667A" w:rsidRPr="00465FD3" w:rsidRDefault="0050667A" w:rsidP="006A6C1D">
      <w:r w:rsidRPr="00465FD3">
        <w:t>CIPO участвует в адресованной развивающимся странам Программе международного сотрудничества в области поиска и экспертизы изобретений (МСПЭИ) ВОИС.  Благодаря статусу МО, в частности, возможности предлагать услуги на французском языке, CIPO способно обеспечить наиболее высокое качество поиска, экспертизы</w:t>
      </w:r>
      <w:r w:rsidR="003178FE" w:rsidRPr="00465FD3">
        <w:t>,</w:t>
      </w:r>
      <w:r w:rsidRPr="00465FD3">
        <w:t xml:space="preserve"> оценки новизны и изобретательского уровня подаваемых в ведомства по промышленной собственности патентных заявок, которые не являются приоритетными или для которых не созданы отчеты о поиске, когда такие заявки направляются ему по программе МСПЭИ.  В настоящее время CIPO незаменимо, так как это единственное Ведомство, оказывающее услуги в рамках МСПЭИ на французском языке. </w:t>
      </w:r>
    </w:p>
    <w:p w:rsidR="0050667A" w:rsidRPr="00465FD3" w:rsidRDefault="0050667A" w:rsidP="006A6C1D"/>
    <w:p w:rsidR="0050667A" w:rsidRPr="00465FD3" w:rsidRDefault="0050667A" w:rsidP="006A6C1D">
      <w:r w:rsidRPr="00465FD3">
        <w:t xml:space="preserve">CIPO традиционно является ведомством второй подачи (79% заявок поступают в CIPO после национальной фазы РСТ) и по собственному опыту знает о многих аспектах деятельности указанных и выбранных ведомств (УВ/ВВ).  Будучи ведомством интеллектуальной собственности средних размеров, CIPO понимает, как УВ/ВВ применяют результаты работы МО.  CIPO осознает, какое доверие УВ/ВВ оказывают Международным органам, и отдает себе отчет в важности качества отчетов и заключений МО.  CIPO имеет представление об опыте таких ведомств и располагает всеми возможностями для того, чтобы направлять их деятельность и при взаимодействии с </w:t>
      </w:r>
      <w:r w:rsidR="00CB0ECF">
        <w:t>различными</w:t>
      </w:r>
      <w:r w:rsidRPr="00465FD3">
        <w:t xml:space="preserve"> средними и малыми ведомствами предлагать им практические рекомендации.  </w:t>
      </w:r>
      <w:r w:rsidR="009D40D6">
        <w:t xml:space="preserve">Эти знания также помогают </w:t>
      </w:r>
      <w:r w:rsidRPr="00465FD3">
        <w:t xml:space="preserve">CIPO </w:t>
      </w:r>
      <w:r w:rsidR="009D40D6">
        <w:t>плодотворно</w:t>
      </w:r>
      <w:r w:rsidRPr="00465FD3">
        <w:t xml:space="preserve"> реш</w:t>
      </w:r>
      <w:r w:rsidR="009D40D6">
        <w:t>ать</w:t>
      </w:r>
      <w:r w:rsidRPr="00465FD3">
        <w:t xml:space="preserve"> проблем</w:t>
      </w:r>
      <w:r w:rsidR="009D40D6">
        <w:t>ы</w:t>
      </w:r>
      <w:r w:rsidRPr="00465FD3">
        <w:t xml:space="preserve"> малых и средних ведомств и как следствие улучш</w:t>
      </w:r>
      <w:r w:rsidR="009D40D6">
        <w:t>ать</w:t>
      </w:r>
      <w:r w:rsidRPr="00465FD3">
        <w:t xml:space="preserve"> международн</w:t>
      </w:r>
      <w:r w:rsidR="009D40D6">
        <w:t>ый режим</w:t>
      </w:r>
      <w:r w:rsidRPr="00465FD3">
        <w:t xml:space="preserve"> ИС на благо каждого.</w:t>
      </w:r>
    </w:p>
    <w:p w:rsidR="0050667A" w:rsidRPr="00465FD3" w:rsidRDefault="0050667A" w:rsidP="006A6C1D"/>
    <w:p w:rsidR="0050667A" w:rsidRPr="00465FD3" w:rsidRDefault="0050667A" w:rsidP="006A6C1D">
      <w:r w:rsidRPr="00465FD3">
        <w:t xml:space="preserve">Статус действующего МПО/ОМПЭ позволяет CIPO оказывать значительное влияние на систему РСТ в целом.  Активное участие в деятельности Заседания международных органов (ЗМО) в рамках PCT и Подгруппы ЗМО по обеспечению качества с 2004 г. позволяет Ведомству в сотрудничестве с другими сторонами </w:t>
      </w:r>
      <w:r w:rsidR="00CB0ECF" w:rsidRPr="00465FD3">
        <w:t xml:space="preserve">конструктивно </w:t>
      </w:r>
      <w:r w:rsidRPr="00465FD3">
        <w:t xml:space="preserve">заявлять о своих позициях и распространять информацию о них. Это дает ему возможность достаточно эффективно контролировать осуществление РСТ по ряду направлений и обеспечивать высокое уважение к потенциалу и вкладу Канады.   Принимаемые на заседаниях решения определяют подходы CIPO к выполнению им функции МПО/ОМПЭ и непосредственно влияют на нашу повседневную деятельность.  Статус CIPO в качестве МО также позволяет Ведомству быть в курсе мероприятий, которые проводятся более крупными ведомствами.  </w:t>
      </w:r>
    </w:p>
    <w:p w:rsidR="0050667A" w:rsidRPr="00465FD3" w:rsidRDefault="0050667A" w:rsidP="006A6C1D"/>
    <w:p w:rsidR="0050667A" w:rsidRPr="00465FD3" w:rsidRDefault="0050667A" w:rsidP="006A6C1D">
      <w:pPr>
        <w:keepLines/>
      </w:pPr>
      <w:r w:rsidRPr="00465FD3">
        <w:t xml:space="preserve">Работа экспертов CIPO по проведению международной экспертизы позволяет им расширять знания о тенденциях в сфере гармонизации в рамках РСТ.  Статус МО служит повышению качества поиска и экспертизы на уровне Канады за счет расширения контактов с системой РСТ и доступа к дополнительным инструментам поиска.  Совместные проекты CIPO с другими МО позволяют экспертам участвовать в обмене информацией и </w:t>
      </w:r>
      <w:r w:rsidR="00CB0ECF">
        <w:t xml:space="preserve">объединенных </w:t>
      </w:r>
      <w:r w:rsidRPr="00465FD3">
        <w:t xml:space="preserve">мероприятиях.  </w:t>
      </w:r>
    </w:p>
    <w:p w:rsidR="0050667A" w:rsidRPr="00465FD3" w:rsidRDefault="0050667A" w:rsidP="006A6C1D"/>
    <w:p w:rsidR="0050667A" w:rsidRPr="00465FD3" w:rsidRDefault="0050667A" w:rsidP="006A6C1D">
      <w:r w:rsidRPr="00465FD3">
        <w:t xml:space="preserve">Будучи канадским ведомством, CIPO вносит уникальный вклад в деятельность </w:t>
      </w:r>
      <w:r w:rsidR="009D40D6">
        <w:t xml:space="preserve">всей </w:t>
      </w:r>
      <w:r w:rsidRPr="00465FD3">
        <w:t>системы РСТ.   Канада является уважаемой страной и играет важную роль на многих крупных политических площадках</w:t>
      </w:r>
      <w:r w:rsidR="007823C7" w:rsidRPr="00465FD3">
        <w:t>.  П</w:t>
      </w:r>
      <w:r w:rsidRPr="00465FD3">
        <w:t>одробная информация об этом приводится в разделе «Членство в международных и региональных организациях» ниже.  CIPO занимает среднее положение между крупными и малыми ведомствами.  Ведомство осознает влияние других международных органов и учитывает их мнения при определении своей позиции</w:t>
      </w:r>
      <w:r w:rsidR="00465FD3">
        <w:t>;  п</w:t>
      </w:r>
      <w:r w:rsidRPr="00465FD3">
        <w:t>ри этом оно неизменно стремится к тому, чтобы его решения служили совершенствованию системы РСТ в целом.  После присвоения статуса МПО/ОМПЭ CIPO одним из первых стало предоставлять полную информацию о стратегиях поиска и применять в письменных сообщениях стандартные положения</w:t>
      </w:r>
      <w:r w:rsidR="00465FD3">
        <w:t xml:space="preserve">;  </w:t>
      </w:r>
      <w:r w:rsidRPr="00465FD3">
        <w:t xml:space="preserve">оно </w:t>
      </w:r>
      <w:r w:rsidR="009D40D6">
        <w:t>одним из первых</w:t>
      </w:r>
      <w:r w:rsidRPr="00465FD3">
        <w:t xml:space="preserve"> начал</w:t>
      </w:r>
      <w:r w:rsidR="009D40D6">
        <w:t>о</w:t>
      </w:r>
      <w:r w:rsidRPr="00465FD3">
        <w:t xml:space="preserve"> использовать углубленные обзоры отчетов о системах управления качеством, направляемых другими ведомствами</w:t>
      </w:r>
      <w:r w:rsidR="000B29E1" w:rsidRPr="00465FD3">
        <w:t>.  В</w:t>
      </w:r>
      <w:r w:rsidRPr="00465FD3">
        <w:t>се эти меры имеют целью укрепление системы РСТ и повышение качества продуктов деятельности в рамках этой системы, что, в свою очередь, способствует росту доверия пользователей.  Как МО среднего размера CIPO берет на себя соответствующую его возможнос</w:t>
      </w:r>
      <w:r w:rsidR="006B2709">
        <w:t>тям часть международной работы.</w:t>
      </w:r>
    </w:p>
    <w:p w:rsidR="0050667A" w:rsidRPr="00465FD3" w:rsidRDefault="0050667A" w:rsidP="006A6C1D"/>
    <w:p w:rsidR="0050667A" w:rsidRPr="00465FD3" w:rsidRDefault="0050667A" w:rsidP="006A6C1D">
      <w:r w:rsidRPr="00465FD3">
        <w:t>С учетом необходимости более оперативного предоставлени</w:t>
      </w:r>
      <w:r w:rsidR="00CB0ECF">
        <w:t>я заявителям</w:t>
      </w:r>
      <w:r w:rsidRPr="00465FD3">
        <w:t xml:space="preserve"> прав ИС, снижения затрат и сокращения сроков рассмотрения поступающих заявок для всех пользователей РСТ, имея статус МО, CIPO сможет участвовать в важных обсуждениях и сосредоточиться на практических усилиях, направленных на повышение эффективности международного поиска и междунаро</w:t>
      </w:r>
      <w:r w:rsidR="00CB0ECF">
        <w:t xml:space="preserve">дной экспертизы в рамках РСТ.  </w:t>
      </w:r>
      <w:r w:rsidRPr="00465FD3">
        <w:t xml:space="preserve">Помимо прочего, эти усилия приведут к повышению качества и прозрачности, что опять же повысит уровень доверия со стороны всех пользователей РСТ.  (См. доклад </w:t>
      </w:r>
      <w:r w:rsidR="00F42B3D">
        <w:t>«</w:t>
      </w:r>
      <w:hyperlink r:id="rId20">
        <w:r w:rsidRPr="00465FD3">
          <w:rPr>
            <w:rStyle w:val="Hyperlink"/>
            <w:noProof w:val="0"/>
          </w:rPr>
          <w:t>Статистика по РСТ</w:t>
        </w:r>
      </w:hyperlink>
      <w:r w:rsidR="00F42B3D">
        <w:rPr>
          <w:rStyle w:val="Hyperlink"/>
          <w:noProof w:val="0"/>
        </w:rPr>
        <w:t>»</w:t>
      </w:r>
      <w:r w:rsidRPr="00465FD3">
        <w:t>, представленный на двадцать четвертом заседании Международных органов).</w:t>
      </w:r>
    </w:p>
    <w:p w:rsidR="0050667A" w:rsidRPr="00465FD3" w:rsidRDefault="0050667A" w:rsidP="006A6C1D">
      <w:pPr>
        <w:pStyle w:val="SectionHeading"/>
      </w:pPr>
      <w:r w:rsidRPr="00465FD3">
        <w:t>5 – Государство-заявитель</w:t>
      </w:r>
    </w:p>
    <w:p w:rsidR="0050667A" w:rsidRPr="00465FD3" w:rsidRDefault="0050667A" w:rsidP="006A6C1D">
      <w:pPr>
        <w:pStyle w:val="Subsection"/>
      </w:pPr>
      <w:r w:rsidRPr="00465FD3">
        <w:t>Географическое положение региона</w:t>
      </w:r>
    </w:p>
    <w:p w:rsidR="0050667A" w:rsidRPr="00465FD3" w:rsidRDefault="0050667A" w:rsidP="0050667A">
      <w:pPr>
        <w:rPr>
          <w:rFonts w:ascii="Century Gothic" w:hAnsi="Century Gothic"/>
          <w:iCs/>
          <w:sz w:val="16"/>
          <w:szCs w:val="16"/>
        </w:rPr>
      </w:pPr>
      <w:r w:rsidRPr="00465FD3">
        <w:rPr>
          <w:noProof/>
          <w:lang w:val="en-US" w:eastAsia="en-US" w:bidi="ar-SA"/>
        </w:rPr>
        <w:drawing>
          <wp:inline distT="0" distB="0" distL="0" distR="0" wp14:anchorId="237A59D8" wp14:editId="27D56765">
            <wp:extent cx="3175000" cy="364769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200110" cy="3676540"/>
                    </a:xfrm>
                    <a:prstGeom prst="rect">
                      <a:avLst/>
                    </a:prstGeom>
                  </pic:spPr>
                </pic:pic>
              </a:graphicData>
            </a:graphic>
          </wp:inline>
        </w:drawing>
      </w:r>
    </w:p>
    <w:p w:rsidR="0050667A" w:rsidRPr="00465FD3" w:rsidRDefault="0050667A" w:rsidP="0050667A">
      <w:pPr>
        <w:rPr>
          <w:rFonts w:ascii="Century Gothic" w:hAnsi="Century Gothic"/>
          <w:sz w:val="20"/>
        </w:rPr>
      </w:pPr>
    </w:p>
    <w:p w:rsidR="0050667A" w:rsidRPr="00465FD3" w:rsidRDefault="0050667A" w:rsidP="006A6C1D">
      <w:pPr>
        <w:pStyle w:val="Subsection"/>
      </w:pPr>
      <w:r w:rsidRPr="00465FD3">
        <w:t>Площадь</w:t>
      </w:r>
    </w:p>
    <w:p w:rsidR="0050667A" w:rsidRPr="00465FD3" w:rsidRDefault="0050667A" w:rsidP="006A6C1D">
      <w:r w:rsidRPr="00465FD3">
        <w:t xml:space="preserve"> •  </w:t>
      </w:r>
      <w:r w:rsidRPr="00465FD3">
        <w:tab/>
        <w:t>Общая</w:t>
      </w:r>
      <w:r w:rsidRPr="00465FD3">
        <w:tab/>
      </w:r>
      <w:r w:rsidRPr="00465FD3">
        <w:tab/>
        <w:t>9 984 670 км</w:t>
      </w:r>
      <w:r w:rsidRPr="00465FD3">
        <w:rPr>
          <w:vertAlign w:val="superscript"/>
        </w:rPr>
        <w:t>2</w:t>
      </w:r>
      <w:r w:rsidRPr="00465FD3">
        <w:t xml:space="preserve"> (3 854 085 кв. миль)</w:t>
      </w:r>
    </w:p>
    <w:p w:rsidR="0050667A" w:rsidRPr="00465FD3" w:rsidRDefault="0050667A" w:rsidP="006A6C1D">
      <w:r w:rsidRPr="00465FD3">
        <w:t xml:space="preserve"> •  </w:t>
      </w:r>
      <w:r w:rsidRPr="00465FD3">
        <w:tab/>
        <w:t xml:space="preserve">Площадь водной поверхности (%) </w:t>
      </w:r>
      <w:r w:rsidRPr="00465FD3">
        <w:tab/>
        <w:t>8,92 (891 163 км</w:t>
      </w:r>
      <w:r w:rsidRPr="00465FD3">
        <w:rPr>
          <w:vertAlign w:val="superscript"/>
        </w:rPr>
        <w:t xml:space="preserve">2 </w:t>
      </w:r>
      <w:r w:rsidRPr="00465FD3">
        <w:t xml:space="preserve"> / 344 080 кв. миль)</w:t>
      </w:r>
    </w:p>
    <w:p w:rsidR="0050667A" w:rsidRPr="00465FD3" w:rsidRDefault="0050667A" w:rsidP="006A6C1D"/>
    <w:p w:rsidR="0050667A" w:rsidRPr="00465FD3" w:rsidRDefault="0050667A" w:rsidP="006A6C1D">
      <w:pPr>
        <w:pStyle w:val="Subsection"/>
      </w:pPr>
      <w:bookmarkStart w:id="6" w:name="Memberships"/>
      <w:bookmarkEnd w:id="6"/>
      <w:r w:rsidRPr="00465FD3">
        <w:t xml:space="preserve">Членство в международных и региональных организациях  </w:t>
      </w:r>
    </w:p>
    <w:p w:rsidR="0050667A" w:rsidRPr="00465FD3" w:rsidRDefault="0050667A" w:rsidP="006A6C1D">
      <w:r w:rsidRPr="00465FD3">
        <w:t>Будучи членом целого ряда международных и региональных организаций, Канада способствует распространению таких общих ценностей, как равенство, демократия, верховенство закона, прозрачность и надлежащее управление.  Канада является членом или наблюдателем, по крайней мере, 78 организаций, среди которых:</w:t>
      </w:r>
    </w:p>
    <w:p w:rsidR="0050667A" w:rsidRPr="00465FD3" w:rsidRDefault="0050667A" w:rsidP="006A6C1D">
      <w:r w:rsidRPr="00465FD3">
        <w:t>Азиатско-Тихоокеанское экономическое сотрудничество (АТЭС);</w:t>
      </w:r>
    </w:p>
    <w:p w:rsidR="0050667A" w:rsidRPr="00465FD3" w:rsidRDefault="0050667A" w:rsidP="006A6C1D">
      <w:r w:rsidRPr="00465FD3">
        <w:t>Ассоциация государств Юго-Восточной Азии (АСЕАН) (партнер по диалогу) и Региональный форум АСЕАН;</w:t>
      </w:r>
    </w:p>
    <w:p w:rsidR="0050667A" w:rsidRPr="00465FD3" w:rsidRDefault="0050667A" w:rsidP="006A6C1D">
      <w:r w:rsidRPr="00465FD3">
        <w:t>Содружество наций;</w:t>
      </w:r>
    </w:p>
    <w:p w:rsidR="0050667A" w:rsidRPr="00465FD3" w:rsidRDefault="0050667A" w:rsidP="006A6C1D">
      <w:r w:rsidRPr="00465FD3">
        <w:t>Банки развития (например, Азиатский, Африканский, Карибский и Межамериканский банки развития, Европейский и Международный банки реконструкции и развития);</w:t>
      </w:r>
    </w:p>
    <w:p w:rsidR="0050667A" w:rsidRPr="00465FD3" w:rsidRDefault="0050667A" w:rsidP="006A6C1D">
      <w:r w:rsidRPr="00465FD3">
        <w:t>Группа семи;</w:t>
      </w:r>
    </w:p>
    <w:p w:rsidR="0050667A" w:rsidRPr="00465FD3" w:rsidRDefault="0050667A" w:rsidP="006A6C1D">
      <w:r w:rsidRPr="00465FD3">
        <w:t>Группа двадцати;</w:t>
      </w:r>
    </w:p>
    <w:p w:rsidR="0050667A" w:rsidRPr="00465FD3" w:rsidRDefault="0050667A" w:rsidP="006A6C1D">
      <w:r w:rsidRPr="00465FD3">
        <w:t>Международный уголовный суд;</w:t>
      </w:r>
    </w:p>
    <w:p w:rsidR="0050667A" w:rsidRPr="00465FD3" w:rsidRDefault="0050667A" w:rsidP="006A6C1D">
      <w:r w:rsidRPr="00465FD3">
        <w:t>Международная федерация обществ Красного Креста и Красного Полумесяца;</w:t>
      </w:r>
    </w:p>
    <w:p w:rsidR="0050667A" w:rsidRPr="00465FD3" w:rsidRDefault="0050667A" w:rsidP="006A6C1D">
      <w:r w:rsidRPr="00465FD3">
        <w:t>Международная рабочая группа по делам коренных народов;</w:t>
      </w:r>
    </w:p>
    <w:p w:rsidR="0050667A" w:rsidRPr="00465FD3" w:rsidRDefault="0050667A" w:rsidP="006A6C1D">
      <w:r w:rsidRPr="00465FD3">
        <w:t>Международное движение Красного Креста и Красного Полумесяца;</w:t>
      </w:r>
    </w:p>
    <w:p w:rsidR="0050667A" w:rsidRPr="00465FD3" w:rsidRDefault="0050667A" w:rsidP="006A6C1D">
      <w:r w:rsidRPr="00465FD3">
        <w:t>Интерпол;</w:t>
      </w:r>
    </w:p>
    <w:p w:rsidR="0050667A" w:rsidRPr="00465FD3" w:rsidRDefault="00D05667" w:rsidP="006A6C1D">
      <w:r>
        <w:t>Международная организация франкоязычных стран</w:t>
      </w:r>
      <w:r w:rsidR="0050667A" w:rsidRPr="00465FD3">
        <w:t>;</w:t>
      </w:r>
    </w:p>
    <w:p w:rsidR="0050667A" w:rsidRPr="00465FD3" w:rsidRDefault="0050667A" w:rsidP="006A6C1D">
      <w:r w:rsidRPr="00465FD3">
        <w:t>Организация Североатлантического договора (НАТО);</w:t>
      </w:r>
    </w:p>
    <w:p w:rsidR="0050667A" w:rsidRPr="00465FD3" w:rsidRDefault="0050667A" w:rsidP="006A6C1D">
      <w:r w:rsidRPr="00465FD3">
        <w:t>Организация экономического сотрудничества и развития (ОЭСР)</w:t>
      </w:r>
    </w:p>
    <w:p w:rsidR="0050667A" w:rsidRPr="00465FD3" w:rsidRDefault="0050667A" w:rsidP="006A6C1D">
      <w:r w:rsidRPr="00465FD3">
        <w:t>Организация по безопасности и сотрудничеству в Европе (ОБСЕ)</w:t>
      </w:r>
    </w:p>
    <w:p w:rsidR="0050667A" w:rsidRPr="00465FD3" w:rsidRDefault="0050667A" w:rsidP="006A6C1D">
      <w:r w:rsidRPr="00465FD3">
        <w:t>Постоянная Палата Третейского Суда</w:t>
      </w:r>
    </w:p>
    <w:p w:rsidR="0050667A" w:rsidRPr="00465FD3" w:rsidRDefault="0050667A" w:rsidP="006A6C1D">
      <w:r w:rsidRPr="00465FD3">
        <w:t xml:space="preserve">Организация Объединенных Наций </w:t>
      </w:r>
    </w:p>
    <w:p w:rsidR="0050667A" w:rsidRPr="00465FD3" w:rsidRDefault="0050667A" w:rsidP="006A6C1D">
      <w:r w:rsidRPr="00465FD3">
        <w:t>Конференция Организации Объединенных Наций по торговле и развитию</w:t>
      </w:r>
    </w:p>
    <w:p w:rsidR="0050667A" w:rsidRPr="00465FD3" w:rsidRDefault="0050667A" w:rsidP="006A6C1D">
      <w:r w:rsidRPr="00465FD3">
        <w:t>Организация Объединенных Наций по вопросам образования, науки и культуры (ЮНЕСКО)</w:t>
      </w:r>
    </w:p>
    <w:p w:rsidR="0050667A" w:rsidRPr="00465FD3" w:rsidRDefault="0050667A" w:rsidP="006A6C1D">
      <w:r w:rsidRPr="00465FD3">
        <w:t>Всемирная торговая организация</w:t>
      </w:r>
    </w:p>
    <w:p w:rsidR="0050667A" w:rsidRPr="00465FD3" w:rsidRDefault="0050667A" w:rsidP="006A6C1D">
      <w:r w:rsidRPr="00465FD3">
        <w:t>Всемирная организация интеллектуальной собственности</w:t>
      </w:r>
    </w:p>
    <w:p w:rsidR="0050667A" w:rsidRPr="00465FD3" w:rsidRDefault="0050667A" w:rsidP="006A6C1D">
      <w:pPr>
        <w:rPr>
          <w:i/>
        </w:rPr>
      </w:pPr>
      <w:r w:rsidRPr="00465FD3">
        <w:rPr>
          <w:i/>
        </w:rPr>
        <w:t xml:space="preserve">Источник:  </w:t>
      </w:r>
      <w:hyperlink r:id="rId22">
        <w:r w:rsidRPr="00465FD3">
          <w:rPr>
            <w:rStyle w:val="Hyperlink"/>
            <w:i/>
            <w:noProof w:val="0"/>
          </w:rPr>
          <w:t>Министерство иностранных дел и международной торговли Канады</w:t>
        </w:r>
      </w:hyperlink>
      <w:r w:rsidRPr="00465FD3">
        <w:rPr>
          <w:i/>
        </w:rPr>
        <w:t xml:space="preserve"> (29.02.2017)</w:t>
      </w:r>
    </w:p>
    <w:p w:rsidR="0050667A" w:rsidRPr="00465FD3" w:rsidRDefault="0050667A" w:rsidP="006A6C1D"/>
    <w:p w:rsidR="0050667A" w:rsidRPr="00465FD3" w:rsidRDefault="0050667A" w:rsidP="006A6C1D">
      <w:r w:rsidRPr="00465FD3">
        <w:rPr>
          <w:b/>
        </w:rPr>
        <w:t>Численность населения:</w:t>
      </w:r>
      <w:r w:rsidRPr="00465FD3">
        <w:t xml:space="preserve">  36 290 000 человек </w:t>
      </w:r>
    </w:p>
    <w:p w:rsidR="0050667A" w:rsidRPr="00465FD3" w:rsidRDefault="0050667A" w:rsidP="006A6C1D">
      <w:pPr>
        <w:rPr>
          <w:i/>
        </w:rPr>
      </w:pPr>
      <w:r w:rsidRPr="00465FD3">
        <w:rPr>
          <w:i/>
        </w:rPr>
        <w:t xml:space="preserve">Источник:  (2016 г.) </w:t>
      </w:r>
      <w:r w:rsidR="000328E4">
        <w:fldChar w:fldCharType="begin"/>
      </w:r>
      <w:r w:rsidR="000328E4">
        <w:instrText xml:space="preserve"> HYPERLINK "http://www.statcan.gc.ca/tables-tableaux/sum-som/l01/cst01/demo02a-eng.htm" \h </w:instrText>
      </w:r>
      <w:r w:rsidR="000328E4">
        <w:fldChar w:fldCharType="separate"/>
      </w:r>
      <w:r w:rsidRPr="00465FD3">
        <w:rPr>
          <w:rStyle w:val="Hyperlink"/>
          <w:i/>
          <w:noProof w:val="0"/>
        </w:rPr>
        <w:t>Статистическое управление Канады</w:t>
      </w:r>
      <w:r w:rsidR="000328E4">
        <w:rPr>
          <w:rStyle w:val="Hyperlink"/>
          <w:i/>
          <w:noProof w:val="0"/>
        </w:rPr>
        <w:fldChar w:fldCharType="end"/>
      </w:r>
    </w:p>
    <w:p w:rsidR="0050667A" w:rsidRPr="00465FD3" w:rsidRDefault="0050667A" w:rsidP="006A6C1D"/>
    <w:p w:rsidR="0050667A" w:rsidRPr="00465FD3" w:rsidRDefault="0050667A" w:rsidP="006A6C1D">
      <w:pPr>
        <w:pStyle w:val="Subsection"/>
      </w:pPr>
      <w:r w:rsidRPr="00465FD3">
        <w:t xml:space="preserve">ВВП на душу населения:  </w:t>
      </w:r>
    </w:p>
    <w:tbl>
      <w:tblPr>
        <w:tblW w:w="5280" w:type="dxa"/>
        <w:tblCellSpacing w:w="15" w:type="dxa"/>
        <w:tblCellMar>
          <w:top w:w="15" w:type="dxa"/>
          <w:left w:w="15" w:type="dxa"/>
          <w:bottom w:w="15" w:type="dxa"/>
          <w:right w:w="15" w:type="dxa"/>
        </w:tblCellMar>
        <w:tblLook w:val="04A0" w:firstRow="1" w:lastRow="0" w:firstColumn="1" w:lastColumn="0" w:noHBand="0" w:noVBand="1"/>
      </w:tblPr>
      <w:tblGrid>
        <w:gridCol w:w="1764"/>
        <w:gridCol w:w="1702"/>
        <w:gridCol w:w="1814"/>
      </w:tblGrid>
      <w:tr w:rsidR="0050667A" w:rsidRPr="00465FD3" w:rsidTr="0050667A">
        <w:trPr>
          <w:tblCellSpacing w:w="15" w:type="dxa"/>
        </w:trPr>
        <w:tc>
          <w:tcPr>
            <w:tcW w:w="0" w:type="auto"/>
            <w:gridSpan w:val="2"/>
            <w:vAlign w:val="center"/>
            <w:hideMark/>
          </w:tcPr>
          <w:p w:rsidR="0050667A" w:rsidRPr="00465FD3" w:rsidRDefault="000328E4" w:rsidP="006A6C1D">
            <w:hyperlink r:id="rId23" w:tooltip="Валовой внутренний продукт">
              <w:r w:rsidR="00F454D3" w:rsidRPr="00465FD3">
                <w:rPr>
                  <w:rStyle w:val="Hyperlink"/>
                  <w:noProof w:val="0"/>
                </w:rPr>
                <w:t>ВВП</w:t>
              </w:r>
            </w:hyperlink>
            <w:r w:rsidR="00F454D3" w:rsidRPr="00465FD3">
              <w:t> (</w:t>
            </w:r>
            <w:hyperlink r:id="rId24" w:tooltip="Паритет покупательной способности">
              <w:r w:rsidR="00F454D3" w:rsidRPr="00465FD3">
                <w:rPr>
                  <w:rStyle w:val="Hyperlink"/>
                  <w:noProof w:val="0"/>
                </w:rPr>
                <w:t>паритет покупательной способности – ППС</w:t>
              </w:r>
            </w:hyperlink>
            <w:r w:rsidR="00F454D3" w:rsidRPr="00465FD3">
              <w:t>) (в международных долларах)</w:t>
            </w:r>
          </w:p>
        </w:tc>
        <w:tc>
          <w:tcPr>
            <w:tcW w:w="0" w:type="auto"/>
            <w:vAlign w:val="center"/>
            <w:hideMark/>
          </w:tcPr>
          <w:p w:rsidR="0050667A" w:rsidRPr="00465FD3" w:rsidRDefault="0050667A" w:rsidP="006A6C1D">
            <w:r w:rsidRPr="00465FD3">
              <w:t>2015 г. </w:t>
            </w:r>
          </w:p>
        </w:tc>
      </w:tr>
      <w:tr w:rsidR="0050667A" w:rsidRPr="00465FD3" w:rsidTr="0050667A">
        <w:trPr>
          <w:tblCellSpacing w:w="15" w:type="dxa"/>
        </w:trPr>
        <w:tc>
          <w:tcPr>
            <w:tcW w:w="538" w:type="dxa"/>
            <w:tcMar>
              <w:top w:w="0" w:type="dxa"/>
              <w:left w:w="144" w:type="dxa"/>
              <w:bottom w:w="0" w:type="dxa"/>
              <w:right w:w="0" w:type="dxa"/>
            </w:tcMar>
            <w:vAlign w:val="center"/>
            <w:hideMark/>
          </w:tcPr>
          <w:p w:rsidR="0050667A" w:rsidRPr="00465FD3" w:rsidRDefault="0050667A" w:rsidP="006A6C1D">
            <w:r w:rsidRPr="00465FD3">
              <w:t> • </w:t>
            </w:r>
          </w:p>
        </w:tc>
        <w:tc>
          <w:tcPr>
            <w:tcW w:w="0" w:type="auto"/>
            <w:tcMar>
              <w:top w:w="15" w:type="dxa"/>
              <w:left w:w="0" w:type="dxa"/>
              <w:bottom w:w="15" w:type="dxa"/>
              <w:right w:w="15" w:type="dxa"/>
            </w:tcMar>
            <w:vAlign w:val="center"/>
            <w:hideMark/>
          </w:tcPr>
          <w:p w:rsidR="0050667A" w:rsidRPr="00465FD3" w:rsidRDefault="0050667A" w:rsidP="006A6C1D">
            <w:r w:rsidRPr="00465FD3">
              <w:t>Суммарный</w:t>
            </w:r>
          </w:p>
        </w:tc>
        <w:tc>
          <w:tcPr>
            <w:tcW w:w="0" w:type="auto"/>
            <w:vAlign w:val="center"/>
            <w:hideMark/>
          </w:tcPr>
          <w:p w:rsidR="0050667A" w:rsidRPr="00465FD3" w:rsidRDefault="0050667A" w:rsidP="006A6C1D">
            <w:r w:rsidRPr="00465FD3">
              <w:t>1,584 трлн долл. (</w:t>
            </w:r>
            <w:hyperlink r:id="rId25" w:tooltip="Список стран по ВВП (ППС)">
              <w:r w:rsidRPr="00465FD3">
                <w:rPr>
                  <w:rStyle w:val="Hyperlink"/>
                  <w:noProof w:val="0"/>
                </w:rPr>
                <w:t>16-е место</w:t>
              </w:r>
            </w:hyperlink>
            <w:r w:rsidRPr="00465FD3">
              <w:t>)</w:t>
            </w:r>
          </w:p>
        </w:tc>
      </w:tr>
      <w:tr w:rsidR="0050667A" w:rsidRPr="00465FD3" w:rsidTr="0050667A">
        <w:trPr>
          <w:tblCellSpacing w:w="15" w:type="dxa"/>
        </w:trPr>
        <w:tc>
          <w:tcPr>
            <w:tcW w:w="538" w:type="dxa"/>
            <w:tcMar>
              <w:top w:w="0" w:type="dxa"/>
              <w:left w:w="144" w:type="dxa"/>
              <w:bottom w:w="0" w:type="dxa"/>
              <w:right w:w="0" w:type="dxa"/>
            </w:tcMar>
            <w:vAlign w:val="center"/>
            <w:hideMark/>
          </w:tcPr>
          <w:p w:rsidR="0050667A" w:rsidRPr="00465FD3" w:rsidRDefault="0050667A" w:rsidP="006A6C1D">
            <w:r w:rsidRPr="00465FD3">
              <w:t> • </w:t>
            </w:r>
          </w:p>
        </w:tc>
        <w:tc>
          <w:tcPr>
            <w:tcW w:w="0" w:type="auto"/>
            <w:tcMar>
              <w:top w:w="15" w:type="dxa"/>
              <w:left w:w="0" w:type="dxa"/>
              <w:bottom w:w="15" w:type="dxa"/>
              <w:right w:w="15" w:type="dxa"/>
            </w:tcMar>
            <w:vAlign w:val="center"/>
            <w:hideMark/>
          </w:tcPr>
          <w:p w:rsidR="0050667A" w:rsidRPr="00465FD3" w:rsidRDefault="0050667A" w:rsidP="006A6C1D">
            <w:r w:rsidRPr="00465FD3">
              <w:t>На душу населения</w:t>
            </w:r>
          </w:p>
        </w:tc>
        <w:tc>
          <w:tcPr>
            <w:tcW w:w="0" w:type="auto"/>
            <w:vAlign w:val="center"/>
            <w:hideMark/>
          </w:tcPr>
          <w:p w:rsidR="0050667A" w:rsidRPr="00465FD3" w:rsidRDefault="0050667A" w:rsidP="006A6C1D">
            <w:r w:rsidRPr="00465FD3">
              <w:t>44 197 долл. (</w:t>
            </w:r>
            <w:hyperlink r:id="rId26" w:tooltip="Список стран по ВВП (ППС) на душу населения">
              <w:r w:rsidRPr="00465FD3">
                <w:rPr>
                  <w:rStyle w:val="Hyperlink"/>
                  <w:noProof w:val="0"/>
                </w:rPr>
                <w:t>23-е место</w:t>
              </w:r>
            </w:hyperlink>
            <w:r w:rsidRPr="00465FD3">
              <w:t>)</w:t>
            </w:r>
          </w:p>
        </w:tc>
      </w:tr>
      <w:tr w:rsidR="0050667A" w:rsidRPr="00465FD3" w:rsidTr="0050667A">
        <w:trPr>
          <w:tblCellSpacing w:w="15" w:type="dxa"/>
        </w:trPr>
        <w:tc>
          <w:tcPr>
            <w:tcW w:w="0" w:type="auto"/>
            <w:gridSpan w:val="2"/>
            <w:vAlign w:val="center"/>
            <w:hideMark/>
          </w:tcPr>
          <w:p w:rsidR="0050667A" w:rsidRPr="00465FD3" w:rsidRDefault="000328E4" w:rsidP="006A6C1D">
            <w:hyperlink r:id="rId27" w:tooltip="Валовой внутренний продукт">
              <w:r w:rsidR="00F454D3" w:rsidRPr="00465FD3">
                <w:rPr>
                  <w:rStyle w:val="Hyperlink"/>
                  <w:noProof w:val="0"/>
                </w:rPr>
                <w:t>ВВП</w:t>
              </w:r>
            </w:hyperlink>
            <w:r w:rsidR="00F454D3" w:rsidRPr="00465FD3">
              <w:t> (номинальный) (долл. США)</w:t>
            </w:r>
          </w:p>
        </w:tc>
        <w:tc>
          <w:tcPr>
            <w:tcW w:w="0" w:type="auto"/>
            <w:vAlign w:val="center"/>
            <w:hideMark/>
          </w:tcPr>
          <w:p w:rsidR="0050667A" w:rsidRPr="00465FD3" w:rsidRDefault="0050667A" w:rsidP="006A6C1D">
            <w:r w:rsidRPr="00465FD3">
              <w:t>2015 г. </w:t>
            </w:r>
          </w:p>
        </w:tc>
      </w:tr>
      <w:tr w:rsidR="0050667A" w:rsidRPr="00465FD3" w:rsidTr="0050667A">
        <w:trPr>
          <w:tblCellSpacing w:w="15" w:type="dxa"/>
        </w:trPr>
        <w:tc>
          <w:tcPr>
            <w:tcW w:w="538" w:type="dxa"/>
            <w:tcMar>
              <w:top w:w="0" w:type="dxa"/>
              <w:left w:w="144" w:type="dxa"/>
              <w:bottom w:w="0" w:type="dxa"/>
              <w:right w:w="0" w:type="dxa"/>
            </w:tcMar>
            <w:vAlign w:val="center"/>
            <w:hideMark/>
          </w:tcPr>
          <w:p w:rsidR="0050667A" w:rsidRPr="00465FD3" w:rsidRDefault="0050667A" w:rsidP="006A6C1D">
            <w:r w:rsidRPr="00465FD3">
              <w:t> • </w:t>
            </w:r>
          </w:p>
        </w:tc>
        <w:tc>
          <w:tcPr>
            <w:tcW w:w="0" w:type="auto"/>
            <w:tcMar>
              <w:top w:w="15" w:type="dxa"/>
              <w:left w:w="0" w:type="dxa"/>
              <w:bottom w:w="15" w:type="dxa"/>
              <w:right w:w="15" w:type="dxa"/>
            </w:tcMar>
            <w:vAlign w:val="center"/>
            <w:hideMark/>
          </w:tcPr>
          <w:p w:rsidR="0050667A" w:rsidRPr="00465FD3" w:rsidRDefault="0050667A" w:rsidP="006A6C1D">
            <w:r w:rsidRPr="00465FD3">
              <w:t>Суммарный</w:t>
            </w:r>
          </w:p>
        </w:tc>
        <w:tc>
          <w:tcPr>
            <w:tcW w:w="0" w:type="auto"/>
            <w:vAlign w:val="center"/>
            <w:hideMark/>
          </w:tcPr>
          <w:p w:rsidR="0050667A" w:rsidRPr="00465FD3" w:rsidRDefault="0050667A" w:rsidP="006A6C1D">
            <w:r w:rsidRPr="00465FD3">
              <w:t>1,551 трлн долл. (</w:t>
            </w:r>
            <w:hyperlink r:id="rId28" w:tooltip="Список стран по ВВП (номинал)">
              <w:r w:rsidRPr="00465FD3">
                <w:rPr>
                  <w:rStyle w:val="Hyperlink"/>
                  <w:noProof w:val="0"/>
                </w:rPr>
                <w:t>10-е место</w:t>
              </w:r>
            </w:hyperlink>
            <w:r w:rsidRPr="00465FD3">
              <w:t>)</w:t>
            </w:r>
          </w:p>
        </w:tc>
      </w:tr>
      <w:tr w:rsidR="0050667A" w:rsidRPr="00465FD3" w:rsidTr="0050667A">
        <w:trPr>
          <w:tblCellSpacing w:w="15" w:type="dxa"/>
        </w:trPr>
        <w:tc>
          <w:tcPr>
            <w:tcW w:w="538" w:type="dxa"/>
            <w:tcMar>
              <w:top w:w="0" w:type="dxa"/>
              <w:left w:w="144" w:type="dxa"/>
              <w:bottom w:w="0" w:type="dxa"/>
              <w:right w:w="0" w:type="dxa"/>
            </w:tcMar>
            <w:vAlign w:val="center"/>
            <w:hideMark/>
          </w:tcPr>
          <w:p w:rsidR="0050667A" w:rsidRPr="00465FD3" w:rsidRDefault="0050667A" w:rsidP="006A6C1D">
            <w:r w:rsidRPr="00465FD3">
              <w:t> • </w:t>
            </w:r>
          </w:p>
        </w:tc>
        <w:tc>
          <w:tcPr>
            <w:tcW w:w="0" w:type="auto"/>
            <w:tcMar>
              <w:top w:w="15" w:type="dxa"/>
              <w:left w:w="0" w:type="dxa"/>
              <w:bottom w:w="15" w:type="dxa"/>
              <w:right w:w="15" w:type="dxa"/>
            </w:tcMar>
            <w:vAlign w:val="center"/>
            <w:hideMark/>
          </w:tcPr>
          <w:p w:rsidR="0050667A" w:rsidRPr="00465FD3" w:rsidRDefault="0050667A" w:rsidP="006A6C1D">
            <w:r w:rsidRPr="00465FD3">
              <w:t>На душу населения</w:t>
            </w:r>
          </w:p>
        </w:tc>
        <w:tc>
          <w:tcPr>
            <w:tcW w:w="0" w:type="auto"/>
            <w:vAlign w:val="center"/>
            <w:hideMark/>
          </w:tcPr>
          <w:p w:rsidR="0050667A" w:rsidRPr="00465FD3" w:rsidRDefault="0050667A" w:rsidP="006A6C1D">
            <w:r w:rsidRPr="00465FD3">
              <w:t>43 249 долл. (</w:t>
            </w:r>
            <w:hyperlink r:id="rId29" w:tooltip="Список стран по ВВП (номинал) на душу населения">
              <w:r w:rsidRPr="00465FD3">
                <w:rPr>
                  <w:rStyle w:val="Hyperlink"/>
                  <w:noProof w:val="0"/>
                </w:rPr>
                <w:t>16-е место</w:t>
              </w:r>
            </w:hyperlink>
            <w:r w:rsidRPr="00465FD3">
              <w:t>)</w:t>
            </w:r>
          </w:p>
        </w:tc>
      </w:tr>
    </w:tbl>
    <w:p w:rsidR="0050667A" w:rsidRPr="00465FD3" w:rsidRDefault="0050667A" w:rsidP="006A6C1D">
      <w:pPr>
        <w:rPr>
          <w:i/>
        </w:rPr>
      </w:pPr>
      <w:r w:rsidRPr="00465FD3">
        <w:rPr>
          <w:i/>
        </w:rPr>
        <w:t>Источник:  Всемирный банк</w:t>
      </w:r>
    </w:p>
    <w:p w:rsidR="0050667A" w:rsidRPr="00465FD3" w:rsidRDefault="0050667A" w:rsidP="006A6C1D"/>
    <w:p w:rsidR="0050667A" w:rsidRPr="00465FD3" w:rsidRDefault="0050667A" w:rsidP="006A6C1D">
      <w:pPr>
        <w:pStyle w:val="Subsection"/>
      </w:pPr>
      <w:r w:rsidRPr="00465FD3">
        <w:t xml:space="preserve">Оценка национальных расходов на НИОКР (доля в % от ВВП):  </w:t>
      </w:r>
    </w:p>
    <w:p w:rsidR="0050667A" w:rsidRPr="00465FD3" w:rsidRDefault="0050667A" w:rsidP="006A6C1D">
      <w:r w:rsidRPr="00465FD3">
        <w:t>По данным Статистического управления Канады, ожидалось, что валовые внутренние расходы Канады на НИОКР (GERD) составят 31,6 млрд долл.  Таким образом, ожидалось, что валовые внутренние расходы Канады на НИОКР за 2015 год (в % от ВВП) составят 1,99%.</w:t>
      </w:r>
    </w:p>
    <w:p w:rsidR="0050667A" w:rsidRPr="00465FD3" w:rsidRDefault="0050667A" w:rsidP="006A6C1D"/>
    <w:p w:rsidR="0050667A" w:rsidRPr="00465FD3" w:rsidRDefault="0050667A" w:rsidP="006A6C1D">
      <w:r w:rsidRPr="00465FD3">
        <w:t>Ожидалось, что предпринимательский сектор в 2015 г. выделит 14,0 млрд долл.  Этот сектор по-прежнему является крупнейшим источником финансирования НИОКР в Канаде</w:t>
      </w:r>
      <w:r w:rsidR="00465FD3">
        <w:t>;  н</w:t>
      </w:r>
      <w:r w:rsidRPr="00465FD3">
        <w:t xml:space="preserve">а него приходится 44,4% общего объема финансирования научно-исследовательской и опытно-конструкторской работы.  </w:t>
      </w:r>
    </w:p>
    <w:p w:rsidR="0050667A" w:rsidRPr="00465FD3" w:rsidRDefault="0050667A" w:rsidP="006A6C1D"/>
    <w:p w:rsidR="0050667A" w:rsidRPr="00465FD3" w:rsidRDefault="0050667A" w:rsidP="006A6C1D">
      <w:r w:rsidRPr="00465FD3">
        <w:t>Ожидается, что расходы в таких секторах, как высшее образование и федеральное правительство (находящихся на втором и третьем местах по объему финансирования соответственно) в 2015 г составят соответственно 20,2% и 19,6% от общего объема расходов на НИОКР.</w:t>
      </w:r>
    </w:p>
    <w:p w:rsidR="0050667A" w:rsidRPr="00465FD3" w:rsidRDefault="0050667A" w:rsidP="006A6C1D"/>
    <w:p w:rsidR="0050667A" w:rsidRPr="00465FD3" w:rsidRDefault="0050667A" w:rsidP="006A6C1D">
      <w:r w:rsidRPr="00465FD3">
        <w:t>Ожидается, что финансирование НИОКР в секторе высшего образования вырастет на 1,0% (до 6,4 млрд долл.), в то время как в секторе федерального правительства прогнозируется увеличение финансирования на 1,8% (до $6,2 млрд).</w:t>
      </w:r>
    </w:p>
    <w:p w:rsidR="0050667A" w:rsidRPr="00465FD3" w:rsidRDefault="0050667A" w:rsidP="006A6C1D">
      <w:pPr>
        <w:rPr>
          <w:i/>
        </w:rPr>
      </w:pPr>
      <w:r w:rsidRPr="00465FD3">
        <w:rPr>
          <w:i/>
        </w:rPr>
        <w:t xml:space="preserve">Источник:  </w:t>
      </w:r>
      <w:hyperlink r:id="rId30">
        <w:r w:rsidRPr="00465FD3">
          <w:rPr>
            <w:rStyle w:val="Hyperlink"/>
            <w:i/>
            <w:noProof w:val="0"/>
          </w:rPr>
          <w:t>Статистическое управление Канады</w:t>
        </w:r>
      </w:hyperlink>
      <w:r w:rsidR="000B29E1" w:rsidRPr="00465FD3">
        <w:rPr>
          <w:rStyle w:val="Hyperlink"/>
          <w:i/>
          <w:noProof w:val="0"/>
        </w:rPr>
        <w:t>,</w:t>
      </w:r>
      <w:r w:rsidRPr="00465FD3">
        <w:t xml:space="preserve"> </w:t>
      </w:r>
      <w:r w:rsidRPr="00465FD3">
        <w:rPr>
          <w:i/>
        </w:rPr>
        <w:t>23.09.2014.  (Проверено 29 января 2017 г.)</w:t>
      </w:r>
    </w:p>
    <w:p w:rsidR="0050667A" w:rsidRPr="00465FD3" w:rsidRDefault="0050667A" w:rsidP="006A6C1D"/>
    <w:p w:rsidR="0050667A" w:rsidRPr="00465FD3" w:rsidRDefault="0050667A" w:rsidP="006A6C1D">
      <w:pPr>
        <w:pStyle w:val="Subsection"/>
      </w:pPr>
      <w:r w:rsidRPr="00465FD3">
        <w:t xml:space="preserve">Число университетов, где ведется научно-исследовательская деятельность  </w:t>
      </w:r>
    </w:p>
    <w:p w:rsidR="0050667A" w:rsidRPr="00465FD3" w:rsidRDefault="0050667A" w:rsidP="006A6C1D">
      <w:r w:rsidRPr="00465FD3">
        <w:t xml:space="preserve">В Канаде работают 97 исследовательских университетов, расположенных по всей стране:  </w:t>
      </w:r>
      <w:r w:rsidR="00161DE5" w:rsidRPr="00465FD3">
        <w:t>в</w:t>
      </w:r>
      <w:r w:rsidRPr="00465FD3">
        <w:t>осемь в Аль</w:t>
      </w:r>
      <w:r w:rsidR="00465FD3">
        <w:t>берте, 11 в Британской Колумбии,</w:t>
      </w:r>
      <w:r w:rsidRPr="00465FD3">
        <w:t xml:space="preserve"> шесть в Манитобе</w:t>
      </w:r>
      <w:r w:rsidR="00465FD3">
        <w:t>,</w:t>
      </w:r>
      <w:r w:rsidRPr="00465FD3">
        <w:t xml:space="preserve"> четыре в Нью-Брансуике</w:t>
      </w:r>
      <w:r w:rsidR="00465FD3">
        <w:t>;  д</w:t>
      </w:r>
      <w:r w:rsidRPr="00465FD3">
        <w:t>евять в Новой Шотландии</w:t>
      </w:r>
      <w:r w:rsidR="00465FD3">
        <w:t>,</w:t>
      </w:r>
      <w:r w:rsidRPr="00465FD3">
        <w:t xml:space="preserve"> один в Ньюфаундленде</w:t>
      </w:r>
      <w:r w:rsidR="00465FD3">
        <w:t>,</w:t>
      </w:r>
      <w:r w:rsidRPr="00465FD3">
        <w:t xml:space="preserve"> 33 в Онтарио</w:t>
      </w:r>
      <w:r w:rsidR="00465FD3">
        <w:t>,</w:t>
      </w:r>
      <w:r w:rsidRPr="00465FD3">
        <w:t xml:space="preserve"> один на Острове Принца Эдуарда</w:t>
      </w:r>
      <w:r w:rsidR="00465FD3">
        <w:t>,</w:t>
      </w:r>
      <w:r w:rsidRPr="00465FD3">
        <w:t xml:space="preserve"> 19 в Квебеке и шесть – в Саскачеване.  По данным </w:t>
      </w:r>
      <w:hyperlink r:id="rId31" w:anchor="page6">
        <w:r w:rsidRPr="00465FD3">
          <w:rPr>
            <w:rStyle w:val="Hyperlink"/>
            <w:noProof w:val="0"/>
          </w:rPr>
          <w:t>доклада за 2016 г.</w:t>
        </w:r>
      </w:hyperlink>
      <w:r w:rsidRPr="00465FD3">
        <w:t xml:space="preserve"> </w:t>
      </w:r>
      <w:r w:rsidR="000328E4">
        <w:fldChar w:fldCharType="begin"/>
      </w:r>
      <w:r w:rsidR="000328E4">
        <w:instrText xml:space="preserve"> HYPERLINK "https://ru.wikipedia.org/wiki/%D0%9E%D1%80%D0%B3%D0%B0%D0%BD%D0%B8%D0%B7%D0%B0%D1%86%D0%B8%D1%8F_%D1%8D%D0%BA%D0%BE%D0%BD%D0%BE%D0%BC%D0%B8%D1%87%D0%B5%D1%81%D0%BA%D0%BE%D0%B3%D0%BE_</w:instrText>
      </w:r>
      <w:r w:rsidR="000328E4">
        <w:instrText xml:space="preserve">%D1%81%D0%BE%D1%82%D1%80%D1%83%D0%B4%D0%BD%D0%B8%D1%87%D0%B5%D1%81%D1%82%D0%B2%D0%B0_%D0%B8_%D1%80%D0%B0%D0%B7%D0%B2%D0%B8%D1%82%D0%B8%D1%8F?oldformat=true" \o "Организация экономического сотрудничества и развития" \h </w:instrText>
      </w:r>
      <w:r w:rsidR="000328E4">
        <w:fldChar w:fldCharType="separate"/>
      </w:r>
      <w:r w:rsidRPr="00465FD3">
        <w:rPr>
          <w:rStyle w:val="Hyperlink"/>
          <w:noProof w:val="0"/>
        </w:rPr>
        <w:t>Организации экономического сотрудничества и развития</w:t>
      </w:r>
      <w:r w:rsidR="000328E4">
        <w:rPr>
          <w:rStyle w:val="Hyperlink"/>
          <w:noProof w:val="0"/>
        </w:rPr>
        <w:fldChar w:fldCharType="end"/>
      </w:r>
      <w:r w:rsidRPr="00465FD3">
        <w:t xml:space="preserve"> (ОЭСР), в Канаде самый высокий процент взрослого населения, имеющего среднее и высшее профессиональное образование (55%), из всех стран ОЭСР.  Расходы на одного студента учреждения среднего или высшего профессионального образования в Канаде превышают таковые почти во всех странах ОЭСР.  Ежегодные расходы на одного студента учреждения среднего или высшего профессионального образования (на оплату всех услуг) в 2012 г. составляли 51% валового внутреннего продукта (ВВП</w:t>
      </w:r>
      <w:r w:rsidR="00543524" w:rsidRPr="00465FD3">
        <w:t>).</w:t>
      </w:r>
    </w:p>
    <w:p w:rsidR="0050667A" w:rsidRPr="00465FD3" w:rsidRDefault="0050667A" w:rsidP="006A6C1D">
      <w:pPr>
        <w:rPr>
          <w:i/>
          <w:lang w:val="en-US"/>
        </w:rPr>
      </w:pPr>
      <w:r w:rsidRPr="00465FD3">
        <w:rPr>
          <w:i/>
        </w:rPr>
        <w:t>Источник</w:t>
      </w:r>
      <w:r w:rsidRPr="0088062A">
        <w:rPr>
          <w:i/>
          <w:lang w:val="en-US"/>
        </w:rPr>
        <w:t xml:space="preserve">:  </w:t>
      </w:r>
      <w:r w:rsidRPr="00465FD3">
        <w:rPr>
          <w:i/>
          <w:lang w:val="en-US"/>
        </w:rPr>
        <w:t>OECD</w:t>
      </w:r>
      <w:r w:rsidR="000B29E1" w:rsidRPr="0088062A">
        <w:rPr>
          <w:i/>
          <w:lang w:val="en-US"/>
        </w:rPr>
        <w:t xml:space="preserve">, </w:t>
      </w:r>
      <w:r w:rsidRPr="0088062A">
        <w:rPr>
          <w:i/>
          <w:lang w:val="en-US"/>
        </w:rPr>
        <w:t>2016</w:t>
      </w:r>
      <w:r w:rsidR="000B29E1" w:rsidRPr="0088062A">
        <w:rPr>
          <w:i/>
          <w:lang w:val="en-US"/>
        </w:rPr>
        <w:t>.</w:t>
      </w:r>
      <w:r w:rsidRPr="0088062A">
        <w:rPr>
          <w:i/>
          <w:lang w:val="en-US"/>
        </w:rPr>
        <w:t xml:space="preserve"> </w:t>
      </w:r>
      <w:r w:rsidRPr="00465FD3">
        <w:rPr>
          <w:i/>
          <w:lang w:val="en-US"/>
        </w:rPr>
        <w:t>“Canada”</w:t>
      </w:r>
      <w:r w:rsidR="000B29E1" w:rsidRPr="00465FD3">
        <w:rPr>
          <w:i/>
          <w:lang w:val="en-US"/>
        </w:rPr>
        <w:t xml:space="preserve"> (</w:t>
      </w:r>
      <w:r w:rsidR="000B29E1" w:rsidRPr="00465FD3">
        <w:rPr>
          <w:i/>
        </w:rPr>
        <w:t>ОЭСР</w:t>
      </w:r>
      <w:r w:rsidR="000B29E1" w:rsidRPr="00465FD3">
        <w:rPr>
          <w:i/>
          <w:lang w:val="en-US"/>
        </w:rPr>
        <w:t>, 2016 </w:t>
      </w:r>
      <w:r w:rsidR="000B29E1" w:rsidRPr="00465FD3">
        <w:rPr>
          <w:i/>
        </w:rPr>
        <w:t>г</w:t>
      </w:r>
      <w:r w:rsidR="000B29E1" w:rsidRPr="00465FD3">
        <w:rPr>
          <w:i/>
          <w:lang w:val="en-US"/>
        </w:rPr>
        <w:t>. «</w:t>
      </w:r>
      <w:r w:rsidR="000B29E1" w:rsidRPr="00465FD3">
        <w:rPr>
          <w:i/>
        </w:rPr>
        <w:t>Канада</w:t>
      </w:r>
      <w:r w:rsidR="000B29E1" w:rsidRPr="00465FD3">
        <w:rPr>
          <w:i/>
          <w:lang w:val="en-US"/>
        </w:rPr>
        <w:t>»)</w:t>
      </w:r>
      <w:r w:rsidRPr="00465FD3">
        <w:rPr>
          <w:i/>
          <w:lang w:val="en-US"/>
        </w:rPr>
        <w:t xml:space="preserve">, </w:t>
      </w:r>
      <w:r w:rsidRPr="00465FD3">
        <w:rPr>
          <w:i/>
        </w:rPr>
        <w:t>в</w:t>
      </w:r>
      <w:r w:rsidRPr="00465FD3">
        <w:rPr>
          <w:i/>
          <w:lang w:val="en-US"/>
        </w:rPr>
        <w:t xml:space="preserve"> Education at a Glance 2016:  OECD Indicators, OECD Publishing, </w:t>
      </w:r>
      <w:proofErr w:type="gramStart"/>
      <w:r w:rsidRPr="00465FD3">
        <w:rPr>
          <w:i/>
          <w:lang w:val="en-US"/>
        </w:rPr>
        <w:t>Paris  [</w:t>
      </w:r>
      <w:proofErr w:type="gramEnd"/>
      <w:r w:rsidRPr="00465FD3">
        <w:rPr>
          <w:i/>
          <w:lang w:val="en-US"/>
        </w:rPr>
        <w:t xml:space="preserve">DOI:  </w:t>
      </w:r>
      <w:hyperlink r:id="rId32">
        <w:r w:rsidRPr="00465FD3">
          <w:rPr>
            <w:rStyle w:val="Hyperlink"/>
            <w:i/>
            <w:noProof w:val="0"/>
            <w:lang w:val="en-US"/>
          </w:rPr>
          <w:t>http://dx.doi.org/10.1787/eag-2016-45-en</w:t>
        </w:r>
      </w:hyperlink>
      <w:r w:rsidRPr="00465FD3">
        <w:rPr>
          <w:i/>
          <w:lang w:val="en-US"/>
        </w:rPr>
        <w:t xml:space="preserve"> </w:t>
      </w:r>
    </w:p>
    <w:p w:rsidR="0050667A" w:rsidRPr="00465FD3" w:rsidRDefault="0050667A" w:rsidP="006A6C1D">
      <w:pPr>
        <w:rPr>
          <w:lang w:val="en-US"/>
        </w:rPr>
      </w:pPr>
    </w:p>
    <w:p w:rsidR="0050667A" w:rsidRPr="00465FD3" w:rsidRDefault="0050667A" w:rsidP="006A6C1D">
      <w:r w:rsidRPr="00465FD3">
        <w:t>В 2014 году университеты выполнили НИОКР на 13 млрд долл., что равно 40% всех научно-исследовательских и опытно-конструкторских работ в Канаде.  Канадские университеты выполняют исследования для предприятий на сумму 1 млрд долл., помогая им развивать свои конкурентные преимущества.  Университеты ежегодно проводят исследования для некоммерческого сектора на 1,2 млрд долл</w:t>
      </w:r>
      <w:r w:rsidR="007823C7" w:rsidRPr="00465FD3">
        <w:t>.  С</w:t>
      </w:r>
      <w:r w:rsidRPr="00465FD3">
        <w:t xml:space="preserve"> 2000 г. эта сумма почти утроилась.</w:t>
      </w:r>
    </w:p>
    <w:p w:rsidR="0050667A" w:rsidRPr="00465FD3" w:rsidRDefault="0050667A" w:rsidP="006A6C1D">
      <w:pPr>
        <w:rPr>
          <w:i/>
        </w:rPr>
      </w:pPr>
      <w:r w:rsidRPr="00465FD3">
        <w:rPr>
          <w:i/>
        </w:rPr>
        <w:t>Источник</w:t>
      </w:r>
      <w:r w:rsidRPr="00E04056">
        <w:rPr>
          <w:i/>
        </w:rPr>
        <w:t xml:space="preserve">:  </w:t>
      </w:r>
      <w:r w:rsidRPr="00465FD3">
        <w:rPr>
          <w:i/>
          <w:lang w:val="en-US"/>
        </w:rPr>
        <w:t>Statistics</w:t>
      </w:r>
      <w:r w:rsidRPr="00E04056">
        <w:rPr>
          <w:i/>
        </w:rPr>
        <w:t xml:space="preserve"> </w:t>
      </w:r>
      <w:r w:rsidRPr="00465FD3">
        <w:rPr>
          <w:i/>
          <w:lang w:val="en-US"/>
        </w:rPr>
        <w:t>Canada</w:t>
      </w:r>
      <w:r w:rsidRPr="00E04056">
        <w:rPr>
          <w:i/>
        </w:rPr>
        <w:t xml:space="preserve">, </w:t>
      </w:r>
      <w:r w:rsidRPr="00465FD3">
        <w:rPr>
          <w:i/>
          <w:lang w:val="en-US"/>
        </w:rPr>
        <w:t>Gross</w:t>
      </w:r>
      <w:r w:rsidRPr="00E04056">
        <w:rPr>
          <w:i/>
        </w:rPr>
        <w:t xml:space="preserve"> </w:t>
      </w:r>
      <w:r w:rsidRPr="00465FD3">
        <w:rPr>
          <w:i/>
          <w:lang w:val="en-US"/>
        </w:rPr>
        <w:t>Domestic</w:t>
      </w:r>
      <w:r w:rsidRPr="00E04056">
        <w:rPr>
          <w:i/>
        </w:rPr>
        <w:t xml:space="preserve"> </w:t>
      </w:r>
      <w:r w:rsidRPr="00465FD3">
        <w:rPr>
          <w:i/>
          <w:lang w:val="en-US"/>
        </w:rPr>
        <w:t>Expenditures</w:t>
      </w:r>
      <w:r w:rsidRPr="00E04056">
        <w:rPr>
          <w:i/>
        </w:rPr>
        <w:t xml:space="preserve"> </w:t>
      </w:r>
      <w:r w:rsidRPr="00465FD3">
        <w:rPr>
          <w:i/>
          <w:lang w:val="en-US"/>
        </w:rPr>
        <w:t>on</w:t>
      </w:r>
      <w:r w:rsidRPr="00E04056">
        <w:rPr>
          <w:i/>
        </w:rPr>
        <w:t xml:space="preserve"> </w:t>
      </w:r>
      <w:r w:rsidRPr="00465FD3">
        <w:rPr>
          <w:i/>
          <w:lang w:val="en-US"/>
        </w:rPr>
        <w:t>R</w:t>
      </w:r>
      <w:r w:rsidRPr="00E04056">
        <w:rPr>
          <w:i/>
        </w:rPr>
        <w:t>&amp;</w:t>
      </w:r>
      <w:r w:rsidRPr="00465FD3">
        <w:rPr>
          <w:i/>
          <w:lang w:val="en-US"/>
        </w:rPr>
        <w:t>D</w:t>
      </w:r>
      <w:r w:rsidRPr="00E04056">
        <w:rPr>
          <w:i/>
        </w:rPr>
        <w:t xml:space="preserve"> </w:t>
      </w:r>
      <w:r w:rsidRPr="00465FD3">
        <w:rPr>
          <w:i/>
          <w:lang w:val="en-US"/>
        </w:rPr>
        <w:t>in</w:t>
      </w:r>
      <w:r w:rsidRPr="00E04056">
        <w:rPr>
          <w:i/>
        </w:rPr>
        <w:t xml:space="preserve"> </w:t>
      </w:r>
      <w:r w:rsidRPr="00465FD3">
        <w:rPr>
          <w:i/>
          <w:lang w:val="en-US"/>
        </w:rPr>
        <w:t>Canada</w:t>
      </w:r>
      <w:r w:rsidR="000E3E8E" w:rsidRPr="00E04056">
        <w:rPr>
          <w:i/>
        </w:rPr>
        <w:t xml:space="preserve"> (</w:t>
      </w:r>
      <w:r w:rsidR="000E3E8E" w:rsidRPr="00465FD3">
        <w:rPr>
          <w:i/>
        </w:rPr>
        <w:t>Управление</w:t>
      </w:r>
      <w:r w:rsidR="000E3E8E" w:rsidRPr="00E04056">
        <w:rPr>
          <w:i/>
        </w:rPr>
        <w:t xml:space="preserve"> </w:t>
      </w:r>
      <w:r w:rsidR="000E3E8E" w:rsidRPr="00465FD3">
        <w:rPr>
          <w:i/>
        </w:rPr>
        <w:t>статистики</w:t>
      </w:r>
      <w:r w:rsidR="000E3E8E" w:rsidRPr="00E04056">
        <w:rPr>
          <w:i/>
        </w:rPr>
        <w:t xml:space="preserve"> </w:t>
      </w:r>
      <w:r w:rsidR="000E3E8E" w:rsidRPr="00465FD3">
        <w:rPr>
          <w:i/>
        </w:rPr>
        <w:t>Канады</w:t>
      </w:r>
      <w:r w:rsidR="000E3E8E" w:rsidRPr="00E04056">
        <w:rPr>
          <w:i/>
        </w:rPr>
        <w:t xml:space="preserve">.  </w:t>
      </w:r>
      <w:r w:rsidR="000E3E8E" w:rsidRPr="00465FD3">
        <w:rPr>
          <w:i/>
        </w:rPr>
        <w:t>Валовые национальные расходы на НИОКР в Канаде)</w:t>
      </w:r>
      <w:r w:rsidRPr="00E04056">
        <w:rPr>
          <w:i/>
        </w:rPr>
        <w:t>, 2016</w:t>
      </w:r>
      <w:r w:rsidR="000E3E8E" w:rsidRPr="00465FD3">
        <w:rPr>
          <w:i/>
        </w:rPr>
        <w:t>.</w:t>
      </w:r>
    </w:p>
    <w:p w:rsidR="0050667A" w:rsidRPr="00E04056" w:rsidRDefault="0050667A" w:rsidP="006A6C1D"/>
    <w:p w:rsidR="0050667A" w:rsidRPr="00465FD3" w:rsidRDefault="0050667A" w:rsidP="006A6C1D">
      <w:r w:rsidRPr="00465FD3">
        <w:t>В 26 университетских научно-исследовательских и технологических парках расположены около 1500 компаний и государственных лабораторий.  В них работают около 65 000 человек, и их вклад в ВВП составляет 4,3 млрд долл.</w:t>
      </w:r>
    </w:p>
    <w:p w:rsidR="0050667A" w:rsidRPr="00E04056" w:rsidRDefault="0050667A" w:rsidP="006A6C1D">
      <w:pPr>
        <w:rPr>
          <w:i/>
        </w:rPr>
      </w:pPr>
      <w:r w:rsidRPr="00465FD3">
        <w:rPr>
          <w:i/>
        </w:rPr>
        <w:t xml:space="preserve">Источник:  </w:t>
      </w:r>
      <w:r w:rsidRPr="00465FD3">
        <w:rPr>
          <w:i/>
          <w:lang w:val="en-US"/>
        </w:rPr>
        <w:t>Association</w:t>
      </w:r>
      <w:r w:rsidRPr="00465FD3">
        <w:rPr>
          <w:i/>
        </w:rPr>
        <w:t xml:space="preserve"> </w:t>
      </w:r>
      <w:r w:rsidRPr="00465FD3">
        <w:rPr>
          <w:i/>
          <w:lang w:val="en-US"/>
        </w:rPr>
        <w:t>of</w:t>
      </w:r>
      <w:r w:rsidRPr="00465FD3">
        <w:rPr>
          <w:i/>
        </w:rPr>
        <w:t xml:space="preserve"> </w:t>
      </w:r>
      <w:r w:rsidRPr="00465FD3">
        <w:rPr>
          <w:i/>
          <w:lang w:val="en-US"/>
        </w:rPr>
        <w:t>University</w:t>
      </w:r>
      <w:r w:rsidRPr="00465FD3">
        <w:rPr>
          <w:i/>
        </w:rPr>
        <w:t xml:space="preserve"> </w:t>
      </w:r>
      <w:r w:rsidRPr="00465FD3">
        <w:rPr>
          <w:i/>
          <w:lang w:val="en-US"/>
        </w:rPr>
        <w:t>Research</w:t>
      </w:r>
      <w:r w:rsidRPr="00465FD3">
        <w:rPr>
          <w:i/>
        </w:rPr>
        <w:t xml:space="preserve"> </w:t>
      </w:r>
      <w:r w:rsidRPr="00465FD3">
        <w:rPr>
          <w:i/>
          <w:lang w:val="en-US"/>
        </w:rPr>
        <w:t>Parks</w:t>
      </w:r>
      <w:r w:rsidRPr="00465FD3">
        <w:rPr>
          <w:i/>
        </w:rPr>
        <w:t xml:space="preserve"> </w:t>
      </w:r>
      <w:r w:rsidRPr="00465FD3">
        <w:rPr>
          <w:i/>
          <w:lang w:val="en-US"/>
        </w:rPr>
        <w:t>Canada</w:t>
      </w:r>
      <w:r w:rsidRPr="00465FD3">
        <w:rPr>
          <w:i/>
        </w:rPr>
        <w:t xml:space="preserve">, </w:t>
      </w:r>
      <w:r w:rsidRPr="00465FD3">
        <w:rPr>
          <w:i/>
          <w:lang w:val="en-US"/>
        </w:rPr>
        <w:t>National</w:t>
      </w:r>
      <w:r w:rsidRPr="00465FD3">
        <w:rPr>
          <w:i/>
        </w:rPr>
        <w:t xml:space="preserve"> </w:t>
      </w:r>
      <w:r w:rsidRPr="00465FD3">
        <w:rPr>
          <w:i/>
          <w:lang w:val="en-US"/>
        </w:rPr>
        <w:t>Economic</w:t>
      </w:r>
      <w:r w:rsidRPr="00465FD3">
        <w:rPr>
          <w:i/>
        </w:rPr>
        <w:t xml:space="preserve"> </w:t>
      </w:r>
      <w:r w:rsidRPr="00465FD3">
        <w:rPr>
          <w:i/>
          <w:lang w:val="en-US"/>
        </w:rPr>
        <w:t>Impact</w:t>
      </w:r>
      <w:r w:rsidRPr="00465FD3">
        <w:rPr>
          <w:i/>
        </w:rPr>
        <w:t xml:space="preserve"> </w:t>
      </w:r>
      <w:r w:rsidRPr="00465FD3">
        <w:rPr>
          <w:i/>
          <w:lang w:val="en-US"/>
        </w:rPr>
        <w:t>Study</w:t>
      </w:r>
      <w:r w:rsidR="000E3E8E" w:rsidRPr="00465FD3">
        <w:rPr>
          <w:i/>
        </w:rPr>
        <w:t xml:space="preserve"> (Ассоциация университетских научно-исследовательских парков Канады</w:t>
      </w:r>
      <w:r w:rsidR="000B29E1" w:rsidRPr="00465FD3">
        <w:rPr>
          <w:i/>
        </w:rPr>
        <w:t>.  И</w:t>
      </w:r>
      <w:r w:rsidR="000E3E8E" w:rsidRPr="00465FD3">
        <w:rPr>
          <w:i/>
        </w:rPr>
        <w:t>сследование</w:t>
      </w:r>
      <w:r w:rsidR="000E3E8E" w:rsidRPr="00E04056">
        <w:rPr>
          <w:i/>
        </w:rPr>
        <w:t xml:space="preserve"> </w:t>
      </w:r>
      <w:r w:rsidR="000E3E8E" w:rsidRPr="00465FD3">
        <w:rPr>
          <w:i/>
        </w:rPr>
        <w:t>национального</w:t>
      </w:r>
      <w:r w:rsidR="000E3E8E" w:rsidRPr="00E04056">
        <w:rPr>
          <w:i/>
        </w:rPr>
        <w:t xml:space="preserve"> </w:t>
      </w:r>
      <w:r w:rsidR="000E3E8E" w:rsidRPr="00465FD3">
        <w:rPr>
          <w:i/>
        </w:rPr>
        <w:t>воздействия</w:t>
      </w:r>
      <w:r w:rsidR="000E3E8E" w:rsidRPr="00E04056">
        <w:rPr>
          <w:i/>
        </w:rPr>
        <w:t>)</w:t>
      </w:r>
      <w:r w:rsidRPr="00E04056">
        <w:rPr>
          <w:i/>
        </w:rPr>
        <w:t xml:space="preserve"> 2013.</w:t>
      </w:r>
    </w:p>
    <w:p w:rsidR="0050667A" w:rsidRPr="00E04056" w:rsidRDefault="0050667A" w:rsidP="006A6C1D"/>
    <w:p w:rsidR="0050667A" w:rsidRPr="00465FD3" w:rsidRDefault="0050667A" w:rsidP="006A6C1D">
      <w:r w:rsidRPr="00465FD3">
        <w:t>Тридцать два университета входят в Канадскую ассоциацию бизнес-инкубаторов, национальную ассоциацию, которая содействует росту новых и начинающих деятельность предприятий.</w:t>
      </w:r>
    </w:p>
    <w:p w:rsidR="0050667A" w:rsidRPr="00465FD3" w:rsidRDefault="0050667A" w:rsidP="006A6C1D">
      <w:pPr>
        <w:rPr>
          <w:i/>
        </w:rPr>
      </w:pPr>
      <w:r w:rsidRPr="00465FD3">
        <w:rPr>
          <w:i/>
        </w:rPr>
        <w:t>Источник:  Канадская ассоциация бизнес-инкубаторов, 2015 г.</w:t>
      </w:r>
    </w:p>
    <w:p w:rsidR="0050667A" w:rsidRPr="00465FD3" w:rsidRDefault="0050667A" w:rsidP="006A6C1D"/>
    <w:p w:rsidR="0050667A" w:rsidRPr="00465FD3" w:rsidRDefault="0050667A" w:rsidP="006A6C1D">
      <w:pPr>
        <w:pStyle w:val="Subsection"/>
      </w:pPr>
      <w:r w:rsidRPr="00465FD3">
        <w:t xml:space="preserve">Краткая характеристика национальной системы патентной информации (например, патентные библиотеки, центры поддержки технологий и инноваций)  </w:t>
      </w:r>
    </w:p>
    <w:p w:rsidR="0050667A" w:rsidRPr="00465FD3" w:rsidRDefault="0050667A" w:rsidP="006A6C1D">
      <w:r w:rsidRPr="00465FD3">
        <w:t xml:space="preserve">CIPO располагает расширяющейся общенациональной сетью специалистов по вопросам развития бизнеса (СРБ), которые проводят индивидуальные занятия по ознакомлению с ИС для представителей научных кругов, центров ускорения развития технологий и малых предприятий, а также и дают им индивидуальные рекомендации.  В частности, проводится ознакомление клиентов с процессами в отношении национальных и международных патентных заявок.  СРБ оказывают канадцам поддержку в приобретении прав ИС, работая в тесном сотрудничестве с региональными партнерами на всех уровнях правительства. </w:t>
      </w:r>
    </w:p>
    <w:p w:rsidR="0050667A" w:rsidRPr="00465FD3" w:rsidRDefault="0050667A" w:rsidP="006A6C1D"/>
    <w:p w:rsidR="0050667A" w:rsidRPr="00465FD3" w:rsidRDefault="0050667A" w:rsidP="000328E4">
      <w:pPr>
        <w:keepNext/>
        <w:keepLines/>
      </w:pPr>
      <w:r w:rsidRPr="00465FD3">
        <w:t>В апреле 2017 г. CIPO начнет проводить бесплатные открытые для общественности семинары по широкому диапазону связанных с ИС тем по всей Канаде. Эта работа направлена на повышение информированности МСП об ИС.  Программа повышения информированности предполагает состоящее из нескольких уровней последовательное обучение по тематике ИС</w:t>
      </w:r>
      <w:r w:rsidR="000B29E1" w:rsidRPr="00465FD3">
        <w:t>.  В</w:t>
      </w:r>
      <w:r w:rsidRPr="00465FD3">
        <w:t xml:space="preserve"> частности, она будет включать в себя информирование о преимуществах использования международных систем ИС, включая РСТ и PPH, и рекомендации по их использованию.</w:t>
      </w:r>
    </w:p>
    <w:p w:rsidR="0050667A" w:rsidRPr="00465FD3" w:rsidRDefault="0050667A" w:rsidP="006A6C1D"/>
    <w:p w:rsidR="0050667A" w:rsidRPr="00465FD3" w:rsidRDefault="0050667A" w:rsidP="006A6C1D">
      <w:r w:rsidRPr="00465FD3">
        <w:t>На федеральном уровне Министерство инновационной деятельности, науки и экономического развития Канады (ИНЭР) играет главную роль в осуществлении Повестки дня Канады в области инноваций, которое входит в число приоритетных за</w:t>
      </w:r>
      <w:r w:rsidR="00336A78">
        <w:t xml:space="preserve">дач федерального правительства. </w:t>
      </w:r>
      <w:r w:rsidRPr="00465FD3">
        <w:t xml:space="preserve"> </w:t>
      </w:r>
      <w:r w:rsidR="00CB0ECF">
        <w:t>Прочие</w:t>
      </w:r>
      <w:r w:rsidRPr="00465FD3">
        <w:t xml:space="preserve"> федеральны</w:t>
      </w:r>
      <w:r w:rsidR="00CB0ECF">
        <w:t>е</w:t>
      </w:r>
      <w:r w:rsidRPr="00465FD3">
        <w:t xml:space="preserve"> министерств</w:t>
      </w:r>
      <w:r w:rsidR="00CB0ECF">
        <w:t>а</w:t>
      </w:r>
      <w:r w:rsidRPr="00465FD3">
        <w:t xml:space="preserve"> и ведомств</w:t>
      </w:r>
      <w:r w:rsidR="00CB0ECF">
        <w:t>а</w:t>
      </w:r>
      <w:r w:rsidRPr="00465FD3">
        <w:t xml:space="preserve"> также имеют мандаты, связанные с Пов</w:t>
      </w:r>
      <w:r w:rsidR="00336A78">
        <w:t xml:space="preserve">есткой дня в области инноваций: </w:t>
      </w:r>
      <w:r w:rsidRPr="00465FD3">
        <w:t xml:space="preserve"> </w:t>
      </w:r>
      <w:hyperlink r:id="rId33">
        <w:r w:rsidRPr="00465FD3">
          <w:rPr>
            <w:rStyle w:val="Hyperlink"/>
            <w:noProof w:val="0"/>
          </w:rPr>
          <w:t>Совет Канады по научно-техническим исследованиям</w:t>
        </w:r>
      </w:hyperlink>
      <w:r w:rsidRPr="00465FD3">
        <w:t xml:space="preserve"> (СКНТИ); </w:t>
      </w:r>
      <w:hyperlink r:id="rId34">
        <w:r w:rsidRPr="00465FD3">
          <w:rPr>
            <w:rStyle w:val="Hyperlink"/>
            <w:noProof w:val="0"/>
          </w:rPr>
          <w:t>Сеть предприятий Канады</w:t>
        </w:r>
      </w:hyperlink>
      <w:r w:rsidRPr="00465FD3">
        <w:t xml:space="preserve">; </w:t>
      </w:r>
      <w:hyperlink r:id="rId35" w:anchor="nce">
        <w:r w:rsidRPr="00465FD3">
          <w:rPr>
            <w:rStyle w:val="Hyperlink"/>
            <w:noProof w:val="0"/>
          </w:rPr>
          <w:t>Сети центров передового опыта (СЦПО)</w:t>
        </w:r>
      </w:hyperlink>
      <w:r w:rsidRPr="00465FD3">
        <w:t xml:space="preserve"> Канады</w:t>
      </w:r>
      <w:r w:rsidR="00465FD3">
        <w:t>;  и</w:t>
      </w:r>
      <w:r w:rsidRPr="00465FD3">
        <w:t xml:space="preserve"> </w:t>
      </w:r>
      <w:hyperlink r:id="rId36">
        <w:r w:rsidR="00D05667">
          <w:rPr>
            <w:rStyle w:val="Hyperlink"/>
            <w:noProof w:val="0"/>
          </w:rPr>
          <w:t>инновационная программа «</w:t>
        </w:r>
        <w:r w:rsidRPr="00465FD3">
          <w:rPr>
            <w:rStyle w:val="Hyperlink"/>
            <w:noProof w:val="0"/>
          </w:rPr>
          <w:t>Build in Canada</w:t>
        </w:r>
      </w:hyperlink>
      <w:r w:rsidR="00D05667">
        <w:rPr>
          <w:rStyle w:val="Hyperlink"/>
          <w:noProof w:val="0"/>
        </w:rPr>
        <w:t>»</w:t>
      </w:r>
      <w:r w:rsidRPr="00465FD3">
        <w:t xml:space="preserve">. </w:t>
      </w:r>
    </w:p>
    <w:p w:rsidR="0050667A" w:rsidRPr="00465FD3" w:rsidRDefault="0050667A" w:rsidP="006A6C1D"/>
    <w:p w:rsidR="0050667A" w:rsidRPr="00465FD3" w:rsidRDefault="009D40D6" w:rsidP="006A6C1D">
      <w:r>
        <w:t>В отдельных провинциях и на отдельных территориях</w:t>
      </w:r>
      <w:r w:rsidR="0050667A" w:rsidRPr="00465FD3">
        <w:t xml:space="preserve"> непосредственную поддержку канадских предприятий обеспечивают </w:t>
      </w:r>
      <w:r w:rsidR="00465FD3" w:rsidRPr="00465FD3">
        <w:t>«</w:t>
      </w:r>
      <w:r w:rsidR="0050667A" w:rsidRPr="00465FD3">
        <w:t>центры инноваций</w:t>
      </w:r>
      <w:r w:rsidR="00465FD3" w:rsidRPr="00465FD3">
        <w:t>»</w:t>
      </w:r>
      <w:r w:rsidR="0050667A" w:rsidRPr="00465FD3">
        <w:t xml:space="preserve"> и специализированные сети</w:t>
      </w:r>
      <w:r>
        <w:t xml:space="preserve">, такие как </w:t>
      </w:r>
      <w:r w:rsidR="000328E4">
        <w:fldChar w:fldCharType="begin"/>
      </w:r>
      <w:r w:rsidR="000328E4">
        <w:instrText xml:space="preserve"> HYPERLINK "http://canadabusiness.ca/programs/western-innovation-winn-initiative-1/" \h </w:instrText>
      </w:r>
      <w:r w:rsidR="000328E4">
        <w:fldChar w:fldCharType="separate"/>
      </w:r>
      <w:r w:rsidR="0050667A" w:rsidRPr="00465FD3">
        <w:rPr>
          <w:rStyle w:val="Hyperlink"/>
          <w:noProof w:val="0"/>
        </w:rPr>
        <w:t xml:space="preserve">инициатива Western Innovation (WINN) </w:t>
      </w:r>
      <w:r w:rsidR="000328E4">
        <w:rPr>
          <w:rStyle w:val="Hyperlink"/>
          <w:noProof w:val="0"/>
        </w:rPr>
        <w:fldChar w:fldCharType="end"/>
      </w:r>
      <w:r w:rsidR="0050667A" w:rsidRPr="00465FD3">
        <w:t>(Манитоба, Саскачеван,</w:t>
      </w:r>
      <w:r>
        <w:t xml:space="preserve"> Альберта, Британская Колумбия),</w:t>
      </w:r>
      <w:r w:rsidR="0050667A" w:rsidRPr="00465FD3">
        <w:t xml:space="preserve"> </w:t>
      </w:r>
      <w:hyperlink r:id="rId37">
        <w:r>
          <w:rPr>
            <w:rStyle w:val="Hyperlink"/>
            <w:noProof w:val="0"/>
          </w:rPr>
          <w:t>Н</w:t>
        </w:r>
        <w:r w:rsidR="0050667A" w:rsidRPr="00465FD3">
          <w:rPr>
            <w:rStyle w:val="Hyperlink"/>
            <w:noProof w:val="0"/>
          </w:rPr>
          <w:t>аучно-исследовательский институт «Аврора» – Услуги для исследователей</w:t>
        </w:r>
      </w:hyperlink>
      <w:r w:rsidR="0050667A" w:rsidRPr="00465FD3">
        <w:t xml:space="preserve"> (Северо-Западные территории)</w:t>
      </w:r>
      <w:r>
        <w:t>,</w:t>
      </w:r>
      <w:r w:rsidR="0050667A" w:rsidRPr="00465FD3">
        <w:t xml:space="preserve"> </w:t>
      </w:r>
      <w:hyperlink r:id="rId38">
        <w:r w:rsidR="0050667A" w:rsidRPr="00465FD3">
          <w:rPr>
            <w:rStyle w:val="Hyperlink"/>
            <w:noProof w:val="0"/>
          </w:rPr>
          <w:t>New Brunswick Innovation Foundation (Инновационный фонд Нью-Брансуика)</w:t>
        </w:r>
        <w:r>
          <w:rPr>
            <w:rStyle w:val="Hyperlink"/>
            <w:noProof w:val="0"/>
          </w:rPr>
          <w:t>,</w:t>
        </w:r>
      </w:hyperlink>
      <w:r w:rsidR="0050667A" w:rsidRPr="00465FD3">
        <w:t xml:space="preserve"> </w:t>
      </w:r>
      <w:hyperlink r:id="rId39">
        <w:r w:rsidR="0050667A" w:rsidRPr="00465FD3">
          <w:rPr>
            <w:rStyle w:val="Hyperlink"/>
            <w:noProof w:val="0"/>
          </w:rPr>
          <w:t>Innovacorp</w:t>
        </w:r>
      </w:hyperlink>
      <w:r w:rsidR="0050667A" w:rsidRPr="00465FD3">
        <w:t xml:space="preserve"> (Новая Шотландия)</w:t>
      </w:r>
      <w:r>
        <w:t>,</w:t>
      </w:r>
      <w:r w:rsidR="0050667A" w:rsidRPr="00465FD3">
        <w:t xml:space="preserve"> </w:t>
      </w:r>
      <w:hyperlink r:id="rId40">
        <w:r w:rsidR="0050667A" w:rsidRPr="00465FD3">
          <w:rPr>
            <w:rStyle w:val="Hyperlink"/>
            <w:noProof w:val="0"/>
          </w:rPr>
          <w:t>Атлантический технологический центр (Atlantic Technology Centre)</w:t>
        </w:r>
      </w:hyperlink>
      <w:r w:rsidR="0050667A" w:rsidRPr="00465FD3">
        <w:t xml:space="preserve"> (остров Принца Эдуарда)</w:t>
      </w:r>
      <w:r>
        <w:t>,</w:t>
      </w:r>
      <w:r w:rsidR="0050667A" w:rsidRPr="00465FD3">
        <w:t xml:space="preserve"> </w:t>
      </w:r>
      <w:hyperlink r:id="rId41">
        <w:r w:rsidR="0050667A" w:rsidRPr="00465FD3">
          <w:rPr>
            <w:rStyle w:val="Hyperlink"/>
            <w:noProof w:val="0"/>
          </w:rPr>
          <w:t>Центр промышленных исследований Квебека (Centre de recherche industrielle du Québec)</w:t>
        </w:r>
      </w:hyperlink>
      <w:r w:rsidR="0050667A" w:rsidRPr="00465FD3">
        <w:t xml:space="preserve"> (Квебек)</w:t>
      </w:r>
      <w:r>
        <w:t>,</w:t>
      </w:r>
      <w:r w:rsidR="0050667A" w:rsidRPr="00465FD3">
        <w:t xml:space="preserve"> </w:t>
      </w:r>
      <w:hyperlink r:id="rId42">
        <w:r w:rsidR="0050667A" w:rsidRPr="00465FD3">
          <w:rPr>
            <w:rStyle w:val="Hyperlink"/>
            <w:noProof w:val="0"/>
          </w:rPr>
          <w:t>Службы обеспечения сельскохозяйственного производства</w:t>
        </w:r>
      </w:hyperlink>
      <w:r w:rsidR="0050667A" w:rsidRPr="00465FD3">
        <w:t xml:space="preserve"> (Юкон)</w:t>
      </w:r>
      <w:r>
        <w:t>,</w:t>
      </w:r>
      <w:r w:rsidR="0050667A" w:rsidRPr="00465FD3">
        <w:t xml:space="preserve"> </w:t>
      </w:r>
      <w:hyperlink r:id="rId43">
        <w:r w:rsidR="0050667A" w:rsidRPr="00465FD3">
          <w:rPr>
            <w:rStyle w:val="Hyperlink"/>
            <w:noProof w:val="0"/>
          </w:rPr>
          <w:t>Центры передового опыта Онтарио</w:t>
        </w:r>
      </w:hyperlink>
      <w:r w:rsidR="0050667A" w:rsidRPr="00465FD3">
        <w:t xml:space="preserve"> (Онтарио)</w:t>
      </w:r>
      <w:r>
        <w:t>,</w:t>
      </w:r>
      <w:r w:rsidR="0050667A" w:rsidRPr="00465FD3">
        <w:t xml:space="preserve"> </w:t>
      </w:r>
      <w:hyperlink r:id="rId44">
        <w:r w:rsidR="0050667A" w:rsidRPr="00465FD3">
          <w:rPr>
            <w:rStyle w:val="Hyperlink"/>
            <w:noProof w:val="0"/>
          </w:rPr>
          <w:t>Программа стратегических инвестиций</w:t>
        </w:r>
      </w:hyperlink>
      <w:r w:rsidR="0050667A" w:rsidRPr="00465FD3">
        <w:t xml:space="preserve"> (Нунавут) и </w:t>
      </w:r>
      <w:r w:rsidR="000328E4">
        <w:fldChar w:fldCharType="begin"/>
      </w:r>
      <w:r w:rsidR="000328E4">
        <w:instrText xml:space="preserve"> HYPERLINK "http://www.genesiscentre.ca/" \h </w:instrText>
      </w:r>
      <w:r w:rsidR="000328E4">
        <w:fldChar w:fldCharType="separate"/>
      </w:r>
      <w:r w:rsidR="0050667A" w:rsidRPr="00465FD3">
        <w:rPr>
          <w:rStyle w:val="Hyperlink"/>
          <w:noProof w:val="0"/>
        </w:rPr>
        <w:t>центр Genesis</w:t>
      </w:r>
      <w:r w:rsidR="000328E4">
        <w:rPr>
          <w:rStyle w:val="Hyperlink"/>
          <w:noProof w:val="0"/>
        </w:rPr>
        <w:fldChar w:fldCharType="end"/>
      </w:r>
      <w:r w:rsidR="00336A78">
        <w:t xml:space="preserve"> (Ньюфаундленд и Лабрадор).</w:t>
      </w:r>
    </w:p>
    <w:p w:rsidR="0050667A" w:rsidRPr="00465FD3" w:rsidRDefault="0050667A" w:rsidP="006A6C1D"/>
    <w:p w:rsidR="0050667A" w:rsidRPr="00465FD3" w:rsidRDefault="000E3E8E" w:rsidP="006A6C1D">
      <w:r w:rsidRPr="00465FD3">
        <w:t>В к</w:t>
      </w:r>
      <w:r w:rsidR="0050667A" w:rsidRPr="00465FD3">
        <w:t>рупны</w:t>
      </w:r>
      <w:r w:rsidRPr="00465FD3">
        <w:t>х</w:t>
      </w:r>
      <w:r w:rsidR="0050667A" w:rsidRPr="00465FD3">
        <w:t xml:space="preserve"> населенны</w:t>
      </w:r>
      <w:r w:rsidRPr="00465FD3">
        <w:t>х</w:t>
      </w:r>
      <w:r w:rsidR="0050667A" w:rsidRPr="00465FD3">
        <w:t xml:space="preserve"> пункт</w:t>
      </w:r>
      <w:r w:rsidRPr="00465FD3">
        <w:t>ах</w:t>
      </w:r>
      <w:r w:rsidR="0050667A" w:rsidRPr="00465FD3">
        <w:t xml:space="preserve"> Канады также </w:t>
      </w:r>
      <w:r w:rsidRPr="00465FD3">
        <w:t xml:space="preserve">расположены </w:t>
      </w:r>
      <w:r w:rsidR="0050667A" w:rsidRPr="00465FD3">
        <w:t xml:space="preserve">центры инноваций, которые финансируются из государственных, частных источников или и тех, и других в сочетании.  Например, </w:t>
      </w:r>
      <w:r w:rsidR="000328E4">
        <w:fldChar w:fldCharType="begin"/>
      </w:r>
      <w:r w:rsidR="000328E4">
        <w:instrText xml:space="preserve"> HYPERLINK "https://www.investottawa.ca/" \h </w:instrText>
      </w:r>
      <w:r w:rsidR="000328E4">
        <w:fldChar w:fldCharType="separate"/>
      </w:r>
      <w:r w:rsidR="0050667A" w:rsidRPr="00465FD3">
        <w:rPr>
          <w:rStyle w:val="Hyperlink"/>
          <w:noProof w:val="0"/>
        </w:rPr>
        <w:t>Invest Ottawa</w:t>
      </w:r>
      <w:r w:rsidR="000328E4">
        <w:rPr>
          <w:rStyle w:val="Hyperlink"/>
          <w:noProof w:val="0"/>
        </w:rPr>
        <w:fldChar w:fldCharType="end"/>
      </w:r>
      <w:r w:rsidR="0050667A" w:rsidRPr="00465FD3">
        <w:t xml:space="preserve">, </w:t>
      </w:r>
      <w:hyperlink r:id="rId45">
        <w:r w:rsidR="0050667A" w:rsidRPr="00465FD3">
          <w:rPr>
            <w:rStyle w:val="Hyperlink"/>
            <w:noProof w:val="0"/>
          </w:rPr>
          <w:t>TEC Edmonton</w:t>
        </w:r>
      </w:hyperlink>
      <w:r w:rsidR="0050667A" w:rsidRPr="00465FD3">
        <w:t xml:space="preserve">, </w:t>
      </w:r>
      <w:hyperlink r:id="rId46">
        <w:r w:rsidR="0050667A" w:rsidRPr="00465FD3">
          <w:rPr>
            <w:rStyle w:val="Hyperlink"/>
            <w:noProof w:val="0"/>
          </w:rPr>
          <w:t>Centre d'entreprises et d'innovation de Montréal</w:t>
        </w:r>
      </w:hyperlink>
      <w:r w:rsidRPr="00465FD3">
        <w:rPr>
          <w:rStyle w:val="Hyperlink"/>
          <w:noProof w:val="0"/>
        </w:rPr>
        <w:t xml:space="preserve"> (Центр промышленности и инноваций Монреаля)</w:t>
      </w:r>
      <w:r w:rsidR="0050667A" w:rsidRPr="00465FD3">
        <w:t xml:space="preserve">, </w:t>
      </w:r>
      <w:hyperlink r:id="rId47">
        <w:r w:rsidR="0050667A" w:rsidRPr="00465FD3">
          <w:rPr>
            <w:rStyle w:val="Hyperlink"/>
            <w:noProof w:val="0"/>
          </w:rPr>
          <w:t>Справочная библиотека Торонто</w:t>
        </w:r>
      </w:hyperlink>
      <w:r w:rsidR="0050667A" w:rsidRPr="00465FD3">
        <w:t xml:space="preserve">, </w:t>
      </w:r>
      <w:hyperlink r:id="rId48">
        <w:r w:rsidR="0050667A" w:rsidRPr="00465FD3">
          <w:rPr>
            <w:rStyle w:val="Hyperlink"/>
            <w:noProof w:val="0"/>
          </w:rPr>
          <w:t>Innovate Calgary</w:t>
        </w:r>
      </w:hyperlink>
      <w:r w:rsidR="0050667A" w:rsidRPr="00465FD3">
        <w:t xml:space="preserve"> и </w:t>
      </w:r>
      <w:hyperlink r:id="rId49">
        <w:r w:rsidR="0050667A" w:rsidRPr="00465FD3">
          <w:rPr>
            <w:rStyle w:val="Hyperlink"/>
            <w:noProof w:val="0"/>
          </w:rPr>
          <w:t>инновационный центр BC Tech</w:t>
        </w:r>
      </w:hyperlink>
      <w:r w:rsidR="0050667A" w:rsidRPr="00465FD3">
        <w:t xml:space="preserve"> в Ванкувере на разных этапах жизненного цикла инноваций предоставляют площади и обеспечивают содействие опытных местных предпринимателей, в частности, оказывая содействие в понимании процесс</w:t>
      </w:r>
      <w:r w:rsidRPr="00465FD3">
        <w:t>а приобретения патента.</w:t>
      </w:r>
    </w:p>
    <w:p w:rsidR="0050667A" w:rsidRPr="00465FD3" w:rsidRDefault="0050667A" w:rsidP="006A6C1D"/>
    <w:p w:rsidR="0050667A" w:rsidRPr="00465FD3" w:rsidRDefault="0050667A" w:rsidP="006A6C1D">
      <w:pPr>
        <w:pStyle w:val="Subsection"/>
      </w:pPr>
      <w:r w:rsidRPr="00465FD3">
        <w:t>Ведущие национальные отрасли</w:t>
      </w:r>
      <w:r w:rsidR="00F87DF0" w:rsidRPr="00465FD3">
        <w:t xml:space="preserve"> промышленности:</w:t>
      </w:r>
    </w:p>
    <w:p w:rsidR="0050667A" w:rsidRPr="00465FD3" w:rsidRDefault="0050667A" w:rsidP="006A6C1D">
      <w:r w:rsidRPr="00465FD3">
        <w:t xml:space="preserve">В число ведущих отраслей страны входят следующие:  промышленное производство, горнодобывающая промышленность, сфера услуг, лесное хозяйство и нефтяная промышленность, а также крупнейшие в мире предприятия по производству сельскохозяйственной продукции.  Канадские прерии являются одним из наиболее важных регионов – производителей пшеницы, рапса и </w:t>
      </w:r>
      <w:r w:rsidR="00CB0ECF">
        <w:t>прочих</w:t>
      </w:r>
      <w:r w:rsidRPr="00465FD3">
        <w:t xml:space="preserve"> зерновых культур.</w:t>
      </w:r>
    </w:p>
    <w:p w:rsidR="0050667A" w:rsidRPr="00465FD3" w:rsidRDefault="0050667A" w:rsidP="006A6C1D"/>
    <w:p w:rsidR="0050667A" w:rsidRPr="00465FD3" w:rsidRDefault="0050667A" w:rsidP="006A6C1D">
      <w:r w:rsidRPr="00465FD3">
        <w:t>Министерство природных ресурсов Канады предоставляет статистические данные об основных статьях экспорта страны.  Канада является одним из ведущих экспортеров цинка, урана, золота, никеля, алюминия, стали, железной руды, коксующегося угля и свинца, автомобилей и изделий, связанных с авиакосмической промышленностью.</w:t>
      </w:r>
    </w:p>
    <w:p w:rsidR="0050667A" w:rsidRPr="00465FD3" w:rsidRDefault="0050667A" w:rsidP="006A6C1D"/>
    <w:p w:rsidR="0050667A" w:rsidRPr="00465FD3" w:rsidRDefault="0050667A" w:rsidP="006A6C1D">
      <w:pPr>
        <w:pStyle w:val="Subsection"/>
      </w:pPr>
      <w:r w:rsidRPr="00465FD3">
        <w:t>Основные страны – торговые партнеры:</w:t>
      </w:r>
    </w:p>
    <w:p w:rsidR="0050667A" w:rsidRPr="00465FD3" w:rsidRDefault="0050667A" w:rsidP="006A6C1D">
      <w:r w:rsidRPr="00465FD3">
        <w:t xml:space="preserve">В 2015 г. основными торговыми партнерами Канады по экспорту были Соединенные Штаты (76,7% общего объема экспорта), Китай (3,9% общего объема экспорта) и Соединенное Королевство (3,0% от общего объема экспорта).  В том же году основными торговыми партнерами Канады по импорту были Соединенные Штаты (53,3% общего объема импорта), Китай (12,3% общего объема импорта) и Мексика (5,8% от общего объема импорта).  Основными торговыми партнерами Канады в секторе услуг в 2015 г. по экспорту и импорту были Соединенные Штаты, Европейский союз и Япония. </w:t>
      </w:r>
    </w:p>
    <w:p w:rsidR="0050667A" w:rsidRPr="00465FD3" w:rsidRDefault="0050667A" w:rsidP="006A6C1D">
      <w:pPr>
        <w:rPr>
          <w:i/>
        </w:rPr>
      </w:pPr>
      <w:r w:rsidRPr="00465FD3">
        <w:rPr>
          <w:i/>
        </w:rPr>
        <w:t xml:space="preserve">Источник:  </w:t>
      </w:r>
      <w:hyperlink r:id="rId50" w:anchor="5.0">
        <w:r w:rsidRPr="00465FD3">
          <w:rPr>
            <w:rStyle w:val="Hyperlink"/>
            <w:i/>
            <w:noProof w:val="0"/>
            <w:lang w:val="en-US"/>
          </w:rPr>
          <w:t>Canada</w:t>
        </w:r>
        <w:r w:rsidRPr="00465FD3">
          <w:rPr>
            <w:rStyle w:val="Hyperlink"/>
            <w:i/>
            <w:noProof w:val="0"/>
          </w:rPr>
          <w:t>’</w:t>
        </w:r>
        <w:r w:rsidRPr="00465FD3">
          <w:rPr>
            <w:rStyle w:val="Hyperlink"/>
            <w:i/>
            <w:noProof w:val="0"/>
            <w:lang w:val="en-US"/>
          </w:rPr>
          <w:t>s</w:t>
        </w:r>
        <w:r w:rsidRPr="00465FD3">
          <w:rPr>
            <w:rStyle w:val="Hyperlink"/>
            <w:i/>
            <w:noProof w:val="0"/>
          </w:rPr>
          <w:t xml:space="preserve"> </w:t>
        </w:r>
        <w:r w:rsidRPr="00465FD3">
          <w:rPr>
            <w:rStyle w:val="Hyperlink"/>
            <w:i/>
            <w:noProof w:val="0"/>
            <w:lang w:val="en-US"/>
          </w:rPr>
          <w:t>State</w:t>
        </w:r>
        <w:r w:rsidRPr="00465FD3">
          <w:rPr>
            <w:rStyle w:val="Hyperlink"/>
            <w:i/>
            <w:noProof w:val="0"/>
          </w:rPr>
          <w:t xml:space="preserve"> </w:t>
        </w:r>
        <w:r w:rsidRPr="00465FD3">
          <w:rPr>
            <w:rStyle w:val="Hyperlink"/>
            <w:i/>
            <w:noProof w:val="0"/>
            <w:lang w:val="en-US"/>
          </w:rPr>
          <w:t>of</w:t>
        </w:r>
        <w:r w:rsidRPr="00465FD3">
          <w:rPr>
            <w:rStyle w:val="Hyperlink"/>
            <w:i/>
            <w:noProof w:val="0"/>
          </w:rPr>
          <w:t xml:space="preserve"> </w:t>
        </w:r>
        <w:r w:rsidRPr="00465FD3">
          <w:rPr>
            <w:rStyle w:val="Hyperlink"/>
            <w:i/>
            <w:noProof w:val="0"/>
            <w:lang w:val="en-US"/>
          </w:rPr>
          <w:t>Tra</w:t>
        </w:r>
        <w:r w:rsidR="00F87DF0" w:rsidRPr="00465FD3">
          <w:rPr>
            <w:rStyle w:val="Hyperlink"/>
            <w:i/>
            <w:noProof w:val="0"/>
            <w:lang w:val="en-US"/>
          </w:rPr>
          <w:t>de</w:t>
        </w:r>
        <w:r w:rsidR="00F87DF0" w:rsidRPr="00465FD3">
          <w:rPr>
            <w:rStyle w:val="Hyperlink"/>
            <w:i/>
            <w:noProof w:val="0"/>
          </w:rPr>
          <w:t xml:space="preserve">: </w:t>
        </w:r>
        <w:r w:rsidR="00F87DF0" w:rsidRPr="00465FD3">
          <w:rPr>
            <w:rStyle w:val="Hyperlink"/>
            <w:i/>
            <w:noProof w:val="0"/>
            <w:lang w:val="en-US"/>
          </w:rPr>
          <w:t>Trade</w:t>
        </w:r>
        <w:r w:rsidR="00F87DF0" w:rsidRPr="00465FD3">
          <w:rPr>
            <w:rStyle w:val="Hyperlink"/>
            <w:i/>
            <w:noProof w:val="0"/>
          </w:rPr>
          <w:t xml:space="preserve"> </w:t>
        </w:r>
        <w:r w:rsidR="00F87DF0" w:rsidRPr="00465FD3">
          <w:rPr>
            <w:rStyle w:val="Hyperlink"/>
            <w:i/>
            <w:noProof w:val="0"/>
            <w:lang w:val="en-US"/>
          </w:rPr>
          <w:t>and</w:t>
        </w:r>
        <w:r w:rsidR="00F87DF0" w:rsidRPr="00465FD3">
          <w:rPr>
            <w:rStyle w:val="Hyperlink"/>
            <w:i/>
            <w:noProof w:val="0"/>
          </w:rPr>
          <w:t xml:space="preserve"> </w:t>
        </w:r>
        <w:r w:rsidR="00F87DF0" w:rsidRPr="00465FD3">
          <w:rPr>
            <w:rStyle w:val="Hyperlink"/>
            <w:i/>
            <w:noProof w:val="0"/>
            <w:lang w:val="en-US"/>
          </w:rPr>
          <w:t>Investment</w:t>
        </w:r>
        <w:r w:rsidR="00F87DF0" w:rsidRPr="00465FD3">
          <w:rPr>
            <w:rStyle w:val="Hyperlink"/>
            <w:i/>
            <w:noProof w:val="0"/>
          </w:rPr>
          <w:t xml:space="preserve"> </w:t>
        </w:r>
        <w:r w:rsidR="00F87DF0" w:rsidRPr="00465FD3">
          <w:rPr>
            <w:rStyle w:val="Hyperlink"/>
            <w:i/>
            <w:noProof w:val="0"/>
            <w:lang w:val="en-US"/>
          </w:rPr>
          <w:t>Update</w:t>
        </w:r>
        <w:r w:rsidR="00F87DF0" w:rsidRPr="00465FD3">
          <w:rPr>
            <w:rStyle w:val="Hyperlink"/>
            <w:i/>
            <w:noProof w:val="0"/>
          </w:rPr>
          <w:t xml:space="preserve"> – </w:t>
        </w:r>
        <w:r w:rsidRPr="00465FD3">
          <w:rPr>
            <w:rStyle w:val="Hyperlink"/>
            <w:i/>
            <w:noProof w:val="0"/>
          </w:rPr>
          <w:t>2016</w:t>
        </w:r>
      </w:hyperlink>
      <w:r w:rsidR="000B29E1" w:rsidRPr="00465FD3">
        <w:rPr>
          <w:rStyle w:val="Hyperlink"/>
          <w:i/>
          <w:noProof w:val="0"/>
        </w:rPr>
        <w:t xml:space="preserve"> (Положение в области торговли в Канаде</w:t>
      </w:r>
      <w:r w:rsidR="00465FD3">
        <w:rPr>
          <w:rStyle w:val="Hyperlink"/>
          <w:i/>
          <w:noProof w:val="0"/>
        </w:rPr>
        <w:t>:  н</w:t>
      </w:r>
      <w:r w:rsidR="000B29E1" w:rsidRPr="00465FD3">
        <w:rPr>
          <w:rStyle w:val="Hyperlink"/>
          <w:i/>
          <w:noProof w:val="0"/>
        </w:rPr>
        <w:t>овости торговли и инвестиций, 2016 г.)</w:t>
      </w:r>
    </w:p>
    <w:p w:rsidR="0050667A" w:rsidRPr="00465FD3" w:rsidRDefault="0050667A" w:rsidP="006A6C1D"/>
    <w:p w:rsidR="0050667A" w:rsidRPr="00465FD3" w:rsidRDefault="0050667A" w:rsidP="006A6C1D">
      <w:pPr>
        <w:pStyle w:val="Subsection"/>
      </w:pPr>
      <w:r w:rsidRPr="00465FD3">
        <w:t>Прочая основная информация</w:t>
      </w:r>
    </w:p>
    <w:p w:rsidR="0050667A" w:rsidRPr="00465FD3" w:rsidRDefault="0050667A" w:rsidP="006A6C1D">
      <w:r w:rsidRPr="00465FD3">
        <w:t xml:space="preserve">Четырнадцатого июня 2016 г. Канада объявила о планах в отношении своей новой комплексной </w:t>
      </w:r>
      <w:hyperlink r:id="rId51">
        <w:r w:rsidRPr="00465FD3">
          <w:rPr>
            <w:rStyle w:val="Hyperlink"/>
            <w:noProof w:val="0"/>
          </w:rPr>
          <w:t>Повестки дня в области инноваций</w:t>
        </w:r>
      </w:hyperlink>
      <w:r w:rsidRPr="00465FD3">
        <w:t>.  Всем канадцам было предложено принять участие в ее подготовке.  Чтобы облегчить населению Канады адаптацию, обеспечить его процветание в период быстрых перемен и позволить всем канадцам пользоваться благами, связанными с ростом экономики, предложения населения в адрес федерального правительства должны были быть посвящены трем приоритетным областям:</w:t>
      </w:r>
    </w:p>
    <w:p w:rsidR="0050667A" w:rsidRPr="00465FD3" w:rsidRDefault="006A6C1D" w:rsidP="006A6C1D">
      <w:pPr>
        <w:ind w:left="567"/>
      </w:pPr>
      <w:r w:rsidRPr="00465FD3">
        <w:t>–</w:t>
      </w:r>
      <w:r w:rsidRPr="00465FD3">
        <w:tab/>
        <w:t xml:space="preserve">люди:  определить, как обеспечить большему числу канадцев возможность приобретать навыки и опыт, </w:t>
      </w:r>
      <w:r w:rsidR="00F42B3D">
        <w:t>незаменимые в</w:t>
      </w:r>
      <w:r w:rsidRPr="00465FD3">
        <w:t xml:space="preserve"> глобальной и цифровой экономик</w:t>
      </w:r>
      <w:r w:rsidR="00F42B3D">
        <w:t>е</w:t>
      </w:r>
      <w:r w:rsidRPr="00465FD3">
        <w:t>;</w:t>
      </w:r>
    </w:p>
    <w:p w:rsidR="0050667A" w:rsidRPr="00465FD3" w:rsidRDefault="006A6C1D" w:rsidP="006A6C1D">
      <w:pPr>
        <w:ind w:left="567"/>
      </w:pPr>
      <w:r w:rsidRPr="00465FD3">
        <w:t>–</w:t>
      </w:r>
      <w:r w:rsidRPr="00465FD3">
        <w:tab/>
        <w:t>технологии:  определить, каким образом Канада может осваивать новые технологии, которые позволят создавать рабочие места и отрасли, которые не существовали ранее и при этом оживить существующие отрасли.  Кроме того, звучали призывы к тому, чтобы в Канаде уделялось внимание развитию технологий, которые послужат основой для следующей мощной волны инноваций;</w:t>
      </w:r>
    </w:p>
    <w:p w:rsidR="0050667A" w:rsidRPr="00465FD3" w:rsidRDefault="006A6C1D" w:rsidP="006A6C1D">
      <w:pPr>
        <w:ind w:left="567"/>
      </w:pPr>
      <w:r w:rsidRPr="00465FD3">
        <w:t>–</w:t>
      </w:r>
      <w:r w:rsidRPr="00465FD3">
        <w:tab/>
        <w:t xml:space="preserve">компании:  определить, каким образом можно мотивировать большее число канадцев создавать и развивать компании так, чтобы обеспечивать их конкурентоспособность и успех на глобальном уровне. </w:t>
      </w:r>
    </w:p>
    <w:p w:rsidR="0050667A" w:rsidRPr="00465FD3" w:rsidRDefault="0050667A" w:rsidP="006A6C1D"/>
    <w:p w:rsidR="0050667A" w:rsidRPr="00465FD3" w:rsidRDefault="0050667A" w:rsidP="006A6C1D">
      <w:r w:rsidRPr="00465FD3">
        <w:t>Канадское правительство уже приняло меры для перехода страны к экономике, основанной на инновациях.  В бюджете на 2016 г. правительство предусмотрело выделение следующих сумм:</w:t>
      </w:r>
    </w:p>
    <w:p w:rsidR="0050667A" w:rsidRPr="00465FD3" w:rsidRDefault="006A6C1D" w:rsidP="006A6C1D">
      <w:pPr>
        <w:ind w:left="567"/>
      </w:pPr>
      <w:r w:rsidRPr="00465FD3">
        <w:t>– 2 млрд долл. на обновление и расширение инфраструктуры кампусов университетов и колледжей по всей стране в целях расширения высококачественных исследований и обеспечения студентам, преподавателям и исследователям возможности работать в тесном контакте с партнерами, чтобы превращать открытия в товары и услуги.  В ходе этой деятельности студенты будут проходить обучение специальностям, которые в будущем обеспечат им престижную работу и принадлежность к среднему классу.</w:t>
      </w:r>
    </w:p>
    <w:p w:rsidR="0050667A" w:rsidRPr="00465FD3" w:rsidRDefault="006A6C1D" w:rsidP="006A6C1D">
      <w:pPr>
        <w:ind w:left="567"/>
      </w:pPr>
      <w:r w:rsidRPr="00465FD3">
        <w:t xml:space="preserve">– </w:t>
      </w:r>
      <w:r w:rsidR="009D40D6">
        <w:t>свыше</w:t>
      </w:r>
      <w:r w:rsidRPr="00465FD3">
        <w:t xml:space="preserve"> 1 млрд долл. на поддержку развития «чистых технологий», которые позволят снизить уровень загрязнения и повысить энергоэффективность;</w:t>
      </w:r>
    </w:p>
    <w:p w:rsidR="0050667A" w:rsidRPr="00465FD3" w:rsidRDefault="006A6C1D" w:rsidP="006A6C1D">
      <w:pPr>
        <w:ind w:left="567"/>
      </w:pPr>
      <w:r w:rsidRPr="00465FD3">
        <w:t>– 800 млн долл. в течение четырех лет на укрепление инновационных сетей и кластеров.  Эти вложения призваны стимулировать динамичное развитие частного сектора, объединить критическую массы заинтересованных сторон и донести его идеи до рынка.</w:t>
      </w:r>
    </w:p>
    <w:p w:rsidR="0050667A" w:rsidRPr="00465FD3" w:rsidRDefault="0050667A" w:rsidP="006A6C1D">
      <w:pPr>
        <w:rPr>
          <w:i/>
        </w:rPr>
      </w:pPr>
      <w:r w:rsidRPr="00465FD3">
        <w:tab/>
      </w:r>
      <w:r w:rsidRPr="00465FD3">
        <w:rPr>
          <w:i/>
        </w:rPr>
        <w:t xml:space="preserve">Источник:  </w:t>
      </w:r>
      <w:hyperlink r:id="rId52">
        <w:r w:rsidRPr="00465FD3">
          <w:rPr>
            <w:rStyle w:val="Hyperlink"/>
            <w:i/>
            <w:noProof w:val="0"/>
          </w:rPr>
          <w:t>Министерство инновационной деятельности, науки и экономического развития Канады</w:t>
        </w:r>
      </w:hyperlink>
    </w:p>
    <w:p w:rsidR="0050667A" w:rsidRPr="00465FD3" w:rsidRDefault="0050667A" w:rsidP="000328E4">
      <w:pPr>
        <w:pStyle w:val="SectionHeading"/>
        <w:keepLines/>
        <w:pBdr>
          <w:top w:val="single" w:sz="4" w:space="0" w:color="auto"/>
        </w:pBdr>
      </w:pPr>
      <w:r w:rsidRPr="00465FD3">
        <w:t>6. – Характеристика патентных заявок</w:t>
      </w:r>
    </w:p>
    <w:p w:rsidR="0050667A" w:rsidRPr="00465FD3" w:rsidRDefault="0050667A" w:rsidP="000328E4">
      <w:pPr>
        <w:pStyle w:val="Subsection"/>
        <w:keepLines/>
      </w:pPr>
      <w:r w:rsidRPr="00465FD3">
        <w:t>Количество международных заявок, полученных в качестве ПВ</w:t>
      </w:r>
    </w:p>
    <w:p w:rsidR="0050667A" w:rsidRPr="00465FD3" w:rsidRDefault="0050667A" w:rsidP="000328E4">
      <w:pPr>
        <w:keepNext/>
        <w:rPr>
          <w:i/>
        </w:rPr>
      </w:pPr>
      <w:r w:rsidRPr="00465FD3">
        <w:rPr>
          <w:i/>
        </w:rPr>
        <w:t>Цифры получены из внутренней базы данных CIPO InterApp и приводятся в соответствии с символом заявки в Международной патентной классификации и с тем, какое подразделение по экспертизе в CIPO проводит экспертизу соответствующей подгруппы.</w:t>
      </w:r>
    </w:p>
    <w:p w:rsidR="0050667A" w:rsidRPr="00465FD3" w:rsidRDefault="0050667A" w:rsidP="000328E4">
      <w:pPr>
        <w:keepNext/>
        <w:rPr>
          <w:rFonts w:ascii="Century Gothic" w:hAnsi="Century Gothic"/>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288"/>
        <w:gridCol w:w="1289"/>
        <w:gridCol w:w="1289"/>
        <w:gridCol w:w="1289"/>
        <w:gridCol w:w="1289"/>
      </w:tblGrid>
      <w:tr w:rsidR="0050667A" w:rsidRPr="00D145FB" w:rsidTr="0050667A">
        <w:trPr>
          <w:cantSplit/>
        </w:trPr>
        <w:tc>
          <w:tcPr>
            <w:tcW w:w="2518" w:type="dxa"/>
            <w:tcBorders>
              <w:tl2br w:val="single" w:sz="4" w:space="0" w:color="auto"/>
            </w:tcBorders>
            <w:shd w:val="clear" w:color="auto" w:fill="auto"/>
          </w:tcPr>
          <w:p w:rsidR="0050667A" w:rsidRPr="00D145FB" w:rsidRDefault="0050667A" w:rsidP="000328E4">
            <w:pPr>
              <w:keepNext/>
              <w:rPr>
                <w:b/>
                <w:sz w:val="20"/>
              </w:rPr>
            </w:pPr>
          </w:p>
          <w:p w:rsidR="0050667A" w:rsidRPr="00D145FB" w:rsidRDefault="0050667A" w:rsidP="000328E4">
            <w:pPr>
              <w:keepNext/>
              <w:rPr>
                <w:b/>
                <w:sz w:val="20"/>
              </w:rPr>
            </w:pPr>
            <w:r w:rsidRPr="00D145FB">
              <w:rPr>
                <w:b/>
                <w:sz w:val="20"/>
              </w:rPr>
              <w:t>Год</w:t>
            </w:r>
          </w:p>
          <w:p w:rsidR="0050667A" w:rsidRPr="00D145FB" w:rsidRDefault="0050667A" w:rsidP="000328E4">
            <w:pPr>
              <w:keepNext/>
              <w:rPr>
                <w:b/>
                <w:sz w:val="20"/>
              </w:rPr>
            </w:pPr>
            <w:r w:rsidRPr="00D145FB">
              <w:rPr>
                <w:b/>
                <w:sz w:val="20"/>
              </w:rPr>
              <w:t>Область техники</w:t>
            </w:r>
          </w:p>
        </w:tc>
        <w:tc>
          <w:tcPr>
            <w:tcW w:w="1360" w:type="dxa"/>
            <w:shd w:val="clear" w:color="auto" w:fill="auto"/>
            <w:vAlign w:val="center"/>
          </w:tcPr>
          <w:p w:rsidR="0050667A" w:rsidRPr="00D145FB" w:rsidRDefault="0050667A" w:rsidP="000328E4">
            <w:pPr>
              <w:keepNext/>
              <w:keepLines/>
              <w:rPr>
                <w:b/>
                <w:sz w:val="20"/>
              </w:rPr>
            </w:pPr>
            <w:r w:rsidRPr="00D145FB">
              <w:rPr>
                <w:b/>
                <w:sz w:val="20"/>
              </w:rPr>
              <w:t>2011–2012 гг.</w:t>
            </w:r>
          </w:p>
        </w:tc>
        <w:tc>
          <w:tcPr>
            <w:tcW w:w="1361" w:type="dxa"/>
            <w:shd w:val="clear" w:color="auto" w:fill="auto"/>
            <w:vAlign w:val="center"/>
          </w:tcPr>
          <w:p w:rsidR="0050667A" w:rsidRPr="00D145FB" w:rsidRDefault="0050667A" w:rsidP="000328E4">
            <w:pPr>
              <w:keepNext/>
              <w:rPr>
                <w:b/>
                <w:sz w:val="20"/>
              </w:rPr>
            </w:pPr>
            <w:r w:rsidRPr="00D145FB">
              <w:rPr>
                <w:b/>
                <w:sz w:val="20"/>
              </w:rPr>
              <w:t>2012–2013 гг.</w:t>
            </w:r>
          </w:p>
        </w:tc>
        <w:tc>
          <w:tcPr>
            <w:tcW w:w="1361" w:type="dxa"/>
            <w:shd w:val="clear" w:color="auto" w:fill="auto"/>
            <w:vAlign w:val="center"/>
          </w:tcPr>
          <w:p w:rsidR="0050667A" w:rsidRPr="00D145FB" w:rsidRDefault="0050667A" w:rsidP="000328E4">
            <w:pPr>
              <w:keepNext/>
              <w:rPr>
                <w:b/>
                <w:sz w:val="20"/>
              </w:rPr>
            </w:pPr>
            <w:r w:rsidRPr="00D145FB">
              <w:rPr>
                <w:b/>
                <w:sz w:val="20"/>
              </w:rPr>
              <w:t>2013–2014 гг.</w:t>
            </w:r>
          </w:p>
        </w:tc>
        <w:tc>
          <w:tcPr>
            <w:tcW w:w="1361" w:type="dxa"/>
            <w:shd w:val="clear" w:color="auto" w:fill="auto"/>
            <w:vAlign w:val="center"/>
          </w:tcPr>
          <w:p w:rsidR="0050667A" w:rsidRPr="00D145FB" w:rsidRDefault="0050667A" w:rsidP="000328E4">
            <w:pPr>
              <w:keepNext/>
              <w:rPr>
                <w:b/>
                <w:sz w:val="20"/>
              </w:rPr>
            </w:pPr>
            <w:r w:rsidRPr="00D145FB">
              <w:rPr>
                <w:b/>
                <w:sz w:val="20"/>
              </w:rPr>
              <w:t>2014–2015 гг.</w:t>
            </w:r>
          </w:p>
        </w:tc>
        <w:tc>
          <w:tcPr>
            <w:tcW w:w="1361" w:type="dxa"/>
            <w:shd w:val="clear" w:color="auto" w:fill="auto"/>
            <w:vAlign w:val="center"/>
          </w:tcPr>
          <w:p w:rsidR="0050667A" w:rsidRPr="00D145FB" w:rsidRDefault="0050667A" w:rsidP="000328E4">
            <w:pPr>
              <w:keepNext/>
              <w:rPr>
                <w:b/>
                <w:sz w:val="20"/>
              </w:rPr>
            </w:pPr>
            <w:r w:rsidRPr="00D145FB">
              <w:rPr>
                <w:b/>
                <w:sz w:val="20"/>
              </w:rPr>
              <w:t>2015–2016 гг.</w:t>
            </w:r>
          </w:p>
        </w:tc>
      </w:tr>
      <w:tr w:rsidR="0050667A" w:rsidRPr="00D145FB" w:rsidTr="0050667A">
        <w:trPr>
          <w:cantSplit/>
        </w:trPr>
        <w:tc>
          <w:tcPr>
            <w:tcW w:w="9322" w:type="dxa"/>
            <w:gridSpan w:val="6"/>
            <w:shd w:val="clear" w:color="auto" w:fill="auto"/>
            <w:vAlign w:val="center"/>
          </w:tcPr>
          <w:p w:rsidR="0050667A" w:rsidRPr="00D145FB" w:rsidRDefault="0050667A" w:rsidP="000328E4">
            <w:pPr>
              <w:keepNext/>
              <w:keepLines/>
              <w:rPr>
                <w:sz w:val="20"/>
              </w:rPr>
            </w:pPr>
            <w:r w:rsidRPr="00D145FB">
              <w:rPr>
                <w:sz w:val="20"/>
              </w:rPr>
              <w:t>Международные заявки, запросы по главе I</w:t>
            </w:r>
          </w:p>
        </w:tc>
      </w:tr>
      <w:tr w:rsidR="0050667A" w:rsidRPr="00D145FB" w:rsidTr="0050667A">
        <w:trPr>
          <w:cantSplit/>
        </w:trPr>
        <w:tc>
          <w:tcPr>
            <w:tcW w:w="2518" w:type="dxa"/>
            <w:shd w:val="clear" w:color="auto" w:fill="auto"/>
            <w:vAlign w:val="center"/>
          </w:tcPr>
          <w:p w:rsidR="0050667A" w:rsidRPr="00D145FB" w:rsidRDefault="0050667A" w:rsidP="006A6C1D">
            <w:pPr>
              <w:rPr>
                <w:sz w:val="20"/>
              </w:rPr>
            </w:pPr>
            <w:r w:rsidRPr="00D145FB">
              <w:rPr>
                <w:sz w:val="20"/>
              </w:rPr>
              <w:t>Механика</w:t>
            </w:r>
          </w:p>
        </w:tc>
        <w:tc>
          <w:tcPr>
            <w:tcW w:w="1360" w:type="dxa"/>
            <w:shd w:val="clear" w:color="auto" w:fill="auto"/>
            <w:vAlign w:val="center"/>
          </w:tcPr>
          <w:p w:rsidR="0050667A" w:rsidRPr="00D145FB" w:rsidRDefault="0050667A" w:rsidP="000328E4">
            <w:pPr>
              <w:keepNext/>
              <w:keepLines/>
              <w:rPr>
                <w:sz w:val="20"/>
              </w:rPr>
            </w:pPr>
            <w:r w:rsidRPr="00D145FB">
              <w:rPr>
                <w:sz w:val="20"/>
              </w:rPr>
              <w:t>694</w:t>
            </w:r>
          </w:p>
        </w:tc>
        <w:tc>
          <w:tcPr>
            <w:tcW w:w="1361" w:type="dxa"/>
            <w:shd w:val="clear" w:color="auto" w:fill="auto"/>
            <w:vAlign w:val="center"/>
          </w:tcPr>
          <w:p w:rsidR="0050667A" w:rsidRPr="00D145FB" w:rsidRDefault="0050667A" w:rsidP="006A6C1D">
            <w:pPr>
              <w:rPr>
                <w:sz w:val="20"/>
              </w:rPr>
            </w:pPr>
            <w:r w:rsidRPr="00D145FB">
              <w:rPr>
                <w:sz w:val="20"/>
              </w:rPr>
              <w:t>708</w:t>
            </w:r>
          </w:p>
        </w:tc>
        <w:tc>
          <w:tcPr>
            <w:tcW w:w="1361" w:type="dxa"/>
            <w:shd w:val="clear" w:color="auto" w:fill="auto"/>
            <w:vAlign w:val="center"/>
          </w:tcPr>
          <w:p w:rsidR="0050667A" w:rsidRPr="00D145FB" w:rsidRDefault="0050667A" w:rsidP="006A6C1D">
            <w:pPr>
              <w:rPr>
                <w:sz w:val="20"/>
              </w:rPr>
            </w:pPr>
            <w:r w:rsidRPr="00D145FB">
              <w:rPr>
                <w:sz w:val="20"/>
              </w:rPr>
              <w:t>739</w:t>
            </w:r>
          </w:p>
        </w:tc>
        <w:tc>
          <w:tcPr>
            <w:tcW w:w="1361" w:type="dxa"/>
            <w:shd w:val="clear" w:color="auto" w:fill="auto"/>
            <w:vAlign w:val="center"/>
          </w:tcPr>
          <w:p w:rsidR="0050667A" w:rsidRPr="00D145FB" w:rsidRDefault="0050667A" w:rsidP="006A6C1D">
            <w:pPr>
              <w:rPr>
                <w:sz w:val="20"/>
              </w:rPr>
            </w:pPr>
            <w:r w:rsidRPr="00D145FB">
              <w:rPr>
                <w:sz w:val="20"/>
              </w:rPr>
              <w:t>718</w:t>
            </w:r>
          </w:p>
        </w:tc>
        <w:tc>
          <w:tcPr>
            <w:tcW w:w="1361" w:type="dxa"/>
            <w:shd w:val="clear" w:color="auto" w:fill="auto"/>
            <w:vAlign w:val="center"/>
          </w:tcPr>
          <w:p w:rsidR="0050667A" w:rsidRPr="00D145FB" w:rsidRDefault="0050667A" w:rsidP="006A6C1D">
            <w:pPr>
              <w:rPr>
                <w:sz w:val="20"/>
              </w:rPr>
            </w:pPr>
            <w:r w:rsidRPr="00D145FB">
              <w:rPr>
                <w:sz w:val="20"/>
              </w:rPr>
              <w:t>790</w:t>
            </w:r>
          </w:p>
        </w:tc>
      </w:tr>
      <w:tr w:rsidR="0050667A" w:rsidRPr="00D145FB" w:rsidTr="0050667A">
        <w:trPr>
          <w:cantSplit/>
        </w:trPr>
        <w:tc>
          <w:tcPr>
            <w:tcW w:w="2518" w:type="dxa"/>
            <w:shd w:val="clear" w:color="auto" w:fill="auto"/>
            <w:vAlign w:val="center"/>
          </w:tcPr>
          <w:p w:rsidR="0050667A" w:rsidRPr="00D145FB" w:rsidRDefault="0050667A" w:rsidP="006A6C1D">
            <w:pPr>
              <w:rPr>
                <w:sz w:val="20"/>
              </w:rPr>
            </w:pPr>
            <w:r w:rsidRPr="00D145FB">
              <w:rPr>
                <w:sz w:val="20"/>
              </w:rPr>
              <w:t>Электричество/электронные устройства</w:t>
            </w:r>
          </w:p>
        </w:tc>
        <w:tc>
          <w:tcPr>
            <w:tcW w:w="1360" w:type="dxa"/>
            <w:shd w:val="clear" w:color="auto" w:fill="auto"/>
            <w:vAlign w:val="center"/>
          </w:tcPr>
          <w:p w:rsidR="0050667A" w:rsidRPr="00D145FB" w:rsidRDefault="0050667A" w:rsidP="000328E4">
            <w:pPr>
              <w:keepNext/>
              <w:keepLines/>
              <w:rPr>
                <w:sz w:val="20"/>
              </w:rPr>
            </w:pPr>
            <w:r w:rsidRPr="00D145FB">
              <w:rPr>
                <w:sz w:val="20"/>
              </w:rPr>
              <w:t>818</w:t>
            </w:r>
          </w:p>
        </w:tc>
        <w:tc>
          <w:tcPr>
            <w:tcW w:w="1361" w:type="dxa"/>
            <w:shd w:val="clear" w:color="auto" w:fill="auto"/>
            <w:vAlign w:val="center"/>
          </w:tcPr>
          <w:p w:rsidR="0050667A" w:rsidRPr="00D145FB" w:rsidRDefault="0050667A" w:rsidP="006A6C1D">
            <w:pPr>
              <w:rPr>
                <w:sz w:val="20"/>
              </w:rPr>
            </w:pPr>
            <w:r w:rsidRPr="00D145FB">
              <w:rPr>
                <w:sz w:val="20"/>
              </w:rPr>
              <w:t>833</w:t>
            </w:r>
          </w:p>
        </w:tc>
        <w:tc>
          <w:tcPr>
            <w:tcW w:w="1361" w:type="dxa"/>
            <w:shd w:val="clear" w:color="auto" w:fill="auto"/>
            <w:vAlign w:val="center"/>
          </w:tcPr>
          <w:p w:rsidR="0050667A" w:rsidRPr="00D145FB" w:rsidRDefault="0050667A" w:rsidP="006A6C1D">
            <w:pPr>
              <w:rPr>
                <w:sz w:val="20"/>
              </w:rPr>
            </w:pPr>
            <w:r w:rsidRPr="00D145FB">
              <w:rPr>
                <w:sz w:val="20"/>
              </w:rPr>
              <w:t>738</w:t>
            </w:r>
          </w:p>
        </w:tc>
        <w:tc>
          <w:tcPr>
            <w:tcW w:w="1361" w:type="dxa"/>
            <w:shd w:val="clear" w:color="auto" w:fill="auto"/>
            <w:vAlign w:val="center"/>
          </w:tcPr>
          <w:p w:rsidR="0050667A" w:rsidRPr="00D145FB" w:rsidRDefault="0050667A" w:rsidP="006A6C1D">
            <w:pPr>
              <w:rPr>
                <w:sz w:val="20"/>
              </w:rPr>
            </w:pPr>
            <w:r w:rsidRPr="00D145FB">
              <w:rPr>
                <w:sz w:val="20"/>
              </w:rPr>
              <w:t>701</w:t>
            </w:r>
          </w:p>
        </w:tc>
        <w:tc>
          <w:tcPr>
            <w:tcW w:w="1361" w:type="dxa"/>
            <w:shd w:val="clear" w:color="auto" w:fill="auto"/>
            <w:vAlign w:val="center"/>
          </w:tcPr>
          <w:p w:rsidR="0050667A" w:rsidRPr="00D145FB" w:rsidRDefault="0050667A" w:rsidP="006A6C1D">
            <w:pPr>
              <w:rPr>
                <w:sz w:val="20"/>
              </w:rPr>
            </w:pPr>
            <w:r w:rsidRPr="00D145FB">
              <w:rPr>
                <w:sz w:val="20"/>
              </w:rPr>
              <w:t>582</w:t>
            </w:r>
          </w:p>
        </w:tc>
      </w:tr>
      <w:tr w:rsidR="0050667A" w:rsidRPr="00D145FB" w:rsidTr="0050667A">
        <w:trPr>
          <w:cantSplit/>
        </w:trPr>
        <w:tc>
          <w:tcPr>
            <w:tcW w:w="2518" w:type="dxa"/>
            <w:shd w:val="clear" w:color="auto" w:fill="auto"/>
            <w:vAlign w:val="center"/>
          </w:tcPr>
          <w:p w:rsidR="0050667A" w:rsidRPr="00D145FB" w:rsidRDefault="0050667A" w:rsidP="006A6C1D">
            <w:pPr>
              <w:rPr>
                <w:sz w:val="20"/>
              </w:rPr>
            </w:pPr>
            <w:r w:rsidRPr="00D145FB">
              <w:rPr>
                <w:sz w:val="20"/>
              </w:rPr>
              <w:t>Химия</w:t>
            </w:r>
          </w:p>
        </w:tc>
        <w:tc>
          <w:tcPr>
            <w:tcW w:w="1360" w:type="dxa"/>
            <w:shd w:val="clear" w:color="auto" w:fill="auto"/>
            <w:vAlign w:val="center"/>
          </w:tcPr>
          <w:p w:rsidR="0050667A" w:rsidRPr="00D145FB" w:rsidRDefault="0050667A" w:rsidP="000328E4">
            <w:pPr>
              <w:keepNext/>
              <w:keepLines/>
              <w:rPr>
                <w:sz w:val="20"/>
              </w:rPr>
            </w:pPr>
          </w:p>
        </w:tc>
        <w:tc>
          <w:tcPr>
            <w:tcW w:w="1361" w:type="dxa"/>
            <w:shd w:val="clear" w:color="auto" w:fill="auto"/>
            <w:vAlign w:val="center"/>
          </w:tcPr>
          <w:p w:rsidR="0050667A" w:rsidRPr="00D145FB" w:rsidRDefault="0050667A" w:rsidP="006A6C1D">
            <w:pPr>
              <w:rPr>
                <w:sz w:val="20"/>
              </w:rPr>
            </w:pPr>
          </w:p>
        </w:tc>
        <w:tc>
          <w:tcPr>
            <w:tcW w:w="1361" w:type="dxa"/>
            <w:shd w:val="clear" w:color="auto" w:fill="auto"/>
            <w:vAlign w:val="center"/>
          </w:tcPr>
          <w:p w:rsidR="0050667A" w:rsidRPr="00D145FB" w:rsidRDefault="0050667A" w:rsidP="006A6C1D">
            <w:pPr>
              <w:rPr>
                <w:sz w:val="20"/>
              </w:rPr>
            </w:pPr>
          </w:p>
        </w:tc>
        <w:tc>
          <w:tcPr>
            <w:tcW w:w="1361" w:type="dxa"/>
            <w:shd w:val="clear" w:color="auto" w:fill="auto"/>
            <w:vAlign w:val="center"/>
          </w:tcPr>
          <w:p w:rsidR="0050667A" w:rsidRPr="00D145FB" w:rsidRDefault="0050667A" w:rsidP="006A6C1D">
            <w:pPr>
              <w:rPr>
                <w:sz w:val="20"/>
              </w:rPr>
            </w:pPr>
          </w:p>
        </w:tc>
        <w:tc>
          <w:tcPr>
            <w:tcW w:w="1361" w:type="dxa"/>
            <w:shd w:val="clear" w:color="auto" w:fill="auto"/>
            <w:vAlign w:val="center"/>
          </w:tcPr>
          <w:p w:rsidR="0050667A" w:rsidRPr="00D145FB" w:rsidRDefault="0050667A" w:rsidP="006A6C1D">
            <w:pPr>
              <w:rPr>
                <w:sz w:val="20"/>
              </w:rPr>
            </w:pPr>
          </w:p>
        </w:tc>
      </w:tr>
      <w:tr w:rsidR="0050667A" w:rsidRPr="00D145FB" w:rsidTr="0050667A">
        <w:trPr>
          <w:cantSplit/>
        </w:trPr>
        <w:tc>
          <w:tcPr>
            <w:tcW w:w="2518" w:type="dxa"/>
            <w:shd w:val="clear" w:color="auto" w:fill="auto"/>
            <w:vAlign w:val="center"/>
          </w:tcPr>
          <w:p w:rsidR="0050667A" w:rsidRPr="00D145FB" w:rsidRDefault="0050667A" w:rsidP="006A6C1D">
            <w:pPr>
              <w:rPr>
                <w:sz w:val="20"/>
              </w:rPr>
            </w:pPr>
            <w:r w:rsidRPr="00D145FB">
              <w:rPr>
                <w:sz w:val="20"/>
              </w:rPr>
              <w:t xml:space="preserve">   Общая химия</w:t>
            </w:r>
          </w:p>
        </w:tc>
        <w:tc>
          <w:tcPr>
            <w:tcW w:w="1360" w:type="dxa"/>
            <w:shd w:val="clear" w:color="auto" w:fill="auto"/>
            <w:vAlign w:val="center"/>
          </w:tcPr>
          <w:p w:rsidR="0050667A" w:rsidRPr="00D145FB" w:rsidRDefault="0050667A" w:rsidP="000328E4">
            <w:pPr>
              <w:keepNext/>
              <w:keepLines/>
              <w:rPr>
                <w:sz w:val="20"/>
              </w:rPr>
            </w:pPr>
            <w:r w:rsidRPr="00D145FB">
              <w:rPr>
                <w:sz w:val="20"/>
              </w:rPr>
              <w:t>193</w:t>
            </w:r>
          </w:p>
        </w:tc>
        <w:tc>
          <w:tcPr>
            <w:tcW w:w="1361" w:type="dxa"/>
            <w:shd w:val="clear" w:color="auto" w:fill="auto"/>
            <w:vAlign w:val="center"/>
          </w:tcPr>
          <w:p w:rsidR="0050667A" w:rsidRPr="00D145FB" w:rsidRDefault="0050667A" w:rsidP="006A6C1D">
            <w:pPr>
              <w:rPr>
                <w:sz w:val="20"/>
              </w:rPr>
            </w:pPr>
            <w:r w:rsidRPr="00D145FB">
              <w:rPr>
                <w:sz w:val="20"/>
              </w:rPr>
              <w:t>224</w:t>
            </w:r>
          </w:p>
        </w:tc>
        <w:tc>
          <w:tcPr>
            <w:tcW w:w="1361" w:type="dxa"/>
            <w:shd w:val="clear" w:color="auto" w:fill="auto"/>
            <w:vAlign w:val="center"/>
          </w:tcPr>
          <w:p w:rsidR="0050667A" w:rsidRPr="00D145FB" w:rsidRDefault="0050667A" w:rsidP="006A6C1D">
            <w:pPr>
              <w:rPr>
                <w:sz w:val="20"/>
              </w:rPr>
            </w:pPr>
            <w:r w:rsidRPr="00D145FB">
              <w:rPr>
                <w:sz w:val="20"/>
              </w:rPr>
              <w:t>275</w:t>
            </w:r>
          </w:p>
        </w:tc>
        <w:tc>
          <w:tcPr>
            <w:tcW w:w="1361" w:type="dxa"/>
            <w:shd w:val="clear" w:color="auto" w:fill="auto"/>
            <w:vAlign w:val="center"/>
          </w:tcPr>
          <w:p w:rsidR="0050667A" w:rsidRPr="00D145FB" w:rsidRDefault="0050667A" w:rsidP="006A6C1D">
            <w:pPr>
              <w:rPr>
                <w:sz w:val="20"/>
              </w:rPr>
            </w:pPr>
            <w:r w:rsidRPr="00D145FB">
              <w:rPr>
                <w:sz w:val="20"/>
              </w:rPr>
              <w:t>219</w:t>
            </w:r>
          </w:p>
        </w:tc>
        <w:tc>
          <w:tcPr>
            <w:tcW w:w="1361" w:type="dxa"/>
            <w:shd w:val="clear" w:color="auto" w:fill="auto"/>
            <w:vAlign w:val="center"/>
          </w:tcPr>
          <w:p w:rsidR="0050667A" w:rsidRPr="00D145FB" w:rsidRDefault="0050667A" w:rsidP="006A6C1D">
            <w:pPr>
              <w:rPr>
                <w:sz w:val="20"/>
              </w:rPr>
            </w:pPr>
            <w:r w:rsidRPr="00D145FB">
              <w:rPr>
                <w:sz w:val="20"/>
              </w:rPr>
              <w:t>222</w:t>
            </w:r>
          </w:p>
        </w:tc>
      </w:tr>
      <w:tr w:rsidR="0050667A" w:rsidRPr="00D145FB" w:rsidTr="0050667A">
        <w:trPr>
          <w:cantSplit/>
        </w:trPr>
        <w:tc>
          <w:tcPr>
            <w:tcW w:w="2518" w:type="dxa"/>
            <w:shd w:val="clear" w:color="auto" w:fill="auto"/>
            <w:vAlign w:val="center"/>
          </w:tcPr>
          <w:p w:rsidR="0050667A" w:rsidRPr="00D145FB" w:rsidRDefault="0050667A" w:rsidP="006A6C1D">
            <w:pPr>
              <w:rPr>
                <w:sz w:val="20"/>
              </w:rPr>
            </w:pPr>
            <w:r w:rsidRPr="00D145FB">
              <w:rPr>
                <w:sz w:val="20"/>
              </w:rPr>
              <w:t xml:space="preserve">   Органическая химия</w:t>
            </w:r>
          </w:p>
        </w:tc>
        <w:tc>
          <w:tcPr>
            <w:tcW w:w="1360" w:type="dxa"/>
            <w:shd w:val="clear" w:color="auto" w:fill="auto"/>
            <w:vAlign w:val="center"/>
          </w:tcPr>
          <w:p w:rsidR="0050667A" w:rsidRPr="00D145FB" w:rsidRDefault="0050667A" w:rsidP="000328E4">
            <w:pPr>
              <w:keepNext/>
              <w:keepLines/>
              <w:rPr>
                <w:sz w:val="20"/>
              </w:rPr>
            </w:pPr>
            <w:r w:rsidRPr="00D145FB">
              <w:rPr>
                <w:sz w:val="20"/>
              </w:rPr>
              <w:t>203</w:t>
            </w:r>
          </w:p>
        </w:tc>
        <w:tc>
          <w:tcPr>
            <w:tcW w:w="1361" w:type="dxa"/>
            <w:shd w:val="clear" w:color="auto" w:fill="auto"/>
            <w:vAlign w:val="center"/>
          </w:tcPr>
          <w:p w:rsidR="0050667A" w:rsidRPr="00D145FB" w:rsidRDefault="0050667A" w:rsidP="006A6C1D">
            <w:pPr>
              <w:rPr>
                <w:sz w:val="20"/>
              </w:rPr>
            </w:pPr>
            <w:r w:rsidRPr="00D145FB">
              <w:rPr>
                <w:sz w:val="20"/>
              </w:rPr>
              <w:t>192</w:t>
            </w:r>
          </w:p>
        </w:tc>
        <w:tc>
          <w:tcPr>
            <w:tcW w:w="1361" w:type="dxa"/>
            <w:shd w:val="clear" w:color="auto" w:fill="auto"/>
            <w:vAlign w:val="center"/>
          </w:tcPr>
          <w:p w:rsidR="0050667A" w:rsidRPr="00D145FB" w:rsidRDefault="0050667A" w:rsidP="006A6C1D">
            <w:pPr>
              <w:rPr>
                <w:sz w:val="20"/>
              </w:rPr>
            </w:pPr>
            <w:r w:rsidRPr="00D145FB">
              <w:rPr>
                <w:sz w:val="20"/>
              </w:rPr>
              <w:t>205</w:t>
            </w:r>
          </w:p>
        </w:tc>
        <w:tc>
          <w:tcPr>
            <w:tcW w:w="1361" w:type="dxa"/>
            <w:shd w:val="clear" w:color="auto" w:fill="auto"/>
            <w:vAlign w:val="center"/>
          </w:tcPr>
          <w:p w:rsidR="0050667A" w:rsidRPr="00D145FB" w:rsidRDefault="0050667A" w:rsidP="006A6C1D">
            <w:pPr>
              <w:rPr>
                <w:sz w:val="20"/>
              </w:rPr>
            </w:pPr>
            <w:r w:rsidRPr="00D145FB">
              <w:rPr>
                <w:sz w:val="20"/>
              </w:rPr>
              <w:t>183</w:t>
            </w:r>
          </w:p>
        </w:tc>
        <w:tc>
          <w:tcPr>
            <w:tcW w:w="1361" w:type="dxa"/>
            <w:shd w:val="clear" w:color="auto" w:fill="auto"/>
            <w:vAlign w:val="center"/>
          </w:tcPr>
          <w:p w:rsidR="0050667A" w:rsidRPr="00D145FB" w:rsidRDefault="0050667A" w:rsidP="006A6C1D">
            <w:pPr>
              <w:rPr>
                <w:sz w:val="20"/>
              </w:rPr>
            </w:pPr>
            <w:r w:rsidRPr="00D145FB">
              <w:rPr>
                <w:sz w:val="20"/>
              </w:rPr>
              <w:t>188</w:t>
            </w:r>
          </w:p>
        </w:tc>
      </w:tr>
      <w:tr w:rsidR="0050667A" w:rsidRPr="00D145FB" w:rsidTr="0050667A">
        <w:trPr>
          <w:cantSplit/>
        </w:trPr>
        <w:tc>
          <w:tcPr>
            <w:tcW w:w="2518" w:type="dxa"/>
            <w:shd w:val="clear" w:color="auto" w:fill="auto"/>
            <w:vAlign w:val="center"/>
          </w:tcPr>
          <w:p w:rsidR="0050667A" w:rsidRPr="00D145FB" w:rsidRDefault="0050667A" w:rsidP="006A6C1D">
            <w:pPr>
              <w:rPr>
                <w:sz w:val="20"/>
              </w:rPr>
            </w:pPr>
            <w:r w:rsidRPr="00D145FB">
              <w:rPr>
                <w:sz w:val="20"/>
              </w:rPr>
              <w:t>Биотехнологии</w:t>
            </w:r>
          </w:p>
        </w:tc>
        <w:tc>
          <w:tcPr>
            <w:tcW w:w="1360" w:type="dxa"/>
            <w:shd w:val="clear" w:color="auto" w:fill="auto"/>
            <w:vAlign w:val="center"/>
          </w:tcPr>
          <w:p w:rsidR="0050667A" w:rsidRPr="00D145FB" w:rsidRDefault="0050667A" w:rsidP="000328E4">
            <w:pPr>
              <w:keepNext/>
              <w:keepLines/>
              <w:rPr>
                <w:sz w:val="20"/>
              </w:rPr>
            </w:pPr>
            <w:r w:rsidRPr="00D145FB">
              <w:rPr>
                <w:sz w:val="20"/>
              </w:rPr>
              <w:t>153</w:t>
            </w:r>
          </w:p>
        </w:tc>
        <w:tc>
          <w:tcPr>
            <w:tcW w:w="1361" w:type="dxa"/>
            <w:shd w:val="clear" w:color="auto" w:fill="auto"/>
            <w:vAlign w:val="center"/>
          </w:tcPr>
          <w:p w:rsidR="0050667A" w:rsidRPr="00D145FB" w:rsidRDefault="0050667A" w:rsidP="006A6C1D">
            <w:pPr>
              <w:rPr>
                <w:sz w:val="20"/>
              </w:rPr>
            </w:pPr>
            <w:r w:rsidRPr="00D145FB">
              <w:rPr>
                <w:sz w:val="20"/>
              </w:rPr>
              <w:t>139</w:t>
            </w:r>
          </w:p>
        </w:tc>
        <w:tc>
          <w:tcPr>
            <w:tcW w:w="1361" w:type="dxa"/>
            <w:shd w:val="clear" w:color="auto" w:fill="auto"/>
            <w:vAlign w:val="center"/>
          </w:tcPr>
          <w:p w:rsidR="0050667A" w:rsidRPr="00D145FB" w:rsidRDefault="0050667A" w:rsidP="006A6C1D">
            <w:pPr>
              <w:rPr>
                <w:sz w:val="20"/>
              </w:rPr>
            </w:pPr>
            <w:r w:rsidRPr="00D145FB">
              <w:rPr>
                <w:sz w:val="20"/>
              </w:rPr>
              <w:t>145</w:t>
            </w:r>
          </w:p>
        </w:tc>
        <w:tc>
          <w:tcPr>
            <w:tcW w:w="1361" w:type="dxa"/>
            <w:shd w:val="clear" w:color="auto" w:fill="auto"/>
            <w:vAlign w:val="center"/>
          </w:tcPr>
          <w:p w:rsidR="0050667A" w:rsidRPr="00D145FB" w:rsidRDefault="0050667A" w:rsidP="006A6C1D">
            <w:pPr>
              <w:rPr>
                <w:sz w:val="20"/>
              </w:rPr>
            </w:pPr>
            <w:r w:rsidRPr="00D145FB">
              <w:rPr>
                <w:sz w:val="20"/>
              </w:rPr>
              <w:t>148</w:t>
            </w:r>
          </w:p>
        </w:tc>
        <w:tc>
          <w:tcPr>
            <w:tcW w:w="1361" w:type="dxa"/>
            <w:shd w:val="clear" w:color="auto" w:fill="auto"/>
            <w:vAlign w:val="center"/>
          </w:tcPr>
          <w:p w:rsidR="0050667A" w:rsidRPr="00D145FB" w:rsidRDefault="0050667A" w:rsidP="006A6C1D">
            <w:pPr>
              <w:rPr>
                <w:sz w:val="20"/>
              </w:rPr>
            </w:pPr>
            <w:r w:rsidRPr="00D145FB">
              <w:rPr>
                <w:sz w:val="20"/>
              </w:rPr>
              <w:t>159</w:t>
            </w:r>
          </w:p>
        </w:tc>
      </w:tr>
      <w:tr w:rsidR="0050667A" w:rsidRPr="00D145FB" w:rsidTr="0050667A">
        <w:trPr>
          <w:cantSplit/>
        </w:trPr>
        <w:tc>
          <w:tcPr>
            <w:tcW w:w="2518" w:type="dxa"/>
            <w:shd w:val="clear" w:color="auto" w:fill="auto"/>
            <w:vAlign w:val="center"/>
          </w:tcPr>
          <w:p w:rsidR="0050667A" w:rsidRPr="00D145FB" w:rsidRDefault="0050667A" w:rsidP="006A6C1D">
            <w:pPr>
              <w:rPr>
                <w:sz w:val="20"/>
              </w:rPr>
            </w:pPr>
            <w:r w:rsidRPr="00D145FB">
              <w:rPr>
                <w:sz w:val="20"/>
              </w:rPr>
              <w:t>Не назначено</w:t>
            </w:r>
          </w:p>
        </w:tc>
        <w:tc>
          <w:tcPr>
            <w:tcW w:w="1360" w:type="dxa"/>
            <w:shd w:val="clear" w:color="auto" w:fill="auto"/>
            <w:vAlign w:val="center"/>
          </w:tcPr>
          <w:p w:rsidR="0050667A" w:rsidRPr="00D145FB" w:rsidRDefault="0050667A" w:rsidP="000328E4">
            <w:pPr>
              <w:keepNext/>
              <w:keepLines/>
              <w:rPr>
                <w:sz w:val="20"/>
              </w:rPr>
            </w:pPr>
            <w:r w:rsidRPr="00D145FB">
              <w:rPr>
                <w:sz w:val="20"/>
              </w:rPr>
              <w:t>76</w:t>
            </w:r>
          </w:p>
        </w:tc>
        <w:tc>
          <w:tcPr>
            <w:tcW w:w="1361" w:type="dxa"/>
            <w:shd w:val="clear" w:color="auto" w:fill="auto"/>
            <w:vAlign w:val="center"/>
          </w:tcPr>
          <w:p w:rsidR="0050667A" w:rsidRPr="00D145FB" w:rsidRDefault="0050667A" w:rsidP="006A6C1D">
            <w:pPr>
              <w:rPr>
                <w:sz w:val="20"/>
              </w:rPr>
            </w:pPr>
            <w:r w:rsidRPr="00D145FB">
              <w:rPr>
                <w:sz w:val="20"/>
              </w:rPr>
              <w:t>82</w:t>
            </w:r>
          </w:p>
        </w:tc>
        <w:tc>
          <w:tcPr>
            <w:tcW w:w="1361" w:type="dxa"/>
            <w:shd w:val="clear" w:color="auto" w:fill="auto"/>
            <w:vAlign w:val="center"/>
          </w:tcPr>
          <w:p w:rsidR="0050667A" w:rsidRPr="00D145FB" w:rsidRDefault="0050667A" w:rsidP="006A6C1D">
            <w:pPr>
              <w:rPr>
                <w:sz w:val="20"/>
              </w:rPr>
            </w:pPr>
            <w:r w:rsidRPr="00D145FB">
              <w:rPr>
                <w:sz w:val="20"/>
              </w:rPr>
              <w:t>49</w:t>
            </w:r>
          </w:p>
        </w:tc>
        <w:tc>
          <w:tcPr>
            <w:tcW w:w="1361" w:type="dxa"/>
            <w:shd w:val="clear" w:color="auto" w:fill="auto"/>
            <w:vAlign w:val="center"/>
          </w:tcPr>
          <w:p w:rsidR="0050667A" w:rsidRPr="00D145FB" w:rsidRDefault="0050667A" w:rsidP="006A6C1D">
            <w:pPr>
              <w:rPr>
                <w:sz w:val="20"/>
              </w:rPr>
            </w:pPr>
            <w:r w:rsidRPr="00D145FB">
              <w:rPr>
                <w:sz w:val="20"/>
              </w:rPr>
              <w:t>22</w:t>
            </w:r>
          </w:p>
        </w:tc>
        <w:tc>
          <w:tcPr>
            <w:tcW w:w="1361" w:type="dxa"/>
            <w:shd w:val="clear" w:color="auto" w:fill="auto"/>
            <w:vAlign w:val="center"/>
          </w:tcPr>
          <w:p w:rsidR="0050667A" w:rsidRPr="00D145FB" w:rsidRDefault="0050667A" w:rsidP="006A6C1D">
            <w:pPr>
              <w:rPr>
                <w:sz w:val="20"/>
              </w:rPr>
            </w:pPr>
            <w:r w:rsidRPr="00D145FB">
              <w:rPr>
                <w:sz w:val="20"/>
              </w:rPr>
              <w:t>13</w:t>
            </w:r>
          </w:p>
        </w:tc>
      </w:tr>
      <w:tr w:rsidR="0050667A" w:rsidRPr="00D145FB" w:rsidTr="0050667A">
        <w:trPr>
          <w:cantSplit/>
        </w:trPr>
        <w:tc>
          <w:tcPr>
            <w:tcW w:w="2518" w:type="dxa"/>
            <w:shd w:val="clear" w:color="auto" w:fill="auto"/>
            <w:vAlign w:val="center"/>
          </w:tcPr>
          <w:p w:rsidR="0050667A" w:rsidRPr="00D145FB" w:rsidRDefault="0050667A" w:rsidP="006A6C1D">
            <w:pPr>
              <w:rPr>
                <w:i/>
                <w:sz w:val="20"/>
              </w:rPr>
            </w:pPr>
            <w:r w:rsidRPr="00D145FB">
              <w:rPr>
                <w:i/>
                <w:sz w:val="20"/>
              </w:rPr>
              <w:t>Всего</w:t>
            </w:r>
          </w:p>
        </w:tc>
        <w:tc>
          <w:tcPr>
            <w:tcW w:w="1360" w:type="dxa"/>
            <w:shd w:val="clear" w:color="auto" w:fill="auto"/>
            <w:vAlign w:val="center"/>
          </w:tcPr>
          <w:p w:rsidR="0050667A" w:rsidRPr="00D145FB" w:rsidRDefault="0050667A" w:rsidP="000328E4">
            <w:pPr>
              <w:keepNext/>
              <w:keepLines/>
              <w:rPr>
                <w:i/>
                <w:sz w:val="20"/>
              </w:rPr>
            </w:pPr>
            <w:r w:rsidRPr="00D145FB">
              <w:rPr>
                <w:i/>
                <w:sz w:val="20"/>
              </w:rPr>
              <w:t>2</w:t>
            </w:r>
            <w:r w:rsidR="00D05667">
              <w:rPr>
                <w:i/>
                <w:sz w:val="20"/>
              </w:rPr>
              <w:t xml:space="preserve"> </w:t>
            </w:r>
            <w:r w:rsidRPr="00D145FB">
              <w:rPr>
                <w:i/>
                <w:sz w:val="20"/>
              </w:rPr>
              <w:t>137</w:t>
            </w:r>
          </w:p>
        </w:tc>
        <w:tc>
          <w:tcPr>
            <w:tcW w:w="1361" w:type="dxa"/>
            <w:shd w:val="clear" w:color="auto" w:fill="auto"/>
            <w:vAlign w:val="center"/>
          </w:tcPr>
          <w:p w:rsidR="0050667A" w:rsidRPr="00D145FB" w:rsidRDefault="0050667A" w:rsidP="006A6C1D">
            <w:pPr>
              <w:rPr>
                <w:i/>
                <w:sz w:val="20"/>
              </w:rPr>
            </w:pPr>
            <w:r w:rsidRPr="00D145FB">
              <w:rPr>
                <w:i/>
                <w:sz w:val="20"/>
              </w:rPr>
              <w:t>2</w:t>
            </w:r>
            <w:r w:rsidR="00D05667">
              <w:rPr>
                <w:i/>
                <w:sz w:val="20"/>
              </w:rPr>
              <w:t xml:space="preserve"> </w:t>
            </w:r>
            <w:r w:rsidRPr="00D145FB">
              <w:rPr>
                <w:i/>
                <w:sz w:val="20"/>
              </w:rPr>
              <w:t>178</w:t>
            </w:r>
          </w:p>
        </w:tc>
        <w:tc>
          <w:tcPr>
            <w:tcW w:w="1361" w:type="dxa"/>
            <w:shd w:val="clear" w:color="auto" w:fill="auto"/>
            <w:vAlign w:val="center"/>
          </w:tcPr>
          <w:p w:rsidR="0050667A" w:rsidRPr="00D145FB" w:rsidRDefault="0050667A" w:rsidP="006A6C1D">
            <w:pPr>
              <w:rPr>
                <w:i/>
                <w:sz w:val="20"/>
              </w:rPr>
            </w:pPr>
            <w:r w:rsidRPr="00D145FB">
              <w:rPr>
                <w:i/>
                <w:sz w:val="20"/>
              </w:rPr>
              <w:t>2</w:t>
            </w:r>
            <w:r w:rsidR="00D05667">
              <w:rPr>
                <w:i/>
                <w:sz w:val="20"/>
              </w:rPr>
              <w:t xml:space="preserve"> </w:t>
            </w:r>
            <w:r w:rsidRPr="00D145FB">
              <w:rPr>
                <w:i/>
                <w:sz w:val="20"/>
              </w:rPr>
              <w:t>151</w:t>
            </w:r>
          </w:p>
        </w:tc>
        <w:tc>
          <w:tcPr>
            <w:tcW w:w="1361" w:type="dxa"/>
            <w:shd w:val="clear" w:color="auto" w:fill="auto"/>
            <w:vAlign w:val="center"/>
          </w:tcPr>
          <w:p w:rsidR="0050667A" w:rsidRPr="00D145FB" w:rsidRDefault="0050667A" w:rsidP="006A6C1D">
            <w:pPr>
              <w:rPr>
                <w:i/>
                <w:sz w:val="20"/>
              </w:rPr>
            </w:pPr>
            <w:r w:rsidRPr="00D145FB">
              <w:rPr>
                <w:i/>
                <w:sz w:val="20"/>
              </w:rPr>
              <w:t>1</w:t>
            </w:r>
            <w:r w:rsidR="00D05667">
              <w:rPr>
                <w:i/>
                <w:sz w:val="20"/>
              </w:rPr>
              <w:t xml:space="preserve"> </w:t>
            </w:r>
            <w:r w:rsidRPr="00D145FB">
              <w:rPr>
                <w:i/>
                <w:sz w:val="20"/>
              </w:rPr>
              <w:t>991</w:t>
            </w:r>
          </w:p>
        </w:tc>
        <w:tc>
          <w:tcPr>
            <w:tcW w:w="1361" w:type="dxa"/>
            <w:shd w:val="clear" w:color="auto" w:fill="auto"/>
            <w:vAlign w:val="center"/>
          </w:tcPr>
          <w:p w:rsidR="0050667A" w:rsidRPr="00D145FB" w:rsidRDefault="0050667A" w:rsidP="006A6C1D">
            <w:pPr>
              <w:rPr>
                <w:i/>
                <w:sz w:val="20"/>
              </w:rPr>
            </w:pPr>
            <w:r w:rsidRPr="00D145FB">
              <w:rPr>
                <w:i/>
                <w:sz w:val="20"/>
              </w:rPr>
              <w:t>1</w:t>
            </w:r>
            <w:r w:rsidR="00D05667">
              <w:rPr>
                <w:i/>
                <w:sz w:val="20"/>
              </w:rPr>
              <w:t xml:space="preserve"> </w:t>
            </w:r>
            <w:r w:rsidRPr="00D145FB">
              <w:rPr>
                <w:i/>
                <w:sz w:val="20"/>
              </w:rPr>
              <w:t>954</w:t>
            </w:r>
          </w:p>
        </w:tc>
      </w:tr>
      <w:tr w:rsidR="0050667A" w:rsidRPr="00D145FB" w:rsidTr="0050667A">
        <w:trPr>
          <w:cantSplit/>
        </w:trPr>
        <w:tc>
          <w:tcPr>
            <w:tcW w:w="9322" w:type="dxa"/>
            <w:gridSpan w:val="6"/>
            <w:shd w:val="clear" w:color="auto" w:fill="auto"/>
          </w:tcPr>
          <w:p w:rsidR="0050667A" w:rsidRPr="00D145FB" w:rsidRDefault="0050667A" w:rsidP="000328E4">
            <w:pPr>
              <w:keepNext/>
              <w:keepLines/>
              <w:rPr>
                <w:sz w:val="20"/>
              </w:rPr>
            </w:pPr>
          </w:p>
        </w:tc>
      </w:tr>
      <w:tr w:rsidR="0050667A" w:rsidRPr="00D145FB" w:rsidTr="0050667A">
        <w:trPr>
          <w:cantSplit/>
        </w:trPr>
        <w:tc>
          <w:tcPr>
            <w:tcW w:w="9322" w:type="dxa"/>
            <w:gridSpan w:val="6"/>
            <w:shd w:val="clear" w:color="auto" w:fill="auto"/>
          </w:tcPr>
          <w:p w:rsidR="0050667A" w:rsidRPr="00D145FB" w:rsidRDefault="0050667A" w:rsidP="000328E4">
            <w:pPr>
              <w:keepNext/>
              <w:keepLines/>
              <w:rPr>
                <w:sz w:val="20"/>
              </w:rPr>
            </w:pPr>
            <w:r w:rsidRPr="00D145FB">
              <w:rPr>
                <w:sz w:val="20"/>
              </w:rPr>
              <w:t>Международные заявки, запросы по главе I</w:t>
            </w:r>
          </w:p>
        </w:tc>
      </w:tr>
      <w:tr w:rsidR="0050667A" w:rsidRPr="00D145FB" w:rsidTr="0050667A">
        <w:trPr>
          <w:cantSplit/>
        </w:trPr>
        <w:tc>
          <w:tcPr>
            <w:tcW w:w="2518" w:type="dxa"/>
            <w:shd w:val="clear" w:color="auto" w:fill="auto"/>
          </w:tcPr>
          <w:p w:rsidR="0050667A" w:rsidRPr="00D145FB" w:rsidRDefault="0050667A" w:rsidP="006A6C1D">
            <w:pPr>
              <w:rPr>
                <w:i/>
                <w:sz w:val="20"/>
              </w:rPr>
            </w:pPr>
            <w:r w:rsidRPr="00D145FB">
              <w:rPr>
                <w:i/>
                <w:sz w:val="20"/>
              </w:rPr>
              <w:t xml:space="preserve">Всего </w:t>
            </w:r>
          </w:p>
        </w:tc>
        <w:tc>
          <w:tcPr>
            <w:tcW w:w="1360" w:type="dxa"/>
            <w:shd w:val="clear" w:color="auto" w:fill="auto"/>
            <w:vAlign w:val="center"/>
          </w:tcPr>
          <w:p w:rsidR="0050667A" w:rsidRPr="00D145FB" w:rsidRDefault="0050667A" w:rsidP="000328E4">
            <w:pPr>
              <w:keepNext/>
              <w:keepLines/>
              <w:rPr>
                <w:i/>
                <w:sz w:val="20"/>
              </w:rPr>
            </w:pPr>
            <w:r w:rsidRPr="00D145FB">
              <w:rPr>
                <w:i/>
                <w:sz w:val="20"/>
              </w:rPr>
              <w:t>258</w:t>
            </w:r>
          </w:p>
        </w:tc>
        <w:tc>
          <w:tcPr>
            <w:tcW w:w="1361" w:type="dxa"/>
            <w:shd w:val="clear" w:color="auto" w:fill="auto"/>
            <w:vAlign w:val="center"/>
          </w:tcPr>
          <w:p w:rsidR="0050667A" w:rsidRPr="00D145FB" w:rsidRDefault="0050667A" w:rsidP="006A6C1D">
            <w:pPr>
              <w:rPr>
                <w:i/>
                <w:sz w:val="20"/>
              </w:rPr>
            </w:pPr>
            <w:r w:rsidRPr="00D145FB">
              <w:rPr>
                <w:i/>
                <w:sz w:val="20"/>
              </w:rPr>
              <w:t>270</w:t>
            </w:r>
          </w:p>
        </w:tc>
        <w:tc>
          <w:tcPr>
            <w:tcW w:w="1361" w:type="dxa"/>
            <w:shd w:val="clear" w:color="auto" w:fill="auto"/>
            <w:vAlign w:val="center"/>
          </w:tcPr>
          <w:p w:rsidR="0050667A" w:rsidRPr="00D145FB" w:rsidRDefault="0050667A" w:rsidP="006A6C1D">
            <w:pPr>
              <w:rPr>
                <w:i/>
                <w:sz w:val="20"/>
              </w:rPr>
            </w:pPr>
            <w:r w:rsidRPr="00D145FB">
              <w:rPr>
                <w:i/>
                <w:sz w:val="20"/>
              </w:rPr>
              <w:t>257</w:t>
            </w:r>
          </w:p>
        </w:tc>
        <w:tc>
          <w:tcPr>
            <w:tcW w:w="1361" w:type="dxa"/>
            <w:shd w:val="clear" w:color="auto" w:fill="auto"/>
            <w:vAlign w:val="center"/>
          </w:tcPr>
          <w:p w:rsidR="0050667A" w:rsidRPr="00D145FB" w:rsidRDefault="0050667A" w:rsidP="006A6C1D">
            <w:pPr>
              <w:rPr>
                <w:i/>
                <w:sz w:val="20"/>
              </w:rPr>
            </w:pPr>
            <w:r w:rsidRPr="00D145FB">
              <w:rPr>
                <w:i/>
                <w:sz w:val="20"/>
              </w:rPr>
              <w:t>268</w:t>
            </w:r>
          </w:p>
        </w:tc>
        <w:tc>
          <w:tcPr>
            <w:tcW w:w="1361" w:type="dxa"/>
            <w:shd w:val="clear" w:color="auto" w:fill="auto"/>
          </w:tcPr>
          <w:p w:rsidR="0050667A" w:rsidRPr="00D145FB" w:rsidRDefault="0050667A" w:rsidP="006A6C1D">
            <w:pPr>
              <w:rPr>
                <w:i/>
                <w:sz w:val="20"/>
              </w:rPr>
            </w:pPr>
            <w:r w:rsidRPr="00D145FB">
              <w:rPr>
                <w:i/>
                <w:sz w:val="20"/>
              </w:rPr>
              <w:t>278</w:t>
            </w:r>
          </w:p>
        </w:tc>
      </w:tr>
    </w:tbl>
    <w:p w:rsidR="0050667A" w:rsidRPr="00465FD3" w:rsidRDefault="0050667A" w:rsidP="006A6C1D"/>
    <w:p w:rsidR="0050667A" w:rsidRPr="00465FD3" w:rsidRDefault="0050667A" w:rsidP="00530D24">
      <w:pPr>
        <w:pStyle w:val="Subsection"/>
      </w:pPr>
      <w:r w:rsidRPr="00465FD3">
        <w:t xml:space="preserve">Оперативность </w:t>
      </w:r>
      <w:r w:rsidR="00D145FB">
        <w:t>подготовки</w:t>
      </w:r>
      <w:r w:rsidRPr="00465FD3">
        <w:t xml:space="preserve"> ОМП и МП</w:t>
      </w:r>
      <w:r w:rsidR="00BB4043">
        <w:t>З</w:t>
      </w:r>
      <w:r w:rsidRPr="00465FD3">
        <w:t xml:space="preserve">П (процент своевременной </w:t>
      </w:r>
      <w:r w:rsidR="00D145FB">
        <w:t>подготовки</w:t>
      </w:r>
      <w:r w:rsidRPr="00465FD3">
        <w:t xml:space="preserve"> с учетом</w:t>
      </w:r>
      <w:r w:rsidR="00BB4043">
        <w:t xml:space="preserve"> положений</w:t>
      </w:r>
      <w:r w:rsidRPr="00465FD3">
        <w:t xml:space="preserve"> правил 42.1 и 69.2 соответственно)</w:t>
      </w:r>
    </w:p>
    <w:p w:rsidR="0050667A" w:rsidRPr="00465FD3" w:rsidRDefault="0050667A" w:rsidP="006A6C1D">
      <w:pPr>
        <w:rPr>
          <w:i/>
        </w:rPr>
      </w:pPr>
      <w:r w:rsidRPr="00465FD3">
        <w:rPr>
          <w:i/>
        </w:rPr>
        <w:t>Данные извлечены из внутренней базы CIPO InterApp, которая отличается от статистики ВОИС в связи с различиями между часовыми поясами и порядком экспорта CIPO.</w:t>
      </w:r>
    </w:p>
    <w:p w:rsidR="0050667A" w:rsidRPr="00465FD3" w:rsidRDefault="0050667A" w:rsidP="006A6C1D"/>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50667A" w:rsidRPr="00465FD3" w:rsidTr="0050667A">
        <w:trPr>
          <w:cantSplit/>
        </w:trPr>
        <w:tc>
          <w:tcPr>
            <w:tcW w:w="2518" w:type="dxa"/>
            <w:tcBorders>
              <w:tl2br w:val="single" w:sz="4" w:space="0" w:color="auto"/>
            </w:tcBorders>
            <w:shd w:val="clear" w:color="auto" w:fill="auto"/>
          </w:tcPr>
          <w:p w:rsidR="0050667A" w:rsidRPr="00465FD3" w:rsidRDefault="0050667A" w:rsidP="006A6C1D">
            <w:pPr>
              <w:rPr>
                <w:b/>
              </w:rPr>
            </w:pPr>
          </w:p>
          <w:p w:rsidR="0050667A" w:rsidRPr="00465FD3" w:rsidRDefault="0050667A" w:rsidP="006A6C1D">
            <w:pPr>
              <w:rPr>
                <w:b/>
              </w:rPr>
            </w:pPr>
            <w:r w:rsidRPr="00465FD3">
              <w:rPr>
                <w:b/>
              </w:rPr>
              <w:t>Год</w:t>
            </w:r>
          </w:p>
          <w:p w:rsidR="0050667A" w:rsidRPr="00465FD3" w:rsidRDefault="0050667A" w:rsidP="006A6C1D">
            <w:pPr>
              <w:rPr>
                <w:b/>
              </w:rPr>
            </w:pPr>
            <w:r w:rsidRPr="00465FD3">
              <w:rPr>
                <w:b/>
              </w:rPr>
              <w:t>Тип отчета</w:t>
            </w:r>
          </w:p>
        </w:tc>
        <w:tc>
          <w:tcPr>
            <w:tcW w:w="1360" w:type="dxa"/>
            <w:shd w:val="clear" w:color="auto" w:fill="auto"/>
            <w:vAlign w:val="center"/>
          </w:tcPr>
          <w:p w:rsidR="0050667A" w:rsidRPr="00465FD3" w:rsidRDefault="0050667A" w:rsidP="006A6C1D">
            <w:pPr>
              <w:rPr>
                <w:b/>
              </w:rPr>
            </w:pPr>
            <w:r w:rsidRPr="00465FD3">
              <w:rPr>
                <w:b/>
              </w:rPr>
              <w:t>2012</w:t>
            </w:r>
          </w:p>
        </w:tc>
        <w:tc>
          <w:tcPr>
            <w:tcW w:w="1361" w:type="dxa"/>
            <w:shd w:val="clear" w:color="auto" w:fill="auto"/>
            <w:vAlign w:val="center"/>
          </w:tcPr>
          <w:p w:rsidR="0050667A" w:rsidRPr="00465FD3" w:rsidRDefault="0050667A" w:rsidP="006A6C1D">
            <w:pPr>
              <w:rPr>
                <w:b/>
              </w:rPr>
            </w:pPr>
            <w:r w:rsidRPr="00465FD3">
              <w:rPr>
                <w:b/>
              </w:rPr>
              <w:t>2013</w:t>
            </w:r>
          </w:p>
        </w:tc>
        <w:tc>
          <w:tcPr>
            <w:tcW w:w="1361" w:type="dxa"/>
            <w:shd w:val="clear" w:color="auto" w:fill="auto"/>
            <w:vAlign w:val="center"/>
          </w:tcPr>
          <w:p w:rsidR="0050667A" w:rsidRPr="00465FD3" w:rsidRDefault="0050667A" w:rsidP="006A6C1D">
            <w:pPr>
              <w:rPr>
                <w:b/>
              </w:rPr>
            </w:pPr>
            <w:r w:rsidRPr="00465FD3">
              <w:rPr>
                <w:b/>
              </w:rPr>
              <w:t>2014</w:t>
            </w:r>
          </w:p>
        </w:tc>
        <w:tc>
          <w:tcPr>
            <w:tcW w:w="1361" w:type="dxa"/>
            <w:shd w:val="clear" w:color="auto" w:fill="auto"/>
            <w:vAlign w:val="center"/>
          </w:tcPr>
          <w:p w:rsidR="0050667A" w:rsidRPr="00465FD3" w:rsidRDefault="0050667A" w:rsidP="006A6C1D">
            <w:pPr>
              <w:rPr>
                <w:b/>
              </w:rPr>
            </w:pPr>
            <w:r w:rsidRPr="00465FD3">
              <w:rPr>
                <w:b/>
              </w:rPr>
              <w:t>2015</w:t>
            </w:r>
          </w:p>
        </w:tc>
        <w:tc>
          <w:tcPr>
            <w:tcW w:w="1361" w:type="dxa"/>
            <w:shd w:val="clear" w:color="auto" w:fill="auto"/>
            <w:vAlign w:val="center"/>
          </w:tcPr>
          <w:p w:rsidR="0050667A" w:rsidRPr="00465FD3" w:rsidRDefault="0050667A" w:rsidP="006A6C1D">
            <w:pPr>
              <w:rPr>
                <w:b/>
              </w:rPr>
            </w:pPr>
            <w:r w:rsidRPr="00465FD3">
              <w:rPr>
                <w:b/>
              </w:rPr>
              <w:t>2016</w:t>
            </w:r>
          </w:p>
        </w:tc>
      </w:tr>
      <w:tr w:rsidR="0050667A" w:rsidRPr="00465FD3" w:rsidTr="0050667A">
        <w:trPr>
          <w:cantSplit/>
        </w:trPr>
        <w:tc>
          <w:tcPr>
            <w:tcW w:w="9322" w:type="dxa"/>
            <w:gridSpan w:val="6"/>
            <w:shd w:val="clear" w:color="auto" w:fill="auto"/>
            <w:vAlign w:val="center"/>
          </w:tcPr>
          <w:p w:rsidR="0050667A" w:rsidRPr="00465FD3" w:rsidRDefault="0050667A" w:rsidP="006A6C1D">
            <w:r w:rsidRPr="00465FD3">
              <w:t>Отчеты о международном поиске и письменные сообщения</w:t>
            </w:r>
          </w:p>
        </w:tc>
      </w:tr>
      <w:tr w:rsidR="0050667A" w:rsidRPr="00465FD3" w:rsidTr="0050667A">
        <w:trPr>
          <w:cantSplit/>
          <w:trHeight w:val="449"/>
        </w:trPr>
        <w:tc>
          <w:tcPr>
            <w:tcW w:w="2518" w:type="dxa"/>
            <w:shd w:val="clear" w:color="auto" w:fill="auto"/>
            <w:vAlign w:val="center"/>
          </w:tcPr>
          <w:p w:rsidR="0050667A" w:rsidRPr="00465FD3" w:rsidRDefault="0050667A" w:rsidP="006A6C1D"/>
        </w:tc>
        <w:tc>
          <w:tcPr>
            <w:tcW w:w="1360" w:type="dxa"/>
            <w:shd w:val="clear" w:color="auto" w:fill="auto"/>
            <w:vAlign w:val="center"/>
          </w:tcPr>
          <w:p w:rsidR="0050667A" w:rsidRPr="00465FD3" w:rsidRDefault="0050667A" w:rsidP="006A6C1D">
            <w:r w:rsidRPr="00465FD3">
              <w:t>92%</w:t>
            </w:r>
          </w:p>
        </w:tc>
        <w:tc>
          <w:tcPr>
            <w:tcW w:w="1361" w:type="dxa"/>
            <w:shd w:val="clear" w:color="auto" w:fill="auto"/>
            <w:vAlign w:val="center"/>
          </w:tcPr>
          <w:p w:rsidR="0050667A" w:rsidRPr="00465FD3" w:rsidRDefault="0050667A" w:rsidP="006A6C1D">
            <w:r w:rsidRPr="00465FD3">
              <w:t>94%</w:t>
            </w:r>
          </w:p>
        </w:tc>
        <w:tc>
          <w:tcPr>
            <w:tcW w:w="1361" w:type="dxa"/>
            <w:shd w:val="clear" w:color="auto" w:fill="auto"/>
            <w:vAlign w:val="center"/>
          </w:tcPr>
          <w:p w:rsidR="0050667A" w:rsidRPr="00465FD3" w:rsidRDefault="0050667A" w:rsidP="006A6C1D">
            <w:r w:rsidRPr="00465FD3">
              <w:t>94%</w:t>
            </w:r>
          </w:p>
        </w:tc>
        <w:tc>
          <w:tcPr>
            <w:tcW w:w="1361" w:type="dxa"/>
            <w:shd w:val="clear" w:color="auto" w:fill="auto"/>
            <w:vAlign w:val="center"/>
          </w:tcPr>
          <w:p w:rsidR="0050667A" w:rsidRPr="00465FD3" w:rsidRDefault="0050667A" w:rsidP="006A6C1D">
            <w:r w:rsidRPr="00465FD3">
              <w:t>95%</w:t>
            </w:r>
          </w:p>
        </w:tc>
        <w:tc>
          <w:tcPr>
            <w:tcW w:w="1361" w:type="dxa"/>
            <w:shd w:val="clear" w:color="auto" w:fill="auto"/>
            <w:vAlign w:val="center"/>
          </w:tcPr>
          <w:p w:rsidR="0050667A" w:rsidRPr="00465FD3" w:rsidRDefault="0050667A" w:rsidP="006A6C1D">
            <w:r w:rsidRPr="00465FD3">
              <w:t>96%</w:t>
            </w:r>
          </w:p>
        </w:tc>
      </w:tr>
      <w:tr w:rsidR="0050667A" w:rsidRPr="00465FD3" w:rsidTr="0050667A">
        <w:trPr>
          <w:cantSplit/>
        </w:trPr>
        <w:tc>
          <w:tcPr>
            <w:tcW w:w="9322" w:type="dxa"/>
            <w:gridSpan w:val="6"/>
            <w:shd w:val="clear" w:color="auto" w:fill="auto"/>
          </w:tcPr>
          <w:p w:rsidR="0050667A" w:rsidRPr="00465FD3" w:rsidRDefault="0050667A" w:rsidP="006A6C1D"/>
        </w:tc>
      </w:tr>
      <w:tr w:rsidR="0050667A" w:rsidRPr="00465FD3" w:rsidTr="0050667A">
        <w:trPr>
          <w:cantSplit/>
        </w:trPr>
        <w:tc>
          <w:tcPr>
            <w:tcW w:w="9322" w:type="dxa"/>
            <w:gridSpan w:val="6"/>
            <w:shd w:val="clear" w:color="auto" w:fill="auto"/>
          </w:tcPr>
          <w:p w:rsidR="0050667A" w:rsidRPr="00465FD3" w:rsidRDefault="0050667A" w:rsidP="00A90405">
            <w:r w:rsidRPr="00465FD3">
              <w:t xml:space="preserve">Международные предварительные </w:t>
            </w:r>
            <w:r w:rsidR="00A90405">
              <w:t>заключения</w:t>
            </w:r>
            <w:r w:rsidRPr="00465FD3">
              <w:t xml:space="preserve"> о патентоспособности</w:t>
            </w:r>
          </w:p>
        </w:tc>
      </w:tr>
      <w:tr w:rsidR="0050667A" w:rsidRPr="00465FD3" w:rsidTr="0050667A">
        <w:trPr>
          <w:cantSplit/>
          <w:trHeight w:val="386"/>
        </w:trPr>
        <w:tc>
          <w:tcPr>
            <w:tcW w:w="2518" w:type="dxa"/>
            <w:shd w:val="clear" w:color="auto" w:fill="auto"/>
          </w:tcPr>
          <w:p w:rsidR="0050667A" w:rsidRPr="00465FD3" w:rsidRDefault="0050667A" w:rsidP="006A6C1D"/>
        </w:tc>
        <w:tc>
          <w:tcPr>
            <w:tcW w:w="1360" w:type="dxa"/>
            <w:shd w:val="clear" w:color="auto" w:fill="auto"/>
            <w:vAlign w:val="center"/>
          </w:tcPr>
          <w:p w:rsidR="0050667A" w:rsidRPr="00465FD3" w:rsidRDefault="0050667A" w:rsidP="006A6C1D">
            <w:r w:rsidRPr="00465FD3">
              <w:t>94%</w:t>
            </w:r>
          </w:p>
        </w:tc>
        <w:tc>
          <w:tcPr>
            <w:tcW w:w="1361" w:type="dxa"/>
            <w:shd w:val="clear" w:color="auto" w:fill="auto"/>
            <w:vAlign w:val="center"/>
          </w:tcPr>
          <w:p w:rsidR="0050667A" w:rsidRPr="00465FD3" w:rsidRDefault="0050667A" w:rsidP="006A6C1D">
            <w:r w:rsidRPr="00465FD3">
              <w:t>95%</w:t>
            </w:r>
          </w:p>
        </w:tc>
        <w:tc>
          <w:tcPr>
            <w:tcW w:w="1361" w:type="dxa"/>
            <w:shd w:val="clear" w:color="auto" w:fill="auto"/>
            <w:vAlign w:val="center"/>
          </w:tcPr>
          <w:p w:rsidR="0050667A" w:rsidRPr="00465FD3" w:rsidRDefault="0050667A" w:rsidP="006A6C1D">
            <w:r w:rsidRPr="00465FD3">
              <w:t>95%</w:t>
            </w:r>
          </w:p>
        </w:tc>
        <w:tc>
          <w:tcPr>
            <w:tcW w:w="1361" w:type="dxa"/>
            <w:shd w:val="clear" w:color="auto" w:fill="auto"/>
            <w:vAlign w:val="center"/>
          </w:tcPr>
          <w:p w:rsidR="0050667A" w:rsidRPr="00465FD3" w:rsidRDefault="0050667A" w:rsidP="006A6C1D">
            <w:r w:rsidRPr="00465FD3">
              <w:t>94%</w:t>
            </w:r>
          </w:p>
        </w:tc>
        <w:tc>
          <w:tcPr>
            <w:tcW w:w="1361" w:type="dxa"/>
            <w:shd w:val="clear" w:color="auto" w:fill="auto"/>
            <w:vAlign w:val="center"/>
          </w:tcPr>
          <w:p w:rsidR="0050667A" w:rsidRPr="00465FD3" w:rsidRDefault="0050667A" w:rsidP="006A6C1D">
            <w:r w:rsidRPr="00465FD3">
              <w:t>98%</w:t>
            </w:r>
          </w:p>
        </w:tc>
      </w:tr>
    </w:tbl>
    <w:p w:rsidR="0050667A" w:rsidRPr="00465FD3" w:rsidRDefault="0050667A" w:rsidP="006A6C1D"/>
    <w:p w:rsidR="0050667A" w:rsidRPr="00465FD3" w:rsidRDefault="0050667A" w:rsidP="00530D24">
      <w:pPr>
        <w:pStyle w:val="Subsection"/>
      </w:pPr>
      <w:r w:rsidRPr="00465FD3">
        <w:t>Количество полученных национальных заявок в разбивке по областям техники</w:t>
      </w:r>
    </w:p>
    <w:p w:rsidR="0050667A" w:rsidRPr="00465FD3" w:rsidRDefault="0050667A" w:rsidP="00530D24">
      <w:pPr>
        <w:keepNext/>
        <w:keepLines/>
        <w:rPr>
          <w:i/>
        </w:rPr>
      </w:pPr>
      <w:r w:rsidRPr="00465FD3">
        <w:rPr>
          <w:i/>
        </w:rPr>
        <w:t xml:space="preserve">Цифры получены из внутренней базы данных CIPO TechSource и приводятся в соответствии </w:t>
      </w:r>
      <w:r w:rsidR="00D145FB">
        <w:rPr>
          <w:i/>
        </w:rPr>
        <w:t xml:space="preserve">обозначениями в </w:t>
      </w:r>
      <w:r w:rsidRPr="00465FD3">
        <w:rPr>
          <w:i/>
        </w:rPr>
        <w:t xml:space="preserve">Международной патентной классификации и </w:t>
      </w:r>
      <w:r w:rsidR="00D145FB">
        <w:rPr>
          <w:i/>
        </w:rPr>
        <w:t xml:space="preserve">в зависимости от того, </w:t>
      </w:r>
      <w:r w:rsidRPr="00465FD3">
        <w:rPr>
          <w:i/>
        </w:rPr>
        <w:t>какое подразделение в CIPO проводит экспертизу соответствующей подгруппы.</w:t>
      </w:r>
    </w:p>
    <w:p w:rsidR="0050667A" w:rsidRPr="000328E4" w:rsidRDefault="0050667A" w:rsidP="00530D24">
      <w:pPr>
        <w:keepNex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50667A" w:rsidRPr="00465FD3" w:rsidTr="0050667A">
        <w:trPr>
          <w:cantSplit/>
        </w:trPr>
        <w:tc>
          <w:tcPr>
            <w:tcW w:w="2518" w:type="dxa"/>
            <w:tcBorders>
              <w:tl2br w:val="single" w:sz="4" w:space="0" w:color="auto"/>
            </w:tcBorders>
            <w:shd w:val="clear" w:color="auto" w:fill="auto"/>
          </w:tcPr>
          <w:p w:rsidR="0050667A" w:rsidRPr="00465FD3" w:rsidRDefault="0050667A" w:rsidP="00530D24">
            <w:pPr>
              <w:keepNext/>
              <w:keepLines/>
              <w:rPr>
                <w:b/>
                <w:sz w:val="20"/>
              </w:rPr>
            </w:pPr>
          </w:p>
          <w:p w:rsidR="0050667A" w:rsidRPr="00465FD3" w:rsidRDefault="0050667A" w:rsidP="00530D24">
            <w:pPr>
              <w:keepNext/>
              <w:keepLines/>
              <w:rPr>
                <w:b/>
                <w:sz w:val="20"/>
              </w:rPr>
            </w:pPr>
            <w:r w:rsidRPr="00465FD3">
              <w:rPr>
                <w:b/>
                <w:sz w:val="20"/>
              </w:rPr>
              <w:t>Год</w:t>
            </w:r>
          </w:p>
          <w:p w:rsidR="0050667A" w:rsidRPr="00465FD3" w:rsidRDefault="0050667A" w:rsidP="00530D24">
            <w:pPr>
              <w:keepNext/>
              <w:keepLines/>
              <w:rPr>
                <w:b/>
                <w:sz w:val="20"/>
              </w:rPr>
            </w:pPr>
            <w:r w:rsidRPr="00465FD3">
              <w:rPr>
                <w:b/>
                <w:sz w:val="20"/>
              </w:rPr>
              <w:t>Область техники</w:t>
            </w:r>
          </w:p>
        </w:tc>
        <w:tc>
          <w:tcPr>
            <w:tcW w:w="1360" w:type="dxa"/>
            <w:shd w:val="clear" w:color="auto" w:fill="auto"/>
            <w:vAlign w:val="center"/>
          </w:tcPr>
          <w:p w:rsidR="0050667A" w:rsidRPr="00465FD3" w:rsidRDefault="0050667A" w:rsidP="00530D24">
            <w:pPr>
              <w:keepNext/>
              <w:keepLines/>
              <w:rPr>
                <w:b/>
                <w:sz w:val="20"/>
              </w:rPr>
            </w:pPr>
            <w:r w:rsidRPr="00465FD3">
              <w:rPr>
                <w:b/>
                <w:sz w:val="20"/>
              </w:rPr>
              <w:t>2011–2012 гг.</w:t>
            </w:r>
          </w:p>
        </w:tc>
        <w:tc>
          <w:tcPr>
            <w:tcW w:w="1361" w:type="dxa"/>
            <w:shd w:val="clear" w:color="auto" w:fill="auto"/>
            <w:vAlign w:val="center"/>
          </w:tcPr>
          <w:p w:rsidR="0050667A" w:rsidRPr="00465FD3" w:rsidRDefault="0050667A" w:rsidP="00530D24">
            <w:pPr>
              <w:keepNext/>
              <w:keepLines/>
              <w:rPr>
                <w:b/>
                <w:sz w:val="20"/>
              </w:rPr>
            </w:pPr>
            <w:r w:rsidRPr="00465FD3">
              <w:rPr>
                <w:b/>
                <w:sz w:val="20"/>
              </w:rPr>
              <w:t>2012–2013 гг.</w:t>
            </w:r>
          </w:p>
        </w:tc>
        <w:tc>
          <w:tcPr>
            <w:tcW w:w="1361" w:type="dxa"/>
            <w:shd w:val="clear" w:color="auto" w:fill="auto"/>
            <w:vAlign w:val="center"/>
          </w:tcPr>
          <w:p w:rsidR="0050667A" w:rsidRPr="00465FD3" w:rsidRDefault="0050667A" w:rsidP="00530D24">
            <w:pPr>
              <w:keepNext/>
              <w:keepLines/>
              <w:rPr>
                <w:b/>
                <w:sz w:val="20"/>
              </w:rPr>
            </w:pPr>
            <w:r w:rsidRPr="00465FD3">
              <w:rPr>
                <w:b/>
                <w:sz w:val="20"/>
              </w:rPr>
              <w:t>2013–2014 гг.</w:t>
            </w:r>
          </w:p>
        </w:tc>
        <w:tc>
          <w:tcPr>
            <w:tcW w:w="1361" w:type="dxa"/>
            <w:shd w:val="clear" w:color="auto" w:fill="auto"/>
            <w:vAlign w:val="center"/>
          </w:tcPr>
          <w:p w:rsidR="0050667A" w:rsidRPr="00465FD3" w:rsidRDefault="0050667A" w:rsidP="00530D24">
            <w:pPr>
              <w:keepNext/>
              <w:keepLines/>
              <w:rPr>
                <w:b/>
                <w:sz w:val="20"/>
              </w:rPr>
            </w:pPr>
            <w:r w:rsidRPr="00465FD3">
              <w:rPr>
                <w:b/>
                <w:sz w:val="20"/>
              </w:rPr>
              <w:t>2014–2015 гг.</w:t>
            </w:r>
          </w:p>
        </w:tc>
        <w:tc>
          <w:tcPr>
            <w:tcW w:w="1361" w:type="dxa"/>
            <w:shd w:val="clear" w:color="auto" w:fill="auto"/>
            <w:vAlign w:val="center"/>
          </w:tcPr>
          <w:p w:rsidR="0050667A" w:rsidRPr="00465FD3" w:rsidRDefault="0050667A" w:rsidP="00530D24">
            <w:pPr>
              <w:keepNext/>
              <w:keepLines/>
              <w:rPr>
                <w:b/>
                <w:sz w:val="20"/>
              </w:rPr>
            </w:pPr>
            <w:r w:rsidRPr="00465FD3">
              <w:rPr>
                <w:b/>
                <w:sz w:val="20"/>
              </w:rPr>
              <w:t>2015–2016 гг.</w:t>
            </w:r>
          </w:p>
        </w:tc>
      </w:tr>
      <w:tr w:rsidR="0050667A" w:rsidRPr="00465FD3" w:rsidTr="0050667A">
        <w:trPr>
          <w:cantSplit/>
        </w:trPr>
        <w:tc>
          <w:tcPr>
            <w:tcW w:w="2518" w:type="dxa"/>
            <w:shd w:val="clear" w:color="auto" w:fill="auto"/>
          </w:tcPr>
          <w:p w:rsidR="0050667A" w:rsidRPr="00465FD3" w:rsidRDefault="0050667A" w:rsidP="00530D24">
            <w:pPr>
              <w:keepNext/>
              <w:keepLines/>
              <w:rPr>
                <w:sz w:val="20"/>
              </w:rPr>
            </w:pPr>
            <w:r w:rsidRPr="00465FD3">
              <w:rPr>
                <w:sz w:val="20"/>
              </w:rPr>
              <w:t>Механика</w:t>
            </w:r>
          </w:p>
        </w:tc>
        <w:tc>
          <w:tcPr>
            <w:tcW w:w="1360" w:type="dxa"/>
            <w:shd w:val="clear" w:color="auto" w:fill="auto"/>
            <w:vAlign w:val="center"/>
          </w:tcPr>
          <w:p w:rsidR="0050667A" w:rsidRPr="00465FD3" w:rsidRDefault="0050667A" w:rsidP="00530D24">
            <w:pPr>
              <w:keepNext/>
              <w:keepLines/>
              <w:rPr>
                <w:sz w:val="20"/>
              </w:rPr>
            </w:pPr>
            <w:r w:rsidRPr="00465FD3">
              <w:rPr>
                <w:sz w:val="20"/>
              </w:rPr>
              <w:t>10 043</w:t>
            </w:r>
          </w:p>
        </w:tc>
        <w:tc>
          <w:tcPr>
            <w:tcW w:w="1361" w:type="dxa"/>
            <w:shd w:val="clear" w:color="auto" w:fill="auto"/>
            <w:vAlign w:val="center"/>
          </w:tcPr>
          <w:p w:rsidR="0050667A" w:rsidRPr="00465FD3" w:rsidRDefault="0050667A" w:rsidP="00530D24">
            <w:pPr>
              <w:keepNext/>
              <w:keepLines/>
              <w:rPr>
                <w:sz w:val="20"/>
              </w:rPr>
            </w:pPr>
            <w:r w:rsidRPr="00465FD3">
              <w:rPr>
                <w:sz w:val="20"/>
              </w:rPr>
              <w:t>10 916</w:t>
            </w:r>
          </w:p>
        </w:tc>
        <w:tc>
          <w:tcPr>
            <w:tcW w:w="1361" w:type="dxa"/>
            <w:shd w:val="clear" w:color="auto" w:fill="auto"/>
            <w:vAlign w:val="center"/>
          </w:tcPr>
          <w:p w:rsidR="0050667A" w:rsidRPr="00465FD3" w:rsidRDefault="0050667A" w:rsidP="00530D24">
            <w:pPr>
              <w:keepNext/>
              <w:keepLines/>
              <w:rPr>
                <w:sz w:val="20"/>
              </w:rPr>
            </w:pPr>
            <w:r w:rsidRPr="00465FD3">
              <w:rPr>
                <w:sz w:val="20"/>
              </w:rPr>
              <w:t>10 845</w:t>
            </w:r>
          </w:p>
        </w:tc>
        <w:tc>
          <w:tcPr>
            <w:tcW w:w="1361" w:type="dxa"/>
            <w:shd w:val="clear" w:color="auto" w:fill="auto"/>
            <w:vAlign w:val="center"/>
          </w:tcPr>
          <w:p w:rsidR="0050667A" w:rsidRPr="00465FD3" w:rsidRDefault="0050667A" w:rsidP="00530D24">
            <w:pPr>
              <w:keepNext/>
              <w:keepLines/>
              <w:rPr>
                <w:sz w:val="20"/>
              </w:rPr>
            </w:pPr>
            <w:r w:rsidRPr="00465FD3">
              <w:rPr>
                <w:sz w:val="20"/>
              </w:rPr>
              <w:t>11 253</w:t>
            </w:r>
          </w:p>
        </w:tc>
        <w:tc>
          <w:tcPr>
            <w:tcW w:w="1361" w:type="dxa"/>
            <w:shd w:val="clear" w:color="auto" w:fill="auto"/>
            <w:vAlign w:val="center"/>
          </w:tcPr>
          <w:p w:rsidR="0050667A" w:rsidRPr="00465FD3" w:rsidRDefault="0050667A" w:rsidP="00530D24">
            <w:pPr>
              <w:keepNext/>
              <w:keepLines/>
              <w:rPr>
                <w:sz w:val="20"/>
              </w:rPr>
            </w:pPr>
            <w:r w:rsidRPr="00465FD3">
              <w:rPr>
                <w:sz w:val="20"/>
              </w:rPr>
              <w:t>13 615</w:t>
            </w:r>
          </w:p>
        </w:tc>
      </w:tr>
      <w:tr w:rsidR="0050667A" w:rsidRPr="00465FD3" w:rsidTr="0050667A">
        <w:trPr>
          <w:cantSplit/>
        </w:trPr>
        <w:tc>
          <w:tcPr>
            <w:tcW w:w="2518" w:type="dxa"/>
            <w:shd w:val="clear" w:color="auto" w:fill="auto"/>
          </w:tcPr>
          <w:p w:rsidR="0050667A" w:rsidRPr="00465FD3" w:rsidRDefault="0050667A" w:rsidP="00530D24">
            <w:pPr>
              <w:keepNext/>
              <w:keepLines/>
              <w:rPr>
                <w:sz w:val="20"/>
              </w:rPr>
            </w:pPr>
            <w:r w:rsidRPr="00465FD3">
              <w:rPr>
                <w:sz w:val="20"/>
              </w:rPr>
              <w:t>Электричество</w:t>
            </w:r>
          </w:p>
        </w:tc>
        <w:tc>
          <w:tcPr>
            <w:tcW w:w="1360" w:type="dxa"/>
            <w:shd w:val="clear" w:color="auto" w:fill="auto"/>
            <w:vAlign w:val="center"/>
          </w:tcPr>
          <w:p w:rsidR="0050667A" w:rsidRPr="00465FD3" w:rsidRDefault="0050667A" w:rsidP="00530D24">
            <w:pPr>
              <w:keepNext/>
              <w:keepLines/>
              <w:rPr>
                <w:sz w:val="20"/>
              </w:rPr>
            </w:pPr>
          </w:p>
        </w:tc>
        <w:tc>
          <w:tcPr>
            <w:tcW w:w="1361" w:type="dxa"/>
            <w:shd w:val="clear" w:color="auto" w:fill="auto"/>
            <w:vAlign w:val="center"/>
          </w:tcPr>
          <w:p w:rsidR="0050667A" w:rsidRPr="00465FD3" w:rsidRDefault="0050667A" w:rsidP="00530D24">
            <w:pPr>
              <w:keepNext/>
              <w:keepLines/>
              <w:rPr>
                <w:sz w:val="20"/>
              </w:rPr>
            </w:pPr>
          </w:p>
        </w:tc>
        <w:tc>
          <w:tcPr>
            <w:tcW w:w="1361" w:type="dxa"/>
            <w:shd w:val="clear" w:color="auto" w:fill="auto"/>
            <w:vAlign w:val="center"/>
          </w:tcPr>
          <w:p w:rsidR="0050667A" w:rsidRPr="00465FD3" w:rsidRDefault="0050667A" w:rsidP="00530D24">
            <w:pPr>
              <w:keepNext/>
              <w:keepLines/>
              <w:rPr>
                <w:sz w:val="20"/>
              </w:rPr>
            </w:pPr>
          </w:p>
        </w:tc>
        <w:tc>
          <w:tcPr>
            <w:tcW w:w="1361" w:type="dxa"/>
            <w:shd w:val="clear" w:color="auto" w:fill="auto"/>
            <w:vAlign w:val="center"/>
          </w:tcPr>
          <w:p w:rsidR="0050667A" w:rsidRPr="00465FD3" w:rsidRDefault="0050667A" w:rsidP="00530D24">
            <w:pPr>
              <w:keepNext/>
              <w:keepLines/>
              <w:rPr>
                <w:sz w:val="20"/>
              </w:rPr>
            </w:pPr>
          </w:p>
        </w:tc>
        <w:tc>
          <w:tcPr>
            <w:tcW w:w="1361" w:type="dxa"/>
            <w:shd w:val="clear" w:color="auto" w:fill="auto"/>
            <w:vAlign w:val="center"/>
          </w:tcPr>
          <w:p w:rsidR="0050667A" w:rsidRPr="00465FD3" w:rsidRDefault="0050667A" w:rsidP="00530D24">
            <w:pPr>
              <w:keepNext/>
              <w:keepLines/>
              <w:rPr>
                <w:sz w:val="20"/>
              </w:rPr>
            </w:pPr>
          </w:p>
        </w:tc>
      </w:tr>
      <w:tr w:rsidR="0050667A" w:rsidRPr="00465FD3" w:rsidTr="0050667A">
        <w:trPr>
          <w:cantSplit/>
        </w:trPr>
        <w:tc>
          <w:tcPr>
            <w:tcW w:w="2518" w:type="dxa"/>
            <w:shd w:val="clear" w:color="auto" w:fill="auto"/>
          </w:tcPr>
          <w:p w:rsidR="0050667A" w:rsidRPr="00465FD3" w:rsidRDefault="0050667A" w:rsidP="00530D24">
            <w:pPr>
              <w:keepNext/>
              <w:keepLines/>
              <w:rPr>
                <w:sz w:val="20"/>
              </w:rPr>
            </w:pPr>
            <w:r w:rsidRPr="00465FD3">
              <w:rPr>
                <w:sz w:val="20"/>
              </w:rPr>
              <w:t xml:space="preserve">   Компьютеры</w:t>
            </w:r>
          </w:p>
        </w:tc>
        <w:tc>
          <w:tcPr>
            <w:tcW w:w="1360" w:type="dxa"/>
            <w:shd w:val="clear" w:color="auto" w:fill="auto"/>
            <w:vAlign w:val="center"/>
          </w:tcPr>
          <w:p w:rsidR="0050667A" w:rsidRPr="00465FD3" w:rsidRDefault="0050667A" w:rsidP="00530D24">
            <w:pPr>
              <w:keepNext/>
              <w:keepLines/>
              <w:rPr>
                <w:sz w:val="20"/>
              </w:rPr>
            </w:pPr>
            <w:r w:rsidRPr="00465FD3">
              <w:rPr>
                <w:sz w:val="20"/>
              </w:rPr>
              <w:t>5</w:t>
            </w:r>
            <w:r w:rsidR="00D05667">
              <w:rPr>
                <w:sz w:val="20"/>
              </w:rPr>
              <w:t xml:space="preserve"> </w:t>
            </w:r>
            <w:r w:rsidRPr="00465FD3">
              <w:rPr>
                <w:sz w:val="20"/>
              </w:rPr>
              <w:t>786</w:t>
            </w:r>
          </w:p>
        </w:tc>
        <w:tc>
          <w:tcPr>
            <w:tcW w:w="1361" w:type="dxa"/>
            <w:shd w:val="clear" w:color="auto" w:fill="auto"/>
            <w:vAlign w:val="center"/>
          </w:tcPr>
          <w:p w:rsidR="0050667A" w:rsidRPr="00465FD3" w:rsidRDefault="0050667A" w:rsidP="00530D24">
            <w:pPr>
              <w:keepNext/>
              <w:keepLines/>
              <w:rPr>
                <w:sz w:val="20"/>
              </w:rPr>
            </w:pPr>
            <w:r w:rsidRPr="00465FD3">
              <w:rPr>
                <w:sz w:val="20"/>
              </w:rPr>
              <w:t>5</w:t>
            </w:r>
            <w:r w:rsidR="00D05667">
              <w:rPr>
                <w:sz w:val="20"/>
              </w:rPr>
              <w:t xml:space="preserve"> </w:t>
            </w:r>
            <w:r w:rsidRPr="00465FD3">
              <w:rPr>
                <w:sz w:val="20"/>
              </w:rPr>
              <w:t>973</w:t>
            </w:r>
          </w:p>
        </w:tc>
        <w:tc>
          <w:tcPr>
            <w:tcW w:w="1361" w:type="dxa"/>
            <w:shd w:val="clear" w:color="auto" w:fill="auto"/>
            <w:vAlign w:val="center"/>
          </w:tcPr>
          <w:p w:rsidR="0050667A" w:rsidRPr="00465FD3" w:rsidRDefault="0050667A" w:rsidP="00530D24">
            <w:pPr>
              <w:keepNext/>
              <w:keepLines/>
              <w:rPr>
                <w:sz w:val="20"/>
              </w:rPr>
            </w:pPr>
            <w:r w:rsidRPr="00465FD3">
              <w:rPr>
                <w:sz w:val="20"/>
              </w:rPr>
              <w:t>6</w:t>
            </w:r>
            <w:r w:rsidR="00D05667">
              <w:rPr>
                <w:sz w:val="20"/>
              </w:rPr>
              <w:t xml:space="preserve"> </w:t>
            </w:r>
            <w:r w:rsidRPr="00465FD3">
              <w:rPr>
                <w:sz w:val="20"/>
              </w:rPr>
              <w:t>018</w:t>
            </w:r>
          </w:p>
        </w:tc>
        <w:tc>
          <w:tcPr>
            <w:tcW w:w="1361" w:type="dxa"/>
            <w:shd w:val="clear" w:color="auto" w:fill="auto"/>
            <w:vAlign w:val="center"/>
          </w:tcPr>
          <w:p w:rsidR="0050667A" w:rsidRPr="00465FD3" w:rsidRDefault="0050667A" w:rsidP="00530D24">
            <w:pPr>
              <w:keepNext/>
              <w:keepLines/>
              <w:rPr>
                <w:sz w:val="20"/>
              </w:rPr>
            </w:pPr>
            <w:r w:rsidRPr="00465FD3">
              <w:rPr>
                <w:sz w:val="20"/>
              </w:rPr>
              <w:t>5</w:t>
            </w:r>
            <w:r w:rsidR="00D05667">
              <w:rPr>
                <w:sz w:val="20"/>
              </w:rPr>
              <w:t xml:space="preserve"> </w:t>
            </w:r>
            <w:r w:rsidRPr="00465FD3">
              <w:rPr>
                <w:sz w:val="20"/>
              </w:rPr>
              <w:t>433</w:t>
            </w:r>
          </w:p>
        </w:tc>
        <w:tc>
          <w:tcPr>
            <w:tcW w:w="1361" w:type="dxa"/>
            <w:shd w:val="clear" w:color="auto" w:fill="auto"/>
            <w:vAlign w:val="center"/>
          </w:tcPr>
          <w:p w:rsidR="0050667A" w:rsidRPr="00465FD3" w:rsidRDefault="0050667A" w:rsidP="00530D24">
            <w:pPr>
              <w:keepNext/>
              <w:keepLines/>
              <w:rPr>
                <w:sz w:val="20"/>
              </w:rPr>
            </w:pPr>
            <w:r w:rsidRPr="00465FD3">
              <w:rPr>
                <w:sz w:val="20"/>
              </w:rPr>
              <w:t>5</w:t>
            </w:r>
            <w:r w:rsidR="00D05667">
              <w:rPr>
                <w:sz w:val="20"/>
              </w:rPr>
              <w:t xml:space="preserve"> </w:t>
            </w:r>
            <w:r w:rsidRPr="00465FD3">
              <w:rPr>
                <w:sz w:val="20"/>
              </w:rPr>
              <w:t>848</w:t>
            </w:r>
          </w:p>
        </w:tc>
      </w:tr>
      <w:tr w:rsidR="0050667A" w:rsidRPr="00465FD3" w:rsidTr="0050667A">
        <w:trPr>
          <w:cantSplit/>
        </w:trPr>
        <w:tc>
          <w:tcPr>
            <w:tcW w:w="2518" w:type="dxa"/>
            <w:shd w:val="clear" w:color="auto" w:fill="auto"/>
          </w:tcPr>
          <w:p w:rsidR="0050667A" w:rsidRPr="00465FD3" w:rsidRDefault="0050667A" w:rsidP="00530D24">
            <w:pPr>
              <w:keepNext/>
              <w:keepLines/>
              <w:rPr>
                <w:sz w:val="20"/>
              </w:rPr>
            </w:pPr>
            <w:r w:rsidRPr="00465FD3">
              <w:rPr>
                <w:sz w:val="20"/>
              </w:rPr>
              <w:t xml:space="preserve">   Электричество/физика</w:t>
            </w:r>
          </w:p>
        </w:tc>
        <w:tc>
          <w:tcPr>
            <w:tcW w:w="1360"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409</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456</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360</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268</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521</w:t>
            </w:r>
          </w:p>
        </w:tc>
      </w:tr>
      <w:tr w:rsidR="0050667A" w:rsidRPr="00465FD3" w:rsidTr="0050667A">
        <w:trPr>
          <w:cantSplit/>
        </w:trPr>
        <w:tc>
          <w:tcPr>
            <w:tcW w:w="2518" w:type="dxa"/>
            <w:shd w:val="clear" w:color="auto" w:fill="auto"/>
          </w:tcPr>
          <w:p w:rsidR="0050667A" w:rsidRPr="00465FD3" w:rsidRDefault="0050667A" w:rsidP="00530D24">
            <w:pPr>
              <w:keepNext/>
              <w:keepLines/>
              <w:rPr>
                <w:sz w:val="20"/>
              </w:rPr>
            </w:pPr>
            <w:r w:rsidRPr="00465FD3">
              <w:rPr>
                <w:sz w:val="20"/>
              </w:rPr>
              <w:t>Химия</w:t>
            </w:r>
          </w:p>
        </w:tc>
        <w:tc>
          <w:tcPr>
            <w:tcW w:w="1360"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995</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486</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416</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329</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427</w:t>
            </w:r>
          </w:p>
        </w:tc>
      </w:tr>
      <w:tr w:rsidR="0050667A" w:rsidRPr="00465FD3" w:rsidTr="0050667A">
        <w:trPr>
          <w:cantSplit/>
        </w:trPr>
        <w:tc>
          <w:tcPr>
            <w:tcW w:w="2518" w:type="dxa"/>
            <w:shd w:val="clear" w:color="auto" w:fill="auto"/>
          </w:tcPr>
          <w:p w:rsidR="0050667A" w:rsidRPr="00465FD3" w:rsidRDefault="0050667A" w:rsidP="00530D24">
            <w:pPr>
              <w:keepNext/>
              <w:keepLines/>
              <w:rPr>
                <w:sz w:val="20"/>
              </w:rPr>
            </w:pPr>
            <w:r w:rsidRPr="00465FD3">
              <w:rPr>
                <w:sz w:val="20"/>
              </w:rPr>
              <w:t xml:space="preserve">   Общая химия</w:t>
            </w:r>
          </w:p>
        </w:tc>
        <w:tc>
          <w:tcPr>
            <w:tcW w:w="1360" w:type="dxa"/>
            <w:shd w:val="clear" w:color="auto" w:fill="auto"/>
            <w:vAlign w:val="center"/>
          </w:tcPr>
          <w:p w:rsidR="0050667A" w:rsidRPr="00465FD3" w:rsidRDefault="0050667A" w:rsidP="00530D24">
            <w:pPr>
              <w:keepNext/>
              <w:keepLines/>
              <w:rPr>
                <w:sz w:val="20"/>
              </w:rPr>
            </w:pPr>
          </w:p>
        </w:tc>
        <w:tc>
          <w:tcPr>
            <w:tcW w:w="1361" w:type="dxa"/>
            <w:shd w:val="clear" w:color="auto" w:fill="auto"/>
            <w:vAlign w:val="center"/>
          </w:tcPr>
          <w:p w:rsidR="0050667A" w:rsidRPr="00465FD3" w:rsidRDefault="0050667A" w:rsidP="00530D24">
            <w:pPr>
              <w:keepNext/>
              <w:keepLines/>
              <w:rPr>
                <w:sz w:val="20"/>
              </w:rPr>
            </w:pPr>
          </w:p>
        </w:tc>
        <w:tc>
          <w:tcPr>
            <w:tcW w:w="1361" w:type="dxa"/>
            <w:shd w:val="clear" w:color="auto" w:fill="auto"/>
            <w:vAlign w:val="center"/>
          </w:tcPr>
          <w:p w:rsidR="0050667A" w:rsidRPr="00465FD3" w:rsidRDefault="0050667A" w:rsidP="00530D24">
            <w:pPr>
              <w:keepNext/>
              <w:keepLines/>
              <w:rPr>
                <w:sz w:val="20"/>
              </w:rPr>
            </w:pPr>
          </w:p>
        </w:tc>
        <w:tc>
          <w:tcPr>
            <w:tcW w:w="1361" w:type="dxa"/>
            <w:shd w:val="clear" w:color="auto" w:fill="auto"/>
            <w:vAlign w:val="center"/>
          </w:tcPr>
          <w:p w:rsidR="0050667A" w:rsidRPr="00465FD3" w:rsidRDefault="0050667A" w:rsidP="00530D24">
            <w:pPr>
              <w:keepNext/>
              <w:keepLines/>
              <w:rPr>
                <w:sz w:val="20"/>
              </w:rPr>
            </w:pPr>
          </w:p>
        </w:tc>
        <w:tc>
          <w:tcPr>
            <w:tcW w:w="1361" w:type="dxa"/>
            <w:shd w:val="clear" w:color="auto" w:fill="auto"/>
            <w:vAlign w:val="center"/>
          </w:tcPr>
          <w:p w:rsidR="0050667A" w:rsidRPr="00465FD3" w:rsidRDefault="0050667A" w:rsidP="00530D24">
            <w:pPr>
              <w:keepNext/>
              <w:keepLines/>
              <w:rPr>
                <w:sz w:val="20"/>
              </w:rPr>
            </w:pPr>
          </w:p>
        </w:tc>
      </w:tr>
      <w:tr w:rsidR="0050667A" w:rsidRPr="00465FD3" w:rsidTr="0050667A">
        <w:trPr>
          <w:cantSplit/>
        </w:trPr>
        <w:tc>
          <w:tcPr>
            <w:tcW w:w="2518" w:type="dxa"/>
            <w:shd w:val="clear" w:color="auto" w:fill="auto"/>
          </w:tcPr>
          <w:p w:rsidR="0050667A" w:rsidRPr="00465FD3" w:rsidRDefault="0050667A" w:rsidP="00530D24">
            <w:pPr>
              <w:keepNext/>
              <w:keepLines/>
              <w:rPr>
                <w:sz w:val="20"/>
              </w:rPr>
            </w:pPr>
            <w:r w:rsidRPr="00465FD3">
              <w:rPr>
                <w:sz w:val="20"/>
              </w:rPr>
              <w:t xml:space="preserve">   Органическая химия</w:t>
            </w:r>
          </w:p>
        </w:tc>
        <w:tc>
          <w:tcPr>
            <w:tcW w:w="1360" w:type="dxa"/>
            <w:shd w:val="clear" w:color="auto" w:fill="auto"/>
            <w:vAlign w:val="center"/>
          </w:tcPr>
          <w:p w:rsidR="0050667A" w:rsidRPr="00465FD3" w:rsidRDefault="0050667A" w:rsidP="00530D24">
            <w:pPr>
              <w:keepNext/>
              <w:keepLines/>
              <w:rPr>
                <w:sz w:val="20"/>
              </w:rPr>
            </w:pPr>
            <w:r w:rsidRPr="00465FD3">
              <w:rPr>
                <w:sz w:val="20"/>
              </w:rPr>
              <w:t>5</w:t>
            </w:r>
            <w:r w:rsidR="00D05667">
              <w:rPr>
                <w:sz w:val="20"/>
              </w:rPr>
              <w:t xml:space="preserve"> </w:t>
            </w:r>
            <w:r w:rsidRPr="00465FD3">
              <w:rPr>
                <w:sz w:val="20"/>
              </w:rPr>
              <w:t>386</w:t>
            </w:r>
          </w:p>
        </w:tc>
        <w:tc>
          <w:tcPr>
            <w:tcW w:w="1361" w:type="dxa"/>
            <w:shd w:val="clear" w:color="auto" w:fill="auto"/>
            <w:vAlign w:val="center"/>
          </w:tcPr>
          <w:p w:rsidR="0050667A" w:rsidRPr="00465FD3" w:rsidRDefault="0050667A" w:rsidP="00530D24">
            <w:pPr>
              <w:keepNext/>
              <w:keepLines/>
              <w:rPr>
                <w:sz w:val="20"/>
              </w:rPr>
            </w:pPr>
            <w:r w:rsidRPr="00465FD3">
              <w:rPr>
                <w:sz w:val="20"/>
              </w:rPr>
              <w:t>5</w:t>
            </w:r>
            <w:r w:rsidR="00D05667">
              <w:rPr>
                <w:sz w:val="20"/>
              </w:rPr>
              <w:t xml:space="preserve"> </w:t>
            </w:r>
            <w:r w:rsidRPr="00465FD3">
              <w:rPr>
                <w:sz w:val="20"/>
              </w:rPr>
              <w:t>259</w:t>
            </w:r>
          </w:p>
        </w:tc>
        <w:tc>
          <w:tcPr>
            <w:tcW w:w="1361" w:type="dxa"/>
            <w:shd w:val="clear" w:color="auto" w:fill="auto"/>
            <w:vAlign w:val="center"/>
          </w:tcPr>
          <w:p w:rsidR="0050667A" w:rsidRPr="00465FD3" w:rsidRDefault="0050667A" w:rsidP="00530D24">
            <w:pPr>
              <w:keepNext/>
              <w:keepLines/>
              <w:rPr>
                <w:sz w:val="20"/>
              </w:rPr>
            </w:pPr>
            <w:r w:rsidRPr="00465FD3">
              <w:rPr>
                <w:sz w:val="20"/>
              </w:rPr>
              <w:t>5</w:t>
            </w:r>
            <w:r w:rsidR="00D05667">
              <w:rPr>
                <w:sz w:val="20"/>
              </w:rPr>
              <w:t xml:space="preserve"> </w:t>
            </w:r>
            <w:r w:rsidRPr="00465FD3">
              <w:rPr>
                <w:sz w:val="20"/>
              </w:rPr>
              <w:t>137</w:t>
            </w:r>
          </w:p>
        </w:tc>
        <w:tc>
          <w:tcPr>
            <w:tcW w:w="1361" w:type="dxa"/>
            <w:shd w:val="clear" w:color="auto" w:fill="auto"/>
            <w:vAlign w:val="center"/>
          </w:tcPr>
          <w:p w:rsidR="0050667A" w:rsidRPr="00465FD3" w:rsidRDefault="0050667A" w:rsidP="00530D24">
            <w:pPr>
              <w:keepNext/>
              <w:keepLines/>
              <w:rPr>
                <w:sz w:val="20"/>
              </w:rPr>
            </w:pPr>
            <w:r w:rsidRPr="00465FD3">
              <w:rPr>
                <w:sz w:val="20"/>
              </w:rPr>
              <w:t>5</w:t>
            </w:r>
            <w:r w:rsidR="00D05667">
              <w:rPr>
                <w:sz w:val="20"/>
              </w:rPr>
              <w:t xml:space="preserve"> </w:t>
            </w:r>
            <w:r w:rsidRPr="00465FD3">
              <w:rPr>
                <w:sz w:val="20"/>
              </w:rPr>
              <w:t>258</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715</w:t>
            </w:r>
          </w:p>
        </w:tc>
      </w:tr>
      <w:tr w:rsidR="0050667A" w:rsidRPr="00465FD3" w:rsidTr="0050667A">
        <w:trPr>
          <w:cantSplit/>
        </w:trPr>
        <w:tc>
          <w:tcPr>
            <w:tcW w:w="2518" w:type="dxa"/>
            <w:shd w:val="clear" w:color="auto" w:fill="auto"/>
          </w:tcPr>
          <w:p w:rsidR="0050667A" w:rsidRPr="00465FD3" w:rsidRDefault="0050667A" w:rsidP="00530D24">
            <w:pPr>
              <w:keepNext/>
              <w:keepLines/>
              <w:rPr>
                <w:sz w:val="20"/>
              </w:rPr>
            </w:pPr>
            <w:r w:rsidRPr="00465FD3">
              <w:rPr>
                <w:sz w:val="20"/>
              </w:rPr>
              <w:t>Биотехнологии</w:t>
            </w:r>
          </w:p>
        </w:tc>
        <w:tc>
          <w:tcPr>
            <w:tcW w:w="1360"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210</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000</w:t>
            </w:r>
          </w:p>
        </w:tc>
        <w:tc>
          <w:tcPr>
            <w:tcW w:w="1361" w:type="dxa"/>
            <w:shd w:val="clear" w:color="auto" w:fill="auto"/>
            <w:vAlign w:val="center"/>
          </w:tcPr>
          <w:p w:rsidR="0050667A" w:rsidRPr="00465FD3" w:rsidRDefault="0050667A" w:rsidP="00530D24">
            <w:pPr>
              <w:keepNext/>
              <w:keepLines/>
              <w:rPr>
                <w:sz w:val="20"/>
              </w:rPr>
            </w:pPr>
            <w:r w:rsidRPr="00465FD3">
              <w:rPr>
                <w:sz w:val="20"/>
              </w:rPr>
              <w:t>2</w:t>
            </w:r>
            <w:r w:rsidR="00D05667">
              <w:rPr>
                <w:sz w:val="20"/>
              </w:rPr>
              <w:t xml:space="preserve"> </w:t>
            </w:r>
            <w:r w:rsidRPr="00465FD3">
              <w:rPr>
                <w:sz w:val="20"/>
              </w:rPr>
              <w:t>850</w:t>
            </w:r>
          </w:p>
        </w:tc>
        <w:tc>
          <w:tcPr>
            <w:tcW w:w="1361" w:type="dxa"/>
            <w:shd w:val="clear" w:color="auto" w:fill="auto"/>
            <w:vAlign w:val="center"/>
          </w:tcPr>
          <w:p w:rsidR="0050667A" w:rsidRPr="00465FD3" w:rsidRDefault="0050667A" w:rsidP="00530D24">
            <w:pPr>
              <w:keepNext/>
              <w:keepLines/>
              <w:rPr>
                <w:sz w:val="20"/>
              </w:rPr>
            </w:pPr>
            <w:r w:rsidRPr="00465FD3">
              <w:rPr>
                <w:sz w:val="20"/>
              </w:rPr>
              <w:t>2</w:t>
            </w:r>
            <w:r w:rsidR="00D05667">
              <w:rPr>
                <w:sz w:val="20"/>
              </w:rPr>
              <w:t xml:space="preserve"> </w:t>
            </w:r>
            <w:r w:rsidRPr="00465FD3">
              <w:rPr>
                <w:sz w:val="20"/>
              </w:rPr>
              <w:t>876</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136</w:t>
            </w:r>
          </w:p>
        </w:tc>
      </w:tr>
      <w:tr w:rsidR="0050667A" w:rsidRPr="00465FD3" w:rsidTr="0050667A">
        <w:trPr>
          <w:cantSplit/>
        </w:trPr>
        <w:tc>
          <w:tcPr>
            <w:tcW w:w="2518" w:type="dxa"/>
            <w:shd w:val="clear" w:color="auto" w:fill="auto"/>
          </w:tcPr>
          <w:p w:rsidR="0050667A" w:rsidRPr="00465FD3" w:rsidRDefault="0050667A" w:rsidP="00530D24">
            <w:pPr>
              <w:keepNext/>
              <w:keepLines/>
              <w:rPr>
                <w:sz w:val="20"/>
              </w:rPr>
            </w:pPr>
            <w:r w:rsidRPr="00465FD3">
              <w:rPr>
                <w:sz w:val="20"/>
              </w:rPr>
              <w:t>Прочие</w:t>
            </w:r>
          </w:p>
        </w:tc>
        <w:tc>
          <w:tcPr>
            <w:tcW w:w="1360"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752</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727</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734</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476</w:t>
            </w:r>
          </w:p>
        </w:tc>
        <w:tc>
          <w:tcPr>
            <w:tcW w:w="1361" w:type="dxa"/>
            <w:shd w:val="clear" w:color="auto" w:fill="auto"/>
            <w:vAlign w:val="center"/>
          </w:tcPr>
          <w:p w:rsidR="0050667A" w:rsidRPr="00465FD3" w:rsidRDefault="0050667A" w:rsidP="00530D24">
            <w:pPr>
              <w:keepNext/>
              <w:keepLines/>
              <w:rPr>
                <w:sz w:val="20"/>
              </w:rPr>
            </w:pPr>
            <w:r w:rsidRPr="00465FD3">
              <w:rPr>
                <w:sz w:val="20"/>
              </w:rPr>
              <w:t>3</w:t>
            </w:r>
            <w:r w:rsidR="00D05667">
              <w:rPr>
                <w:sz w:val="20"/>
              </w:rPr>
              <w:t xml:space="preserve"> </w:t>
            </w:r>
            <w:r w:rsidRPr="00465FD3">
              <w:rPr>
                <w:sz w:val="20"/>
              </w:rPr>
              <w:t>843</w:t>
            </w:r>
          </w:p>
        </w:tc>
      </w:tr>
      <w:tr w:rsidR="0050667A" w:rsidRPr="00465FD3" w:rsidTr="0050667A">
        <w:trPr>
          <w:cantSplit/>
        </w:trPr>
        <w:tc>
          <w:tcPr>
            <w:tcW w:w="2518" w:type="dxa"/>
            <w:shd w:val="clear" w:color="auto" w:fill="auto"/>
          </w:tcPr>
          <w:p w:rsidR="0050667A" w:rsidRPr="00465FD3" w:rsidRDefault="0050667A" w:rsidP="006A6C1D">
            <w:pPr>
              <w:rPr>
                <w:i/>
                <w:sz w:val="20"/>
              </w:rPr>
            </w:pPr>
            <w:r w:rsidRPr="00465FD3">
              <w:rPr>
                <w:i/>
                <w:sz w:val="20"/>
              </w:rPr>
              <w:t>Всего</w:t>
            </w:r>
          </w:p>
        </w:tc>
        <w:tc>
          <w:tcPr>
            <w:tcW w:w="1360" w:type="dxa"/>
            <w:shd w:val="clear" w:color="auto" w:fill="auto"/>
            <w:vAlign w:val="center"/>
          </w:tcPr>
          <w:p w:rsidR="0050667A" w:rsidRPr="00465FD3" w:rsidRDefault="0050667A" w:rsidP="006A6C1D">
            <w:pPr>
              <w:rPr>
                <w:i/>
                <w:sz w:val="20"/>
              </w:rPr>
            </w:pPr>
            <w:r w:rsidRPr="00465FD3">
              <w:rPr>
                <w:i/>
                <w:sz w:val="20"/>
              </w:rPr>
              <w:t>35 581</w:t>
            </w:r>
          </w:p>
        </w:tc>
        <w:tc>
          <w:tcPr>
            <w:tcW w:w="1361" w:type="dxa"/>
            <w:shd w:val="clear" w:color="auto" w:fill="auto"/>
            <w:vAlign w:val="center"/>
          </w:tcPr>
          <w:p w:rsidR="0050667A" w:rsidRPr="00465FD3" w:rsidRDefault="0050667A" w:rsidP="006A6C1D">
            <w:pPr>
              <w:rPr>
                <w:i/>
                <w:sz w:val="20"/>
              </w:rPr>
            </w:pPr>
            <w:r w:rsidRPr="00465FD3">
              <w:rPr>
                <w:i/>
                <w:sz w:val="20"/>
              </w:rPr>
              <w:t>35 817</w:t>
            </w:r>
          </w:p>
        </w:tc>
        <w:tc>
          <w:tcPr>
            <w:tcW w:w="1361" w:type="dxa"/>
            <w:shd w:val="clear" w:color="auto" w:fill="auto"/>
            <w:vAlign w:val="center"/>
          </w:tcPr>
          <w:p w:rsidR="0050667A" w:rsidRPr="00465FD3" w:rsidRDefault="0050667A" w:rsidP="006A6C1D">
            <w:pPr>
              <w:rPr>
                <w:i/>
                <w:sz w:val="20"/>
              </w:rPr>
            </w:pPr>
            <w:r w:rsidRPr="00465FD3">
              <w:rPr>
                <w:i/>
                <w:sz w:val="20"/>
              </w:rPr>
              <w:t>35 361</w:t>
            </w:r>
          </w:p>
        </w:tc>
        <w:tc>
          <w:tcPr>
            <w:tcW w:w="1361" w:type="dxa"/>
            <w:shd w:val="clear" w:color="auto" w:fill="auto"/>
            <w:vAlign w:val="center"/>
          </w:tcPr>
          <w:p w:rsidR="0050667A" w:rsidRPr="00465FD3" w:rsidRDefault="0050667A" w:rsidP="006A6C1D">
            <w:pPr>
              <w:rPr>
                <w:i/>
                <w:sz w:val="20"/>
              </w:rPr>
            </w:pPr>
            <w:r w:rsidRPr="00465FD3">
              <w:rPr>
                <w:i/>
                <w:sz w:val="20"/>
              </w:rPr>
              <w:t>34 893</w:t>
            </w:r>
          </w:p>
        </w:tc>
        <w:tc>
          <w:tcPr>
            <w:tcW w:w="1361" w:type="dxa"/>
            <w:shd w:val="clear" w:color="auto" w:fill="auto"/>
            <w:vAlign w:val="center"/>
          </w:tcPr>
          <w:p w:rsidR="0050667A" w:rsidRPr="00465FD3" w:rsidRDefault="0050667A" w:rsidP="006A6C1D">
            <w:pPr>
              <w:rPr>
                <w:i/>
                <w:sz w:val="20"/>
              </w:rPr>
            </w:pPr>
            <w:r w:rsidRPr="00465FD3">
              <w:rPr>
                <w:i/>
                <w:sz w:val="20"/>
              </w:rPr>
              <w:t>37 104</w:t>
            </w:r>
          </w:p>
        </w:tc>
      </w:tr>
    </w:tbl>
    <w:p w:rsidR="0050667A" w:rsidRPr="00465FD3" w:rsidRDefault="0050667A" w:rsidP="006A6C1D"/>
    <w:p w:rsidR="0050667A" w:rsidRPr="00465FD3" w:rsidRDefault="0050667A" w:rsidP="00530D24">
      <w:pPr>
        <w:pStyle w:val="Subsection"/>
      </w:pPr>
      <w:r w:rsidRPr="00465FD3">
        <w:t>Количество полученных национальных заявок в разбивке по процедурам подачи</w:t>
      </w:r>
    </w:p>
    <w:p w:rsidR="0050667A" w:rsidRPr="00465FD3" w:rsidRDefault="0050667A" w:rsidP="006A6C1D">
      <w:pPr>
        <w:rPr>
          <w:i/>
        </w:rPr>
      </w:pPr>
      <w:r w:rsidRPr="00465FD3">
        <w:rPr>
          <w:i/>
        </w:rPr>
        <w:t>Цифры получены из внутренней базы данных CIPO TechSource.</w:t>
      </w:r>
    </w:p>
    <w:p w:rsidR="0050667A" w:rsidRPr="000328E4" w:rsidRDefault="0050667A" w:rsidP="006A6C1D">
      <w:pPr>
        <w:rPr>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50667A" w:rsidRPr="00465FD3" w:rsidTr="0050667A">
        <w:trPr>
          <w:cantSplit/>
        </w:trPr>
        <w:tc>
          <w:tcPr>
            <w:tcW w:w="2518" w:type="dxa"/>
            <w:tcBorders>
              <w:tl2br w:val="single" w:sz="4" w:space="0" w:color="auto"/>
            </w:tcBorders>
            <w:shd w:val="clear" w:color="auto" w:fill="auto"/>
          </w:tcPr>
          <w:p w:rsidR="0050667A" w:rsidRPr="00465FD3" w:rsidRDefault="0050667A" w:rsidP="006A6C1D">
            <w:pPr>
              <w:rPr>
                <w:b/>
              </w:rPr>
            </w:pPr>
          </w:p>
          <w:p w:rsidR="0050667A" w:rsidRPr="00465FD3" w:rsidRDefault="0050667A" w:rsidP="006A6C1D">
            <w:pPr>
              <w:rPr>
                <w:b/>
              </w:rPr>
            </w:pPr>
            <w:r w:rsidRPr="00465FD3">
              <w:rPr>
                <w:b/>
              </w:rPr>
              <w:t>Год</w:t>
            </w:r>
          </w:p>
          <w:p w:rsidR="0050667A" w:rsidRPr="00465FD3" w:rsidRDefault="0050667A" w:rsidP="006A6C1D">
            <w:pPr>
              <w:rPr>
                <w:b/>
              </w:rPr>
            </w:pPr>
            <w:r w:rsidRPr="00465FD3">
              <w:rPr>
                <w:b/>
              </w:rPr>
              <w:t>Процедура подачи</w:t>
            </w:r>
          </w:p>
        </w:tc>
        <w:tc>
          <w:tcPr>
            <w:tcW w:w="1360" w:type="dxa"/>
            <w:shd w:val="clear" w:color="auto" w:fill="auto"/>
            <w:vAlign w:val="center"/>
          </w:tcPr>
          <w:p w:rsidR="0050667A" w:rsidRPr="00465FD3" w:rsidRDefault="0050667A" w:rsidP="006A6C1D">
            <w:pPr>
              <w:rPr>
                <w:b/>
              </w:rPr>
            </w:pPr>
            <w:r w:rsidRPr="00465FD3">
              <w:rPr>
                <w:b/>
              </w:rPr>
              <w:t>2011–2012 гг.</w:t>
            </w:r>
          </w:p>
        </w:tc>
        <w:tc>
          <w:tcPr>
            <w:tcW w:w="1361" w:type="dxa"/>
            <w:shd w:val="clear" w:color="auto" w:fill="auto"/>
            <w:vAlign w:val="center"/>
          </w:tcPr>
          <w:p w:rsidR="0050667A" w:rsidRPr="00465FD3" w:rsidRDefault="0050667A" w:rsidP="006A6C1D">
            <w:pPr>
              <w:rPr>
                <w:b/>
              </w:rPr>
            </w:pPr>
            <w:r w:rsidRPr="00465FD3">
              <w:rPr>
                <w:b/>
              </w:rPr>
              <w:t>2012–2013 гг.</w:t>
            </w:r>
          </w:p>
        </w:tc>
        <w:tc>
          <w:tcPr>
            <w:tcW w:w="1361" w:type="dxa"/>
            <w:shd w:val="clear" w:color="auto" w:fill="auto"/>
            <w:vAlign w:val="center"/>
          </w:tcPr>
          <w:p w:rsidR="0050667A" w:rsidRPr="00465FD3" w:rsidRDefault="0050667A" w:rsidP="006A6C1D">
            <w:pPr>
              <w:rPr>
                <w:b/>
              </w:rPr>
            </w:pPr>
            <w:r w:rsidRPr="00465FD3">
              <w:rPr>
                <w:b/>
              </w:rPr>
              <w:t>2013–2014 гг.</w:t>
            </w:r>
          </w:p>
        </w:tc>
        <w:tc>
          <w:tcPr>
            <w:tcW w:w="1361" w:type="dxa"/>
            <w:shd w:val="clear" w:color="auto" w:fill="auto"/>
            <w:vAlign w:val="center"/>
          </w:tcPr>
          <w:p w:rsidR="0050667A" w:rsidRPr="00465FD3" w:rsidRDefault="0050667A" w:rsidP="006A6C1D">
            <w:pPr>
              <w:rPr>
                <w:b/>
              </w:rPr>
            </w:pPr>
            <w:r w:rsidRPr="00465FD3">
              <w:rPr>
                <w:b/>
              </w:rPr>
              <w:t>2014–2015 гг.</w:t>
            </w:r>
          </w:p>
        </w:tc>
        <w:tc>
          <w:tcPr>
            <w:tcW w:w="1361" w:type="dxa"/>
            <w:shd w:val="clear" w:color="auto" w:fill="auto"/>
            <w:vAlign w:val="center"/>
          </w:tcPr>
          <w:p w:rsidR="0050667A" w:rsidRPr="00465FD3" w:rsidRDefault="0050667A" w:rsidP="006A6C1D">
            <w:pPr>
              <w:rPr>
                <w:b/>
              </w:rPr>
            </w:pPr>
            <w:r w:rsidRPr="00465FD3">
              <w:rPr>
                <w:b/>
              </w:rPr>
              <w:t>2015–2016 гг.</w:t>
            </w:r>
          </w:p>
        </w:tc>
      </w:tr>
      <w:tr w:rsidR="0050667A" w:rsidRPr="00465FD3" w:rsidTr="0050667A">
        <w:trPr>
          <w:cantSplit/>
        </w:trPr>
        <w:tc>
          <w:tcPr>
            <w:tcW w:w="2518" w:type="dxa"/>
            <w:shd w:val="clear" w:color="auto" w:fill="auto"/>
          </w:tcPr>
          <w:p w:rsidR="0050667A" w:rsidRPr="00465FD3" w:rsidRDefault="0050667A" w:rsidP="006A6C1D">
            <w:r w:rsidRPr="00465FD3">
              <w:t>Первая национальная подача/внутренний приоритет</w:t>
            </w:r>
          </w:p>
        </w:tc>
        <w:tc>
          <w:tcPr>
            <w:tcW w:w="1360" w:type="dxa"/>
            <w:shd w:val="clear" w:color="auto" w:fill="auto"/>
            <w:vAlign w:val="center"/>
          </w:tcPr>
          <w:p w:rsidR="0050667A" w:rsidRPr="00465FD3" w:rsidRDefault="0050667A" w:rsidP="006A6C1D">
            <w:r w:rsidRPr="00465FD3">
              <w:t>1</w:t>
            </w:r>
            <w:r w:rsidR="00D05667">
              <w:t xml:space="preserve"> </w:t>
            </w:r>
            <w:r w:rsidRPr="00465FD3">
              <w:t>826</w:t>
            </w:r>
          </w:p>
        </w:tc>
        <w:tc>
          <w:tcPr>
            <w:tcW w:w="1361" w:type="dxa"/>
            <w:shd w:val="clear" w:color="auto" w:fill="auto"/>
            <w:vAlign w:val="center"/>
          </w:tcPr>
          <w:p w:rsidR="0050667A" w:rsidRPr="00465FD3" w:rsidRDefault="0050667A" w:rsidP="006A6C1D">
            <w:r w:rsidRPr="00465FD3">
              <w:t>1</w:t>
            </w:r>
            <w:r w:rsidR="00D05667">
              <w:t xml:space="preserve"> </w:t>
            </w:r>
            <w:r w:rsidRPr="00465FD3">
              <w:t>809</w:t>
            </w:r>
          </w:p>
        </w:tc>
        <w:tc>
          <w:tcPr>
            <w:tcW w:w="1361" w:type="dxa"/>
            <w:shd w:val="clear" w:color="auto" w:fill="auto"/>
            <w:vAlign w:val="center"/>
          </w:tcPr>
          <w:p w:rsidR="0050667A" w:rsidRPr="00465FD3" w:rsidRDefault="0050667A" w:rsidP="006A6C1D">
            <w:r w:rsidRPr="00465FD3">
              <w:t>1</w:t>
            </w:r>
            <w:r w:rsidR="00D05667">
              <w:t xml:space="preserve"> </w:t>
            </w:r>
            <w:r w:rsidRPr="00465FD3">
              <w:t>579</w:t>
            </w:r>
          </w:p>
        </w:tc>
        <w:tc>
          <w:tcPr>
            <w:tcW w:w="1361" w:type="dxa"/>
            <w:shd w:val="clear" w:color="auto" w:fill="auto"/>
            <w:vAlign w:val="center"/>
          </w:tcPr>
          <w:p w:rsidR="0050667A" w:rsidRPr="00465FD3" w:rsidRDefault="0050667A" w:rsidP="006A6C1D">
            <w:r w:rsidRPr="00465FD3">
              <w:t>1</w:t>
            </w:r>
            <w:r w:rsidR="00D05667">
              <w:t xml:space="preserve"> </w:t>
            </w:r>
            <w:r w:rsidRPr="00465FD3">
              <w:t>606</w:t>
            </w:r>
          </w:p>
        </w:tc>
        <w:tc>
          <w:tcPr>
            <w:tcW w:w="1361" w:type="dxa"/>
            <w:shd w:val="clear" w:color="auto" w:fill="auto"/>
            <w:vAlign w:val="center"/>
          </w:tcPr>
          <w:p w:rsidR="0050667A" w:rsidRPr="00465FD3" w:rsidRDefault="0050667A" w:rsidP="006A6C1D">
            <w:r w:rsidRPr="00465FD3">
              <w:t>1</w:t>
            </w:r>
            <w:r w:rsidR="00D05667">
              <w:t xml:space="preserve"> </w:t>
            </w:r>
            <w:r w:rsidRPr="00465FD3">
              <w:t>591</w:t>
            </w:r>
          </w:p>
        </w:tc>
      </w:tr>
      <w:tr w:rsidR="0050667A" w:rsidRPr="00465FD3" w:rsidTr="0050667A">
        <w:trPr>
          <w:cantSplit/>
        </w:trPr>
        <w:tc>
          <w:tcPr>
            <w:tcW w:w="2518" w:type="dxa"/>
            <w:shd w:val="clear" w:color="auto" w:fill="auto"/>
          </w:tcPr>
          <w:p w:rsidR="0050667A" w:rsidRPr="00465FD3" w:rsidRDefault="0050667A" w:rsidP="006A6C1D">
            <w:r w:rsidRPr="00465FD3">
              <w:t>Приоритет по Парижской конвенции</w:t>
            </w:r>
          </w:p>
        </w:tc>
        <w:tc>
          <w:tcPr>
            <w:tcW w:w="1360" w:type="dxa"/>
            <w:shd w:val="clear" w:color="auto" w:fill="auto"/>
            <w:vAlign w:val="center"/>
          </w:tcPr>
          <w:p w:rsidR="0050667A" w:rsidRPr="00465FD3" w:rsidRDefault="0050667A" w:rsidP="006A6C1D">
            <w:r w:rsidRPr="00465FD3">
              <w:t>7</w:t>
            </w:r>
            <w:r w:rsidR="00D05667">
              <w:t xml:space="preserve"> </w:t>
            </w:r>
            <w:r w:rsidRPr="00465FD3">
              <w:t>131</w:t>
            </w:r>
          </w:p>
        </w:tc>
        <w:tc>
          <w:tcPr>
            <w:tcW w:w="1361" w:type="dxa"/>
            <w:shd w:val="clear" w:color="auto" w:fill="auto"/>
            <w:vAlign w:val="center"/>
          </w:tcPr>
          <w:p w:rsidR="0050667A" w:rsidRPr="00465FD3" w:rsidRDefault="0050667A" w:rsidP="006A6C1D">
            <w:r w:rsidRPr="00465FD3">
              <w:t>7</w:t>
            </w:r>
            <w:r w:rsidR="00D05667">
              <w:t xml:space="preserve"> </w:t>
            </w:r>
            <w:r w:rsidRPr="00465FD3">
              <w:t>007</w:t>
            </w:r>
          </w:p>
        </w:tc>
        <w:tc>
          <w:tcPr>
            <w:tcW w:w="1361" w:type="dxa"/>
            <w:shd w:val="clear" w:color="auto" w:fill="auto"/>
            <w:vAlign w:val="center"/>
          </w:tcPr>
          <w:p w:rsidR="0050667A" w:rsidRPr="00465FD3" w:rsidRDefault="0050667A" w:rsidP="006A6C1D">
            <w:r w:rsidRPr="00465FD3">
              <w:t>7</w:t>
            </w:r>
            <w:r w:rsidR="00D05667">
              <w:t xml:space="preserve"> </w:t>
            </w:r>
            <w:r w:rsidRPr="00465FD3">
              <w:t>142</w:t>
            </w:r>
          </w:p>
        </w:tc>
        <w:tc>
          <w:tcPr>
            <w:tcW w:w="1361" w:type="dxa"/>
            <w:shd w:val="clear" w:color="auto" w:fill="auto"/>
            <w:vAlign w:val="center"/>
          </w:tcPr>
          <w:p w:rsidR="0050667A" w:rsidRPr="00465FD3" w:rsidRDefault="0050667A" w:rsidP="006A6C1D">
            <w:r w:rsidRPr="00465FD3">
              <w:t>5</w:t>
            </w:r>
            <w:r w:rsidR="00D05667">
              <w:t xml:space="preserve"> </w:t>
            </w:r>
            <w:r w:rsidRPr="00465FD3">
              <w:t>823</w:t>
            </w:r>
          </w:p>
        </w:tc>
        <w:tc>
          <w:tcPr>
            <w:tcW w:w="1361" w:type="dxa"/>
            <w:shd w:val="clear" w:color="auto" w:fill="auto"/>
            <w:vAlign w:val="center"/>
          </w:tcPr>
          <w:p w:rsidR="0050667A" w:rsidRPr="00465FD3" w:rsidRDefault="0050667A" w:rsidP="006A6C1D">
            <w:r w:rsidRPr="00465FD3">
              <w:t>6</w:t>
            </w:r>
            <w:r w:rsidR="00D05667">
              <w:t xml:space="preserve"> </w:t>
            </w:r>
            <w:r w:rsidRPr="00465FD3">
              <w:t>065</w:t>
            </w:r>
          </w:p>
        </w:tc>
      </w:tr>
      <w:tr w:rsidR="0050667A" w:rsidRPr="00465FD3" w:rsidTr="0050667A">
        <w:trPr>
          <w:cantSplit/>
        </w:trPr>
        <w:tc>
          <w:tcPr>
            <w:tcW w:w="2518" w:type="dxa"/>
            <w:shd w:val="clear" w:color="auto" w:fill="auto"/>
          </w:tcPr>
          <w:p w:rsidR="0050667A" w:rsidRPr="00465FD3" w:rsidRDefault="0050667A" w:rsidP="006A6C1D">
            <w:r w:rsidRPr="00465FD3">
              <w:t>Переход на национальную фазу PCT</w:t>
            </w:r>
          </w:p>
        </w:tc>
        <w:tc>
          <w:tcPr>
            <w:tcW w:w="1360" w:type="dxa"/>
            <w:shd w:val="clear" w:color="auto" w:fill="auto"/>
            <w:vAlign w:val="center"/>
          </w:tcPr>
          <w:p w:rsidR="0050667A" w:rsidRPr="00465FD3" w:rsidRDefault="0050667A" w:rsidP="006A6C1D">
            <w:r w:rsidRPr="00465FD3">
              <w:t>26 624</w:t>
            </w:r>
          </w:p>
        </w:tc>
        <w:tc>
          <w:tcPr>
            <w:tcW w:w="1361" w:type="dxa"/>
            <w:shd w:val="clear" w:color="auto" w:fill="auto"/>
            <w:vAlign w:val="center"/>
          </w:tcPr>
          <w:p w:rsidR="0050667A" w:rsidRPr="00465FD3" w:rsidRDefault="0050667A" w:rsidP="006A6C1D">
            <w:r w:rsidRPr="00465FD3">
              <w:t>27 001</w:t>
            </w:r>
          </w:p>
        </w:tc>
        <w:tc>
          <w:tcPr>
            <w:tcW w:w="1361" w:type="dxa"/>
            <w:shd w:val="clear" w:color="auto" w:fill="auto"/>
            <w:vAlign w:val="center"/>
          </w:tcPr>
          <w:p w:rsidR="0050667A" w:rsidRPr="00465FD3" w:rsidRDefault="0050667A" w:rsidP="006A6C1D">
            <w:r w:rsidRPr="00465FD3">
              <w:t>26 640</w:t>
            </w:r>
          </w:p>
        </w:tc>
        <w:tc>
          <w:tcPr>
            <w:tcW w:w="1361" w:type="dxa"/>
            <w:shd w:val="clear" w:color="auto" w:fill="auto"/>
            <w:vAlign w:val="center"/>
          </w:tcPr>
          <w:p w:rsidR="0050667A" w:rsidRPr="00465FD3" w:rsidRDefault="0050667A" w:rsidP="006A6C1D">
            <w:r w:rsidRPr="00465FD3">
              <w:t>27 464</w:t>
            </w:r>
          </w:p>
        </w:tc>
        <w:tc>
          <w:tcPr>
            <w:tcW w:w="1361" w:type="dxa"/>
            <w:shd w:val="clear" w:color="auto" w:fill="auto"/>
            <w:vAlign w:val="center"/>
          </w:tcPr>
          <w:p w:rsidR="0050667A" w:rsidRPr="00465FD3" w:rsidRDefault="0050667A" w:rsidP="006A6C1D">
            <w:r w:rsidRPr="00465FD3">
              <w:t>29 448</w:t>
            </w:r>
          </w:p>
        </w:tc>
      </w:tr>
      <w:tr w:rsidR="0050667A" w:rsidRPr="00465FD3" w:rsidTr="0050667A">
        <w:trPr>
          <w:cantSplit/>
        </w:trPr>
        <w:tc>
          <w:tcPr>
            <w:tcW w:w="2518" w:type="dxa"/>
            <w:shd w:val="clear" w:color="auto" w:fill="auto"/>
          </w:tcPr>
          <w:p w:rsidR="0050667A" w:rsidRPr="00465FD3" w:rsidRDefault="0050667A" w:rsidP="006A6C1D">
            <w:pPr>
              <w:rPr>
                <w:i/>
              </w:rPr>
            </w:pPr>
            <w:r w:rsidRPr="00465FD3">
              <w:rPr>
                <w:i/>
              </w:rPr>
              <w:t xml:space="preserve">Всего </w:t>
            </w:r>
          </w:p>
        </w:tc>
        <w:tc>
          <w:tcPr>
            <w:tcW w:w="1360" w:type="dxa"/>
            <w:shd w:val="clear" w:color="auto" w:fill="auto"/>
            <w:vAlign w:val="center"/>
          </w:tcPr>
          <w:p w:rsidR="0050667A" w:rsidRPr="00465FD3" w:rsidRDefault="0050667A" w:rsidP="006A6C1D">
            <w:pPr>
              <w:rPr>
                <w:i/>
              </w:rPr>
            </w:pPr>
            <w:r w:rsidRPr="00465FD3">
              <w:rPr>
                <w:i/>
              </w:rPr>
              <w:t>35 581</w:t>
            </w:r>
          </w:p>
        </w:tc>
        <w:tc>
          <w:tcPr>
            <w:tcW w:w="1361" w:type="dxa"/>
            <w:shd w:val="clear" w:color="auto" w:fill="auto"/>
            <w:vAlign w:val="center"/>
          </w:tcPr>
          <w:p w:rsidR="0050667A" w:rsidRPr="00465FD3" w:rsidRDefault="0050667A" w:rsidP="006A6C1D">
            <w:pPr>
              <w:rPr>
                <w:i/>
              </w:rPr>
            </w:pPr>
            <w:r w:rsidRPr="00465FD3">
              <w:rPr>
                <w:i/>
              </w:rPr>
              <w:t>35 817</w:t>
            </w:r>
          </w:p>
        </w:tc>
        <w:tc>
          <w:tcPr>
            <w:tcW w:w="1361" w:type="dxa"/>
            <w:shd w:val="clear" w:color="auto" w:fill="auto"/>
            <w:vAlign w:val="center"/>
          </w:tcPr>
          <w:p w:rsidR="0050667A" w:rsidRPr="00465FD3" w:rsidRDefault="0050667A" w:rsidP="006A6C1D">
            <w:pPr>
              <w:rPr>
                <w:i/>
              </w:rPr>
            </w:pPr>
            <w:r w:rsidRPr="00465FD3">
              <w:rPr>
                <w:i/>
              </w:rPr>
              <w:t>35 361</w:t>
            </w:r>
          </w:p>
        </w:tc>
        <w:tc>
          <w:tcPr>
            <w:tcW w:w="1361" w:type="dxa"/>
            <w:shd w:val="clear" w:color="auto" w:fill="auto"/>
            <w:vAlign w:val="center"/>
          </w:tcPr>
          <w:p w:rsidR="0050667A" w:rsidRPr="00465FD3" w:rsidRDefault="0050667A" w:rsidP="006A6C1D">
            <w:pPr>
              <w:rPr>
                <w:i/>
              </w:rPr>
            </w:pPr>
            <w:r w:rsidRPr="00465FD3">
              <w:rPr>
                <w:i/>
              </w:rPr>
              <w:t>34 893</w:t>
            </w:r>
          </w:p>
        </w:tc>
        <w:tc>
          <w:tcPr>
            <w:tcW w:w="1361" w:type="dxa"/>
            <w:shd w:val="clear" w:color="auto" w:fill="auto"/>
            <w:vAlign w:val="center"/>
          </w:tcPr>
          <w:p w:rsidR="0050667A" w:rsidRPr="00465FD3" w:rsidRDefault="0050667A" w:rsidP="006A6C1D">
            <w:pPr>
              <w:rPr>
                <w:i/>
              </w:rPr>
            </w:pPr>
            <w:r w:rsidRPr="00465FD3">
              <w:rPr>
                <w:i/>
              </w:rPr>
              <w:t>37 104</w:t>
            </w:r>
          </w:p>
        </w:tc>
      </w:tr>
    </w:tbl>
    <w:p w:rsidR="0050667A" w:rsidRPr="000328E4" w:rsidRDefault="0050667A" w:rsidP="006A6C1D">
      <w:pPr>
        <w:rPr>
          <w:lang w:val="en-US"/>
        </w:rPr>
      </w:pPr>
    </w:p>
    <w:p w:rsidR="0050667A" w:rsidRPr="00465FD3" w:rsidRDefault="0050667A" w:rsidP="00530D24">
      <w:pPr>
        <w:pStyle w:val="Subsection"/>
      </w:pPr>
      <w:r w:rsidRPr="00465FD3">
        <w:t>Средний срок обработки национальной патентной заявки</w:t>
      </w:r>
    </w:p>
    <w:p w:rsidR="0050667A" w:rsidRPr="000328E4" w:rsidRDefault="0050667A" w:rsidP="006A6C1D">
      <w:pPr>
        <w:rPr>
          <w:lang w:val="en-US"/>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gridCol w:w="604"/>
        <w:gridCol w:w="1560"/>
        <w:gridCol w:w="749"/>
        <w:gridCol w:w="783"/>
        <w:gridCol w:w="777"/>
        <w:gridCol w:w="883"/>
        <w:gridCol w:w="1366"/>
      </w:tblGrid>
      <w:tr w:rsidR="0050667A" w:rsidRPr="00465FD3" w:rsidTr="00530D24">
        <w:trPr>
          <w:cantSplit/>
        </w:trPr>
        <w:tc>
          <w:tcPr>
            <w:tcW w:w="1426" w:type="dxa"/>
            <w:shd w:val="clear" w:color="auto" w:fill="auto"/>
          </w:tcPr>
          <w:p w:rsidR="0050667A" w:rsidRPr="00465FD3" w:rsidRDefault="0050667A" w:rsidP="006A6C1D">
            <w:pPr>
              <w:rPr>
                <w:b/>
                <w:sz w:val="20"/>
              </w:rPr>
            </w:pPr>
            <w:r w:rsidRPr="00465FD3">
              <w:rPr>
                <w:b/>
                <w:sz w:val="20"/>
              </w:rPr>
              <w:t>Показатель</w:t>
            </w:r>
          </w:p>
        </w:tc>
        <w:tc>
          <w:tcPr>
            <w:tcW w:w="1426" w:type="dxa"/>
            <w:shd w:val="clear" w:color="auto" w:fill="auto"/>
          </w:tcPr>
          <w:p w:rsidR="0050667A" w:rsidRPr="00465FD3" w:rsidRDefault="00D145FB" w:rsidP="00D145FB">
            <w:pPr>
              <w:rPr>
                <w:b/>
                <w:sz w:val="20"/>
              </w:rPr>
            </w:pPr>
            <w:r>
              <w:rPr>
                <w:b/>
                <w:sz w:val="20"/>
              </w:rPr>
              <w:t>Отправная точка</w:t>
            </w:r>
          </w:p>
        </w:tc>
        <w:tc>
          <w:tcPr>
            <w:tcW w:w="2164" w:type="dxa"/>
            <w:gridSpan w:val="2"/>
          </w:tcPr>
          <w:p w:rsidR="0050667A" w:rsidRPr="00465FD3" w:rsidRDefault="0050667A" w:rsidP="006A6C1D">
            <w:pPr>
              <w:rPr>
                <w:b/>
                <w:sz w:val="20"/>
              </w:rPr>
            </w:pPr>
            <w:r w:rsidRPr="00465FD3">
              <w:rPr>
                <w:b/>
                <w:sz w:val="20"/>
              </w:rPr>
              <w:t>Время в месяцах</w:t>
            </w:r>
          </w:p>
        </w:tc>
        <w:tc>
          <w:tcPr>
            <w:tcW w:w="749" w:type="dxa"/>
            <w:tcMar>
              <w:left w:w="51" w:type="dxa"/>
              <w:right w:w="51" w:type="dxa"/>
            </w:tcMar>
            <w:vAlign w:val="center"/>
          </w:tcPr>
          <w:p w:rsidR="0050667A" w:rsidRPr="00465FD3" w:rsidRDefault="0050667A" w:rsidP="006A6C1D">
            <w:pPr>
              <w:rPr>
                <w:b/>
                <w:sz w:val="20"/>
              </w:rPr>
            </w:pPr>
            <w:r w:rsidRPr="00465FD3">
              <w:rPr>
                <w:b/>
                <w:sz w:val="20"/>
              </w:rPr>
              <w:t>2011–2012 гг.</w:t>
            </w:r>
          </w:p>
        </w:tc>
        <w:tc>
          <w:tcPr>
            <w:tcW w:w="783" w:type="dxa"/>
            <w:tcMar>
              <w:left w:w="51" w:type="dxa"/>
              <w:right w:w="51" w:type="dxa"/>
            </w:tcMar>
            <w:vAlign w:val="center"/>
          </w:tcPr>
          <w:p w:rsidR="0050667A" w:rsidRPr="00465FD3" w:rsidRDefault="0050667A" w:rsidP="006A6C1D">
            <w:pPr>
              <w:rPr>
                <w:b/>
                <w:sz w:val="20"/>
              </w:rPr>
            </w:pPr>
            <w:r w:rsidRPr="00465FD3">
              <w:rPr>
                <w:b/>
                <w:sz w:val="20"/>
              </w:rPr>
              <w:t>2012–2013 гг.</w:t>
            </w:r>
          </w:p>
        </w:tc>
        <w:tc>
          <w:tcPr>
            <w:tcW w:w="777" w:type="dxa"/>
            <w:tcMar>
              <w:left w:w="51" w:type="dxa"/>
              <w:right w:w="51" w:type="dxa"/>
            </w:tcMar>
            <w:vAlign w:val="center"/>
          </w:tcPr>
          <w:p w:rsidR="0050667A" w:rsidRPr="00465FD3" w:rsidRDefault="0050667A" w:rsidP="006A6C1D">
            <w:pPr>
              <w:rPr>
                <w:b/>
                <w:sz w:val="20"/>
              </w:rPr>
            </w:pPr>
            <w:r w:rsidRPr="00465FD3">
              <w:rPr>
                <w:b/>
                <w:sz w:val="20"/>
              </w:rPr>
              <w:t>2013–2014 гг.</w:t>
            </w:r>
          </w:p>
        </w:tc>
        <w:tc>
          <w:tcPr>
            <w:tcW w:w="883" w:type="dxa"/>
            <w:tcMar>
              <w:left w:w="51" w:type="dxa"/>
              <w:right w:w="51" w:type="dxa"/>
            </w:tcMar>
            <w:vAlign w:val="center"/>
          </w:tcPr>
          <w:p w:rsidR="0050667A" w:rsidRPr="00465FD3" w:rsidRDefault="0050667A" w:rsidP="006A6C1D">
            <w:pPr>
              <w:rPr>
                <w:b/>
                <w:sz w:val="20"/>
              </w:rPr>
            </w:pPr>
            <w:r w:rsidRPr="00465FD3">
              <w:rPr>
                <w:b/>
                <w:sz w:val="20"/>
              </w:rPr>
              <w:t>2014–2015 гг.</w:t>
            </w:r>
          </w:p>
        </w:tc>
        <w:tc>
          <w:tcPr>
            <w:tcW w:w="1366" w:type="dxa"/>
            <w:tcMar>
              <w:left w:w="51" w:type="dxa"/>
              <w:right w:w="51" w:type="dxa"/>
            </w:tcMar>
          </w:tcPr>
          <w:p w:rsidR="0050667A" w:rsidRPr="00465FD3" w:rsidRDefault="0050667A" w:rsidP="006A6C1D">
            <w:pPr>
              <w:rPr>
                <w:b/>
                <w:sz w:val="20"/>
              </w:rPr>
            </w:pPr>
            <w:r w:rsidRPr="00465FD3">
              <w:rPr>
                <w:b/>
                <w:sz w:val="20"/>
              </w:rPr>
              <w:t>(по состоянию</w:t>
            </w:r>
          </w:p>
          <w:p w:rsidR="0050667A" w:rsidRPr="00465FD3" w:rsidRDefault="0050667A" w:rsidP="006A6C1D">
            <w:pPr>
              <w:rPr>
                <w:b/>
                <w:sz w:val="20"/>
              </w:rPr>
            </w:pPr>
            <w:r w:rsidRPr="00465FD3">
              <w:rPr>
                <w:b/>
                <w:sz w:val="20"/>
              </w:rPr>
              <w:t>на 31.12.2016)</w:t>
            </w:r>
          </w:p>
        </w:tc>
      </w:tr>
      <w:tr w:rsidR="0050667A" w:rsidRPr="00465FD3" w:rsidTr="0050667A">
        <w:trPr>
          <w:cantSplit/>
        </w:trPr>
        <w:tc>
          <w:tcPr>
            <w:tcW w:w="1426" w:type="dxa"/>
            <w:shd w:val="clear" w:color="auto" w:fill="auto"/>
          </w:tcPr>
          <w:p w:rsidR="0050667A" w:rsidRPr="00465FD3" w:rsidRDefault="00D145FB" w:rsidP="006A6C1D">
            <w:pPr>
              <w:rPr>
                <w:sz w:val="20"/>
              </w:rPr>
            </w:pPr>
            <w:r>
              <w:rPr>
                <w:sz w:val="20"/>
              </w:rPr>
              <w:t>До</w:t>
            </w:r>
            <w:r w:rsidR="0050667A" w:rsidRPr="00465FD3">
              <w:rPr>
                <w:sz w:val="20"/>
              </w:rPr>
              <w:t xml:space="preserve"> поиска</w:t>
            </w:r>
          </w:p>
        </w:tc>
        <w:tc>
          <w:tcPr>
            <w:tcW w:w="1426" w:type="dxa"/>
            <w:shd w:val="clear" w:color="auto" w:fill="auto"/>
          </w:tcPr>
          <w:p w:rsidR="0050667A" w:rsidRPr="00465FD3" w:rsidRDefault="0050667A" w:rsidP="006A6C1D">
            <w:pPr>
              <w:rPr>
                <w:sz w:val="20"/>
              </w:rPr>
            </w:pPr>
            <w:r w:rsidRPr="00465FD3">
              <w:rPr>
                <w:sz w:val="20"/>
              </w:rPr>
              <w:t>Неприменимо</w:t>
            </w:r>
          </w:p>
        </w:tc>
        <w:tc>
          <w:tcPr>
            <w:tcW w:w="604" w:type="dxa"/>
          </w:tcPr>
          <w:p w:rsidR="0050667A" w:rsidRPr="00465FD3" w:rsidRDefault="0050667A" w:rsidP="006A6C1D">
            <w:pPr>
              <w:rPr>
                <w:sz w:val="20"/>
              </w:rPr>
            </w:pPr>
          </w:p>
        </w:tc>
        <w:tc>
          <w:tcPr>
            <w:tcW w:w="6118" w:type="dxa"/>
            <w:gridSpan w:val="6"/>
          </w:tcPr>
          <w:p w:rsidR="0050667A" w:rsidRPr="00465FD3" w:rsidRDefault="0050667A" w:rsidP="006A6C1D">
            <w:pPr>
              <w:rPr>
                <w:sz w:val="20"/>
              </w:rPr>
            </w:pPr>
            <w:r w:rsidRPr="00465FD3">
              <w:rPr>
                <w:sz w:val="20"/>
              </w:rPr>
              <w:t>Поскольку в настоящее время задачи по поиску и экспертизе выполняет один и тот же эксперт, CIPO не ведет отдельную статистику поиска.</w:t>
            </w:r>
          </w:p>
        </w:tc>
      </w:tr>
      <w:tr w:rsidR="0050667A" w:rsidRPr="00465FD3" w:rsidTr="0050667A">
        <w:trPr>
          <w:cantSplit/>
          <w:trHeight w:val="123"/>
        </w:trPr>
        <w:tc>
          <w:tcPr>
            <w:tcW w:w="1426" w:type="dxa"/>
            <w:vMerge w:val="restart"/>
            <w:shd w:val="clear" w:color="auto" w:fill="auto"/>
          </w:tcPr>
          <w:p w:rsidR="0050667A" w:rsidRPr="00465FD3" w:rsidRDefault="00D145FB" w:rsidP="00D145FB">
            <w:pPr>
              <w:rPr>
                <w:sz w:val="20"/>
              </w:rPr>
            </w:pPr>
            <w:r>
              <w:rPr>
                <w:sz w:val="20"/>
              </w:rPr>
              <w:t>До</w:t>
            </w:r>
            <w:r w:rsidR="0050667A" w:rsidRPr="00465FD3">
              <w:rPr>
                <w:sz w:val="20"/>
              </w:rPr>
              <w:t xml:space="preserve"> перв</w:t>
            </w:r>
            <w:r>
              <w:rPr>
                <w:sz w:val="20"/>
              </w:rPr>
              <w:t>ой</w:t>
            </w:r>
            <w:r w:rsidR="0050667A" w:rsidRPr="00465FD3">
              <w:rPr>
                <w:sz w:val="20"/>
              </w:rPr>
              <w:t xml:space="preserve"> экспертиз</w:t>
            </w:r>
            <w:r>
              <w:rPr>
                <w:sz w:val="20"/>
              </w:rPr>
              <w:t>ы</w:t>
            </w:r>
          </w:p>
        </w:tc>
        <w:tc>
          <w:tcPr>
            <w:tcW w:w="1426" w:type="dxa"/>
            <w:vMerge w:val="restart"/>
            <w:shd w:val="clear" w:color="auto" w:fill="auto"/>
          </w:tcPr>
          <w:p w:rsidR="0050667A" w:rsidRPr="00465FD3" w:rsidRDefault="00D145FB" w:rsidP="00D145FB">
            <w:pPr>
              <w:rPr>
                <w:sz w:val="20"/>
              </w:rPr>
            </w:pPr>
            <w:r>
              <w:rPr>
                <w:sz w:val="20"/>
              </w:rPr>
              <w:t>Ходатайство об</w:t>
            </w:r>
            <w:r w:rsidR="0050667A" w:rsidRPr="00465FD3">
              <w:rPr>
                <w:sz w:val="20"/>
              </w:rPr>
              <w:t xml:space="preserve"> экспертиз</w:t>
            </w:r>
            <w:r>
              <w:rPr>
                <w:sz w:val="20"/>
              </w:rPr>
              <w:t>е</w:t>
            </w:r>
          </w:p>
        </w:tc>
        <w:tc>
          <w:tcPr>
            <w:tcW w:w="2164" w:type="dxa"/>
            <w:gridSpan w:val="2"/>
          </w:tcPr>
          <w:p w:rsidR="0050667A" w:rsidRPr="00465FD3" w:rsidRDefault="0050667A" w:rsidP="006A6C1D">
            <w:pPr>
              <w:rPr>
                <w:sz w:val="20"/>
              </w:rPr>
            </w:pPr>
            <w:r w:rsidRPr="00465FD3">
              <w:rPr>
                <w:sz w:val="20"/>
              </w:rPr>
              <w:t>Зависит от дисциплины, но в среднем:</w:t>
            </w:r>
          </w:p>
        </w:tc>
        <w:tc>
          <w:tcPr>
            <w:tcW w:w="3192" w:type="dxa"/>
            <w:gridSpan w:val="4"/>
            <w:vMerge w:val="restart"/>
            <w:vAlign w:val="center"/>
          </w:tcPr>
          <w:p w:rsidR="0050667A" w:rsidRPr="00465FD3" w:rsidRDefault="0050667A" w:rsidP="006A6C1D">
            <w:pPr>
              <w:rPr>
                <w:i/>
                <w:sz w:val="20"/>
              </w:rPr>
            </w:pPr>
            <w:r w:rsidRPr="00465FD3">
              <w:rPr>
                <w:i/>
                <w:sz w:val="20"/>
              </w:rPr>
              <w:t>Данные недоступны</w:t>
            </w:r>
          </w:p>
        </w:tc>
        <w:tc>
          <w:tcPr>
            <w:tcW w:w="1366" w:type="dxa"/>
            <w:vAlign w:val="center"/>
          </w:tcPr>
          <w:p w:rsidR="0050667A" w:rsidRPr="00465FD3" w:rsidRDefault="0050667A" w:rsidP="006A6C1D">
            <w:pPr>
              <w:rPr>
                <w:sz w:val="20"/>
              </w:rPr>
            </w:pPr>
            <w:r w:rsidRPr="00465FD3">
              <w:rPr>
                <w:sz w:val="20"/>
              </w:rPr>
              <w:t>10,4</w:t>
            </w:r>
          </w:p>
        </w:tc>
      </w:tr>
      <w:tr w:rsidR="0050667A" w:rsidRPr="00465FD3" w:rsidTr="0050667A">
        <w:trPr>
          <w:cantSplit/>
          <w:trHeight w:val="123"/>
        </w:trPr>
        <w:tc>
          <w:tcPr>
            <w:tcW w:w="1426" w:type="dxa"/>
            <w:vMerge/>
            <w:shd w:val="clear" w:color="auto" w:fill="auto"/>
          </w:tcPr>
          <w:p w:rsidR="0050667A" w:rsidRPr="00465FD3" w:rsidRDefault="0050667A" w:rsidP="006A6C1D">
            <w:pPr>
              <w:rPr>
                <w:sz w:val="20"/>
              </w:rPr>
            </w:pPr>
          </w:p>
        </w:tc>
        <w:tc>
          <w:tcPr>
            <w:tcW w:w="1426" w:type="dxa"/>
            <w:vMerge/>
            <w:shd w:val="clear" w:color="auto" w:fill="auto"/>
          </w:tcPr>
          <w:p w:rsidR="0050667A" w:rsidRPr="00465FD3" w:rsidRDefault="0050667A" w:rsidP="006A6C1D">
            <w:pPr>
              <w:rPr>
                <w:sz w:val="20"/>
              </w:rPr>
            </w:pPr>
          </w:p>
        </w:tc>
        <w:tc>
          <w:tcPr>
            <w:tcW w:w="2164" w:type="dxa"/>
            <w:gridSpan w:val="2"/>
            <w:vAlign w:val="center"/>
          </w:tcPr>
          <w:p w:rsidR="0050667A" w:rsidRPr="00465FD3" w:rsidRDefault="0050667A" w:rsidP="006A6C1D">
            <w:pPr>
              <w:rPr>
                <w:sz w:val="20"/>
              </w:rPr>
            </w:pPr>
            <w:r w:rsidRPr="00465FD3">
              <w:rPr>
                <w:sz w:val="20"/>
              </w:rPr>
              <w:t>Механика</w:t>
            </w:r>
          </w:p>
        </w:tc>
        <w:tc>
          <w:tcPr>
            <w:tcW w:w="3192" w:type="dxa"/>
            <w:gridSpan w:val="4"/>
            <w:vMerge/>
          </w:tcPr>
          <w:p w:rsidR="0050667A" w:rsidRPr="00465FD3" w:rsidRDefault="0050667A" w:rsidP="006A6C1D">
            <w:pPr>
              <w:rPr>
                <w:sz w:val="20"/>
              </w:rPr>
            </w:pPr>
          </w:p>
        </w:tc>
        <w:tc>
          <w:tcPr>
            <w:tcW w:w="1366" w:type="dxa"/>
            <w:vAlign w:val="center"/>
          </w:tcPr>
          <w:p w:rsidR="0050667A" w:rsidRPr="00465FD3" w:rsidRDefault="0050667A" w:rsidP="006A6C1D">
            <w:pPr>
              <w:rPr>
                <w:sz w:val="20"/>
              </w:rPr>
            </w:pPr>
            <w:r w:rsidRPr="00465FD3">
              <w:rPr>
                <w:sz w:val="20"/>
              </w:rPr>
              <w:t>9,4</w:t>
            </w:r>
          </w:p>
        </w:tc>
      </w:tr>
      <w:tr w:rsidR="0050667A" w:rsidRPr="00465FD3" w:rsidTr="0050667A">
        <w:trPr>
          <w:cantSplit/>
          <w:trHeight w:val="123"/>
        </w:trPr>
        <w:tc>
          <w:tcPr>
            <w:tcW w:w="1426" w:type="dxa"/>
            <w:vMerge/>
            <w:shd w:val="clear" w:color="auto" w:fill="auto"/>
          </w:tcPr>
          <w:p w:rsidR="0050667A" w:rsidRPr="00465FD3" w:rsidRDefault="0050667A" w:rsidP="006A6C1D">
            <w:pPr>
              <w:rPr>
                <w:sz w:val="20"/>
              </w:rPr>
            </w:pPr>
          </w:p>
        </w:tc>
        <w:tc>
          <w:tcPr>
            <w:tcW w:w="1426" w:type="dxa"/>
            <w:vMerge/>
            <w:shd w:val="clear" w:color="auto" w:fill="auto"/>
          </w:tcPr>
          <w:p w:rsidR="0050667A" w:rsidRPr="00465FD3" w:rsidRDefault="0050667A" w:rsidP="006A6C1D">
            <w:pPr>
              <w:rPr>
                <w:sz w:val="20"/>
              </w:rPr>
            </w:pPr>
          </w:p>
        </w:tc>
        <w:tc>
          <w:tcPr>
            <w:tcW w:w="2164" w:type="dxa"/>
            <w:gridSpan w:val="2"/>
            <w:vAlign w:val="center"/>
          </w:tcPr>
          <w:p w:rsidR="0050667A" w:rsidRPr="00465FD3" w:rsidRDefault="0050667A" w:rsidP="006A6C1D">
            <w:pPr>
              <w:rPr>
                <w:sz w:val="20"/>
              </w:rPr>
            </w:pPr>
            <w:r w:rsidRPr="00465FD3">
              <w:rPr>
                <w:sz w:val="20"/>
              </w:rPr>
              <w:t>Электричество/электронные устройства</w:t>
            </w:r>
          </w:p>
        </w:tc>
        <w:tc>
          <w:tcPr>
            <w:tcW w:w="3192" w:type="dxa"/>
            <w:gridSpan w:val="4"/>
            <w:vMerge/>
          </w:tcPr>
          <w:p w:rsidR="0050667A" w:rsidRPr="00465FD3" w:rsidRDefault="0050667A" w:rsidP="006A6C1D">
            <w:pPr>
              <w:rPr>
                <w:sz w:val="20"/>
              </w:rPr>
            </w:pPr>
          </w:p>
        </w:tc>
        <w:tc>
          <w:tcPr>
            <w:tcW w:w="1366" w:type="dxa"/>
            <w:vAlign w:val="center"/>
          </w:tcPr>
          <w:p w:rsidR="0050667A" w:rsidRPr="00465FD3" w:rsidRDefault="0050667A" w:rsidP="006A6C1D">
            <w:pPr>
              <w:rPr>
                <w:sz w:val="20"/>
              </w:rPr>
            </w:pPr>
            <w:r w:rsidRPr="00465FD3">
              <w:rPr>
                <w:sz w:val="20"/>
              </w:rPr>
              <w:t>10,2</w:t>
            </w:r>
          </w:p>
        </w:tc>
      </w:tr>
      <w:tr w:rsidR="0050667A" w:rsidRPr="00465FD3" w:rsidTr="0050667A">
        <w:trPr>
          <w:cantSplit/>
          <w:trHeight w:val="123"/>
        </w:trPr>
        <w:tc>
          <w:tcPr>
            <w:tcW w:w="1426" w:type="dxa"/>
            <w:vMerge/>
            <w:shd w:val="clear" w:color="auto" w:fill="auto"/>
          </w:tcPr>
          <w:p w:rsidR="0050667A" w:rsidRPr="00465FD3" w:rsidRDefault="0050667A" w:rsidP="006A6C1D">
            <w:pPr>
              <w:rPr>
                <w:sz w:val="20"/>
              </w:rPr>
            </w:pPr>
          </w:p>
        </w:tc>
        <w:tc>
          <w:tcPr>
            <w:tcW w:w="1426" w:type="dxa"/>
            <w:vMerge/>
            <w:shd w:val="clear" w:color="auto" w:fill="auto"/>
          </w:tcPr>
          <w:p w:rsidR="0050667A" w:rsidRPr="00465FD3" w:rsidRDefault="0050667A" w:rsidP="006A6C1D">
            <w:pPr>
              <w:rPr>
                <w:sz w:val="20"/>
              </w:rPr>
            </w:pPr>
          </w:p>
        </w:tc>
        <w:tc>
          <w:tcPr>
            <w:tcW w:w="2164" w:type="dxa"/>
            <w:gridSpan w:val="2"/>
            <w:vAlign w:val="center"/>
          </w:tcPr>
          <w:p w:rsidR="0050667A" w:rsidRPr="00465FD3" w:rsidRDefault="0050667A" w:rsidP="006A6C1D">
            <w:pPr>
              <w:rPr>
                <w:sz w:val="20"/>
              </w:rPr>
            </w:pPr>
            <w:r w:rsidRPr="00465FD3">
              <w:rPr>
                <w:sz w:val="20"/>
              </w:rPr>
              <w:t>Химия</w:t>
            </w:r>
          </w:p>
        </w:tc>
        <w:tc>
          <w:tcPr>
            <w:tcW w:w="3192" w:type="dxa"/>
            <w:gridSpan w:val="4"/>
            <w:vMerge/>
          </w:tcPr>
          <w:p w:rsidR="0050667A" w:rsidRPr="00465FD3" w:rsidRDefault="0050667A" w:rsidP="006A6C1D">
            <w:pPr>
              <w:rPr>
                <w:sz w:val="20"/>
              </w:rPr>
            </w:pPr>
          </w:p>
        </w:tc>
        <w:tc>
          <w:tcPr>
            <w:tcW w:w="1366" w:type="dxa"/>
            <w:vAlign w:val="center"/>
          </w:tcPr>
          <w:p w:rsidR="0050667A" w:rsidRPr="00465FD3" w:rsidRDefault="0050667A" w:rsidP="006A6C1D">
            <w:pPr>
              <w:rPr>
                <w:sz w:val="20"/>
              </w:rPr>
            </w:pPr>
          </w:p>
        </w:tc>
      </w:tr>
      <w:tr w:rsidR="0050667A" w:rsidRPr="00465FD3" w:rsidTr="0050667A">
        <w:trPr>
          <w:cantSplit/>
          <w:trHeight w:val="123"/>
        </w:trPr>
        <w:tc>
          <w:tcPr>
            <w:tcW w:w="1426" w:type="dxa"/>
            <w:vMerge/>
            <w:shd w:val="clear" w:color="auto" w:fill="auto"/>
          </w:tcPr>
          <w:p w:rsidR="0050667A" w:rsidRPr="00465FD3" w:rsidRDefault="0050667A" w:rsidP="006A6C1D">
            <w:pPr>
              <w:rPr>
                <w:sz w:val="20"/>
              </w:rPr>
            </w:pPr>
          </w:p>
        </w:tc>
        <w:tc>
          <w:tcPr>
            <w:tcW w:w="1426" w:type="dxa"/>
            <w:vMerge/>
            <w:shd w:val="clear" w:color="auto" w:fill="auto"/>
          </w:tcPr>
          <w:p w:rsidR="0050667A" w:rsidRPr="00465FD3" w:rsidRDefault="0050667A" w:rsidP="006A6C1D">
            <w:pPr>
              <w:rPr>
                <w:sz w:val="20"/>
              </w:rPr>
            </w:pPr>
          </w:p>
        </w:tc>
        <w:tc>
          <w:tcPr>
            <w:tcW w:w="2164" w:type="dxa"/>
            <w:gridSpan w:val="2"/>
            <w:vAlign w:val="center"/>
          </w:tcPr>
          <w:p w:rsidR="0050667A" w:rsidRPr="00465FD3" w:rsidRDefault="0050667A" w:rsidP="006A6C1D">
            <w:pPr>
              <w:rPr>
                <w:sz w:val="20"/>
              </w:rPr>
            </w:pPr>
            <w:r w:rsidRPr="00465FD3">
              <w:rPr>
                <w:sz w:val="20"/>
              </w:rPr>
              <w:t xml:space="preserve">   Общая</w:t>
            </w:r>
          </w:p>
          <w:p w:rsidR="0050667A" w:rsidRPr="00465FD3" w:rsidRDefault="0050667A" w:rsidP="006A6C1D">
            <w:pPr>
              <w:rPr>
                <w:sz w:val="20"/>
              </w:rPr>
            </w:pPr>
            <w:r w:rsidRPr="00465FD3">
              <w:rPr>
                <w:sz w:val="20"/>
              </w:rPr>
              <w:t xml:space="preserve">   химия</w:t>
            </w:r>
          </w:p>
        </w:tc>
        <w:tc>
          <w:tcPr>
            <w:tcW w:w="3192" w:type="dxa"/>
            <w:gridSpan w:val="4"/>
            <w:vMerge/>
          </w:tcPr>
          <w:p w:rsidR="0050667A" w:rsidRPr="00465FD3" w:rsidRDefault="0050667A" w:rsidP="006A6C1D">
            <w:pPr>
              <w:rPr>
                <w:sz w:val="20"/>
              </w:rPr>
            </w:pPr>
          </w:p>
        </w:tc>
        <w:tc>
          <w:tcPr>
            <w:tcW w:w="1366" w:type="dxa"/>
            <w:vAlign w:val="center"/>
          </w:tcPr>
          <w:p w:rsidR="0050667A" w:rsidRPr="00465FD3" w:rsidRDefault="0050667A" w:rsidP="006A6C1D">
            <w:pPr>
              <w:rPr>
                <w:sz w:val="20"/>
              </w:rPr>
            </w:pPr>
            <w:r w:rsidRPr="00465FD3">
              <w:rPr>
                <w:sz w:val="20"/>
              </w:rPr>
              <w:t>11,2</w:t>
            </w:r>
          </w:p>
        </w:tc>
      </w:tr>
      <w:tr w:rsidR="0050667A" w:rsidRPr="00465FD3" w:rsidTr="0050667A">
        <w:trPr>
          <w:cantSplit/>
          <w:trHeight w:val="123"/>
        </w:trPr>
        <w:tc>
          <w:tcPr>
            <w:tcW w:w="1426" w:type="dxa"/>
            <w:vMerge/>
            <w:tcBorders>
              <w:bottom w:val="nil"/>
            </w:tcBorders>
            <w:shd w:val="clear" w:color="auto" w:fill="auto"/>
          </w:tcPr>
          <w:p w:rsidR="0050667A" w:rsidRPr="00465FD3" w:rsidRDefault="0050667A" w:rsidP="006A6C1D">
            <w:pPr>
              <w:rPr>
                <w:sz w:val="20"/>
              </w:rPr>
            </w:pPr>
          </w:p>
        </w:tc>
        <w:tc>
          <w:tcPr>
            <w:tcW w:w="1426" w:type="dxa"/>
            <w:vMerge/>
            <w:tcBorders>
              <w:bottom w:val="nil"/>
            </w:tcBorders>
            <w:shd w:val="clear" w:color="auto" w:fill="auto"/>
          </w:tcPr>
          <w:p w:rsidR="0050667A" w:rsidRPr="00465FD3" w:rsidRDefault="0050667A" w:rsidP="006A6C1D">
            <w:pPr>
              <w:rPr>
                <w:sz w:val="20"/>
              </w:rPr>
            </w:pPr>
          </w:p>
        </w:tc>
        <w:tc>
          <w:tcPr>
            <w:tcW w:w="2164" w:type="dxa"/>
            <w:gridSpan w:val="2"/>
            <w:vAlign w:val="center"/>
          </w:tcPr>
          <w:p w:rsidR="0050667A" w:rsidRPr="00465FD3" w:rsidRDefault="0050667A" w:rsidP="006A6C1D">
            <w:pPr>
              <w:rPr>
                <w:sz w:val="20"/>
              </w:rPr>
            </w:pPr>
            <w:r w:rsidRPr="00465FD3">
              <w:rPr>
                <w:sz w:val="20"/>
              </w:rPr>
              <w:t xml:space="preserve">   Органическая </w:t>
            </w:r>
          </w:p>
          <w:p w:rsidR="0050667A" w:rsidRPr="00465FD3" w:rsidRDefault="0050667A" w:rsidP="006A6C1D">
            <w:pPr>
              <w:rPr>
                <w:sz w:val="20"/>
              </w:rPr>
            </w:pPr>
            <w:r w:rsidRPr="00465FD3">
              <w:rPr>
                <w:sz w:val="20"/>
              </w:rPr>
              <w:t xml:space="preserve">   химия</w:t>
            </w:r>
          </w:p>
        </w:tc>
        <w:tc>
          <w:tcPr>
            <w:tcW w:w="3192" w:type="dxa"/>
            <w:gridSpan w:val="4"/>
            <w:vMerge/>
          </w:tcPr>
          <w:p w:rsidR="0050667A" w:rsidRPr="00465FD3" w:rsidRDefault="0050667A" w:rsidP="006A6C1D">
            <w:pPr>
              <w:rPr>
                <w:sz w:val="20"/>
              </w:rPr>
            </w:pPr>
          </w:p>
        </w:tc>
        <w:tc>
          <w:tcPr>
            <w:tcW w:w="1366" w:type="dxa"/>
            <w:vAlign w:val="center"/>
          </w:tcPr>
          <w:p w:rsidR="0050667A" w:rsidRPr="00465FD3" w:rsidRDefault="0050667A" w:rsidP="006A6C1D">
            <w:pPr>
              <w:rPr>
                <w:sz w:val="20"/>
              </w:rPr>
            </w:pPr>
            <w:r w:rsidRPr="00465FD3">
              <w:rPr>
                <w:sz w:val="20"/>
              </w:rPr>
              <w:t>11,1</w:t>
            </w:r>
          </w:p>
        </w:tc>
      </w:tr>
      <w:tr w:rsidR="0050667A" w:rsidRPr="00465FD3" w:rsidTr="0050667A">
        <w:trPr>
          <w:cantSplit/>
          <w:trHeight w:val="123"/>
        </w:trPr>
        <w:tc>
          <w:tcPr>
            <w:tcW w:w="1426" w:type="dxa"/>
            <w:tcBorders>
              <w:top w:val="nil"/>
              <w:left w:val="single" w:sz="4" w:space="0" w:color="auto"/>
              <w:bottom w:val="single" w:sz="4" w:space="0" w:color="auto"/>
              <w:right w:val="single" w:sz="4" w:space="0" w:color="auto"/>
            </w:tcBorders>
            <w:shd w:val="clear" w:color="auto" w:fill="auto"/>
          </w:tcPr>
          <w:p w:rsidR="0050667A" w:rsidRPr="00465FD3" w:rsidRDefault="0050667A" w:rsidP="006A6C1D">
            <w:pPr>
              <w:rPr>
                <w:sz w:val="20"/>
              </w:rPr>
            </w:pPr>
          </w:p>
        </w:tc>
        <w:tc>
          <w:tcPr>
            <w:tcW w:w="1426" w:type="dxa"/>
            <w:tcBorders>
              <w:top w:val="nil"/>
              <w:left w:val="single" w:sz="4" w:space="0" w:color="auto"/>
              <w:bottom w:val="single" w:sz="4" w:space="0" w:color="auto"/>
              <w:right w:val="single" w:sz="4" w:space="0" w:color="auto"/>
            </w:tcBorders>
            <w:shd w:val="clear" w:color="auto" w:fill="auto"/>
          </w:tcPr>
          <w:p w:rsidR="0050667A" w:rsidRPr="00465FD3" w:rsidRDefault="0050667A" w:rsidP="006A6C1D">
            <w:pPr>
              <w:rPr>
                <w:sz w:val="20"/>
              </w:rPr>
            </w:pPr>
          </w:p>
        </w:tc>
        <w:tc>
          <w:tcPr>
            <w:tcW w:w="2164" w:type="dxa"/>
            <w:gridSpan w:val="2"/>
            <w:tcBorders>
              <w:left w:val="single" w:sz="4" w:space="0" w:color="auto"/>
            </w:tcBorders>
            <w:vAlign w:val="center"/>
          </w:tcPr>
          <w:p w:rsidR="0050667A" w:rsidRPr="00465FD3" w:rsidRDefault="0050667A" w:rsidP="006A6C1D">
            <w:pPr>
              <w:rPr>
                <w:sz w:val="20"/>
              </w:rPr>
            </w:pPr>
            <w:r w:rsidRPr="00465FD3">
              <w:rPr>
                <w:sz w:val="20"/>
              </w:rPr>
              <w:t>Биотехнологии</w:t>
            </w:r>
          </w:p>
        </w:tc>
        <w:tc>
          <w:tcPr>
            <w:tcW w:w="3192" w:type="dxa"/>
            <w:gridSpan w:val="4"/>
            <w:vMerge/>
          </w:tcPr>
          <w:p w:rsidR="0050667A" w:rsidRPr="00465FD3" w:rsidRDefault="0050667A" w:rsidP="006A6C1D">
            <w:pPr>
              <w:rPr>
                <w:sz w:val="20"/>
              </w:rPr>
            </w:pPr>
          </w:p>
        </w:tc>
        <w:tc>
          <w:tcPr>
            <w:tcW w:w="1366" w:type="dxa"/>
            <w:vAlign w:val="center"/>
          </w:tcPr>
          <w:p w:rsidR="0050667A" w:rsidRPr="00465FD3" w:rsidRDefault="0050667A" w:rsidP="006A6C1D">
            <w:pPr>
              <w:rPr>
                <w:sz w:val="20"/>
              </w:rPr>
            </w:pPr>
            <w:r w:rsidRPr="00465FD3">
              <w:rPr>
                <w:sz w:val="20"/>
              </w:rPr>
              <w:t>10,2</w:t>
            </w:r>
          </w:p>
        </w:tc>
      </w:tr>
      <w:tr w:rsidR="0050667A" w:rsidRPr="00465FD3" w:rsidTr="0050667A">
        <w:trPr>
          <w:cantSplit/>
          <w:trHeight w:val="123"/>
        </w:trPr>
        <w:tc>
          <w:tcPr>
            <w:tcW w:w="1426" w:type="dxa"/>
            <w:vMerge w:val="restart"/>
            <w:tcBorders>
              <w:top w:val="single" w:sz="4" w:space="0" w:color="auto"/>
            </w:tcBorders>
            <w:shd w:val="clear" w:color="auto" w:fill="auto"/>
          </w:tcPr>
          <w:p w:rsidR="0050667A" w:rsidRPr="00465FD3" w:rsidRDefault="00D145FB" w:rsidP="00530D24">
            <w:pPr>
              <w:keepNext/>
              <w:rPr>
                <w:sz w:val="20"/>
              </w:rPr>
            </w:pPr>
            <w:r>
              <w:rPr>
                <w:sz w:val="20"/>
              </w:rPr>
              <w:t>До</w:t>
            </w:r>
            <w:r w:rsidR="0050667A" w:rsidRPr="00465FD3">
              <w:rPr>
                <w:sz w:val="20"/>
              </w:rPr>
              <w:t xml:space="preserve"> выдачи</w:t>
            </w:r>
          </w:p>
        </w:tc>
        <w:tc>
          <w:tcPr>
            <w:tcW w:w="1426" w:type="dxa"/>
            <w:vMerge w:val="restart"/>
            <w:tcBorders>
              <w:top w:val="single" w:sz="4" w:space="0" w:color="auto"/>
            </w:tcBorders>
            <w:shd w:val="clear" w:color="auto" w:fill="auto"/>
          </w:tcPr>
          <w:p w:rsidR="0050667A" w:rsidRPr="00465FD3" w:rsidRDefault="00D145FB" w:rsidP="00D145FB">
            <w:pPr>
              <w:keepNext/>
              <w:rPr>
                <w:sz w:val="20"/>
              </w:rPr>
            </w:pPr>
            <w:r>
              <w:rPr>
                <w:sz w:val="20"/>
              </w:rPr>
              <w:t xml:space="preserve">Ходатайство об </w:t>
            </w:r>
            <w:r w:rsidR="0050667A" w:rsidRPr="00465FD3">
              <w:rPr>
                <w:sz w:val="20"/>
              </w:rPr>
              <w:t>экспертиз</w:t>
            </w:r>
            <w:r>
              <w:rPr>
                <w:sz w:val="20"/>
              </w:rPr>
              <w:t>е</w:t>
            </w:r>
          </w:p>
        </w:tc>
        <w:tc>
          <w:tcPr>
            <w:tcW w:w="2164" w:type="dxa"/>
            <w:gridSpan w:val="2"/>
            <w:vAlign w:val="center"/>
          </w:tcPr>
          <w:p w:rsidR="0050667A" w:rsidRPr="00465FD3" w:rsidRDefault="0050667A" w:rsidP="00530D24">
            <w:pPr>
              <w:keepNext/>
              <w:rPr>
                <w:sz w:val="20"/>
              </w:rPr>
            </w:pPr>
            <w:r w:rsidRPr="00465FD3">
              <w:rPr>
                <w:sz w:val="20"/>
              </w:rPr>
              <w:t xml:space="preserve">Зависит от дисциплины, но в среднем: </w:t>
            </w:r>
          </w:p>
        </w:tc>
        <w:tc>
          <w:tcPr>
            <w:tcW w:w="749" w:type="dxa"/>
            <w:vAlign w:val="center"/>
          </w:tcPr>
          <w:p w:rsidR="0050667A" w:rsidRPr="00465FD3" w:rsidRDefault="0050667A" w:rsidP="00530D24">
            <w:pPr>
              <w:keepNext/>
              <w:rPr>
                <w:sz w:val="20"/>
              </w:rPr>
            </w:pPr>
            <w:r w:rsidRPr="00465FD3">
              <w:rPr>
                <w:sz w:val="20"/>
              </w:rPr>
              <w:t>48,4</w:t>
            </w:r>
          </w:p>
        </w:tc>
        <w:tc>
          <w:tcPr>
            <w:tcW w:w="783" w:type="dxa"/>
            <w:vAlign w:val="center"/>
          </w:tcPr>
          <w:p w:rsidR="0050667A" w:rsidRPr="00465FD3" w:rsidRDefault="0050667A" w:rsidP="00530D24">
            <w:pPr>
              <w:keepNext/>
              <w:rPr>
                <w:sz w:val="20"/>
              </w:rPr>
            </w:pPr>
            <w:r w:rsidRPr="00465FD3">
              <w:rPr>
                <w:sz w:val="20"/>
              </w:rPr>
              <w:t>45,7</w:t>
            </w:r>
          </w:p>
        </w:tc>
        <w:tc>
          <w:tcPr>
            <w:tcW w:w="777" w:type="dxa"/>
            <w:vAlign w:val="center"/>
          </w:tcPr>
          <w:p w:rsidR="0050667A" w:rsidRPr="00465FD3" w:rsidRDefault="0050667A" w:rsidP="00530D24">
            <w:pPr>
              <w:keepNext/>
              <w:rPr>
                <w:sz w:val="20"/>
              </w:rPr>
            </w:pPr>
            <w:r w:rsidRPr="00465FD3">
              <w:rPr>
                <w:sz w:val="20"/>
              </w:rPr>
              <w:t>42,7</w:t>
            </w:r>
          </w:p>
        </w:tc>
        <w:tc>
          <w:tcPr>
            <w:tcW w:w="883" w:type="dxa"/>
            <w:vAlign w:val="center"/>
          </w:tcPr>
          <w:p w:rsidR="0050667A" w:rsidRPr="00465FD3" w:rsidRDefault="0050667A" w:rsidP="00530D24">
            <w:pPr>
              <w:keepNext/>
              <w:rPr>
                <w:sz w:val="20"/>
              </w:rPr>
            </w:pPr>
            <w:r w:rsidRPr="00465FD3">
              <w:rPr>
                <w:sz w:val="20"/>
              </w:rPr>
              <w:t>40,3</w:t>
            </w:r>
          </w:p>
        </w:tc>
        <w:tc>
          <w:tcPr>
            <w:tcW w:w="1366" w:type="dxa"/>
            <w:shd w:val="clear" w:color="auto" w:fill="auto"/>
            <w:vAlign w:val="center"/>
          </w:tcPr>
          <w:p w:rsidR="0050667A" w:rsidRPr="00465FD3" w:rsidRDefault="0050667A" w:rsidP="00530D24">
            <w:pPr>
              <w:keepNext/>
              <w:rPr>
                <w:sz w:val="20"/>
              </w:rPr>
            </w:pPr>
            <w:r w:rsidRPr="00465FD3">
              <w:rPr>
                <w:sz w:val="20"/>
              </w:rPr>
              <w:t>35,7</w:t>
            </w:r>
          </w:p>
        </w:tc>
      </w:tr>
      <w:tr w:rsidR="0050667A" w:rsidRPr="00465FD3" w:rsidTr="0050667A">
        <w:trPr>
          <w:cantSplit/>
          <w:trHeight w:val="123"/>
        </w:trPr>
        <w:tc>
          <w:tcPr>
            <w:tcW w:w="1426" w:type="dxa"/>
            <w:vMerge/>
            <w:shd w:val="clear" w:color="auto" w:fill="auto"/>
          </w:tcPr>
          <w:p w:rsidR="0050667A" w:rsidRPr="00465FD3" w:rsidRDefault="0050667A" w:rsidP="00530D24">
            <w:pPr>
              <w:keepNext/>
              <w:rPr>
                <w:sz w:val="20"/>
              </w:rPr>
            </w:pPr>
          </w:p>
        </w:tc>
        <w:tc>
          <w:tcPr>
            <w:tcW w:w="1426" w:type="dxa"/>
            <w:vMerge/>
            <w:shd w:val="clear" w:color="auto" w:fill="auto"/>
          </w:tcPr>
          <w:p w:rsidR="0050667A" w:rsidRPr="00465FD3" w:rsidRDefault="0050667A" w:rsidP="00530D24">
            <w:pPr>
              <w:keepNext/>
              <w:rPr>
                <w:sz w:val="20"/>
              </w:rPr>
            </w:pPr>
          </w:p>
        </w:tc>
        <w:tc>
          <w:tcPr>
            <w:tcW w:w="2164" w:type="dxa"/>
            <w:gridSpan w:val="2"/>
            <w:vAlign w:val="center"/>
          </w:tcPr>
          <w:p w:rsidR="0050667A" w:rsidRPr="00465FD3" w:rsidRDefault="0050667A" w:rsidP="00530D24">
            <w:pPr>
              <w:keepNext/>
              <w:rPr>
                <w:sz w:val="20"/>
              </w:rPr>
            </w:pPr>
            <w:r w:rsidRPr="00465FD3">
              <w:rPr>
                <w:sz w:val="20"/>
              </w:rPr>
              <w:t>Механика</w:t>
            </w:r>
          </w:p>
        </w:tc>
        <w:tc>
          <w:tcPr>
            <w:tcW w:w="3192" w:type="dxa"/>
            <w:gridSpan w:val="4"/>
            <w:vMerge w:val="restart"/>
            <w:vAlign w:val="center"/>
          </w:tcPr>
          <w:p w:rsidR="0050667A" w:rsidRPr="00465FD3" w:rsidRDefault="0050667A" w:rsidP="00530D24">
            <w:pPr>
              <w:keepNext/>
              <w:rPr>
                <w:i/>
                <w:sz w:val="20"/>
              </w:rPr>
            </w:pPr>
            <w:r w:rsidRPr="00465FD3">
              <w:rPr>
                <w:i/>
                <w:sz w:val="20"/>
              </w:rPr>
              <w:t>Данные недоступны</w:t>
            </w:r>
          </w:p>
        </w:tc>
        <w:tc>
          <w:tcPr>
            <w:tcW w:w="1366" w:type="dxa"/>
            <w:shd w:val="clear" w:color="auto" w:fill="auto"/>
            <w:vAlign w:val="center"/>
          </w:tcPr>
          <w:p w:rsidR="0050667A" w:rsidRPr="00465FD3" w:rsidRDefault="0050667A" w:rsidP="00530D24">
            <w:pPr>
              <w:keepNext/>
              <w:rPr>
                <w:sz w:val="20"/>
              </w:rPr>
            </w:pPr>
            <w:r w:rsidRPr="00465FD3">
              <w:rPr>
                <w:sz w:val="20"/>
              </w:rPr>
              <w:t>28,3</w:t>
            </w:r>
          </w:p>
        </w:tc>
      </w:tr>
      <w:tr w:rsidR="0050667A" w:rsidRPr="00465FD3" w:rsidTr="0050667A">
        <w:trPr>
          <w:cantSplit/>
          <w:trHeight w:val="123"/>
        </w:trPr>
        <w:tc>
          <w:tcPr>
            <w:tcW w:w="1426" w:type="dxa"/>
            <w:vMerge/>
            <w:shd w:val="clear" w:color="auto" w:fill="auto"/>
          </w:tcPr>
          <w:p w:rsidR="0050667A" w:rsidRPr="00465FD3" w:rsidRDefault="0050667A" w:rsidP="00530D24">
            <w:pPr>
              <w:keepNext/>
              <w:rPr>
                <w:sz w:val="20"/>
              </w:rPr>
            </w:pPr>
          </w:p>
        </w:tc>
        <w:tc>
          <w:tcPr>
            <w:tcW w:w="1426" w:type="dxa"/>
            <w:vMerge/>
            <w:shd w:val="clear" w:color="auto" w:fill="auto"/>
          </w:tcPr>
          <w:p w:rsidR="0050667A" w:rsidRPr="00465FD3" w:rsidRDefault="0050667A" w:rsidP="00530D24">
            <w:pPr>
              <w:keepNext/>
              <w:rPr>
                <w:sz w:val="20"/>
              </w:rPr>
            </w:pPr>
          </w:p>
        </w:tc>
        <w:tc>
          <w:tcPr>
            <w:tcW w:w="2164" w:type="dxa"/>
            <w:gridSpan w:val="2"/>
            <w:vAlign w:val="center"/>
          </w:tcPr>
          <w:p w:rsidR="0050667A" w:rsidRPr="00465FD3" w:rsidRDefault="0050667A" w:rsidP="00530D24">
            <w:pPr>
              <w:keepNext/>
              <w:rPr>
                <w:sz w:val="20"/>
              </w:rPr>
            </w:pPr>
            <w:r w:rsidRPr="00465FD3">
              <w:rPr>
                <w:sz w:val="20"/>
              </w:rPr>
              <w:t>Электричество/электронные устройства</w:t>
            </w:r>
          </w:p>
        </w:tc>
        <w:tc>
          <w:tcPr>
            <w:tcW w:w="3192" w:type="dxa"/>
            <w:gridSpan w:val="4"/>
            <w:vMerge/>
          </w:tcPr>
          <w:p w:rsidR="0050667A" w:rsidRPr="00465FD3" w:rsidRDefault="0050667A" w:rsidP="00530D24">
            <w:pPr>
              <w:keepNext/>
              <w:rPr>
                <w:sz w:val="20"/>
              </w:rPr>
            </w:pPr>
          </w:p>
        </w:tc>
        <w:tc>
          <w:tcPr>
            <w:tcW w:w="1366" w:type="dxa"/>
            <w:shd w:val="clear" w:color="auto" w:fill="auto"/>
            <w:vAlign w:val="center"/>
          </w:tcPr>
          <w:p w:rsidR="0050667A" w:rsidRPr="00465FD3" w:rsidRDefault="0050667A" w:rsidP="00530D24">
            <w:pPr>
              <w:keepNext/>
              <w:rPr>
                <w:sz w:val="20"/>
              </w:rPr>
            </w:pPr>
            <w:r w:rsidRPr="00465FD3">
              <w:rPr>
                <w:sz w:val="20"/>
              </w:rPr>
              <w:t>42,1</w:t>
            </w:r>
          </w:p>
        </w:tc>
      </w:tr>
      <w:tr w:rsidR="0050667A" w:rsidRPr="00465FD3" w:rsidTr="0050667A">
        <w:trPr>
          <w:cantSplit/>
          <w:trHeight w:val="123"/>
        </w:trPr>
        <w:tc>
          <w:tcPr>
            <w:tcW w:w="1426" w:type="dxa"/>
            <w:vMerge/>
            <w:shd w:val="clear" w:color="auto" w:fill="auto"/>
          </w:tcPr>
          <w:p w:rsidR="0050667A" w:rsidRPr="00465FD3" w:rsidRDefault="0050667A" w:rsidP="00530D24">
            <w:pPr>
              <w:keepNext/>
              <w:rPr>
                <w:sz w:val="20"/>
              </w:rPr>
            </w:pPr>
          </w:p>
        </w:tc>
        <w:tc>
          <w:tcPr>
            <w:tcW w:w="1426" w:type="dxa"/>
            <w:vMerge/>
            <w:shd w:val="clear" w:color="auto" w:fill="auto"/>
          </w:tcPr>
          <w:p w:rsidR="0050667A" w:rsidRPr="00465FD3" w:rsidRDefault="0050667A" w:rsidP="00530D24">
            <w:pPr>
              <w:keepNext/>
              <w:rPr>
                <w:sz w:val="20"/>
              </w:rPr>
            </w:pPr>
          </w:p>
        </w:tc>
        <w:tc>
          <w:tcPr>
            <w:tcW w:w="2164" w:type="dxa"/>
            <w:gridSpan w:val="2"/>
            <w:vAlign w:val="center"/>
          </w:tcPr>
          <w:p w:rsidR="0050667A" w:rsidRPr="00465FD3" w:rsidRDefault="0050667A" w:rsidP="00530D24">
            <w:pPr>
              <w:keepNext/>
              <w:rPr>
                <w:sz w:val="20"/>
              </w:rPr>
            </w:pPr>
            <w:r w:rsidRPr="00465FD3">
              <w:rPr>
                <w:sz w:val="20"/>
              </w:rPr>
              <w:t>химия</w:t>
            </w:r>
          </w:p>
        </w:tc>
        <w:tc>
          <w:tcPr>
            <w:tcW w:w="3192" w:type="dxa"/>
            <w:gridSpan w:val="4"/>
            <w:vMerge/>
          </w:tcPr>
          <w:p w:rsidR="0050667A" w:rsidRPr="00465FD3" w:rsidRDefault="0050667A" w:rsidP="00530D24">
            <w:pPr>
              <w:keepNext/>
              <w:rPr>
                <w:sz w:val="20"/>
              </w:rPr>
            </w:pPr>
          </w:p>
        </w:tc>
        <w:tc>
          <w:tcPr>
            <w:tcW w:w="1366" w:type="dxa"/>
            <w:shd w:val="clear" w:color="auto" w:fill="auto"/>
            <w:vAlign w:val="center"/>
          </w:tcPr>
          <w:p w:rsidR="0050667A" w:rsidRPr="00465FD3" w:rsidRDefault="0050667A" w:rsidP="00530D24">
            <w:pPr>
              <w:keepNext/>
              <w:rPr>
                <w:sz w:val="20"/>
              </w:rPr>
            </w:pPr>
          </w:p>
        </w:tc>
      </w:tr>
      <w:tr w:rsidR="0050667A" w:rsidRPr="00465FD3" w:rsidTr="0050667A">
        <w:trPr>
          <w:cantSplit/>
          <w:trHeight w:val="123"/>
        </w:trPr>
        <w:tc>
          <w:tcPr>
            <w:tcW w:w="1426" w:type="dxa"/>
            <w:vMerge/>
            <w:shd w:val="clear" w:color="auto" w:fill="auto"/>
          </w:tcPr>
          <w:p w:rsidR="0050667A" w:rsidRPr="00465FD3" w:rsidRDefault="0050667A" w:rsidP="00530D24">
            <w:pPr>
              <w:keepNext/>
              <w:rPr>
                <w:sz w:val="20"/>
              </w:rPr>
            </w:pPr>
          </w:p>
        </w:tc>
        <w:tc>
          <w:tcPr>
            <w:tcW w:w="1426" w:type="dxa"/>
            <w:vMerge/>
            <w:shd w:val="clear" w:color="auto" w:fill="auto"/>
          </w:tcPr>
          <w:p w:rsidR="0050667A" w:rsidRPr="00465FD3" w:rsidRDefault="0050667A" w:rsidP="00530D24">
            <w:pPr>
              <w:keepNext/>
              <w:rPr>
                <w:sz w:val="20"/>
              </w:rPr>
            </w:pPr>
          </w:p>
        </w:tc>
        <w:tc>
          <w:tcPr>
            <w:tcW w:w="2164" w:type="dxa"/>
            <w:gridSpan w:val="2"/>
            <w:vAlign w:val="center"/>
          </w:tcPr>
          <w:p w:rsidR="0050667A" w:rsidRPr="00465FD3" w:rsidRDefault="0050667A" w:rsidP="00530D24">
            <w:pPr>
              <w:keepNext/>
              <w:rPr>
                <w:sz w:val="20"/>
              </w:rPr>
            </w:pPr>
            <w:r w:rsidRPr="00465FD3">
              <w:rPr>
                <w:sz w:val="20"/>
              </w:rPr>
              <w:t xml:space="preserve">   Общая</w:t>
            </w:r>
          </w:p>
          <w:p w:rsidR="0050667A" w:rsidRPr="00465FD3" w:rsidRDefault="0050667A" w:rsidP="00530D24">
            <w:pPr>
              <w:keepNext/>
              <w:rPr>
                <w:sz w:val="20"/>
              </w:rPr>
            </w:pPr>
            <w:r w:rsidRPr="00465FD3">
              <w:rPr>
                <w:sz w:val="20"/>
              </w:rPr>
              <w:t xml:space="preserve">   химия</w:t>
            </w:r>
          </w:p>
        </w:tc>
        <w:tc>
          <w:tcPr>
            <w:tcW w:w="3192" w:type="dxa"/>
            <w:gridSpan w:val="4"/>
            <w:vMerge/>
          </w:tcPr>
          <w:p w:rsidR="0050667A" w:rsidRPr="00465FD3" w:rsidRDefault="0050667A" w:rsidP="00530D24">
            <w:pPr>
              <w:keepNext/>
              <w:rPr>
                <w:sz w:val="20"/>
              </w:rPr>
            </w:pPr>
          </w:p>
        </w:tc>
        <w:tc>
          <w:tcPr>
            <w:tcW w:w="1366" w:type="dxa"/>
            <w:shd w:val="clear" w:color="auto" w:fill="auto"/>
            <w:vAlign w:val="center"/>
          </w:tcPr>
          <w:p w:rsidR="0050667A" w:rsidRPr="00465FD3" w:rsidRDefault="0050667A" w:rsidP="00530D24">
            <w:pPr>
              <w:keepNext/>
              <w:rPr>
                <w:sz w:val="20"/>
              </w:rPr>
            </w:pPr>
            <w:r w:rsidRPr="00465FD3">
              <w:rPr>
                <w:sz w:val="20"/>
              </w:rPr>
              <w:t>33,5</w:t>
            </w:r>
          </w:p>
        </w:tc>
      </w:tr>
      <w:tr w:rsidR="0050667A" w:rsidRPr="00465FD3" w:rsidTr="0050667A">
        <w:trPr>
          <w:cantSplit/>
          <w:trHeight w:val="123"/>
        </w:trPr>
        <w:tc>
          <w:tcPr>
            <w:tcW w:w="1426" w:type="dxa"/>
            <w:vMerge/>
            <w:tcBorders>
              <w:bottom w:val="nil"/>
            </w:tcBorders>
            <w:shd w:val="clear" w:color="auto" w:fill="auto"/>
          </w:tcPr>
          <w:p w:rsidR="0050667A" w:rsidRPr="00465FD3" w:rsidRDefault="0050667A" w:rsidP="00530D24">
            <w:pPr>
              <w:keepNext/>
              <w:rPr>
                <w:sz w:val="20"/>
              </w:rPr>
            </w:pPr>
          </w:p>
        </w:tc>
        <w:tc>
          <w:tcPr>
            <w:tcW w:w="1426" w:type="dxa"/>
            <w:vMerge/>
            <w:tcBorders>
              <w:bottom w:val="nil"/>
            </w:tcBorders>
            <w:shd w:val="clear" w:color="auto" w:fill="auto"/>
          </w:tcPr>
          <w:p w:rsidR="0050667A" w:rsidRPr="00465FD3" w:rsidRDefault="0050667A" w:rsidP="00530D24">
            <w:pPr>
              <w:keepNext/>
              <w:rPr>
                <w:sz w:val="20"/>
              </w:rPr>
            </w:pPr>
          </w:p>
        </w:tc>
        <w:tc>
          <w:tcPr>
            <w:tcW w:w="2164" w:type="dxa"/>
            <w:gridSpan w:val="2"/>
            <w:vAlign w:val="center"/>
          </w:tcPr>
          <w:p w:rsidR="0050667A" w:rsidRPr="00465FD3" w:rsidRDefault="0050667A" w:rsidP="00530D24">
            <w:pPr>
              <w:keepNext/>
              <w:rPr>
                <w:sz w:val="20"/>
              </w:rPr>
            </w:pPr>
            <w:r w:rsidRPr="00465FD3">
              <w:rPr>
                <w:sz w:val="20"/>
              </w:rPr>
              <w:t xml:space="preserve">   Органическая</w:t>
            </w:r>
          </w:p>
          <w:p w:rsidR="0050667A" w:rsidRPr="00465FD3" w:rsidRDefault="0050667A" w:rsidP="00530D24">
            <w:pPr>
              <w:keepNext/>
              <w:rPr>
                <w:sz w:val="20"/>
              </w:rPr>
            </w:pPr>
            <w:r w:rsidRPr="00465FD3">
              <w:rPr>
                <w:sz w:val="20"/>
              </w:rPr>
              <w:t xml:space="preserve">   </w:t>
            </w:r>
            <w:r w:rsidR="00315792" w:rsidRPr="00465FD3">
              <w:rPr>
                <w:sz w:val="20"/>
              </w:rPr>
              <w:t>Х</w:t>
            </w:r>
            <w:r w:rsidRPr="00465FD3">
              <w:rPr>
                <w:sz w:val="20"/>
              </w:rPr>
              <w:t>имия</w:t>
            </w:r>
          </w:p>
        </w:tc>
        <w:tc>
          <w:tcPr>
            <w:tcW w:w="3192" w:type="dxa"/>
            <w:gridSpan w:val="4"/>
            <w:vMerge/>
          </w:tcPr>
          <w:p w:rsidR="0050667A" w:rsidRPr="00465FD3" w:rsidRDefault="0050667A" w:rsidP="00530D24">
            <w:pPr>
              <w:keepNext/>
              <w:rPr>
                <w:sz w:val="20"/>
              </w:rPr>
            </w:pPr>
          </w:p>
        </w:tc>
        <w:tc>
          <w:tcPr>
            <w:tcW w:w="1366" w:type="dxa"/>
            <w:shd w:val="clear" w:color="auto" w:fill="auto"/>
            <w:vAlign w:val="center"/>
          </w:tcPr>
          <w:p w:rsidR="0050667A" w:rsidRPr="00465FD3" w:rsidRDefault="0050667A" w:rsidP="00530D24">
            <w:pPr>
              <w:keepNext/>
              <w:rPr>
                <w:sz w:val="20"/>
              </w:rPr>
            </w:pPr>
            <w:r w:rsidRPr="00465FD3">
              <w:rPr>
                <w:sz w:val="20"/>
              </w:rPr>
              <w:t>31,5</w:t>
            </w:r>
          </w:p>
        </w:tc>
      </w:tr>
      <w:tr w:rsidR="0050667A" w:rsidRPr="00465FD3" w:rsidTr="0050667A">
        <w:trPr>
          <w:cantSplit/>
          <w:trHeight w:val="123"/>
        </w:trPr>
        <w:tc>
          <w:tcPr>
            <w:tcW w:w="1426" w:type="dxa"/>
            <w:tcBorders>
              <w:top w:val="nil"/>
              <w:left w:val="single" w:sz="4" w:space="0" w:color="auto"/>
              <w:bottom w:val="single" w:sz="4" w:space="0" w:color="auto"/>
              <w:right w:val="single" w:sz="4" w:space="0" w:color="auto"/>
            </w:tcBorders>
            <w:shd w:val="clear" w:color="auto" w:fill="auto"/>
          </w:tcPr>
          <w:p w:rsidR="0050667A" w:rsidRPr="00465FD3" w:rsidRDefault="0050667A" w:rsidP="006A6C1D">
            <w:pPr>
              <w:rPr>
                <w:sz w:val="20"/>
              </w:rPr>
            </w:pPr>
          </w:p>
        </w:tc>
        <w:tc>
          <w:tcPr>
            <w:tcW w:w="1426" w:type="dxa"/>
            <w:tcBorders>
              <w:top w:val="nil"/>
              <w:left w:val="single" w:sz="4" w:space="0" w:color="auto"/>
              <w:bottom w:val="single" w:sz="4" w:space="0" w:color="auto"/>
              <w:right w:val="single" w:sz="4" w:space="0" w:color="auto"/>
            </w:tcBorders>
            <w:shd w:val="clear" w:color="auto" w:fill="auto"/>
          </w:tcPr>
          <w:p w:rsidR="0050667A" w:rsidRPr="00465FD3" w:rsidRDefault="0050667A" w:rsidP="006A6C1D">
            <w:pPr>
              <w:rPr>
                <w:sz w:val="20"/>
              </w:rPr>
            </w:pPr>
          </w:p>
        </w:tc>
        <w:tc>
          <w:tcPr>
            <w:tcW w:w="2164" w:type="dxa"/>
            <w:gridSpan w:val="2"/>
            <w:tcBorders>
              <w:left w:val="single" w:sz="4" w:space="0" w:color="auto"/>
            </w:tcBorders>
            <w:vAlign w:val="center"/>
          </w:tcPr>
          <w:p w:rsidR="0050667A" w:rsidRPr="00465FD3" w:rsidRDefault="0050667A" w:rsidP="006A6C1D">
            <w:pPr>
              <w:rPr>
                <w:sz w:val="20"/>
              </w:rPr>
            </w:pPr>
            <w:r w:rsidRPr="00465FD3">
              <w:rPr>
                <w:sz w:val="20"/>
              </w:rPr>
              <w:t>Биотехнологии</w:t>
            </w:r>
          </w:p>
        </w:tc>
        <w:tc>
          <w:tcPr>
            <w:tcW w:w="3192" w:type="dxa"/>
            <w:gridSpan w:val="4"/>
            <w:vMerge/>
          </w:tcPr>
          <w:p w:rsidR="0050667A" w:rsidRPr="00465FD3" w:rsidRDefault="0050667A" w:rsidP="006A6C1D">
            <w:pPr>
              <w:rPr>
                <w:sz w:val="20"/>
              </w:rPr>
            </w:pPr>
          </w:p>
        </w:tc>
        <w:tc>
          <w:tcPr>
            <w:tcW w:w="1366" w:type="dxa"/>
            <w:shd w:val="clear" w:color="auto" w:fill="auto"/>
            <w:vAlign w:val="center"/>
          </w:tcPr>
          <w:p w:rsidR="0050667A" w:rsidRPr="00465FD3" w:rsidRDefault="0050667A" w:rsidP="006A6C1D">
            <w:pPr>
              <w:rPr>
                <w:sz w:val="20"/>
              </w:rPr>
            </w:pPr>
            <w:r w:rsidRPr="00465FD3">
              <w:rPr>
                <w:sz w:val="20"/>
              </w:rPr>
              <w:t>58,4</w:t>
            </w:r>
          </w:p>
        </w:tc>
      </w:tr>
    </w:tbl>
    <w:p w:rsidR="0050667A" w:rsidRPr="00465FD3" w:rsidRDefault="0050667A" w:rsidP="006A6C1D"/>
    <w:p w:rsidR="0050667A" w:rsidRPr="00465FD3" w:rsidRDefault="0050667A" w:rsidP="006A6C1D"/>
    <w:tbl>
      <w:tblPr>
        <w:tblW w:w="6800" w:type="dxa"/>
        <w:tblLook w:val="04A0" w:firstRow="1" w:lastRow="0" w:firstColumn="1" w:lastColumn="0" w:noHBand="0" w:noVBand="1"/>
      </w:tblPr>
      <w:tblGrid>
        <w:gridCol w:w="2174"/>
        <w:gridCol w:w="1011"/>
        <w:gridCol w:w="1011"/>
        <w:gridCol w:w="1011"/>
        <w:gridCol w:w="1011"/>
        <w:gridCol w:w="1011"/>
      </w:tblGrid>
      <w:tr w:rsidR="0050667A" w:rsidRPr="00465FD3" w:rsidTr="00530D24">
        <w:trPr>
          <w:trHeight w:val="300"/>
        </w:trPr>
        <w:tc>
          <w:tcPr>
            <w:tcW w:w="68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0667A" w:rsidRPr="00465FD3" w:rsidRDefault="0050667A" w:rsidP="006A6C1D">
            <w:pPr>
              <w:rPr>
                <w:b/>
              </w:rPr>
            </w:pPr>
            <w:r w:rsidRPr="00465FD3">
              <w:rPr>
                <w:b/>
              </w:rPr>
              <w:t>Производительность</w:t>
            </w:r>
          </w:p>
        </w:tc>
      </w:tr>
      <w:tr w:rsidR="0050667A" w:rsidRPr="00465FD3" w:rsidTr="00530D24">
        <w:trPr>
          <w:trHeight w:val="516"/>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50667A" w:rsidRPr="00465FD3" w:rsidRDefault="0050667A" w:rsidP="006A6C1D">
            <w:pPr>
              <w:rPr>
                <w:b/>
              </w:rPr>
            </w:pPr>
            <w:r w:rsidRPr="00465FD3">
              <w:rPr>
                <w:b/>
              </w:rPr>
              <w:t> </w:t>
            </w:r>
          </w:p>
        </w:tc>
        <w:tc>
          <w:tcPr>
            <w:tcW w:w="88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pPr>
              <w:rPr>
                <w:b/>
              </w:rPr>
            </w:pPr>
            <w:r w:rsidRPr="00465FD3">
              <w:rPr>
                <w:b/>
              </w:rPr>
              <w:t>2011–2012 гг.</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pPr>
              <w:rPr>
                <w:b/>
              </w:rPr>
            </w:pPr>
            <w:r w:rsidRPr="00465FD3">
              <w:rPr>
                <w:b/>
              </w:rPr>
              <w:t>2012–2013 гг.</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pPr>
              <w:rPr>
                <w:b/>
              </w:rPr>
            </w:pPr>
            <w:r w:rsidRPr="00465FD3">
              <w:rPr>
                <w:b/>
              </w:rPr>
              <w:t>2013–2014 гг.</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pPr>
              <w:rPr>
                <w:b/>
              </w:rPr>
            </w:pPr>
            <w:r w:rsidRPr="00465FD3">
              <w:rPr>
                <w:b/>
              </w:rPr>
              <w:t>2014–2015 гг.</w:t>
            </w:r>
          </w:p>
        </w:tc>
        <w:tc>
          <w:tcPr>
            <w:tcW w:w="960" w:type="dxa"/>
            <w:tcBorders>
              <w:top w:val="nil"/>
              <w:left w:val="nil"/>
              <w:bottom w:val="single" w:sz="8" w:space="0" w:color="auto"/>
              <w:right w:val="single" w:sz="8" w:space="0" w:color="auto"/>
            </w:tcBorders>
          </w:tcPr>
          <w:p w:rsidR="0050667A" w:rsidRPr="00465FD3" w:rsidRDefault="0050667A" w:rsidP="006A6C1D">
            <w:pPr>
              <w:rPr>
                <w:b/>
              </w:rPr>
            </w:pPr>
            <w:r w:rsidRPr="00465FD3">
              <w:rPr>
                <w:b/>
              </w:rPr>
              <w:t>2015–2016 гг.</w:t>
            </w:r>
          </w:p>
        </w:tc>
      </w:tr>
      <w:tr w:rsidR="0050667A" w:rsidRPr="00465FD3" w:rsidTr="00530D24">
        <w:trPr>
          <w:trHeight w:val="1020"/>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50667A" w:rsidRPr="00465FD3" w:rsidRDefault="00315792" w:rsidP="00315792">
            <w:r>
              <w:t>Ходатайство об</w:t>
            </w:r>
            <w:r w:rsidR="0050667A" w:rsidRPr="00465FD3">
              <w:t xml:space="preserve"> экспертиз</w:t>
            </w:r>
            <w:r>
              <w:t>е</w:t>
            </w:r>
          </w:p>
        </w:tc>
        <w:tc>
          <w:tcPr>
            <w:tcW w:w="88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29 077</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28 161</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28 497</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28 776</w:t>
            </w:r>
          </w:p>
        </w:tc>
        <w:tc>
          <w:tcPr>
            <w:tcW w:w="960" w:type="dxa"/>
            <w:tcBorders>
              <w:top w:val="nil"/>
              <w:left w:val="nil"/>
              <w:bottom w:val="single" w:sz="8" w:space="0" w:color="auto"/>
              <w:right w:val="single" w:sz="8" w:space="0" w:color="auto"/>
            </w:tcBorders>
            <w:vAlign w:val="center"/>
          </w:tcPr>
          <w:p w:rsidR="0050667A" w:rsidRPr="00465FD3" w:rsidRDefault="0050667A" w:rsidP="006A6C1D">
            <w:r w:rsidRPr="00465FD3">
              <w:t>29 050</w:t>
            </w:r>
          </w:p>
        </w:tc>
      </w:tr>
      <w:tr w:rsidR="0050667A" w:rsidRPr="00465FD3" w:rsidTr="00530D24">
        <w:trPr>
          <w:trHeight w:val="516"/>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50667A" w:rsidRPr="00465FD3" w:rsidRDefault="00315792" w:rsidP="006A6C1D">
            <w:r>
              <w:t>Распоряжение</w:t>
            </w:r>
          </w:p>
        </w:tc>
        <w:tc>
          <w:tcPr>
            <w:tcW w:w="88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36 211</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37 682</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38 533</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36 370</w:t>
            </w:r>
          </w:p>
        </w:tc>
        <w:tc>
          <w:tcPr>
            <w:tcW w:w="960" w:type="dxa"/>
            <w:tcBorders>
              <w:top w:val="nil"/>
              <w:left w:val="nil"/>
              <w:bottom w:val="single" w:sz="8" w:space="0" w:color="auto"/>
              <w:right w:val="single" w:sz="8" w:space="0" w:color="auto"/>
            </w:tcBorders>
            <w:vAlign w:val="center"/>
          </w:tcPr>
          <w:p w:rsidR="0050667A" w:rsidRPr="00465FD3" w:rsidRDefault="0050667A" w:rsidP="006A6C1D">
            <w:r w:rsidRPr="00465FD3">
              <w:t>37 820</w:t>
            </w:r>
          </w:p>
        </w:tc>
      </w:tr>
      <w:tr w:rsidR="0050667A" w:rsidRPr="00465FD3" w:rsidTr="00530D24">
        <w:trPr>
          <w:trHeight w:val="300"/>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50667A" w:rsidRPr="00465FD3" w:rsidRDefault="0050667A" w:rsidP="00315792">
            <w:r w:rsidRPr="00465FD3">
              <w:t xml:space="preserve">Выдача </w:t>
            </w:r>
            <w:r w:rsidR="00315792">
              <w:t>отчета/заключения</w:t>
            </w:r>
          </w:p>
        </w:tc>
        <w:tc>
          <w:tcPr>
            <w:tcW w:w="88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20 624</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21 529</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23 482</w:t>
            </w:r>
          </w:p>
        </w:tc>
        <w:tc>
          <w:tcPr>
            <w:tcW w:w="960" w:type="dxa"/>
            <w:tcBorders>
              <w:top w:val="nil"/>
              <w:left w:val="nil"/>
              <w:bottom w:val="single" w:sz="8" w:space="0" w:color="auto"/>
              <w:right w:val="single" w:sz="8" w:space="0" w:color="auto"/>
            </w:tcBorders>
            <w:shd w:val="clear" w:color="auto" w:fill="auto"/>
            <w:vAlign w:val="center"/>
            <w:hideMark/>
          </w:tcPr>
          <w:p w:rsidR="0050667A" w:rsidRPr="00465FD3" w:rsidRDefault="0050667A" w:rsidP="006A6C1D">
            <w:r w:rsidRPr="00465FD3">
              <w:t>23 746</w:t>
            </w:r>
          </w:p>
        </w:tc>
        <w:tc>
          <w:tcPr>
            <w:tcW w:w="960" w:type="dxa"/>
            <w:tcBorders>
              <w:top w:val="nil"/>
              <w:left w:val="nil"/>
              <w:bottom w:val="single" w:sz="8" w:space="0" w:color="auto"/>
              <w:right w:val="single" w:sz="8" w:space="0" w:color="auto"/>
            </w:tcBorders>
            <w:vAlign w:val="center"/>
          </w:tcPr>
          <w:p w:rsidR="0050667A" w:rsidRPr="00465FD3" w:rsidRDefault="0050667A" w:rsidP="006A6C1D">
            <w:r w:rsidRPr="00465FD3">
              <w:t>25 088</w:t>
            </w:r>
          </w:p>
        </w:tc>
      </w:tr>
    </w:tbl>
    <w:p w:rsidR="0050667A" w:rsidRPr="00465FD3" w:rsidRDefault="0050667A" w:rsidP="006A6C1D"/>
    <w:p w:rsidR="0050667A" w:rsidRPr="00465FD3" w:rsidRDefault="0050667A" w:rsidP="00530D24">
      <w:pPr>
        <w:pStyle w:val="Subsection"/>
      </w:pPr>
      <w:r w:rsidRPr="00465FD3">
        <w:t>Нерассмотренные национальные заявки</w:t>
      </w:r>
    </w:p>
    <w:p w:rsidR="0050667A" w:rsidRPr="00465FD3" w:rsidRDefault="0050667A" w:rsidP="006A6C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990"/>
        <w:gridCol w:w="1080"/>
        <w:gridCol w:w="1080"/>
        <w:gridCol w:w="1080"/>
        <w:gridCol w:w="2533"/>
      </w:tblGrid>
      <w:tr w:rsidR="0050667A" w:rsidRPr="00465FD3" w:rsidTr="0050667A">
        <w:trPr>
          <w:cantSplit/>
        </w:trPr>
        <w:tc>
          <w:tcPr>
            <w:tcW w:w="2808" w:type="dxa"/>
            <w:shd w:val="clear" w:color="auto" w:fill="auto"/>
          </w:tcPr>
          <w:p w:rsidR="0050667A" w:rsidRPr="00315792" w:rsidRDefault="00315792" w:rsidP="006A6C1D">
            <w:r>
              <w:t>Основа для расчетов</w:t>
            </w:r>
          </w:p>
        </w:tc>
        <w:tc>
          <w:tcPr>
            <w:tcW w:w="990" w:type="dxa"/>
            <w:vAlign w:val="center"/>
          </w:tcPr>
          <w:p w:rsidR="0050667A" w:rsidRPr="00465FD3" w:rsidRDefault="0050667A" w:rsidP="006A6C1D">
            <w:r w:rsidRPr="00465FD3">
              <w:t xml:space="preserve"> 2011–2012 гг.</w:t>
            </w:r>
          </w:p>
        </w:tc>
        <w:tc>
          <w:tcPr>
            <w:tcW w:w="1080" w:type="dxa"/>
            <w:vAlign w:val="center"/>
          </w:tcPr>
          <w:p w:rsidR="0050667A" w:rsidRPr="00465FD3" w:rsidRDefault="0050667A" w:rsidP="006A6C1D">
            <w:r w:rsidRPr="00465FD3">
              <w:t xml:space="preserve"> 2012–2013 гг.</w:t>
            </w:r>
          </w:p>
        </w:tc>
        <w:tc>
          <w:tcPr>
            <w:tcW w:w="1080" w:type="dxa"/>
            <w:shd w:val="clear" w:color="auto" w:fill="auto"/>
            <w:vAlign w:val="center"/>
          </w:tcPr>
          <w:p w:rsidR="0050667A" w:rsidRPr="00465FD3" w:rsidRDefault="0050667A" w:rsidP="006A6C1D">
            <w:r w:rsidRPr="00465FD3">
              <w:t xml:space="preserve"> 2013–2014 гг.</w:t>
            </w:r>
          </w:p>
        </w:tc>
        <w:tc>
          <w:tcPr>
            <w:tcW w:w="1080" w:type="dxa"/>
            <w:vAlign w:val="center"/>
          </w:tcPr>
          <w:p w:rsidR="0050667A" w:rsidRPr="00465FD3" w:rsidRDefault="0050667A" w:rsidP="006A6C1D">
            <w:r w:rsidRPr="00465FD3">
              <w:t xml:space="preserve"> 2014–2015 гг.</w:t>
            </w:r>
          </w:p>
        </w:tc>
        <w:tc>
          <w:tcPr>
            <w:tcW w:w="2533" w:type="dxa"/>
          </w:tcPr>
          <w:p w:rsidR="0050667A" w:rsidRPr="00465FD3" w:rsidRDefault="0050667A" w:rsidP="006A6C1D">
            <w:r w:rsidRPr="00465FD3">
              <w:t xml:space="preserve">Количество заявок </w:t>
            </w:r>
          </w:p>
          <w:p w:rsidR="0050667A" w:rsidRPr="00465FD3" w:rsidRDefault="00315792" w:rsidP="006A6C1D">
            <w:r>
              <w:t>(по состоянию на </w:t>
            </w:r>
            <w:r w:rsidR="0050667A" w:rsidRPr="00465FD3">
              <w:t>31.12.2016)</w:t>
            </w:r>
          </w:p>
        </w:tc>
      </w:tr>
      <w:tr w:rsidR="0050667A" w:rsidRPr="00465FD3" w:rsidTr="0050667A">
        <w:trPr>
          <w:cantSplit/>
        </w:trPr>
        <w:tc>
          <w:tcPr>
            <w:tcW w:w="2808" w:type="dxa"/>
            <w:shd w:val="clear" w:color="auto" w:fill="auto"/>
          </w:tcPr>
          <w:p w:rsidR="0050667A" w:rsidRPr="00465FD3" w:rsidRDefault="0050667A" w:rsidP="006A6C1D"/>
          <w:p w:rsidR="0050667A" w:rsidRPr="00465FD3" w:rsidRDefault="0050667A" w:rsidP="006A6C1D">
            <w:r w:rsidRPr="00465FD3">
              <w:t>Все заявки на рассмотрении</w:t>
            </w:r>
          </w:p>
          <w:p w:rsidR="0050667A" w:rsidRPr="00465FD3" w:rsidRDefault="0050667A" w:rsidP="006A6C1D"/>
        </w:tc>
        <w:tc>
          <w:tcPr>
            <w:tcW w:w="990" w:type="dxa"/>
            <w:vAlign w:val="center"/>
          </w:tcPr>
          <w:p w:rsidR="0050667A" w:rsidRPr="00465FD3" w:rsidRDefault="0050667A" w:rsidP="006A6C1D">
            <w:r w:rsidRPr="00465FD3">
              <w:t>Неприменимо</w:t>
            </w:r>
          </w:p>
        </w:tc>
        <w:tc>
          <w:tcPr>
            <w:tcW w:w="1080" w:type="dxa"/>
            <w:vAlign w:val="center"/>
          </w:tcPr>
          <w:p w:rsidR="0050667A" w:rsidRPr="00465FD3" w:rsidRDefault="0050667A" w:rsidP="006A6C1D">
            <w:r w:rsidRPr="00465FD3">
              <w:t>Неприменимо</w:t>
            </w:r>
          </w:p>
        </w:tc>
        <w:tc>
          <w:tcPr>
            <w:tcW w:w="1080" w:type="dxa"/>
            <w:shd w:val="clear" w:color="auto" w:fill="auto"/>
            <w:vAlign w:val="center"/>
          </w:tcPr>
          <w:p w:rsidR="0050667A" w:rsidRPr="00465FD3" w:rsidRDefault="0050667A" w:rsidP="006A6C1D">
            <w:r w:rsidRPr="00465FD3">
              <w:t>Неприменимо</w:t>
            </w:r>
          </w:p>
        </w:tc>
        <w:tc>
          <w:tcPr>
            <w:tcW w:w="1080" w:type="dxa"/>
            <w:vAlign w:val="center"/>
          </w:tcPr>
          <w:p w:rsidR="0050667A" w:rsidRPr="00465FD3" w:rsidRDefault="0050667A" w:rsidP="006A6C1D">
            <w:r w:rsidRPr="00465FD3">
              <w:t>Неприменимо</w:t>
            </w:r>
          </w:p>
        </w:tc>
        <w:tc>
          <w:tcPr>
            <w:tcW w:w="2533" w:type="dxa"/>
            <w:vAlign w:val="center"/>
          </w:tcPr>
          <w:p w:rsidR="0050667A" w:rsidRPr="00465FD3" w:rsidRDefault="0050667A" w:rsidP="006A6C1D">
            <w:r w:rsidRPr="00465FD3">
              <w:t>177 710</w:t>
            </w:r>
          </w:p>
        </w:tc>
      </w:tr>
      <w:tr w:rsidR="0050667A" w:rsidRPr="00465FD3" w:rsidTr="0050667A">
        <w:trPr>
          <w:cantSplit/>
        </w:trPr>
        <w:tc>
          <w:tcPr>
            <w:tcW w:w="2808" w:type="dxa"/>
            <w:shd w:val="clear" w:color="auto" w:fill="auto"/>
          </w:tcPr>
          <w:p w:rsidR="0050667A" w:rsidRPr="00465FD3" w:rsidRDefault="0050667A" w:rsidP="006A6C1D">
            <w:r w:rsidRPr="00465FD3">
              <w:t>Заявки в очереди на проведение поиска (в случаях, когда уплачены соответствующие сборы)</w:t>
            </w:r>
          </w:p>
        </w:tc>
        <w:tc>
          <w:tcPr>
            <w:tcW w:w="6763" w:type="dxa"/>
            <w:gridSpan w:val="5"/>
            <w:vAlign w:val="center"/>
          </w:tcPr>
          <w:p w:rsidR="0050667A" w:rsidRPr="00465FD3" w:rsidRDefault="0050667A" w:rsidP="00315792">
            <w:r w:rsidRPr="00465FD3">
              <w:t>Поскольку в настоящее время задачи по поиску и экспертизе выполняет один и тот же эксперт, отдельных данных нет.</w:t>
            </w:r>
          </w:p>
        </w:tc>
      </w:tr>
      <w:tr w:rsidR="0050667A" w:rsidRPr="00465FD3" w:rsidTr="0050667A">
        <w:trPr>
          <w:cantSplit/>
        </w:trPr>
        <w:tc>
          <w:tcPr>
            <w:tcW w:w="2808" w:type="dxa"/>
            <w:shd w:val="clear" w:color="auto" w:fill="auto"/>
          </w:tcPr>
          <w:p w:rsidR="0050667A" w:rsidRPr="00465FD3" w:rsidRDefault="0050667A" w:rsidP="006A6C1D">
            <w:r w:rsidRPr="00465FD3">
              <w:t>Заявки в очереди на проведение первой экспертизы (в случаях, когда уплачены соответствующие сборы)</w:t>
            </w:r>
          </w:p>
        </w:tc>
        <w:tc>
          <w:tcPr>
            <w:tcW w:w="990" w:type="dxa"/>
            <w:vAlign w:val="center"/>
          </w:tcPr>
          <w:p w:rsidR="0050667A" w:rsidRPr="00465FD3" w:rsidRDefault="0050667A" w:rsidP="006A6C1D">
            <w:r w:rsidRPr="00465FD3">
              <w:t>45 281</w:t>
            </w:r>
          </w:p>
        </w:tc>
        <w:tc>
          <w:tcPr>
            <w:tcW w:w="1080" w:type="dxa"/>
            <w:vAlign w:val="center"/>
          </w:tcPr>
          <w:p w:rsidR="0050667A" w:rsidRPr="00465FD3" w:rsidRDefault="0050667A" w:rsidP="006A6C1D">
            <w:r w:rsidRPr="00465FD3">
              <w:t>36 872</w:t>
            </w:r>
          </w:p>
        </w:tc>
        <w:tc>
          <w:tcPr>
            <w:tcW w:w="1080" w:type="dxa"/>
            <w:shd w:val="clear" w:color="auto" w:fill="auto"/>
            <w:vAlign w:val="center"/>
          </w:tcPr>
          <w:p w:rsidR="0050667A" w:rsidRPr="00465FD3" w:rsidRDefault="0050667A" w:rsidP="006A6C1D">
            <w:r w:rsidRPr="00465FD3">
              <w:t>30 125</w:t>
            </w:r>
          </w:p>
        </w:tc>
        <w:tc>
          <w:tcPr>
            <w:tcW w:w="1080" w:type="dxa"/>
            <w:vAlign w:val="center"/>
          </w:tcPr>
          <w:p w:rsidR="0050667A" w:rsidRPr="00465FD3" w:rsidRDefault="0050667A" w:rsidP="006A6C1D">
            <w:r w:rsidRPr="00465FD3">
              <w:t>28 367</w:t>
            </w:r>
          </w:p>
        </w:tc>
        <w:tc>
          <w:tcPr>
            <w:tcW w:w="2533" w:type="dxa"/>
            <w:vAlign w:val="center"/>
          </w:tcPr>
          <w:p w:rsidR="0050667A" w:rsidRPr="00465FD3" w:rsidRDefault="0050667A" w:rsidP="006A6C1D">
            <w:r w:rsidRPr="00465FD3">
              <w:t>22 562</w:t>
            </w:r>
          </w:p>
        </w:tc>
      </w:tr>
    </w:tbl>
    <w:p w:rsidR="0050667A" w:rsidRPr="00465FD3" w:rsidRDefault="0050667A" w:rsidP="006A6C1D"/>
    <w:p w:rsidR="0050667A" w:rsidRPr="00465FD3" w:rsidRDefault="0050667A" w:rsidP="00530D24">
      <w:pPr>
        <w:pStyle w:val="Subsection"/>
      </w:pPr>
      <w:r w:rsidRPr="00465FD3">
        <w:t>Основные ведомства/государства, в которых притязания на приоритет основы</w:t>
      </w:r>
      <w:r w:rsidR="00336A78">
        <w:t>ваются на национальных заявках</w:t>
      </w:r>
    </w:p>
    <w:p w:rsidR="0050667A" w:rsidRPr="00465FD3" w:rsidRDefault="0050667A" w:rsidP="00530D24">
      <w:pPr>
        <w:pStyle w:val="Subsection"/>
      </w:pPr>
      <w:r w:rsidRPr="00465FD3">
        <w:t xml:space="preserve">Основные страны происхождения заявок, поступающих в CIPO </w:t>
      </w:r>
    </w:p>
    <w:p w:rsidR="0050667A" w:rsidRPr="00465FD3" w:rsidRDefault="0050667A" w:rsidP="006A6C1D">
      <w:pPr>
        <w:rPr>
          <w:i/>
        </w:rPr>
      </w:pPr>
      <w:r w:rsidRPr="00465FD3">
        <w:rPr>
          <w:i/>
        </w:rPr>
        <w:t xml:space="preserve">Источник:  </w:t>
      </w:r>
      <w:hyperlink r:id="rId53">
        <w:r w:rsidRPr="00465FD3">
          <w:rPr>
            <w:rStyle w:val="Hyperlink"/>
            <w:i/>
            <w:noProof w:val="0"/>
          </w:rPr>
          <w:t>Годовой отчет CIPO за 2014/2015 гг.</w:t>
        </w:r>
      </w:hyperlink>
    </w:p>
    <w:p w:rsidR="0050667A" w:rsidRPr="00465FD3" w:rsidRDefault="0050667A" w:rsidP="00530D24">
      <w:pPr>
        <w:tabs>
          <w:tab w:val="right" w:pos="2552"/>
        </w:tabs>
        <w:rPr>
          <w:i/>
        </w:rPr>
      </w:pPr>
      <w:r w:rsidRPr="00465FD3">
        <w:rPr>
          <w:i/>
        </w:rPr>
        <w:t>Страны</w:t>
      </w:r>
      <w:r w:rsidRPr="00465FD3">
        <w:tab/>
      </w:r>
      <w:r w:rsidR="00F87DF0" w:rsidRPr="00465FD3">
        <w:tab/>
      </w:r>
      <w:r w:rsidRPr="00465FD3">
        <w:rPr>
          <w:i/>
        </w:rPr>
        <w:t>Патенты</w:t>
      </w:r>
      <w:r w:rsidRPr="00465FD3">
        <w:tab/>
      </w:r>
    </w:p>
    <w:p w:rsidR="0050667A" w:rsidRPr="00465FD3" w:rsidRDefault="00530D24" w:rsidP="00530D24">
      <w:pPr>
        <w:tabs>
          <w:tab w:val="right" w:pos="2552"/>
        </w:tabs>
      </w:pPr>
      <w:r w:rsidRPr="00465FD3">
        <w:t>Соединенные Штаты</w:t>
      </w:r>
      <w:r w:rsidRPr="00465FD3">
        <w:tab/>
      </w:r>
      <w:r w:rsidR="00F87DF0" w:rsidRPr="00465FD3">
        <w:tab/>
      </w:r>
      <w:r w:rsidRPr="00465FD3">
        <w:t xml:space="preserve">17 129 </w:t>
      </w:r>
    </w:p>
    <w:p w:rsidR="0050667A" w:rsidRPr="00465FD3" w:rsidRDefault="00530D24" w:rsidP="00530D24">
      <w:pPr>
        <w:tabs>
          <w:tab w:val="right" w:pos="2552"/>
        </w:tabs>
      </w:pPr>
      <w:r w:rsidRPr="00465FD3">
        <w:t>Канада</w:t>
      </w:r>
      <w:r w:rsidRPr="00465FD3">
        <w:tab/>
        <w:t xml:space="preserve">  </w:t>
      </w:r>
      <w:r w:rsidR="00F87DF0" w:rsidRPr="00465FD3">
        <w:tab/>
      </w:r>
      <w:r w:rsidRPr="00465FD3">
        <w:t>4</w:t>
      </w:r>
      <w:r w:rsidR="00D05667">
        <w:t xml:space="preserve"> </w:t>
      </w:r>
      <w:r w:rsidRPr="00465FD3">
        <w:t xml:space="preserve">812 </w:t>
      </w:r>
      <w:r w:rsidRPr="00465FD3">
        <w:tab/>
      </w:r>
    </w:p>
    <w:p w:rsidR="0050667A" w:rsidRPr="00465FD3" w:rsidRDefault="0050667A" w:rsidP="00530D24">
      <w:pPr>
        <w:tabs>
          <w:tab w:val="right" w:pos="2552"/>
        </w:tabs>
      </w:pPr>
      <w:r w:rsidRPr="00465FD3">
        <w:t>Германия</w:t>
      </w:r>
      <w:r w:rsidRPr="00465FD3">
        <w:tab/>
        <w:t xml:space="preserve">  </w:t>
      </w:r>
      <w:r w:rsidR="00F87DF0" w:rsidRPr="00465FD3">
        <w:tab/>
      </w:r>
      <w:r w:rsidRPr="00465FD3">
        <w:t>2</w:t>
      </w:r>
      <w:r w:rsidR="00D05667">
        <w:t xml:space="preserve"> </w:t>
      </w:r>
      <w:r w:rsidRPr="00465FD3">
        <w:t xml:space="preserve">374 </w:t>
      </w:r>
      <w:r w:rsidRPr="00465FD3">
        <w:tab/>
      </w:r>
    </w:p>
    <w:p w:rsidR="0050667A" w:rsidRPr="000328E4" w:rsidRDefault="0050667A" w:rsidP="00530D24">
      <w:pPr>
        <w:tabs>
          <w:tab w:val="right" w:pos="2552"/>
        </w:tabs>
      </w:pPr>
      <w:r w:rsidRPr="00465FD3">
        <w:t>Япония</w:t>
      </w:r>
      <w:r w:rsidRPr="00465FD3">
        <w:tab/>
        <w:t xml:space="preserve">  </w:t>
      </w:r>
      <w:r w:rsidR="00F87DF0" w:rsidRPr="00465FD3">
        <w:tab/>
      </w:r>
      <w:r w:rsidRPr="00465FD3">
        <w:t>1</w:t>
      </w:r>
      <w:r w:rsidR="00D05667">
        <w:t xml:space="preserve"> </w:t>
      </w:r>
      <w:r w:rsidR="000328E4">
        <w:t>903</w:t>
      </w:r>
    </w:p>
    <w:p w:rsidR="0050667A" w:rsidRPr="000328E4" w:rsidRDefault="0050667A" w:rsidP="00530D24">
      <w:pPr>
        <w:tabs>
          <w:tab w:val="right" w:pos="2552"/>
        </w:tabs>
      </w:pPr>
      <w:r w:rsidRPr="00465FD3">
        <w:t>Франция</w:t>
      </w:r>
      <w:r w:rsidRPr="00465FD3">
        <w:tab/>
        <w:t xml:space="preserve">  </w:t>
      </w:r>
      <w:r w:rsidR="00F87DF0" w:rsidRPr="00465FD3">
        <w:tab/>
      </w:r>
      <w:r w:rsidRPr="00465FD3">
        <w:t>1</w:t>
      </w:r>
      <w:r w:rsidR="00D05667">
        <w:t xml:space="preserve"> </w:t>
      </w:r>
      <w:r w:rsidR="000328E4">
        <w:t>876</w:t>
      </w:r>
    </w:p>
    <w:p w:rsidR="0050667A" w:rsidRPr="000328E4" w:rsidRDefault="0050667A" w:rsidP="00530D24">
      <w:pPr>
        <w:tabs>
          <w:tab w:val="right" w:pos="2552"/>
        </w:tabs>
      </w:pPr>
      <w:r w:rsidRPr="00465FD3">
        <w:t>Швейцария</w:t>
      </w:r>
      <w:r w:rsidRPr="00465FD3">
        <w:tab/>
        <w:t xml:space="preserve">  </w:t>
      </w:r>
      <w:r w:rsidR="00F87DF0" w:rsidRPr="00465FD3">
        <w:tab/>
      </w:r>
      <w:r w:rsidRPr="00465FD3">
        <w:t>1</w:t>
      </w:r>
      <w:r w:rsidR="00D05667">
        <w:t xml:space="preserve"> </w:t>
      </w:r>
      <w:r w:rsidR="000328E4">
        <w:t>476</w:t>
      </w:r>
    </w:p>
    <w:p w:rsidR="0050667A" w:rsidRPr="000328E4" w:rsidRDefault="00F87DF0" w:rsidP="00530D24">
      <w:pPr>
        <w:tabs>
          <w:tab w:val="right" w:pos="2552"/>
        </w:tabs>
      </w:pPr>
      <w:r w:rsidRPr="00465FD3">
        <w:t>Соединенное Королевство</w:t>
      </w:r>
      <w:r w:rsidRPr="00465FD3">
        <w:tab/>
      </w:r>
      <w:r w:rsidR="0050667A" w:rsidRPr="00465FD3">
        <w:t>1</w:t>
      </w:r>
      <w:r w:rsidR="00D05667">
        <w:t xml:space="preserve"> </w:t>
      </w:r>
      <w:r w:rsidR="000328E4">
        <w:t>229</w:t>
      </w:r>
    </w:p>
    <w:p w:rsidR="0050667A" w:rsidRPr="000328E4" w:rsidRDefault="0050667A" w:rsidP="00530D24">
      <w:pPr>
        <w:tabs>
          <w:tab w:val="right" w:pos="2552"/>
        </w:tabs>
        <w:rPr>
          <w:lang w:val="en-US"/>
        </w:rPr>
      </w:pPr>
      <w:r w:rsidRPr="00465FD3">
        <w:t xml:space="preserve">Китай </w:t>
      </w:r>
      <w:r w:rsidR="000328E4">
        <w:tab/>
      </w:r>
      <w:r w:rsidR="000328E4">
        <w:tab/>
        <w:t xml:space="preserve">  </w:t>
      </w:r>
      <w:r w:rsidR="00F87DF0" w:rsidRPr="00465FD3">
        <w:t xml:space="preserve"> </w:t>
      </w:r>
      <w:r w:rsidR="000328E4">
        <w:t>661</w:t>
      </w:r>
    </w:p>
    <w:p w:rsidR="0050667A" w:rsidRPr="000328E4" w:rsidRDefault="0050667A" w:rsidP="00530D24">
      <w:pPr>
        <w:tabs>
          <w:tab w:val="right" w:pos="2552"/>
        </w:tabs>
        <w:rPr>
          <w:lang w:val="en-US"/>
        </w:rPr>
      </w:pPr>
      <w:r w:rsidRPr="00465FD3">
        <w:t xml:space="preserve">Нидерланды </w:t>
      </w:r>
      <w:r w:rsidR="00F87DF0" w:rsidRPr="00465FD3">
        <w:tab/>
      </w:r>
      <w:r w:rsidR="000328E4">
        <w:tab/>
      </w:r>
      <w:r w:rsidRPr="00465FD3">
        <w:t xml:space="preserve">   </w:t>
      </w:r>
      <w:r w:rsidR="000328E4">
        <w:t>601</w:t>
      </w:r>
    </w:p>
    <w:p w:rsidR="0050667A" w:rsidRPr="00465FD3" w:rsidRDefault="0050667A" w:rsidP="00530D24">
      <w:pPr>
        <w:tabs>
          <w:tab w:val="right" w:pos="2552"/>
        </w:tabs>
      </w:pPr>
      <w:r w:rsidRPr="00465FD3">
        <w:t xml:space="preserve">Италия </w:t>
      </w:r>
      <w:r w:rsidRPr="00465FD3">
        <w:tab/>
      </w:r>
      <w:r w:rsidR="00F87DF0" w:rsidRPr="00465FD3">
        <w:tab/>
      </w:r>
      <w:r w:rsidRPr="00465FD3">
        <w:t xml:space="preserve">   569</w:t>
      </w:r>
    </w:p>
    <w:p w:rsidR="0050667A" w:rsidRPr="00465FD3" w:rsidRDefault="0050667A" w:rsidP="00530D24">
      <w:pPr>
        <w:pStyle w:val="SectionHeading"/>
        <w:rPr>
          <w:rStyle w:val="InsertedText"/>
          <w:color w:val="auto"/>
          <w:u w:val="none"/>
        </w:rPr>
      </w:pPr>
      <w:r w:rsidRPr="00465FD3">
        <w:rPr>
          <w:rStyle w:val="InsertedText"/>
          <w:color w:val="auto"/>
          <w:u w:val="none"/>
        </w:rPr>
        <w:t>7. – Необходимая поддержка</w:t>
      </w:r>
    </w:p>
    <w:p w:rsidR="0050667A" w:rsidRPr="000328E4" w:rsidRDefault="007823C7" w:rsidP="00530D24">
      <w:r w:rsidRPr="00465FD3">
        <w:t xml:space="preserve">В следующем году </w:t>
      </w:r>
      <w:r w:rsidR="0050667A" w:rsidRPr="00465FD3">
        <w:t>CIPO потребуется минимальная поддержка от Международного бюро</w:t>
      </w:r>
      <w:r w:rsidR="00F42B3D">
        <w:t>:</w:t>
      </w:r>
      <w:r w:rsidR="0050667A" w:rsidRPr="00465FD3">
        <w:t xml:space="preserve"> </w:t>
      </w:r>
      <w:r w:rsidR="00F42B3D">
        <w:t xml:space="preserve"> </w:t>
      </w:r>
      <w:r w:rsidR="0050667A" w:rsidRPr="00465FD3">
        <w:t xml:space="preserve">помощь в проверке </w:t>
      </w:r>
      <w:r w:rsidR="00F42B3D">
        <w:t>применения</w:t>
      </w:r>
      <w:r w:rsidR="0050667A" w:rsidRPr="00465FD3">
        <w:t xml:space="preserve"> ePCT для документов от заявителей, представляемых после подачи.</w:t>
      </w:r>
    </w:p>
    <w:p w:rsidR="0050667A" w:rsidRPr="000328E4" w:rsidRDefault="0050667A" w:rsidP="00530D24">
      <w:pPr>
        <w:pStyle w:val="SectionHeading"/>
      </w:pPr>
      <w:r w:rsidRPr="000328E4">
        <w:t>8 – Прочее</w:t>
      </w:r>
    </w:p>
    <w:p w:rsidR="0050667A" w:rsidRPr="00465FD3" w:rsidRDefault="0050667A" w:rsidP="00530D24">
      <w:pPr>
        <w:pStyle w:val="Subsection"/>
      </w:pPr>
      <w:r w:rsidRPr="00465FD3">
        <w:t>О CIPO</w:t>
      </w:r>
    </w:p>
    <w:p w:rsidR="0050667A" w:rsidRPr="00465FD3" w:rsidRDefault="0050667A" w:rsidP="00530D24">
      <w:pPr>
        <w:rPr>
          <w:i/>
        </w:rPr>
      </w:pPr>
      <w:r w:rsidRPr="00465FD3">
        <w:rPr>
          <w:i/>
        </w:rPr>
        <w:t xml:space="preserve">Источник:  </w:t>
      </w:r>
      <w:hyperlink r:id="rId54">
        <w:r w:rsidRPr="00465FD3">
          <w:rPr>
            <w:rStyle w:val="Hyperlink"/>
            <w:i/>
            <w:noProof w:val="0"/>
          </w:rPr>
          <w:t>Годовой отчет CIPO за 2014/2015 гг.</w:t>
        </w:r>
      </w:hyperlink>
    </w:p>
    <w:p w:rsidR="0050667A" w:rsidRPr="00465FD3" w:rsidRDefault="0050667A" w:rsidP="00530D24"/>
    <w:p w:rsidR="0050667A" w:rsidRDefault="0050667A" w:rsidP="00530D24">
      <w:pPr>
        <w:rPr>
          <w:lang w:val="en-US"/>
        </w:rPr>
      </w:pPr>
      <w:r w:rsidRPr="00465FD3">
        <w:t xml:space="preserve">Канадское ведомство интеллектуальной собственности (CIPO), Специальный исполнительный орган (СИО) при </w:t>
      </w:r>
      <w:hyperlink r:id="rId55">
        <w:r w:rsidRPr="00465FD3">
          <w:rPr>
            <w:rStyle w:val="Hyperlink"/>
            <w:noProof w:val="0"/>
          </w:rPr>
          <w:t>Министерстве инновационной деятельности, науки и экономического развития Канады</w:t>
        </w:r>
      </w:hyperlink>
      <w:r w:rsidRPr="00465FD3">
        <w:t xml:space="preserve">, отвечает за операции с большей частью </w:t>
      </w:r>
      <w:hyperlink r:id="rId56">
        <w:r w:rsidRPr="00465FD3">
          <w:rPr>
            <w:rStyle w:val="Hyperlink"/>
            <w:noProof w:val="0"/>
          </w:rPr>
          <w:t>интеллектуальной собственности</w:t>
        </w:r>
      </w:hyperlink>
      <w:r w:rsidRPr="00465FD3">
        <w:t xml:space="preserve"> в Канаде и ее регулирование.  В число основных направлений деятельности CIPO входят следующие:  </w:t>
      </w:r>
      <w:hyperlink r:id="rId57" w:anchor="faq">
        <w:r w:rsidRPr="00465FD3">
          <w:rPr>
            <w:rStyle w:val="Hyperlink"/>
            <w:noProof w:val="0"/>
          </w:rPr>
          <w:t>патенты</w:t>
        </w:r>
      </w:hyperlink>
      <w:r w:rsidRPr="00465FD3">
        <w:t xml:space="preserve">, </w:t>
      </w:r>
      <w:hyperlink r:id="rId58" w:anchor="faq">
        <w:r w:rsidRPr="00465FD3">
          <w:rPr>
            <w:rStyle w:val="Hyperlink"/>
            <w:noProof w:val="0"/>
          </w:rPr>
          <w:t>торговые знаки</w:t>
        </w:r>
      </w:hyperlink>
      <w:r w:rsidRPr="00465FD3">
        <w:t xml:space="preserve">; </w:t>
      </w:r>
      <w:hyperlink r:id="rId59" w:anchor="faq">
        <w:r w:rsidRPr="00465FD3">
          <w:rPr>
            <w:rStyle w:val="Hyperlink"/>
            <w:noProof w:val="0"/>
          </w:rPr>
          <w:t>авторские права</w:t>
        </w:r>
      </w:hyperlink>
      <w:r w:rsidRPr="00465FD3">
        <w:t xml:space="preserve">; </w:t>
      </w:r>
      <w:hyperlink r:id="rId60" w:anchor="faq">
        <w:r w:rsidRPr="00465FD3">
          <w:rPr>
            <w:rStyle w:val="Hyperlink"/>
            <w:noProof w:val="0"/>
          </w:rPr>
          <w:t>промышленные образцы</w:t>
        </w:r>
      </w:hyperlink>
      <w:r w:rsidRPr="00465FD3">
        <w:t xml:space="preserve"> и </w:t>
      </w:r>
      <w:r w:rsidR="000328E4">
        <w:fldChar w:fldCharType="begin"/>
      </w:r>
      <w:r w:rsidR="000328E4">
        <w:instrText xml:space="preserve"> HYPERLINK "http://www.i</w:instrText>
      </w:r>
      <w:r w:rsidR="000328E4">
        <w:instrText xml:space="preserve">c.gc.ca/eic/site/cipointernet-internetopic.nsf/eng/h_wr02282.html" \l "faq" \h </w:instrText>
      </w:r>
      <w:r w:rsidR="000328E4">
        <w:fldChar w:fldCharType="separate"/>
      </w:r>
      <w:r w:rsidRPr="00465FD3">
        <w:rPr>
          <w:rStyle w:val="Hyperlink"/>
          <w:noProof w:val="0"/>
        </w:rPr>
        <w:t>топология интегральных микросхем</w:t>
      </w:r>
      <w:r w:rsidR="000328E4">
        <w:rPr>
          <w:rStyle w:val="Hyperlink"/>
          <w:noProof w:val="0"/>
        </w:rPr>
        <w:fldChar w:fldCharType="end"/>
      </w:r>
      <w:r w:rsidRPr="00465FD3">
        <w:t>.</w:t>
      </w:r>
    </w:p>
    <w:p w:rsidR="000328E4" w:rsidRDefault="000328E4" w:rsidP="00530D24">
      <w:pPr>
        <w:rPr>
          <w:lang w:val="en-US"/>
        </w:rPr>
      </w:pPr>
    </w:p>
    <w:p w:rsidR="0050667A" w:rsidRPr="000328E4" w:rsidRDefault="0050667A" w:rsidP="00530D24">
      <w:pPr>
        <w:rPr>
          <w:lang w:val="en-US"/>
        </w:rPr>
      </w:pPr>
      <w:bookmarkStart w:id="7" w:name="_GoBack"/>
      <w:bookmarkEnd w:id="7"/>
    </w:p>
    <w:p w:rsidR="0050667A" w:rsidRPr="00465FD3" w:rsidRDefault="0050667A" w:rsidP="00530D24">
      <w:pPr>
        <w:pStyle w:val="Subsection"/>
      </w:pPr>
      <w:bookmarkStart w:id="8" w:name="CIPOsHistory"/>
      <w:bookmarkEnd w:id="8"/>
      <w:r w:rsidRPr="00465FD3">
        <w:t>История CIPO</w:t>
      </w:r>
    </w:p>
    <w:p w:rsidR="000328E4" w:rsidRPr="000328E4" w:rsidRDefault="0050667A" w:rsidP="00530D24">
      <w:r w:rsidRPr="00465FD3">
        <w:rPr>
          <w:i/>
        </w:rPr>
        <w:t xml:space="preserve">Источник:  </w:t>
      </w:r>
      <w:r w:rsidRPr="00465FD3">
        <w:rPr>
          <w:i/>
          <w:lang w:val="en-US"/>
        </w:rPr>
        <w:t>Library</w:t>
      </w:r>
      <w:r w:rsidRPr="00465FD3">
        <w:rPr>
          <w:i/>
        </w:rPr>
        <w:t xml:space="preserve"> </w:t>
      </w:r>
      <w:r w:rsidRPr="00465FD3">
        <w:rPr>
          <w:i/>
          <w:lang w:val="en-US"/>
        </w:rPr>
        <w:t>and</w:t>
      </w:r>
      <w:r w:rsidRPr="00465FD3">
        <w:rPr>
          <w:i/>
        </w:rPr>
        <w:t xml:space="preserve"> </w:t>
      </w:r>
      <w:r w:rsidRPr="00465FD3">
        <w:rPr>
          <w:i/>
          <w:lang w:val="en-US"/>
        </w:rPr>
        <w:t>Archives</w:t>
      </w:r>
      <w:r w:rsidRPr="00465FD3">
        <w:rPr>
          <w:i/>
        </w:rPr>
        <w:t xml:space="preserve"> </w:t>
      </w:r>
      <w:r w:rsidRPr="00465FD3">
        <w:rPr>
          <w:i/>
          <w:lang w:val="en-US"/>
        </w:rPr>
        <w:t>Canada</w:t>
      </w:r>
      <w:r w:rsidRPr="00465FD3">
        <w:rPr>
          <w:i/>
        </w:rPr>
        <w:t>/</w:t>
      </w:r>
      <w:r w:rsidRPr="00465FD3">
        <w:rPr>
          <w:i/>
          <w:lang w:val="en-US"/>
        </w:rPr>
        <w:t>Canadian</w:t>
      </w:r>
      <w:r w:rsidRPr="00465FD3">
        <w:rPr>
          <w:i/>
        </w:rPr>
        <w:t xml:space="preserve"> </w:t>
      </w:r>
      <w:r w:rsidRPr="00465FD3">
        <w:rPr>
          <w:i/>
          <w:lang w:val="en-US"/>
        </w:rPr>
        <w:t>Intellectual</w:t>
      </w:r>
      <w:r w:rsidRPr="00465FD3">
        <w:rPr>
          <w:i/>
        </w:rPr>
        <w:t xml:space="preserve"> </w:t>
      </w:r>
      <w:r w:rsidRPr="00465FD3">
        <w:rPr>
          <w:i/>
          <w:lang w:val="en-US"/>
        </w:rPr>
        <w:t>Property</w:t>
      </w:r>
      <w:r w:rsidRPr="00465FD3">
        <w:rPr>
          <w:i/>
        </w:rPr>
        <w:t xml:space="preserve"> </w:t>
      </w:r>
      <w:r w:rsidRPr="00465FD3">
        <w:rPr>
          <w:i/>
          <w:lang w:val="en-US"/>
        </w:rPr>
        <w:t>Office</w:t>
      </w:r>
      <w:r w:rsidRPr="00465FD3">
        <w:rPr>
          <w:i/>
        </w:rPr>
        <w:t xml:space="preserve"> </w:t>
      </w:r>
      <w:proofErr w:type="spellStart"/>
      <w:r w:rsidRPr="00465FD3">
        <w:rPr>
          <w:i/>
          <w:lang w:val="en-US"/>
        </w:rPr>
        <w:t>fonds</w:t>
      </w:r>
      <w:proofErr w:type="spellEnd"/>
      <w:r w:rsidRPr="00465FD3">
        <w:rPr>
          <w:i/>
        </w:rPr>
        <w:t>/</w:t>
      </w:r>
      <w:r w:rsidRPr="00465FD3">
        <w:rPr>
          <w:i/>
          <w:lang w:val="en-US"/>
        </w:rPr>
        <w:t>R</w:t>
      </w:r>
      <w:r w:rsidRPr="00465FD3">
        <w:rPr>
          <w:i/>
        </w:rPr>
        <w:t>9271-0-3-</w:t>
      </w:r>
      <w:r w:rsidRPr="00465FD3">
        <w:rPr>
          <w:i/>
          <w:lang w:val="en-US"/>
        </w:rPr>
        <w:t>E</w:t>
      </w:r>
      <w:r w:rsidR="000E3E8E" w:rsidRPr="00465FD3">
        <w:rPr>
          <w:i/>
        </w:rPr>
        <w:t xml:space="preserve"> (Управление библиотек и архивов Канады/фонды Канадского ведомства интеллектуальной собственности</w:t>
      </w:r>
      <w:r w:rsidR="000E3E8E" w:rsidRPr="00465FD3">
        <w:t>)</w:t>
      </w:r>
    </w:p>
    <w:p w:rsidR="000E3E8E" w:rsidRPr="00465FD3" w:rsidRDefault="000E3E8E" w:rsidP="00530D24">
      <w:pPr>
        <w:rPr>
          <w: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8200"/>
      </w:tblGrid>
      <w:tr w:rsidR="0050667A" w:rsidRPr="00465FD3" w:rsidTr="00530D24">
        <w:trPr>
          <w:tblCellSpacing w:w="15" w:type="dxa"/>
        </w:trPr>
        <w:tc>
          <w:tcPr>
            <w:tcW w:w="1200" w:type="dxa"/>
            <w:hideMark/>
          </w:tcPr>
          <w:p w:rsidR="0050667A" w:rsidRPr="00465FD3" w:rsidRDefault="0050667A" w:rsidP="00530D24">
            <w:r w:rsidRPr="00465FD3">
              <w:t>1869</w:t>
            </w:r>
            <w:r w:rsidR="00A00E42" w:rsidRPr="00465FD3">
              <w:rPr>
                <w:lang w:val="en-US"/>
              </w:rPr>
              <w:t> </w:t>
            </w:r>
            <w:r w:rsidR="00A00E42" w:rsidRPr="00465FD3">
              <w:t>г.</w:t>
            </w:r>
          </w:p>
        </w:tc>
        <w:tc>
          <w:tcPr>
            <w:tcW w:w="0" w:type="auto"/>
            <w:hideMark/>
          </w:tcPr>
          <w:p w:rsidR="0050667A" w:rsidRPr="00465FD3" w:rsidRDefault="0050667A" w:rsidP="00530D24">
            <w:r w:rsidRPr="00465FD3">
              <w:t>Отделы по работе с патентами, товарными знаками и промышленными образцами учреждены и действуют при Министерстве сельского хозяйства.</w:t>
            </w:r>
          </w:p>
        </w:tc>
      </w:tr>
      <w:tr w:rsidR="0050667A" w:rsidRPr="00465FD3" w:rsidTr="00530D24">
        <w:trPr>
          <w:tblCellSpacing w:w="15" w:type="dxa"/>
        </w:trPr>
        <w:tc>
          <w:tcPr>
            <w:tcW w:w="0" w:type="auto"/>
            <w:hideMark/>
          </w:tcPr>
          <w:p w:rsidR="0050667A" w:rsidRPr="00465FD3" w:rsidRDefault="0050667A" w:rsidP="00530D24">
            <w:r w:rsidRPr="00465FD3">
              <w:t>1918 г.</w:t>
            </w:r>
          </w:p>
        </w:tc>
        <w:tc>
          <w:tcPr>
            <w:tcW w:w="0" w:type="auto"/>
            <w:hideMark/>
          </w:tcPr>
          <w:p w:rsidR="0050667A" w:rsidRPr="00465FD3" w:rsidRDefault="0050667A" w:rsidP="00530D24">
            <w:r w:rsidRPr="00465FD3">
              <w:t>Министерство торговли и коммерции относит к сфере своей компетенции патенты, товарные знаки, авторские права, промышленные образцы и товарные знаки производителей древесины.</w:t>
            </w:r>
          </w:p>
        </w:tc>
      </w:tr>
      <w:tr w:rsidR="0050667A" w:rsidRPr="00465FD3" w:rsidTr="00530D24">
        <w:trPr>
          <w:tblCellSpacing w:w="15" w:type="dxa"/>
        </w:trPr>
        <w:tc>
          <w:tcPr>
            <w:tcW w:w="0" w:type="auto"/>
            <w:hideMark/>
          </w:tcPr>
          <w:p w:rsidR="0050667A" w:rsidRPr="00465FD3" w:rsidRDefault="0050667A" w:rsidP="00530D24">
            <w:r w:rsidRPr="00465FD3">
              <w:t>1927 г.</w:t>
            </w:r>
          </w:p>
        </w:tc>
        <w:tc>
          <w:tcPr>
            <w:tcW w:w="0" w:type="auto"/>
            <w:hideMark/>
          </w:tcPr>
          <w:p w:rsidR="0050667A" w:rsidRPr="00465FD3" w:rsidRDefault="0050667A" w:rsidP="00530D24">
            <w:r w:rsidRPr="00465FD3">
              <w:t>Патенты, товарные знаки, авторские права, промышленные образцы и товарные знаки производителей древесины переходят в сферу компетенции Департамента статс-секретаря.</w:t>
            </w:r>
          </w:p>
        </w:tc>
      </w:tr>
      <w:tr w:rsidR="0050667A" w:rsidRPr="00465FD3" w:rsidTr="00530D24">
        <w:trPr>
          <w:tblCellSpacing w:w="15" w:type="dxa"/>
        </w:trPr>
        <w:tc>
          <w:tcPr>
            <w:tcW w:w="0" w:type="auto"/>
            <w:hideMark/>
          </w:tcPr>
          <w:p w:rsidR="0050667A" w:rsidRPr="00465FD3" w:rsidRDefault="0050667A" w:rsidP="00530D24">
            <w:r w:rsidRPr="00465FD3">
              <w:t>1966 г.</w:t>
            </w:r>
          </w:p>
        </w:tc>
        <w:tc>
          <w:tcPr>
            <w:tcW w:w="0" w:type="auto"/>
            <w:hideMark/>
          </w:tcPr>
          <w:p w:rsidR="0050667A" w:rsidRPr="00465FD3" w:rsidRDefault="0050667A" w:rsidP="00530D24">
            <w:r w:rsidRPr="00465FD3">
              <w:t>В течение краткого периода времени Канцелярия Генерального регистратора действует в качестве отдельного правительственного департамента и отвечает за патенты, товарные знаки, авторские права, промышленные образцы и товарные знаки производителей древесины.</w:t>
            </w:r>
          </w:p>
        </w:tc>
      </w:tr>
      <w:tr w:rsidR="0050667A" w:rsidRPr="00465FD3" w:rsidTr="00530D24">
        <w:trPr>
          <w:tblCellSpacing w:w="15" w:type="dxa"/>
        </w:trPr>
        <w:tc>
          <w:tcPr>
            <w:tcW w:w="0" w:type="auto"/>
            <w:hideMark/>
          </w:tcPr>
          <w:p w:rsidR="0050667A" w:rsidRPr="00465FD3" w:rsidRDefault="0050667A" w:rsidP="00530D24">
            <w:r w:rsidRPr="00465FD3">
              <w:t>1967 г.</w:t>
            </w:r>
          </w:p>
        </w:tc>
        <w:tc>
          <w:tcPr>
            <w:tcW w:w="0" w:type="auto"/>
            <w:hideMark/>
          </w:tcPr>
          <w:p w:rsidR="0050667A" w:rsidRPr="00465FD3" w:rsidRDefault="0050667A" w:rsidP="00530D24">
            <w:r w:rsidRPr="00465FD3">
              <w:t>Канцелярия Генерального регистратора переходит в ведение нового Министерства по делам потребителей и корпораций.</w:t>
            </w:r>
          </w:p>
        </w:tc>
      </w:tr>
      <w:tr w:rsidR="0050667A" w:rsidRPr="00465FD3" w:rsidTr="00530D24">
        <w:trPr>
          <w:tblCellSpacing w:w="15" w:type="dxa"/>
        </w:trPr>
        <w:tc>
          <w:tcPr>
            <w:tcW w:w="0" w:type="auto"/>
            <w:hideMark/>
          </w:tcPr>
          <w:p w:rsidR="0050667A" w:rsidRPr="00465FD3" w:rsidRDefault="0050667A" w:rsidP="00530D24">
            <w:r w:rsidRPr="00465FD3">
              <w:t>1973 г.</w:t>
            </w:r>
          </w:p>
        </w:tc>
        <w:tc>
          <w:tcPr>
            <w:tcW w:w="0" w:type="auto"/>
            <w:hideMark/>
          </w:tcPr>
          <w:p w:rsidR="0050667A" w:rsidRPr="00465FD3" w:rsidRDefault="0050667A" w:rsidP="00530D24">
            <w:r w:rsidRPr="00465FD3">
              <w:t>При Министерстве по делам потребителей и корпораций учреждается Бюро интеллектуальной собственности, призванное «обеспечить скоординированный подход к обязанностям Министерства в отношении патентов, авторских прав, товарных знаков и промышленных образцов».</w:t>
            </w:r>
          </w:p>
        </w:tc>
      </w:tr>
      <w:tr w:rsidR="0050667A" w:rsidRPr="00465FD3" w:rsidTr="00530D24">
        <w:trPr>
          <w:tblCellSpacing w:w="15" w:type="dxa"/>
        </w:trPr>
        <w:tc>
          <w:tcPr>
            <w:tcW w:w="0" w:type="auto"/>
            <w:hideMark/>
          </w:tcPr>
          <w:p w:rsidR="0050667A" w:rsidRPr="00465FD3" w:rsidRDefault="0050667A" w:rsidP="00530D24">
            <w:r w:rsidRPr="00465FD3">
              <w:t>1992 г.</w:t>
            </w:r>
          </w:p>
        </w:tc>
        <w:tc>
          <w:tcPr>
            <w:tcW w:w="0" w:type="auto"/>
            <w:hideMark/>
          </w:tcPr>
          <w:p w:rsidR="0050667A" w:rsidRPr="00465FD3" w:rsidRDefault="0050667A" w:rsidP="000328E4">
            <w:pPr>
              <w:keepLines/>
            </w:pPr>
            <w:r w:rsidRPr="00465FD3">
              <w:t>Канадское ведомство интеллектуальной собственности становится Специальным исполнительным органом в рамках Министерства по делам потребителей и корпораций (МПК).</w:t>
            </w:r>
          </w:p>
        </w:tc>
      </w:tr>
      <w:tr w:rsidR="0050667A" w:rsidRPr="00465FD3" w:rsidTr="00530D24">
        <w:trPr>
          <w:tblCellSpacing w:w="15" w:type="dxa"/>
        </w:trPr>
        <w:tc>
          <w:tcPr>
            <w:tcW w:w="0" w:type="auto"/>
            <w:hideMark/>
          </w:tcPr>
          <w:p w:rsidR="0050667A" w:rsidRPr="00465FD3" w:rsidRDefault="0050667A" w:rsidP="00530D24">
            <w:r w:rsidRPr="00465FD3">
              <w:t>1994 г.</w:t>
            </w:r>
          </w:p>
        </w:tc>
        <w:tc>
          <w:tcPr>
            <w:tcW w:w="0" w:type="auto"/>
            <w:hideMark/>
          </w:tcPr>
          <w:p w:rsidR="0050667A" w:rsidRPr="00465FD3" w:rsidRDefault="0050667A" w:rsidP="000328E4">
            <w:pPr>
              <w:keepNext/>
              <w:keepLines/>
            </w:pPr>
            <w:r w:rsidRPr="00465FD3">
              <w:t xml:space="preserve">Министерство по делам потребителей и корпораций (МПК) переименовывается в Министерство промышленности Канады. </w:t>
            </w:r>
          </w:p>
        </w:tc>
      </w:tr>
      <w:tr w:rsidR="0050667A" w:rsidRPr="00465FD3" w:rsidTr="00530D24">
        <w:trPr>
          <w:tblCellSpacing w:w="15" w:type="dxa"/>
        </w:trPr>
        <w:tc>
          <w:tcPr>
            <w:tcW w:w="0" w:type="auto"/>
          </w:tcPr>
          <w:p w:rsidR="0050667A" w:rsidRPr="00465FD3" w:rsidRDefault="0050667A" w:rsidP="00530D24">
            <w:r w:rsidRPr="00465FD3">
              <w:t>2016 г.</w:t>
            </w:r>
          </w:p>
        </w:tc>
        <w:tc>
          <w:tcPr>
            <w:tcW w:w="0" w:type="auto"/>
          </w:tcPr>
          <w:p w:rsidR="0050667A" w:rsidRPr="00465FD3" w:rsidRDefault="0050667A" w:rsidP="00530D24">
            <w:r w:rsidRPr="00465FD3">
              <w:t>Мандат Министерства промышленности Канады обновляется, и оно переименовывается в Министерство инновационной деятельности, науки и экономического развития Канады.</w:t>
            </w:r>
          </w:p>
        </w:tc>
      </w:tr>
    </w:tbl>
    <w:p w:rsidR="0050667A" w:rsidRPr="00465FD3" w:rsidRDefault="0050667A" w:rsidP="00530D24"/>
    <w:p w:rsidR="0050667A" w:rsidRPr="00465FD3" w:rsidRDefault="0050667A" w:rsidP="00530D24">
      <w:r w:rsidRPr="00465FD3">
        <w:t>Канада взяла на себя обязательства по РСТ 2 января 1990 г.  CIPO начало свою деятельность в качестве МПО/ОМПЭ 26 июля 2004 года</w:t>
      </w:r>
      <w:r w:rsidR="00465FD3">
        <w:t>;  е</w:t>
      </w:r>
      <w:r w:rsidRPr="00465FD3">
        <w:t xml:space="preserve">го назначение было обновлено на 36-й (16-й очередной) сессии Ассамблеи Союза РСТ осенью 2007 г.  К маю 2017 г. CIPO будет иметь почти 13-летний опыт </w:t>
      </w:r>
      <w:r w:rsidR="00E4193A">
        <w:t xml:space="preserve">деятельности </w:t>
      </w:r>
      <w:r w:rsidRPr="00465FD3">
        <w:t>в качестве МПО/ОМПЭ в рамках РСТ.</w:t>
      </w:r>
    </w:p>
    <w:p w:rsidR="0050667A" w:rsidRPr="00465FD3" w:rsidRDefault="0050667A" w:rsidP="00530D24"/>
    <w:p w:rsidR="0050667A" w:rsidRPr="00465FD3" w:rsidRDefault="0050667A" w:rsidP="00530D24">
      <w:r w:rsidRPr="00465FD3">
        <w:t>В заключение следует отметить, что CIPO продемонстрировало, что отвечает требованиям для функционирования в качестве МПО/ОМПЭ в рамках РСТ, поскольку имеет следующие признаки:</w:t>
      </w:r>
    </w:p>
    <w:p w:rsidR="00530D24" w:rsidRPr="00465FD3" w:rsidRDefault="00530D24" w:rsidP="00530D24"/>
    <w:p w:rsidR="0050667A" w:rsidRPr="00465FD3" w:rsidRDefault="00530D24" w:rsidP="00530D24">
      <w:pPr>
        <w:ind w:left="567" w:hanging="567"/>
      </w:pPr>
      <w:r w:rsidRPr="00465FD3">
        <w:t>– высококвалифицированный, компетентный и растущий коллектив патентных экспертов во всех дисциплинах, владеющих двумя, а в некоторых случаях несколькими языками;</w:t>
      </w:r>
    </w:p>
    <w:p w:rsidR="0050667A" w:rsidRPr="00465FD3" w:rsidRDefault="0050667A" w:rsidP="00530D24">
      <w:pPr>
        <w:ind w:left="567" w:hanging="567"/>
      </w:pPr>
    </w:p>
    <w:p w:rsidR="0050667A" w:rsidRPr="00465FD3" w:rsidRDefault="00530D24" w:rsidP="00530D24">
      <w:pPr>
        <w:ind w:left="567" w:hanging="567"/>
      </w:pPr>
      <w:r w:rsidRPr="00465FD3">
        <w:t>– современная и эффективная автоматизированная система рассмотрения патентных заявок, обеспеченная продуманной, комплексной ИТ-инфраструктурой;</w:t>
      </w:r>
    </w:p>
    <w:p w:rsidR="0050667A" w:rsidRPr="00465FD3" w:rsidRDefault="0050667A" w:rsidP="00530D24">
      <w:pPr>
        <w:ind w:left="567" w:hanging="567"/>
      </w:pPr>
    </w:p>
    <w:p w:rsidR="0050667A" w:rsidRPr="00465FD3" w:rsidRDefault="00530D24" w:rsidP="00530D24">
      <w:pPr>
        <w:ind w:left="567" w:hanging="567"/>
      </w:pPr>
      <w:r w:rsidRPr="00465FD3">
        <w:t>– обширная коллекция патентных документов и онлайновых ресурсов, которые позволяют CIPO отвечать минимальным требованиям к документации;</w:t>
      </w:r>
    </w:p>
    <w:p w:rsidR="0050667A" w:rsidRPr="00465FD3" w:rsidRDefault="0050667A" w:rsidP="00530D24">
      <w:pPr>
        <w:ind w:left="567" w:hanging="567"/>
      </w:pPr>
    </w:p>
    <w:p w:rsidR="0050667A" w:rsidRPr="00465FD3" w:rsidRDefault="00530D24" w:rsidP="00530D24">
      <w:pPr>
        <w:ind w:left="567" w:hanging="567"/>
      </w:pPr>
      <w:r w:rsidRPr="00465FD3">
        <w:t>– твердое намерение организации обеспечивать высокий уровень клиентских отношений и оказания услуг</w:t>
      </w:r>
      <w:r w:rsidR="00465FD3">
        <w:t>;  а</w:t>
      </w:r>
      <w:r w:rsidRPr="00465FD3">
        <w:t xml:space="preserve"> также</w:t>
      </w:r>
    </w:p>
    <w:p w:rsidR="0050667A" w:rsidRPr="00465FD3" w:rsidRDefault="0050667A" w:rsidP="00530D24">
      <w:pPr>
        <w:ind w:left="567" w:hanging="567"/>
      </w:pPr>
    </w:p>
    <w:p w:rsidR="0050667A" w:rsidRPr="000328E4" w:rsidRDefault="00530D24" w:rsidP="00530D24">
      <w:pPr>
        <w:ind w:left="567" w:hanging="567"/>
        <w:rPr>
          <w:lang w:val="en-US"/>
        </w:rPr>
      </w:pPr>
      <w:r w:rsidRPr="00465FD3">
        <w:t xml:space="preserve">– способность экспертов справляться с предполагаемой нагрузкой в рамках международной процедуры и оказывать услуги лицам, подающим заявки через </w:t>
      </w:r>
      <w:r w:rsidR="00A00E42" w:rsidRPr="00465FD3">
        <w:t>другие</w:t>
      </w:r>
      <w:r w:rsidRPr="00465FD3">
        <w:t xml:space="preserve"> получающие ведомства.</w:t>
      </w:r>
    </w:p>
    <w:p w:rsidR="0050667A" w:rsidRPr="00465FD3" w:rsidRDefault="0050667A" w:rsidP="00530D24">
      <w:pPr>
        <w:pStyle w:val="SectionHeading"/>
      </w:pPr>
      <w:bookmarkStart w:id="9" w:name="ArticleXI"/>
      <w:bookmarkEnd w:id="9"/>
      <w:r w:rsidRPr="00465FD3">
        <w:t>9. – Оценка другими органами</w:t>
      </w:r>
    </w:p>
    <w:p w:rsidR="0050667A" w:rsidRPr="00465FD3" w:rsidRDefault="0050667A" w:rsidP="00530D24">
      <w:r w:rsidRPr="00465FD3">
        <w:t xml:space="preserve">Комментарии от </w:t>
      </w:r>
      <w:hyperlink w:anchor="OtherIAHelpAndAssessment" w:history="1">
        <w:r w:rsidRPr="00465FD3">
          <w:t>органов</w:t>
        </w:r>
      </w:hyperlink>
      <w:r w:rsidRPr="00465FD3">
        <w:t>, которые проводили обзор наших отчетов о системе управления качеством, можно резюмировать следующим образом:</w:t>
      </w:r>
    </w:p>
    <w:p w:rsidR="0050667A" w:rsidRPr="00465FD3" w:rsidRDefault="00530D24" w:rsidP="00530D24">
      <w:r w:rsidRPr="00465FD3">
        <w:t>–</w:t>
      </w:r>
      <w:r w:rsidRPr="00465FD3">
        <w:tab/>
        <w:t>направления, в которых мы показали хорошие результаты (сводная информация по всем комментариям):</w:t>
      </w:r>
    </w:p>
    <w:p w:rsidR="0050667A" w:rsidRPr="00465FD3" w:rsidRDefault="00530D24" w:rsidP="00530D24">
      <w:pPr>
        <w:ind w:left="1134" w:hanging="567"/>
      </w:pPr>
      <w:r w:rsidRPr="00465FD3">
        <w:t>–</w:t>
      </w:r>
      <w:r w:rsidRPr="00465FD3">
        <w:tab/>
        <w:t>составление схем процессов;</w:t>
      </w:r>
    </w:p>
    <w:p w:rsidR="0050667A" w:rsidRPr="00465FD3" w:rsidRDefault="00530D24" w:rsidP="00530D24">
      <w:pPr>
        <w:ind w:left="1134" w:hanging="567"/>
      </w:pPr>
      <w:r w:rsidRPr="00465FD3">
        <w:t>–</w:t>
      </w:r>
      <w:r w:rsidRPr="00465FD3">
        <w:tab/>
        <w:t>подходы к контролю качества и аудиту качества;</w:t>
      </w:r>
    </w:p>
    <w:p w:rsidR="0050667A" w:rsidRPr="00465FD3" w:rsidRDefault="00530D24" w:rsidP="00530D24">
      <w:pPr>
        <w:ind w:left="1134" w:hanging="567"/>
      </w:pPr>
      <w:r w:rsidRPr="00465FD3">
        <w:t>–</w:t>
      </w:r>
      <w:r w:rsidRPr="00465FD3">
        <w:tab/>
        <w:t>приверженность руководства нашей системе управления качеством, свидетельством чему служат регулярные заседания Руководящего комитета;</w:t>
      </w:r>
    </w:p>
    <w:p w:rsidR="0050667A" w:rsidRPr="00465FD3" w:rsidRDefault="00530D24" w:rsidP="00530D24">
      <w:pPr>
        <w:ind w:left="1134" w:hanging="567"/>
      </w:pPr>
      <w:r w:rsidRPr="00465FD3">
        <w:t>–</w:t>
      </w:r>
      <w:r w:rsidRPr="00465FD3">
        <w:tab/>
        <w:t>система на основе Соглашения о регулировании результативности работы сотрудников (определенные цели для всех сотрудников);</w:t>
      </w:r>
    </w:p>
    <w:p w:rsidR="0050667A" w:rsidRPr="00465FD3" w:rsidRDefault="00530D24" w:rsidP="00530D24">
      <w:pPr>
        <w:ind w:left="1134" w:hanging="567"/>
      </w:pPr>
      <w:r w:rsidRPr="00465FD3">
        <w:t>–</w:t>
      </w:r>
      <w:r w:rsidRPr="00465FD3">
        <w:tab/>
        <w:t>обучение персонала;</w:t>
      </w:r>
    </w:p>
    <w:p w:rsidR="0050667A" w:rsidRPr="00465FD3" w:rsidRDefault="00530D24" w:rsidP="00530D24">
      <w:pPr>
        <w:ind w:left="1134" w:hanging="567"/>
      </w:pPr>
      <w:r w:rsidRPr="00465FD3">
        <w:t>–</w:t>
      </w:r>
      <w:r w:rsidRPr="00465FD3">
        <w:tab/>
        <w:t>регулирование нагрузки с помощью интерфейса InterApp;</w:t>
      </w:r>
    </w:p>
    <w:p w:rsidR="0050667A" w:rsidRPr="00465FD3" w:rsidRDefault="00530D24" w:rsidP="00530D24">
      <w:pPr>
        <w:ind w:left="1134" w:hanging="567"/>
      </w:pPr>
      <w:r w:rsidRPr="00465FD3">
        <w:t>–</w:t>
      </w:r>
      <w:r w:rsidRPr="00465FD3">
        <w:tab/>
        <w:t>оперативность предоставления обратной связи (три дня – довольно короткий срок по сравнению с 15-дневным периодом, устанавливаемым другими Ведомствами).</w:t>
      </w:r>
    </w:p>
    <w:p w:rsidR="0050667A" w:rsidRPr="00465FD3" w:rsidRDefault="0050667A" w:rsidP="00530D24"/>
    <w:p w:rsidR="0050667A" w:rsidRPr="00465FD3" w:rsidRDefault="00530D24" w:rsidP="00530D24">
      <w:r w:rsidRPr="00465FD3">
        <w:t>–</w:t>
      </w:r>
      <w:r w:rsidRPr="00465FD3">
        <w:tab/>
        <w:t>направления, где необходим</w:t>
      </w:r>
      <w:r w:rsidR="00FF0648" w:rsidRPr="00465FD3">
        <w:t>ы</w:t>
      </w:r>
      <w:r w:rsidRPr="00465FD3">
        <w:t xml:space="preserve"> улучшени</w:t>
      </w:r>
      <w:r w:rsidR="00FF0648" w:rsidRPr="00465FD3">
        <w:t>я</w:t>
      </w:r>
      <w:r w:rsidRPr="00465FD3">
        <w:t xml:space="preserve"> (в целом серьезных проблем не выявлено, однако по ряду вопросов </w:t>
      </w:r>
      <w:r w:rsidR="00F42B3D">
        <w:t>требуются</w:t>
      </w:r>
      <w:r w:rsidRPr="00465FD3">
        <w:t xml:space="preserve"> дополнительные пояснения):</w:t>
      </w:r>
    </w:p>
    <w:p w:rsidR="0050667A" w:rsidRPr="00465FD3" w:rsidRDefault="00530D24" w:rsidP="00530D24">
      <w:pPr>
        <w:ind w:left="1134" w:hanging="567"/>
      </w:pPr>
      <w:r w:rsidRPr="00465FD3">
        <w:t>–</w:t>
      </w:r>
      <w:r w:rsidRPr="00465FD3">
        <w:tab/>
        <w:t>предоставить организационную схему подразделений;</w:t>
      </w:r>
    </w:p>
    <w:p w:rsidR="0050667A" w:rsidRPr="00465FD3" w:rsidRDefault="00530D24" w:rsidP="00530D24">
      <w:pPr>
        <w:ind w:left="1134" w:hanging="567"/>
      </w:pPr>
      <w:r w:rsidRPr="00465FD3">
        <w:t>–</w:t>
      </w:r>
      <w:r w:rsidRPr="00465FD3">
        <w:tab/>
        <w:t>более конкретная информация о сертификации по ИСО (из отчета неясно, прошли ли мы сертификацию);</w:t>
      </w:r>
    </w:p>
    <w:p w:rsidR="0050667A" w:rsidRPr="00465FD3" w:rsidRDefault="00530D24" w:rsidP="00530D24">
      <w:pPr>
        <w:ind w:left="1134" w:hanging="567"/>
      </w:pPr>
      <w:r w:rsidRPr="00465FD3">
        <w:t>–</w:t>
      </w:r>
      <w:r w:rsidRPr="00465FD3">
        <w:tab/>
        <w:t>уточнить, какие именно меры будут приняты в случае задержки по заявкам (более конкретная информация о рассмотрении и операциях);</w:t>
      </w:r>
    </w:p>
    <w:p w:rsidR="0050667A" w:rsidRPr="00465FD3" w:rsidRDefault="00530D24" w:rsidP="00530D24">
      <w:pPr>
        <w:ind w:left="1134" w:hanging="567"/>
      </w:pPr>
      <w:r w:rsidRPr="00465FD3">
        <w:t>–</w:t>
      </w:r>
      <w:r w:rsidRPr="00465FD3">
        <w:tab/>
        <w:t xml:space="preserve">более конкретная информация о том, кто </w:t>
      </w:r>
      <w:r w:rsidR="00F42B3D">
        <w:t>утверждает</w:t>
      </w:r>
      <w:r w:rsidRPr="00465FD3">
        <w:t xml:space="preserve"> политику в области качества/ находится ли она в открытом доступе; </w:t>
      </w:r>
    </w:p>
    <w:p w:rsidR="0050667A" w:rsidRPr="00465FD3" w:rsidRDefault="00530D24" w:rsidP="00530D24">
      <w:pPr>
        <w:ind w:left="1134" w:hanging="567"/>
      </w:pPr>
      <w:r w:rsidRPr="00465FD3">
        <w:t>–</w:t>
      </w:r>
      <w:r w:rsidRPr="00465FD3">
        <w:tab/>
        <w:t xml:space="preserve">следует представить пояснения по обзору руководства. </w:t>
      </w:r>
    </w:p>
    <w:p w:rsidR="0050667A" w:rsidRPr="00465FD3" w:rsidRDefault="0050667A" w:rsidP="00530D24"/>
    <w:p w:rsidR="00530D24" w:rsidRPr="00465FD3" w:rsidRDefault="00530D24" w:rsidP="00530D24"/>
    <w:p w:rsidR="00AA5F79" w:rsidRDefault="00FA4CE0" w:rsidP="00FA4CE0">
      <w:pPr>
        <w:pStyle w:val="Endofdocument-Annex"/>
      </w:pPr>
      <w:r w:rsidRPr="00465FD3">
        <w:t>[Конец приложения и документа]</w:t>
      </w:r>
    </w:p>
    <w:p w:rsidR="006B2709" w:rsidRPr="003178FE" w:rsidRDefault="006B2709" w:rsidP="00FA4CE0">
      <w:pPr>
        <w:pStyle w:val="Endofdocument-Annex"/>
      </w:pPr>
    </w:p>
    <w:sectPr w:rsidR="006B2709" w:rsidRPr="003178FE" w:rsidSect="00AA5F79">
      <w:headerReference w:type="default" r:id="rId61"/>
      <w:headerReference w:type="first" r:id="rId6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D2B" w:rsidRDefault="00E87D2B">
      <w:r>
        <w:separator/>
      </w:r>
    </w:p>
  </w:endnote>
  <w:endnote w:type="continuationSeparator" w:id="0">
    <w:p w:rsidR="00E87D2B" w:rsidRDefault="00E87D2B" w:rsidP="003B38C1">
      <w:r>
        <w:separator/>
      </w:r>
    </w:p>
    <w:p w:rsidR="00E87D2B" w:rsidRPr="003178FE" w:rsidRDefault="00E87D2B" w:rsidP="003B38C1">
      <w:pPr>
        <w:spacing w:after="60"/>
        <w:rPr>
          <w:sz w:val="17"/>
          <w:lang w:val="en-US"/>
        </w:rPr>
      </w:pPr>
      <w:r w:rsidRPr="003178FE">
        <w:rPr>
          <w:sz w:val="17"/>
          <w:lang w:val="en-US"/>
        </w:rPr>
        <w:t>[Endnote continued from previous page]</w:t>
      </w:r>
    </w:p>
  </w:endnote>
  <w:endnote w:type="continuationNotice" w:id="1">
    <w:p w:rsidR="00E87D2B" w:rsidRPr="003178FE" w:rsidRDefault="00E87D2B" w:rsidP="003B38C1">
      <w:pPr>
        <w:spacing w:before="60"/>
        <w:jc w:val="right"/>
        <w:rPr>
          <w:sz w:val="17"/>
          <w:szCs w:val="17"/>
          <w:lang w:val="en-US"/>
        </w:rPr>
      </w:pPr>
      <w:r w:rsidRPr="003178F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BB" w:rsidRDefault="00082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BB" w:rsidRDefault="00082B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BB" w:rsidRDefault="00082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D2B" w:rsidRDefault="00E87D2B">
      <w:r>
        <w:separator/>
      </w:r>
    </w:p>
  </w:footnote>
  <w:footnote w:type="continuationSeparator" w:id="0">
    <w:p w:rsidR="00E87D2B" w:rsidRDefault="00E87D2B" w:rsidP="008B60B2">
      <w:r>
        <w:separator/>
      </w:r>
    </w:p>
    <w:p w:rsidR="00E87D2B" w:rsidRPr="003178FE" w:rsidRDefault="00E87D2B" w:rsidP="008B60B2">
      <w:pPr>
        <w:spacing w:after="60"/>
        <w:rPr>
          <w:sz w:val="17"/>
          <w:szCs w:val="17"/>
          <w:lang w:val="en-US"/>
        </w:rPr>
      </w:pPr>
      <w:r w:rsidRPr="003178FE">
        <w:rPr>
          <w:sz w:val="17"/>
          <w:szCs w:val="17"/>
          <w:lang w:val="en-US"/>
        </w:rPr>
        <w:t>[Footnote continued from previous page]</w:t>
      </w:r>
    </w:p>
  </w:footnote>
  <w:footnote w:type="continuationNotice" w:id="1">
    <w:p w:rsidR="00E87D2B" w:rsidRPr="003178FE" w:rsidRDefault="00E87D2B" w:rsidP="008B60B2">
      <w:pPr>
        <w:spacing w:before="60"/>
        <w:jc w:val="right"/>
        <w:rPr>
          <w:sz w:val="17"/>
          <w:szCs w:val="17"/>
          <w:lang w:val="en-US"/>
        </w:rPr>
      </w:pPr>
      <w:r w:rsidRPr="003178FE">
        <w:rPr>
          <w:sz w:val="17"/>
          <w:szCs w:val="17"/>
          <w:lang w:val="en-US"/>
        </w:rPr>
        <w:t>[Footnote continued on next page]</w:t>
      </w:r>
    </w:p>
  </w:footnote>
  <w:footnote w:id="2">
    <w:p w:rsidR="00082BBB" w:rsidRDefault="00082BBB">
      <w:pPr>
        <w:pStyle w:val="FootnoteText"/>
      </w:pPr>
      <w:r>
        <w:rPr>
          <w:rStyle w:val="FootnoteReference"/>
        </w:rPr>
        <w:footnoteRef/>
      </w:r>
      <w:r>
        <w:t xml:space="preserve"> </w:t>
      </w:r>
      <w:r>
        <w:tab/>
        <w:t xml:space="preserve">Отчеты опубликованы на веб-сайте ВОИС по адресу: </w:t>
      </w:r>
      <w:r>
        <w:rPr>
          <w:u w:val="single"/>
        </w:rPr>
        <w:t>http://www.wipo.int/pct/en/quality/authorities.html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BB" w:rsidRDefault="00082B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BB" w:rsidRDefault="00082BBB" w:rsidP="00477D6B">
    <w:pPr>
      <w:jc w:val="right"/>
    </w:pPr>
    <w:bookmarkStart w:id="3" w:name="Code2"/>
    <w:bookmarkEnd w:id="3"/>
    <w:r>
      <w:t>PCT/CTC/30/6</w:t>
    </w:r>
  </w:p>
  <w:p w:rsidR="00082BBB" w:rsidRDefault="00082BBB" w:rsidP="00477D6B">
    <w:pPr>
      <w:jc w:val="right"/>
    </w:pPr>
    <w:r>
      <w:t>стр. </w:t>
    </w:r>
    <w:r>
      <w:fldChar w:fldCharType="begin"/>
    </w:r>
    <w:r>
      <w:instrText xml:space="preserve"> PAGE  \* MERGEFORMAT </w:instrText>
    </w:r>
    <w:r>
      <w:fldChar w:fldCharType="separate"/>
    </w:r>
    <w:r>
      <w:rPr>
        <w:noProof/>
      </w:rPr>
      <w:t>2</w:t>
    </w:r>
    <w:r>
      <w:fldChar w:fldCharType="end"/>
    </w:r>
  </w:p>
  <w:p w:rsidR="00082BBB" w:rsidRDefault="00082BB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BB" w:rsidRDefault="00082B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BB" w:rsidRPr="00AA5F79" w:rsidRDefault="00082BBB" w:rsidP="00477D6B">
    <w:pPr>
      <w:jc w:val="right"/>
    </w:pPr>
    <w:r>
      <w:t>PCT/CTC/30/6</w:t>
    </w:r>
  </w:p>
  <w:p w:rsidR="00082BBB" w:rsidRPr="00AA5F79" w:rsidRDefault="00082BBB" w:rsidP="00477D6B">
    <w:pPr>
      <w:jc w:val="right"/>
    </w:pPr>
    <w:r>
      <w:t>Приложение, стр. </w:t>
    </w:r>
    <w:r>
      <w:fldChar w:fldCharType="begin"/>
    </w:r>
    <w:r w:rsidRPr="00AA5F79">
      <w:instrText xml:space="preserve"> PAGE  \* MERGEFORMAT </w:instrText>
    </w:r>
    <w:r>
      <w:fldChar w:fldCharType="separate"/>
    </w:r>
    <w:r w:rsidR="000328E4">
      <w:rPr>
        <w:noProof/>
      </w:rPr>
      <w:t>2</w:t>
    </w:r>
    <w:r>
      <w:fldChar w:fldCharType="end"/>
    </w:r>
  </w:p>
  <w:p w:rsidR="00082BBB" w:rsidRPr="00AA5F79" w:rsidRDefault="00082BBB"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BB" w:rsidRDefault="00082BBB" w:rsidP="00AA5F79">
    <w:pPr>
      <w:pStyle w:val="Header"/>
      <w:jc w:val="right"/>
    </w:pPr>
    <w:r>
      <w:t>PCT/CTC/30/6</w:t>
    </w:r>
  </w:p>
  <w:p w:rsidR="00082BBB" w:rsidRDefault="00082BBB" w:rsidP="00AA5F79">
    <w:pPr>
      <w:pStyle w:val="Header"/>
      <w:jc w:val="right"/>
    </w:pPr>
    <w:r>
      <w:t>ПРИЛОЖЕНИЕ</w:t>
    </w:r>
  </w:p>
  <w:p w:rsidR="00082BBB" w:rsidRDefault="00082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D54767"/>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574"/>
        </w:tabs>
        <w:ind w:left="574"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B5D232F"/>
    <w:multiLevelType w:val="multilevel"/>
    <w:tmpl w:val="FFD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7606D"/>
    <w:multiLevelType w:val="multilevel"/>
    <w:tmpl w:val="E1D4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45C73"/>
    <w:multiLevelType w:val="hybridMultilevel"/>
    <w:tmpl w:val="FA38FB9C"/>
    <w:lvl w:ilvl="0" w:tplc="F70ABB6E">
      <w:start w:val="9"/>
      <w:numFmt w:val="bullet"/>
      <w:lvlText w:val="-"/>
      <w:lvlJc w:val="left"/>
      <w:pPr>
        <w:ind w:left="720" w:hanging="360"/>
      </w:pPr>
      <w:rPr>
        <w:rFonts w:ascii="Arial" w:eastAsia="SimSu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F25568"/>
    <w:multiLevelType w:val="hybridMultilevel"/>
    <w:tmpl w:val="6F02001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C381A1A"/>
    <w:multiLevelType w:val="hybridMultilevel"/>
    <w:tmpl w:val="1050438A"/>
    <w:lvl w:ilvl="0" w:tplc="4F64034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CC366DB"/>
    <w:multiLevelType w:val="hybridMultilevel"/>
    <w:tmpl w:val="3474D770"/>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2F86543A"/>
    <w:multiLevelType w:val="hybridMultilevel"/>
    <w:tmpl w:val="18721A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0BC5DC3"/>
    <w:multiLevelType w:val="hybridMultilevel"/>
    <w:tmpl w:val="ACEEA62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8A73041"/>
    <w:multiLevelType w:val="hybridMultilevel"/>
    <w:tmpl w:val="CA0601FC"/>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D22761"/>
    <w:multiLevelType w:val="hybridMultilevel"/>
    <w:tmpl w:val="2732F37C"/>
    <w:lvl w:ilvl="0" w:tplc="60E0E7FC">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7FC57685"/>
    <w:multiLevelType w:val="hybridMultilevel"/>
    <w:tmpl w:val="1964634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6"/>
  </w:num>
  <w:num w:numId="5">
    <w:abstractNumId w:val="1"/>
  </w:num>
  <w:num w:numId="6">
    <w:abstractNumId w:val="8"/>
  </w:num>
  <w:num w:numId="7">
    <w:abstractNumId w:val="17"/>
  </w:num>
  <w:num w:numId="8">
    <w:abstractNumId w:val="5"/>
  </w:num>
  <w:num w:numId="9">
    <w:abstractNumId w:val="9"/>
  </w:num>
  <w:num w:numId="10">
    <w:abstractNumId w:val="4"/>
  </w:num>
  <w:num w:numId="11">
    <w:abstractNumId w:val="3"/>
  </w:num>
  <w:num w:numId="12">
    <w:abstractNumId w:val="2"/>
  </w:num>
  <w:num w:numId="13">
    <w:abstractNumId w:val="18"/>
  </w:num>
  <w:num w:numId="14">
    <w:abstractNumId w:val="11"/>
  </w:num>
  <w:num w:numId="15">
    <w:abstractNumId w:val="7"/>
  </w:num>
  <w:num w:numId="16">
    <w:abstractNumId w:val="10"/>
  </w:num>
  <w:num w:numId="17">
    <w:abstractNumId w:val="1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328E4"/>
    <w:rsid w:val="00043CAA"/>
    <w:rsid w:val="00075432"/>
    <w:rsid w:val="00082BBB"/>
    <w:rsid w:val="000968ED"/>
    <w:rsid w:val="000B29E1"/>
    <w:rsid w:val="000D1E50"/>
    <w:rsid w:val="000E3E8E"/>
    <w:rsid w:val="000F5E56"/>
    <w:rsid w:val="001362EE"/>
    <w:rsid w:val="00161DE5"/>
    <w:rsid w:val="001832A6"/>
    <w:rsid w:val="001C42B8"/>
    <w:rsid w:val="0021217E"/>
    <w:rsid w:val="002634C4"/>
    <w:rsid w:val="002928D3"/>
    <w:rsid w:val="002F1FE6"/>
    <w:rsid w:val="002F4E68"/>
    <w:rsid w:val="00312F7F"/>
    <w:rsid w:val="00315792"/>
    <w:rsid w:val="003178FE"/>
    <w:rsid w:val="003322D6"/>
    <w:rsid w:val="00336A78"/>
    <w:rsid w:val="0035027E"/>
    <w:rsid w:val="00354444"/>
    <w:rsid w:val="00361450"/>
    <w:rsid w:val="003673CF"/>
    <w:rsid w:val="003845C1"/>
    <w:rsid w:val="003A6F89"/>
    <w:rsid w:val="003B38C1"/>
    <w:rsid w:val="00423E3E"/>
    <w:rsid w:val="00427AF4"/>
    <w:rsid w:val="004647DA"/>
    <w:rsid w:val="00465FD3"/>
    <w:rsid w:val="00474062"/>
    <w:rsid w:val="00477D6B"/>
    <w:rsid w:val="004C46FB"/>
    <w:rsid w:val="004F74E6"/>
    <w:rsid w:val="005019FF"/>
    <w:rsid w:val="0050667A"/>
    <w:rsid w:val="0053057A"/>
    <w:rsid w:val="00530D24"/>
    <w:rsid w:val="00543524"/>
    <w:rsid w:val="00560A29"/>
    <w:rsid w:val="005C40A3"/>
    <w:rsid w:val="005C6649"/>
    <w:rsid w:val="00605827"/>
    <w:rsid w:val="00646050"/>
    <w:rsid w:val="006713CA"/>
    <w:rsid w:val="00676C5C"/>
    <w:rsid w:val="006A6C1D"/>
    <w:rsid w:val="006B2709"/>
    <w:rsid w:val="006E5C07"/>
    <w:rsid w:val="0075470A"/>
    <w:rsid w:val="007823C7"/>
    <w:rsid w:val="007C0F8E"/>
    <w:rsid w:val="007D1613"/>
    <w:rsid w:val="007E4C0E"/>
    <w:rsid w:val="00822002"/>
    <w:rsid w:val="00837953"/>
    <w:rsid w:val="00837E2A"/>
    <w:rsid w:val="00872E8E"/>
    <w:rsid w:val="0088062A"/>
    <w:rsid w:val="008B1AE0"/>
    <w:rsid w:val="008B2CC1"/>
    <w:rsid w:val="008B50A2"/>
    <w:rsid w:val="008B60B2"/>
    <w:rsid w:val="0090731E"/>
    <w:rsid w:val="00915B35"/>
    <w:rsid w:val="00916EE2"/>
    <w:rsid w:val="00966A22"/>
    <w:rsid w:val="0096722F"/>
    <w:rsid w:val="00980843"/>
    <w:rsid w:val="009D40D6"/>
    <w:rsid w:val="009E2791"/>
    <w:rsid w:val="009E3F6F"/>
    <w:rsid w:val="009F499F"/>
    <w:rsid w:val="00A00E42"/>
    <w:rsid w:val="00A42DAF"/>
    <w:rsid w:val="00A45BD8"/>
    <w:rsid w:val="00A62193"/>
    <w:rsid w:val="00A869B7"/>
    <w:rsid w:val="00A90405"/>
    <w:rsid w:val="00A93FC2"/>
    <w:rsid w:val="00AA5F79"/>
    <w:rsid w:val="00AC205C"/>
    <w:rsid w:val="00AF0A6B"/>
    <w:rsid w:val="00B05A69"/>
    <w:rsid w:val="00B25C1D"/>
    <w:rsid w:val="00B60AA7"/>
    <w:rsid w:val="00B9734B"/>
    <w:rsid w:val="00BA30E2"/>
    <w:rsid w:val="00BB4043"/>
    <w:rsid w:val="00BD078D"/>
    <w:rsid w:val="00C11BFE"/>
    <w:rsid w:val="00C37C03"/>
    <w:rsid w:val="00C5068F"/>
    <w:rsid w:val="00C650A4"/>
    <w:rsid w:val="00CB0ECF"/>
    <w:rsid w:val="00CD04F1"/>
    <w:rsid w:val="00D05667"/>
    <w:rsid w:val="00D05F1D"/>
    <w:rsid w:val="00D145FB"/>
    <w:rsid w:val="00D45252"/>
    <w:rsid w:val="00D71B4D"/>
    <w:rsid w:val="00D93D55"/>
    <w:rsid w:val="00E04056"/>
    <w:rsid w:val="00E15015"/>
    <w:rsid w:val="00E335FE"/>
    <w:rsid w:val="00E4193A"/>
    <w:rsid w:val="00E82D0C"/>
    <w:rsid w:val="00E87D2B"/>
    <w:rsid w:val="00EC4E49"/>
    <w:rsid w:val="00ED77FB"/>
    <w:rsid w:val="00EE45FA"/>
    <w:rsid w:val="00F42B3D"/>
    <w:rsid w:val="00F454D3"/>
    <w:rsid w:val="00F66152"/>
    <w:rsid w:val="00F87DF0"/>
    <w:rsid w:val="00FA4CE0"/>
    <w:rsid w:val="00FD06A7"/>
    <w:rsid w:val="00FF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50667A"/>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nhideWhenUsed/>
    <w:qFormat/>
    <w:rsid w:val="0050667A"/>
    <w:pPr>
      <w:keepNext/>
      <w:tabs>
        <w:tab w:val="num" w:pos="1152"/>
      </w:tabs>
      <w:ind w:left="1152" w:hanging="432"/>
      <w:jc w:val="center"/>
      <w:outlineLvl w:val="5"/>
    </w:pPr>
    <w:rPr>
      <w:rFonts w:ascii="Century Gothic" w:hAnsi="Century Gothic"/>
      <w:sz w:val="28"/>
      <w:szCs w:val="28"/>
    </w:rPr>
  </w:style>
  <w:style w:type="paragraph" w:styleId="Heading7">
    <w:name w:val="heading 7"/>
    <w:basedOn w:val="Normal"/>
    <w:next w:val="Normal"/>
    <w:link w:val="Heading7Char"/>
    <w:semiHidden/>
    <w:unhideWhenUsed/>
    <w:qFormat/>
    <w:rsid w:val="0050667A"/>
    <w:pPr>
      <w:keepNext/>
      <w:keepLines/>
      <w:tabs>
        <w:tab w:val="num" w:pos="1296"/>
      </w:tabs>
      <w:spacing w:before="200"/>
      <w:ind w:left="1296" w:hanging="288"/>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0667A"/>
    <w:pPr>
      <w:keepNext/>
      <w:keepLines/>
      <w:tabs>
        <w:tab w:val="num" w:pos="1440"/>
      </w:tabs>
      <w:spacing w:before="200"/>
      <w:ind w:left="1440" w:hanging="432"/>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0667A"/>
    <w:pPr>
      <w:keepNext/>
      <w:keepLines/>
      <w:tabs>
        <w:tab w:val="num" w:pos="1584"/>
      </w:tabs>
      <w:spacing w:before="200"/>
      <w:ind w:left="1584" w:hanging="14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ru-RU"/>
    </w:rPr>
  </w:style>
  <w:style w:type="character" w:customStyle="1" w:styleId="ONUMEChar">
    <w:name w:val="ONUM E Char"/>
    <w:basedOn w:val="DefaultParagraphFont"/>
    <w:link w:val="ONUME"/>
    <w:locked/>
    <w:rsid w:val="005C40A3"/>
    <w:rPr>
      <w:rFonts w:ascii="Arial" w:eastAsia="SimSun" w:hAnsi="Arial" w:cs="Arial"/>
      <w:sz w:val="22"/>
      <w:lang w:eastAsia="ru-RU"/>
    </w:rPr>
  </w:style>
  <w:style w:type="character" w:customStyle="1" w:styleId="Heading5Char">
    <w:name w:val="Heading 5 Char"/>
    <w:basedOn w:val="DefaultParagraphFont"/>
    <w:link w:val="Heading5"/>
    <w:rsid w:val="0050667A"/>
    <w:rPr>
      <w:rFonts w:ascii="Arial" w:eastAsia="SimSun" w:hAnsi="Arial" w:cs="Arial"/>
      <w:b/>
      <w:bCs/>
      <w:i/>
      <w:iCs/>
      <w:sz w:val="26"/>
      <w:szCs w:val="26"/>
      <w:lang w:eastAsia="ru-RU"/>
    </w:rPr>
  </w:style>
  <w:style w:type="character" w:customStyle="1" w:styleId="Heading6Char">
    <w:name w:val="Heading 6 Char"/>
    <w:basedOn w:val="DefaultParagraphFont"/>
    <w:link w:val="Heading6"/>
    <w:rsid w:val="0050667A"/>
    <w:rPr>
      <w:rFonts w:ascii="Century Gothic" w:eastAsia="SimSun" w:hAnsi="Century Gothic" w:cs="Arial"/>
      <w:sz w:val="28"/>
      <w:szCs w:val="28"/>
      <w:lang w:eastAsia="ru-RU"/>
    </w:rPr>
  </w:style>
  <w:style w:type="character" w:customStyle="1" w:styleId="Heading7Char">
    <w:name w:val="Heading 7 Char"/>
    <w:basedOn w:val="DefaultParagraphFont"/>
    <w:link w:val="Heading7"/>
    <w:semiHidden/>
    <w:rsid w:val="0050667A"/>
    <w:rPr>
      <w:rFonts w:asciiTheme="majorHAnsi" w:eastAsiaTheme="majorEastAsia" w:hAnsiTheme="majorHAnsi" w:cstheme="majorBidi"/>
      <w:i/>
      <w:iCs/>
      <w:color w:val="404040" w:themeColor="text1" w:themeTint="BF"/>
      <w:sz w:val="22"/>
      <w:lang w:eastAsia="ru-RU"/>
    </w:rPr>
  </w:style>
  <w:style w:type="character" w:customStyle="1" w:styleId="Heading8Char">
    <w:name w:val="Heading 8 Char"/>
    <w:basedOn w:val="DefaultParagraphFont"/>
    <w:link w:val="Heading8"/>
    <w:semiHidden/>
    <w:rsid w:val="0050667A"/>
    <w:rPr>
      <w:rFonts w:asciiTheme="majorHAnsi" w:eastAsiaTheme="majorEastAsia" w:hAnsiTheme="majorHAnsi" w:cstheme="majorBidi"/>
      <w:color w:val="404040" w:themeColor="text1" w:themeTint="BF"/>
      <w:lang w:eastAsia="ru-RU"/>
    </w:rPr>
  </w:style>
  <w:style w:type="character" w:customStyle="1" w:styleId="Heading9Char">
    <w:name w:val="Heading 9 Char"/>
    <w:basedOn w:val="DefaultParagraphFont"/>
    <w:link w:val="Heading9"/>
    <w:semiHidden/>
    <w:rsid w:val="0050667A"/>
    <w:rPr>
      <w:rFonts w:asciiTheme="majorHAnsi" w:eastAsiaTheme="majorEastAsia" w:hAnsiTheme="majorHAnsi" w:cstheme="majorBidi"/>
      <w:i/>
      <w:iCs/>
      <w:color w:val="404040" w:themeColor="text1" w:themeTint="BF"/>
      <w:lang w:eastAsia="ru-RU"/>
    </w:rPr>
  </w:style>
  <w:style w:type="paragraph" w:styleId="List2">
    <w:name w:val="List 2"/>
    <w:basedOn w:val="Normal"/>
    <w:rsid w:val="0050667A"/>
    <w:pPr>
      <w:ind w:left="566" w:hanging="283"/>
    </w:pPr>
  </w:style>
  <w:style w:type="paragraph" w:customStyle="1" w:styleId="DateSignatureAligned">
    <w:name w:val="Date / Signature Aligned"/>
    <w:basedOn w:val="Normal"/>
    <w:rsid w:val="0050667A"/>
    <w:pPr>
      <w:ind w:left="5250"/>
    </w:pPr>
  </w:style>
  <w:style w:type="character" w:styleId="Hyperlink">
    <w:name w:val="Hyperlink"/>
    <w:basedOn w:val="DefaultParagraphFont"/>
    <w:uiPriority w:val="99"/>
    <w:rsid w:val="007C0F8E"/>
    <w:rPr>
      <w:noProof/>
      <w:szCs w:val="22"/>
    </w:rPr>
  </w:style>
  <w:style w:type="paragraph" w:customStyle="1" w:styleId="ArtRuleRef">
    <w:name w:val="Art/Rule Ref"/>
    <w:basedOn w:val="Normal"/>
    <w:rsid w:val="0050667A"/>
    <w:pPr>
      <w:keepNext/>
      <w:keepLines/>
      <w:jc w:val="right"/>
    </w:pPr>
    <w:rPr>
      <w:rFonts w:eastAsia="Arial Unicode MS"/>
      <w:i/>
      <w:snapToGrid w:val="0"/>
      <w:sz w:val="16"/>
    </w:rPr>
  </w:style>
  <w:style w:type="character" w:styleId="PageNumber">
    <w:name w:val="page number"/>
    <w:basedOn w:val="DefaultParagraphFont"/>
    <w:rsid w:val="0050667A"/>
  </w:style>
  <w:style w:type="character" w:styleId="FootnoteReference">
    <w:name w:val="footnote reference"/>
    <w:basedOn w:val="DefaultParagraphFont"/>
    <w:rsid w:val="0050667A"/>
    <w:rPr>
      <w:vertAlign w:val="superscript"/>
    </w:rPr>
  </w:style>
  <w:style w:type="table" w:styleId="TableContemporary">
    <w:name w:val="Table Contemporary"/>
    <w:basedOn w:val="TableNormal"/>
    <w:rsid w:val="0050667A"/>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50667A"/>
    <w:pPr>
      <w:suppressAutoHyphens/>
      <w:ind w:left="1134"/>
    </w:pPr>
    <w:rPr>
      <w:rFonts w:eastAsia="Times New Roman"/>
      <w:sz w:val="24"/>
      <w:szCs w:val="24"/>
    </w:rPr>
  </w:style>
  <w:style w:type="character" w:styleId="Emphasis">
    <w:name w:val="Emphasis"/>
    <w:basedOn w:val="DefaultParagraphFont"/>
    <w:qFormat/>
    <w:rsid w:val="0050667A"/>
    <w:rPr>
      <w:i/>
      <w:iCs/>
    </w:rPr>
  </w:style>
  <w:style w:type="table" w:styleId="TableElegant">
    <w:name w:val="Table Elegant"/>
    <w:basedOn w:val="TableNormal"/>
    <w:rsid w:val="0050667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50667A"/>
    <w:rPr>
      <w:rFonts w:ascii="Arial" w:eastAsia="SimSun" w:hAnsi="Arial" w:cs="Arial"/>
      <w:b/>
      <w:bCs/>
      <w:caps/>
      <w:kern w:val="32"/>
      <w:sz w:val="22"/>
      <w:szCs w:val="32"/>
      <w:lang w:eastAsia="ru-RU"/>
    </w:rPr>
  </w:style>
  <w:style w:type="paragraph" w:customStyle="1" w:styleId="BodyTexti">
    <w:name w:val="Body Text (i)"/>
    <w:basedOn w:val="Normal"/>
    <w:rsid w:val="0050667A"/>
    <w:pPr>
      <w:tabs>
        <w:tab w:val="right" w:pos="851"/>
        <w:tab w:val="left" w:pos="1134"/>
      </w:tabs>
      <w:spacing w:after="120"/>
    </w:pPr>
    <w:rPr>
      <w:rFonts w:eastAsia="Times New Roman" w:cs="Times New Roman"/>
      <w:snapToGrid w:val="0"/>
    </w:rPr>
  </w:style>
  <w:style w:type="paragraph" w:customStyle="1" w:styleId="BodyTexta">
    <w:name w:val="Body Text (a)"/>
    <w:basedOn w:val="Normal"/>
    <w:rsid w:val="0050667A"/>
    <w:pPr>
      <w:spacing w:after="120"/>
      <w:ind w:firstLine="567"/>
    </w:pPr>
    <w:rPr>
      <w:rFonts w:eastAsia="Times New Roman" w:cs="Times New Roman"/>
    </w:rPr>
  </w:style>
  <w:style w:type="paragraph" w:customStyle="1" w:styleId="ExampleClaim">
    <w:name w:val="Example Claim"/>
    <w:basedOn w:val="ExampleText"/>
    <w:rsid w:val="0050667A"/>
    <w:pPr>
      <w:ind w:left="1134" w:hanging="567"/>
    </w:pPr>
  </w:style>
  <w:style w:type="paragraph" w:customStyle="1" w:styleId="ExampleText">
    <w:name w:val="Example Text"/>
    <w:basedOn w:val="BodyTextIndent"/>
    <w:rsid w:val="0050667A"/>
    <w:pPr>
      <w:ind w:left="567"/>
    </w:pPr>
    <w:rPr>
      <w:rFonts w:eastAsia="Times New Roman" w:cs="Times New Roman"/>
      <w:i/>
    </w:rPr>
  </w:style>
  <w:style w:type="paragraph" w:customStyle="1" w:styleId="ExampleClaimSub">
    <w:name w:val="Example Claim Sub"/>
    <w:basedOn w:val="ExampleClaim"/>
    <w:rsid w:val="0050667A"/>
    <w:pPr>
      <w:ind w:firstLine="567"/>
    </w:pPr>
  </w:style>
  <w:style w:type="paragraph" w:customStyle="1" w:styleId="ExampleClaimEnd">
    <w:name w:val="Example Claim End"/>
    <w:basedOn w:val="ExampleClaimSub"/>
    <w:rsid w:val="0050667A"/>
    <w:pPr>
      <w:ind w:firstLine="0"/>
    </w:pPr>
  </w:style>
  <w:style w:type="paragraph" w:customStyle="1" w:styleId="ExamplePolymorphism">
    <w:name w:val="Example Polymorphism"/>
    <w:basedOn w:val="ExampleClaim"/>
    <w:rsid w:val="0050667A"/>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50667A"/>
    <w:pPr>
      <w:tabs>
        <w:tab w:val="clear" w:pos="1980"/>
        <w:tab w:val="clear" w:pos="5400"/>
        <w:tab w:val="clear" w:pos="5580"/>
        <w:tab w:val="left" w:pos="1134"/>
        <w:tab w:val="left" w:pos="3969"/>
      </w:tabs>
    </w:pPr>
  </w:style>
  <w:style w:type="character" w:customStyle="1" w:styleId="InsertedText">
    <w:name w:val="Inserted Text"/>
    <w:qFormat/>
    <w:rsid w:val="0050667A"/>
    <w:rPr>
      <w:color w:val="0000FF"/>
      <w:u w:val="single"/>
    </w:rPr>
  </w:style>
  <w:style w:type="paragraph" w:styleId="BodyTextIndent">
    <w:name w:val="Body Text Indent"/>
    <w:basedOn w:val="Normal"/>
    <w:link w:val="BodyTextIndentChar"/>
    <w:rsid w:val="0050667A"/>
    <w:pPr>
      <w:spacing w:after="120"/>
      <w:ind w:left="283"/>
    </w:pPr>
  </w:style>
  <w:style w:type="character" w:customStyle="1" w:styleId="BodyTextIndentChar">
    <w:name w:val="Body Text Indent Char"/>
    <w:basedOn w:val="DefaultParagraphFont"/>
    <w:link w:val="BodyTextIndent"/>
    <w:rsid w:val="0050667A"/>
    <w:rPr>
      <w:rFonts w:ascii="Arial" w:eastAsia="SimSun" w:hAnsi="Arial" w:cs="Arial"/>
      <w:sz w:val="22"/>
      <w:lang w:eastAsia="ru-RU"/>
    </w:rPr>
  </w:style>
  <w:style w:type="paragraph" w:customStyle="1" w:styleId="Default">
    <w:name w:val="Default"/>
    <w:rsid w:val="0050667A"/>
    <w:pPr>
      <w:autoSpaceDE w:val="0"/>
      <w:autoSpaceDN w:val="0"/>
      <w:adjustRightInd w:val="0"/>
    </w:pPr>
    <w:rPr>
      <w:rFonts w:ascii="Arial" w:hAnsi="Arial"/>
      <w:color w:val="000000"/>
      <w:sz w:val="22"/>
      <w:szCs w:val="24"/>
    </w:rPr>
  </w:style>
  <w:style w:type="table" w:styleId="TableGrid">
    <w:name w:val="Table Grid"/>
    <w:basedOn w:val="TableNormal"/>
    <w:rsid w:val="0050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0667A"/>
    <w:pPr>
      <w:spacing w:after="100"/>
    </w:pPr>
  </w:style>
  <w:style w:type="paragraph" w:styleId="TOC3">
    <w:name w:val="toc 3"/>
    <w:basedOn w:val="Normal"/>
    <w:next w:val="Normal"/>
    <w:autoRedefine/>
    <w:uiPriority w:val="39"/>
    <w:rsid w:val="0050667A"/>
    <w:pPr>
      <w:spacing w:after="100"/>
      <w:ind w:left="440"/>
    </w:pPr>
  </w:style>
  <w:style w:type="paragraph" w:styleId="TOC4">
    <w:name w:val="toc 4"/>
    <w:basedOn w:val="Normal"/>
    <w:next w:val="Normal"/>
    <w:autoRedefine/>
    <w:uiPriority w:val="39"/>
    <w:rsid w:val="0050667A"/>
    <w:pPr>
      <w:spacing w:after="100"/>
      <w:ind w:left="660"/>
    </w:pPr>
  </w:style>
  <w:style w:type="character" w:customStyle="1" w:styleId="BodyTextChar">
    <w:name w:val="Body Text Char"/>
    <w:basedOn w:val="DefaultParagraphFont"/>
    <w:link w:val="BodyText"/>
    <w:uiPriority w:val="1"/>
    <w:rsid w:val="0050667A"/>
    <w:rPr>
      <w:rFonts w:ascii="Arial" w:eastAsia="SimSun" w:hAnsi="Arial" w:cs="Arial"/>
      <w:sz w:val="22"/>
      <w:lang w:eastAsia="ru-RU"/>
    </w:rPr>
  </w:style>
  <w:style w:type="character" w:styleId="CommentReference">
    <w:name w:val="annotation reference"/>
    <w:basedOn w:val="DefaultParagraphFont"/>
    <w:rsid w:val="0050667A"/>
    <w:rPr>
      <w:sz w:val="16"/>
      <w:szCs w:val="16"/>
    </w:rPr>
  </w:style>
  <w:style w:type="paragraph" w:styleId="CommentSubject">
    <w:name w:val="annotation subject"/>
    <w:basedOn w:val="CommentText"/>
    <w:next w:val="CommentText"/>
    <w:link w:val="CommentSubjectChar"/>
    <w:rsid w:val="0050667A"/>
    <w:rPr>
      <w:b/>
      <w:bCs/>
      <w:sz w:val="20"/>
    </w:rPr>
  </w:style>
  <w:style w:type="character" w:customStyle="1" w:styleId="CommentTextChar">
    <w:name w:val="Comment Text Char"/>
    <w:basedOn w:val="DefaultParagraphFont"/>
    <w:link w:val="CommentText"/>
    <w:semiHidden/>
    <w:rsid w:val="0050667A"/>
    <w:rPr>
      <w:rFonts w:ascii="Arial" w:eastAsia="SimSun" w:hAnsi="Arial" w:cs="Arial"/>
      <w:sz w:val="18"/>
      <w:lang w:eastAsia="ru-RU"/>
    </w:rPr>
  </w:style>
  <w:style w:type="character" w:customStyle="1" w:styleId="CommentSubjectChar">
    <w:name w:val="Comment Subject Char"/>
    <w:basedOn w:val="CommentTextChar"/>
    <w:link w:val="CommentSubject"/>
    <w:rsid w:val="0050667A"/>
    <w:rPr>
      <w:rFonts w:ascii="Arial" w:eastAsia="SimSun" w:hAnsi="Arial" w:cs="Arial"/>
      <w:b/>
      <w:bCs/>
      <w:sz w:val="18"/>
      <w:lang w:eastAsia="ru-RU"/>
    </w:rPr>
  </w:style>
  <w:style w:type="paragraph" w:styleId="Revision">
    <w:name w:val="Revision"/>
    <w:hidden/>
    <w:uiPriority w:val="99"/>
    <w:semiHidden/>
    <w:rsid w:val="0050667A"/>
    <w:rPr>
      <w:rFonts w:ascii="Arial" w:eastAsia="SimSun" w:hAnsi="Arial" w:cs="Arial"/>
      <w:sz w:val="22"/>
    </w:rPr>
  </w:style>
  <w:style w:type="character" w:customStyle="1" w:styleId="FooterChar">
    <w:name w:val="Footer Char"/>
    <w:basedOn w:val="DefaultParagraphFont"/>
    <w:link w:val="Footer"/>
    <w:uiPriority w:val="99"/>
    <w:rsid w:val="0050667A"/>
    <w:rPr>
      <w:rFonts w:ascii="Arial" w:eastAsia="SimSun" w:hAnsi="Arial" w:cs="Arial"/>
      <w:sz w:val="22"/>
      <w:lang w:eastAsia="ru-RU"/>
    </w:rPr>
  </w:style>
  <w:style w:type="character" w:customStyle="1" w:styleId="FootnoteTextChar">
    <w:name w:val="Footnote Text Char"/>
    <w:basedOn w:val="DefaultParagraphFont"/>
    <w:link w:val="FootnoteText"/>
    <w:semiHidden/>
    <w:rsid w:val="0050667A"/>
    <w:rPr>
      <w:rFonts w:ascii="Arial" w:eastAsia="SimSun" w:hAnsi="Arial" w:cs="Arial"/>
      <w:sz w:val="18"/>
      <w:lang w:eastAsia="ru-RU"/>
    </w:rPr>
  </w:style>
  <w:style w:type="paragraph" w:customStyle="1" w:styleId="SectionHeading">
    <w:name w:val="Section Heading"/>
    <w:basedOn w:val="Heading1"/>
    <w:link w:val="SectionHeadingChar"/>
    <w:qFormat/>
    <w:rsid w:val="0050667A"/>
    <w:pPr>
      <w:pBdr>
        <w:top w:val="single" w:sz="4" w:space="1" w:color="auto"/>
        <w:bottom w:val="single" w:sz="4" w:space="1" w:color="auto"/>
      </w:pBdr>
      <w:tabs>
        <w:tab w:val="num" w:pos="1440"/>
      </w:tabs>
      <w:spacing w:before="360" w:after="200"/>
    </w:pPr>
  </w:style>
  <w:style w:type="character" w:customStyle="1" w:styleId="SectionHeadingChar">
    <w:name w:val="Section Heading Char"/>
    <w:basedOn w:val="Heading1Char"/>
    <w:link w:val="SectionHeading"/>
    <w:rsid w:val="0050667A"/>
    <w:rPr>
      <w:rFonts w:ascii="Arial" w:eastAsia="SimSun" w:hAnsi="Arial" w:cs="Arial"/>
      <w:b/>
      <w:bCs/>
      <w:caps/>
      <w:kern w:val="32"/>
      <w:sz w:val="22"/>
      <w:szCs w:val="32"/>
      <w:lang w:eastAsia="ru-RU"/>
    </w:rPr>
  </w:style>
  <w:style w:type="paragraph" w:styleId="ListParagraph">
    <w:name w:val="List Paragraph"/>
    <w:basedOn w:val="Normal"/>
    <w:uiPriority w:val="34"/>
    <w:qFormat/>
    <w:rsid w:val="0050667A"/>
    <w:pPr>
      <w:ind w:left="720"/>
      <w:contextualSpacing/>
    </w:pPr>
  </w:style>
  <w:style w:type="character" w:styleId="FollowedHyperlink">
    <w:name w:val="FollowedHyperlink"/>
    <w:basedOn w:val="DefaultParagraphFont"/>
    <w:rsid w:val="0050667A"/>
    <w:rPr>
      <w:color w:val="800080" w:themeColor="followedHyperlink"/>
      <w:u w:val="single"/>
    </w:rPr>
  </w:style>
  <w:style w:type="paragraph" w:styleId="NormalWeb">
    <w:name w:val="Normal (Web)"/>
    <w:basedOn w:val="Normal"/>
    <w:uiPriority w:val="99"/>
    <w:rsid w:val="0050667A"/>
    <w:pPr>
      <w:spacing w:before="100" w:beforeAutospacing="1" w:after="100" w:afterAutospacing="1"/>
    </w:pPr>
    <w:rPr>
      <w:rFonts w:eastAsia="MS Mincho"/>
      <w:sz w:val="18"/>
      <w:szCs w:val="18"/>
    </w:rPr>
  </w:style>
  <w:style w:type="paragraph" w:styleId="BodyText2">
    <w:name w:val="Body Text 2"/>
    <w:basedOn w:val="Normal"/>
    <w:link w:val="BodyText2Char"/>
    <w:rsid w:val="0050667A"/>
    <w:rPr>
      <w:rFonts w:ascii="Century Gothic" w:hAnsi="Century Gothic"/>
      <w:i/>
      <w:color w:val="0000FF"/>
      <w:sz w:val="20"/>
    </w:rPr>
  </w:style>
  <w:style w:type="character" w:customStyle="1" w:styleId="BodyText2Char">
    <w:name w:val="Body Text 2 Char"/>
    <w:basedOn w:val="DefaultParagraphFont"/>
    <w:link w:val="BodyText2"/>
    <w:rsid w:val="0050667A"/>
    <w:rPr>
      <w:rFonts w:ascii="Century Gothic" w:eastAsia="SimSun" w:hAnsi="Century Gothic" w:cs="Arial"/>
      <w:i/>
      <w:color w:val="0000FF"/>
      <w:lang w:eastAsia="ru-RU"/>
    </w:rPr>
  </w:style>
  <w:style w:type="paragraph" w:styleId="BodyText3">
    <w:name w:val="Body Text 3"/>
    <w:basedOn w:val="Normal"/>
    <w:link w:val="BodyText3Char"/>
    <w:rsid w:val="0050667A"/>
    <w:rPr>
      <w:rFonts w:ascii="Century Gothic" w:hAnsi="Century Gothic"/>
      <w:color w:val="0000FF"/>
      <w:sz w:val="20"/>
    </w:rPr>
  </w:style>
  <w:style w:type="character" w:customStyle="1" w:styleId="BodyText3Char">
    <w:name w:val="Body Text 3 Char"/>
    <w:basedOn w:val="DefaultParagraphFont"/>
    <w:link w:val="BodyText3"/>
    <w:rsid w:val="0050667A"/>
    <w:rPr>
      <w:rFonts w:ascii="Century Gothic" w:eastAsia="SimSun" w:hAnsi="Century Gothic" w:cs="Arial"/>
      <w:color w:val="0000FF"/>
      <w:lang w:eastAsia="ru-RU"/>
    </w:rPr>
  </w:style>
  <w:style w:type="paragraph" w:customStyle="1" w:styleId="Note-subparai">
    <w:name w:val="Note - subpara (i)"/>
    <w:basedOn w:val="Normal"/>
    <w:locked/>
    <w:rsid w:val="0050667A"/>
    <w:pPr>
      <w:tabs>
        <w:tab w:val="right" w:pos="1843"/>
        <w:tab w:val="left" w:pos="2127"/>
      </w:tabs>
      <w:ind w:left="2127" w:hanging="2127"/>
    </w:pPr>
    <w:rPr>
      <w:rFonts w:ascii="Times New Roman" w:hAnsi="Times New Roman" w:cs="Times New Roman"/>
      <w:color w:val="000000"/>
      <w:sz w:val="24"/>
    </w:rPr>
  </w:style>
  <w:style w:type="numbering" w:styleId="ArticleSection">
    <w:name w:val="Outline List 3"/>
    <w:basedOn w:val="NoList"/>
    <w:rsid w:val="0050667A"/>
    <w:pPr>
      <w:numPr>
        <w:numId w:val="12"/>
      </w:numPr>
    </w:pPr>
  </w:style>
  <w:style w:type="paragraph" w:styleId="BodyTextIndent2">
    <w:name w:val="Body Text Indent 2"/>
    <w:basedOn w:val="Normal"/>
    <w:link w:val="BodyTextIndent2Char"/>
    <w:rsid w:val="0050667A"/>
    <w:pPr>
      <w:ind w:left="567"/>
    </w:pPr>
    <w:rPr>
      <w:rFonts w:ascii="Century Gothic" w:hAnsi="Century Gothic"/>
      <w:bCs/>
      <w:iCs/>
      <w:sz w:val="16"/>
      <w:szCs w:val="16"/>
    </w:rPr>
  </w:style>
  <w:style w:type="character" w:customStyle="1" w:styleId="BodyTextIndent2Char">
    <w:name w:val="Body Text Indent 2 Char"/>
    <w:basedOn w:val="DefaultParagraphFont"/>
    <w:link w:val="BodyTextIndent2"/>
    <w:rsid w:val="0050667A"/>
    <w:rPr>
      <w:rFonts w:ascii="Century Gothic" w:eastAsia="SimSun" w:hAnsi="Century Gothic" w:cs="Arial"/>
      <w:bCs/>
      <w:iCs/>
      <w:sz w:val="16"/>
      <w:szCs w:val="16"/>
      <w:lang w:eastAsia="ru-RU"/>
    </w:rPr>
  </w:style>
  <w:style w:type="table" w:customStyle="1" w:styleId="TableGrid1">
    <w:name w:val="Table Grid1"/>
    <w:basedOn w:val="TableNormal"/>
    <w:next w:val="TableGrid"/>
    <w:rsid w:val="005066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066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667A"/>
    <w:rPr>
      <w:rFonts w:asciiTheme="minorHAnsi" w:eastAsiaTheme="minorHAnsi" w:hAnsiTheme="minorHAnsi" w:cstheme="minorBidi"/>
      <w:sz w:val="22"/>
      <w:szCs w:val="22"/>
    </w:rPr>
  </w:style>
  <w:style w:type="paragraph" w:styleId="BodyTextIndent3">
    <w:name w:val="Body Text Indent 3"/>
    <w:basedOn w:val="Normal"/>
    <w:link w:val="BodyTextIndent3Char"/>
    <w:rsid w:val="0050667A"/>
    <w:pPr>
      <w:ind w:left="360"/>
    </w:pPr>
    <w:rPr>
      <w:rFonts w:ascii="Century Gothic" w:hAnsi="Century Gothic"/>
      <w:color w:val="00B050"/>
      <w:sz w:val="20"/>
    </w:rPr>
  </w:style>
  <w:style w:type="character" w:customStyle="1" w:styleId="BodyTextIndent3Char">
    <w:name w:val="Body Text Indent 3 Char"/>
    <w:basedOn w:val="DefaultParagraphFont"/>
    <w:link w:val="BodyTextIndent3"/>
    <w:rsid w:val="0050667A"/>
    <w:rPr>
      <w:rFonts w:ascii="Century Gothic" w:eastAsia="SimSun" w:hAnsi="Century Gothic" w:cs="Arial"/>
      <w:color w:val="00B050"/>
      <w:lang w:eastAsia="ru-RU"/>
    </w:rPr>
  </w:style>
  <w:style w:type="table" w:styleId="MediumShading1">
    <w:name w:val="Medium Shading 1"/>
    <w:basedOn w:val="TableNormal"/>
    <w:uiPriority w:val="63"/>
    <w:rsid w:val="0050667A"/>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uiPriority w:val="99"/>
    <w:rsid w:val="0050667A"/>
    <w:rPr>
      <w:rFonts w:ascii="Arial" w:eastAsia="SimSun" w:hAnsi="Arial" w:cs="Arial"/>
      <w:sz w:val="22"/>
      <w:lang w:eastAsia="ru-RU"/>
    </w:rPr>
  </w:style>
  <w:style w:type="paragraph" w:customStyle="1" w:styleId="Subsection">
    <w:name w:val="Subsection"/>
    <w:basedOn w:val="Normal"/>
    <w:link w:val="SubsectionChar"/>
    <w:qFormat/>
    <w:rsid w:val="00354444"/>
    <w:pPr>
      <w:keepNext/>
    </w:pPr>
    <w:rPr>
      <w:b/>
    </w:rPr>
  </w:style>
  <w:style w:type="character" w:customStyle="1" w:styleId="SubsectionChar">
    <w:name w:val="Subsection Char"/>
    <w:basedOn w:val="DefaultParagraphFont"/>
    <w:link w:val="Subsection"/>
    <w:rsid w:val="00354444"/>
    <w:rPr>
      <w:rFonts w:ascii="Arial" w:eastAsia="SimSun" w:hAnsi="Arial" w:cs="Arial"/>
      <w:b/>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50667A"/>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nhideWhenUsed/>
    <w:qFormat/>
    <w:rsid w:val="0050667A"/>
    <w:pPr>
      <w:keepNext/>
      <w:tabs>
        <w:tab w:val="num" w:pos="1152"/>
      </w:tabs>
      <w:ind w:left="1152" w:hanging="432"/>
      <w:jc w:val="center"/>
      <w:outlineLvl w:val="5"/>
    </w:pPr>
    <w:rPr>
      <w:rFonts w:ascii="Century Gothic" w:hAnsi="Century Gothic"/>
      <w:sz w:val="28"/>
      <w:szCs w:val="28"/>
    </w:rPr>
  </w:style>
  <w:style w:type="paragraph" w:styleId="Heading7">
    <w:name w:val="heading 7"/>
    <w:basedOn w:val="Normal"/>
    <w:next w:val="Normal"/>
    <w:link w:val="Heading7Char"/>
    <w:semiHidden/>
    <w:unhideWhenUsed/>
    <w:qFormat/>
    <w:rsid w:val="0050667A"/>
    <w:pPr>
      <w:keepNext/>
      <w:keepLines/>
      <w:tabs>
        <w:tab w:val="num" w:pos="1296"/>
      </w:tabs>
      <w:spacing w:before="200"/>
      <w:ind w:left="1296" w:hanging="288"/>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0667A"/>
    <w:pPr>
      <w:keepNext/>
      <w:keepLines/>
      <w:tabs>
        <w:tab w:val="num" w:pos="1440"/>
      </w:tabs>
      <w:spacing w:before="200"/>
      <w:ind w:left="1440" w:hanging="432"/>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0667A"/>
    <w:pPr>
      <w:keepNext/>
      <w:keepLines/>
      <w:tabs>
        <w:tab w:val="num" w:pos="1584"/>
      </w:tabs>
      <w:spacing w:before="200"/>
      <w:ind w:left="1584" w:hanging="14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ru-RU"/>
    </w:rPr>
  </w:style>
  <w:style w:type="character" w:customStyle="1" w:styleId="ONUMEChar">
    <w:name w:val="ONUM E Char"/>
    <w:basedOn w:val="DefaultParagraphFont"/>
    <w:link w:val="ONUME"/>
    <w:locked/>
    <w:rsid w:val="005C40A3"/>
    <w:rPr>
      <w:rFonts w:ascii="Arial" w:eastAsia="SimSun" w:hAnsi="Arial" w:cs="Arial"/>
      <w:sz w:val="22"/>
      <w:lang w:eastAsia="ru-RU"/>
    </w:rPr>
  </w:style>
  <w:style w:type="character" w:customStyle="1" w:styleId="Heading5Char">
    <w:name w:val="Heading 5 Char"/>
    <w:basedOn w:val="DefaultParagraphFont"/>
    <w:link w:val="Heading5"/>
    <w:rsid w:val="0050667A"/>
    <w:rPr>
      <w:rFonts w:ascii="Arial" w:eastAsia="SimSun" w:hAnsi="Arial" w:cs="Arial"/>
      <w:b/>
      <w:bCs/>
      <w:i/>
      <w:iCs/>
      <w:sz w:val="26"/>
      <w:szCs w:val="26"/>
      <w:lang w:eastAsia="ru-RU"/>
    </w:rPr>
  </w:style>
  <w:style w:type="character" w:customStyle="1" w:styleId="Heading6Char">
    <w:name w:val="Heading 6 Char"/>
    <w:basedOn w:val="DefaultParagraphFont"/>
    <w:link w:val="Heading6"/>
    <w:rsid w:val="0050667A"/>
    <w:rPr>
      <w:rFonts w:ascii="Century Gothic" w:eastAsia="SimSun" w:hAnsi="Century Gothic" w:cs="Arial"/>
      <w:sz w:val="28"/>
      <w:szCs w:val="28"/>
      <w:lang w:eastAsia="ru-RU"/>
    </w:rPr>
  </w:style>
  <w:style w:type="character" w:customStyle="1" w:styleId="Heading7Char">
    <w:name w:val="Heading 7 Char"/>
    <w:basedOn w:val="DefaultParagraphFont"/>
    <w:link w:val="Heading7"/>
    <w:semiHidden/>
    <w:rsid w:val="0050667A"/>
    <w:rPr>
      <w:rFonts w:asciiTheme="majorHAnsi" w:eastAsiaTheme="majorEastAsia" w:hAnsiTheme="majorHAnsi" w:cstheme="majorBidi"/>
      <w:i/>
      <w:iCs/>
      <w:color w:val="404040" w:themeColor="text1" w:themeTint="BF"/>
      <w:sz w:val="22"/>
      <w:lang w:eastAsia="ru-RU"/>
    </w:rPr>
  </w:style>
  <w:style w:type="character" w:customStyle="1" w:styleId="Heading8Char">
    <w:name w:val="Heading 8 Char"/>
    <w:basedOn w:val="DefaultParagraphFont"/>
    <w:link w:val="Heading8"/>
    <w:semiHidden/>
    <w:rsid w:val="0050667A"/>
    <w:rPr>
      <w:rFonts w:asciiTheme="majorHAnsi" w:eastAsiaTheme="majorEastAsia" w:hAnsiTheme="majorHAnsi" w:cstheme="majorBidi"/>
      <w:color w:val="404040" w:themeColor="text1" w:themeTint="BF"/>
      <w:lang w:eastAsia="ru-RU"/>
    </w:rPr>
  </w:style>
  <w:style w:type="character" w:customStyle="1" w:styleId="Heading9Char">
    <w:name w:val="Heading 9 Char"/>
    <w:basedOn w:val="DefaultParagraphFont"/>
    <w:link w:val="Heading9"/>
    <w:semiHidden/>
    <w:rsid w:val="0050667A"/>
    <w:rPr>
      <w:rFonts w:asciiTheme="majorHAnsi" w:eastAsiaTheme="majorEastAsia" w:hAnsiTheme="majorHAnsi" w:cstheme="majorBidi"/>
      <w:i/>
      <w:iCs/>
      <w:color w:val="404040" w:themeColor="text1" w:themeTint="BF"/>
      <w:lang w:eastAsia="ru-RU"/>
    </w:rPr>
  </w:style>
  <w:style w:type="paragraph" w:styleId="List2">
    <w:name w:val="List 2"/>
    <w:basedOn w:val="Normal"/>
    <w:rsid w:val="0050667A"/>
    <w:pPr>
      <w:ind w:left="566" w:hanging="283"/>
    </w:pPr>
  </w:style>
  <w:style w:type="paragraph" w:customStyle="1" w:styleId="DateSignatureAligned">
    <w:name w:val="Date / Signature Aligned"/>
    <w:basedOn w:val="Normal"/>
    <w:rsid w:val="0050667A"/>
    <w:pPr>
      <w:ind w:left="5250"/>
    </w:pPr>
  </w:style>
  <w:style w:type="character" w:styleId="Hyperlink">
    <w:name w:val="Hyperlink"/>
    <w:basedOn w:val="DefaultParagraphFont"/>
    <w:uiPriority w:val="99"/>
    <w:rsid w:val="007C0F8E"/>
    <w:rPr>
      <w:noProof/>
      <w:szCs w:val="22"/>
    </w:rPr>
  </w:style>
  <w:style w:type="paragraph" w:customStyle="1" w:styleId="ArtRuleRef">
    <w:name w:val="Art/Rule Ref"/>
    <w:basedOn w:val="Normal"/>
    <w:rsid w:val="0050667A"/>
    <w:pPr>
      <w:keepNext/>
      <w:keepLines/>
      <w:jc w:val="right"/>
    </w:pPr>
    <w:rPr>
      <w:rFonts w:eastAsia="Arial Unicode MS"/>
      <w:i/>
      <w:snapToGrid w:val="0"/>
      <w:sz w:val="16"/>
    </w:rPr>
  </w:style>
  <w:style w:type="character" w:styleId="PageNumber">
    <w:name w:val="page number"/>
    <w:basedOn w:val="DefaultParagraphFont"/>
    <w:rsid w:val="0050667A"/>
  </w:style>
  <w:style w:type="character" w:styleId="FootnoteReference">
    <w:name w:val="footnote reference"/>
    <w:basedOn w:val="DefaultParagraphFont"/>
    <w:rsid w:val="0050667A"/>
    <w:rPr>
      <w:vertAlign w:val="superscript"/>
    </w:rPr>
  </w:style>
  <w:style w:type="table" w:styleId="TableContemporary">
    <w:name w:val="Table Contemporary"/>
    <w:basedOn w:val="TableNormal"/>
    <w:rsid w:val="0050667A"/>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50667A"/>
    <w:pPr>
      <w:suppressAutoHyphens/>
      <w:ind w:left="1134"/>
    </w:pPr>
    <w:rPr>
      <w:rFonts w:eastAsia="Times New Roman"/>
      <w:sz w:val="24"/>
      <w:szCs w:val="24"/>
    </w:rPr>
  </w:style>
  <w:style w:type="character" w:styleId="Emphasis">
    <w:name w:val="Emphasis"/>
    <w:basedOn w:val="DefaultParagraphFont"/>
    <w:qFormat/>
    <w:rsid w:val="0050667A"/>
    <w:rPr>
      <w:i/>
      <w:iCs/>
    </w:rPr>
  </w:style>
  <w:style w:type="table" w:styleId="TableElegant">
    <w:name w:val="Table Elegant"/>
    <w:basedOn w:val="TableNormal"/>
    <w:rsid w:val="0050667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50667A"/>
    <w:rPr>
      <w:rFonts w:ascii="Arial" w:eastAsia="SimSun" w:hAnsi="Arial" w:cs="Arial"/>
      <w:b/>
      <w:bCs/>
      <w:caps/>
      <w:kern w:val="32"/>
      <w:sz w:val="22"/>
      <w:szCs w:val="32"/>
      <w:lang w:eastAsia="ru-RU"/>
    </w:rPr>
  </w:style>
  <w:style w:type="paragraph" w:customStyle="1" w:styleId="BodyTexti">
    <w:name w:val="Body Text (i)"/>
    <w:basedOn w:val="Normal"/>
    <w:rsid w:val="0050667A"/>
    <w:pPr>
      <w:tabs>
        <w:tab w:val="right" w:pos="851"/>
        <w:tab w:val="left" w:pos="1134"/>
      </w:tabs>
      <w:spacing w:after="120"/>
    </w:pPr>
    <w:rPr>
      <w:rFonts w:eastAsia="Times New Roman" w:cs="Times New Roman"/>
      <w:snapToGrid w:val="0"/>
    </w:rPr>
  </w:style>
  <w:style w:type="paragraph" w:customStyle="1" w:styleId="BodyTexta">
    <w:name w:val="Body Text (a)"/>
    <w:basedOn w:val="Normal"/>
    <w:rsid w:val="0050667A"/>
    <w:pPr>
      <w:spacing w:after="120"/>
      <w:ind w:firstLine="567"/>
    </w:pPr>
    <w:rPr>
      <w:rFonts w:eastAsia="Times New Roman" w:cs="Times New Roman"/>
    </w:rPr>
  </w:style>
  <w:style w:type="paragraph" w:customStyle="1" w:styleId="ExampleClaim">
    <w:name w:val="Example Claim"/>
    <w:basedOn w:val="ExampleText"/>
    <w:rsid w:val="0050667A"/>
    <w:pPr>
      <w:ind w:left="1134" w:hanging="567"/>
    </w:pPr>
  </w:style>
  <w:style w:type="paragraph" w:customStyle="1" w:styleId="ExampleText">
    <w:name w:val="Example Text"/>
    <w:basedOn w:val="BodyTextIndent"/>
    <w:rsid w:val="0050667A"/>
    <w:pPr>
      <w:ind w:left="567"/>
    </w:pPr>
    <w:rPr>
      <w:rFonts w:eastAsia="Times New Roman" w:cs="Times New Roman"/>
      <w:i/>
    </w:rPr>
  </w:style>
  <w:style w:type="paragraph" w:customStyle="1" w:styleId="ExampleClaimSub">
    <w:name w:val="Example Claim Sub"/>
    <w:basedOn w:val="ExampleClaim"/>
    <w:rsid w:val="0050667A"/>
    <w:pPr>
      <w:ind w:firstLine="567"/>
    </w:pPr>
  </w:style>
  <w:style w:type="paragraph" w:customStyle="1" w:styleId="ExampleClaimEnd">
    <w:name w:val="Example Claim End"/>
    <w:basedOn w:val="ExampleClaimSub"/>
    <w:rsid w:val="0050667A"/>
    <w:pPr>
      <w:ind w:firstLine="0"/>
    </w:pPr>
  </w:style>
  <w:style w:type="paragraph" w:customStyle="1" w:styleId="ExamplePolymorphism">
    <w:name w:val="Example Polymorphism"/>
    <w:basedOn w:val="ExampleClaim"/>
    <w:rsid w:val="0050667A"/>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50667A"/>
    <w:pPr>
      <w:tabs>
        <w:tab w:val="clear" w:pos="1980"/>
        <w:tab w:val="clear" w:pos="5400"/>
        <w:tab w:val="clear" w:pos="5580"/>
        <w:tab w:val="left" w:pos="1134"/>
        <w:tab w:val="left" w:pos="3969"/>
      </w:tabs>
    </w:pPr>
  </w:style>
  <w:style w:type="character" w:customStyle="1" w:styleId="InsertedText">
    <w:name w:val="Inserted Text"/>
    <w:qFormat/>
    <w:rsid w:val="0050667A"/>
    <w:rPr>
      <w:color w:val="0000FF"/>
      <w:u w:val="single"/>
    </w:rPr>
  </w:style>
  <w:style w:type="paragraph" w:styleId="BodyTextIndent">
    <w:name w:val="Body Text Indent"/>
    <w:basedOn w:val="Normal"/>
    <w:link w:val="BodyTextIndentChar"/>
    <w:rsid w:val="0050667A"/>
    <w:pPr>
      <w:spacing w:after="120"/>
      <w:ind w:left="283"/>
    </w:pPr>
  </w:style>
  <w:style w:type="character" w:customStyle="1" w:styleId="BodyTextIndentChar">
    <w:name w:val="Body Text Indent Char"/>
    <w:basedOn w:val="DefaultParagraphFont"/>
    <w:link w:val="BodyTextIndent"/>
    <w:rsid w:val="0050667A"/>
    <w:rPr>
      <w:rFonts w:ascii="Arial" w:eastAsia="SimSun" w:hAnsi="Arial" w:cs="Arial"/>
      <w:sz w:val="22"/>
      <w:lang w:eastAsia="ru-RU"/>
    </w:rPr>
  </w:style>
  <w:style w:type="paragraph" w:customStyle="1" w:styleId="Default">
    <w:name w:val="Default"/>
    <w:rsid w:val="0050667A"/>
    <w:pPr>
      <w:autoSpaceDE w:val="0"/>
      <w:autoSpaceDN w:val="0"/>
      <w:adjustRightInd w:val="0"/>
    </w:pPr>
    <w:rPr>
      <w:rFonts w:ascii="Arial" w:hAnsi="Arial"/>
      <w:color w:val="000000"/>
      <w:sz w:val="22"/>
      <w:szCs w:val="24"/>
    </w:rPr>
  </w:style>
  <w:style w:type="table" w:styleId="TableGrid">
    <w:name w:val="Table Grid"/>
    <w:basedOn w:val="TableNormal"/>
    <w:rsid w:val="0050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0667A"/>
    <w:pPr>
      <w:spacing w:after="100"/>
    </w:pPr>
  </w:style>
  <w:style w:type="paragraph" w:styleId="TOC3">
    <w:name w:val="toc 3"/>
    <w:basedOn w:val="Normal"/>
    <w:next w:val="Normal"/>
    <w:autoRedefine/>
    <w:uiPriority w:val="39"/>
    <w:rsid w:val="0050667A"/>
    <w:pPr>
      <w:spacing w:after="100"/>
      <w:ind w:left="440"/>
    </w:pPr>
  </w:style>
  <w:style w:type="paragraph" w:styleId="TOC4">
    <w:name w:val="toc 4"/>
    <w:basedOn w:val="Normal"/>
    <w:next w:val="Normal"/>
    <w:autoRedefine/>
    <w:uiPriority w:val="39"/>
    <w:rsid w:val="0050667A"/>
    <w:pPr>
      <w:spacing w:after="100"/>
      <w:ind w:left="660"/>
    </w:pPr>
  </w:style>
  <w:style w:type="character" w:customStyle="1" w:styleId="BodyTextChar">
    <w:name w:val="Body Text Char"/>
    <w:basedOn w:val="DefaultParagraphFont"/>
    <w:link w:val="BodyText"/>
    <w:uiPriority w:val="1"/>
    <w:rsid w:val="0050667A"/>
    <w:rPr>
      <w:rFonts w:ascii="Arial" w:eastAsia="SimSun" w:hAnsi="Arial" w:cs="Arial"/>
      <w:sz w:val="22"/>
      <w:lang w:eastAsia="ru-RU"/>
    </w:rPr>
  </w:style>
  <w:style w:type="character" w:styleId="CommentReference">
    <w:name w:val="annotation reference"/>
    <w:basedOn w:val="DefaultParagraphFont"/>
    <w:rsid w:val="0050667A"/>
    <w:rPr>
      <w:sz w:val="16"/>
      <w:szCs w:val="16"/>
    </w:rPr>
  </w:style>
  <w:style w:type="paragraph" w:styleId="CommentSubject">
    <w:name w:val="annotation subject"/>
    <w:basedOn w:val="CommentText"/>
    <w:next w:val="CommentText"/>
    <w:link w:val="CommentSubjectChar"/>
    <w:rsid w:val="0050667A"/>
    <w:rPr>
      <w:b/>
      <w:bCs/>
      <w:sz w:val="20"/>
    </w:rPr>
  </w:style>
  <w:style w:type="character" w:customStyle="1" w:styleId="CommentTextChar">
    <w:name w:val="Comment Text Char"/>
    <w:basedOn w:val="DefaultParagraphFont"/>
    <w:link w:val="CommentText"/>
    <w:semiHidden/>
    <w:rsid w:val="0050667A"/>
    <w:rPr>
      <w:rFonts w:ascii="Arial" w:eastAsia="SimSun" w:hAnsi="Arial" w:cs="Arial"/>
      <w:sz w:val="18"/>
      <w:lang w:eastAsia="ru-RU"/>
    </w:rPr>
  </w:style>
  <w:style w:type="character" w:customStyle="1" w:styleId="CommentSubjectChar">
    <w:name w:val="Comment Subject Char"/>
    <w:basedOn w:val="CommentTextChar"/>
    <w:link w:val="CommentSubject"/>
    <w:rsid w:val="0050667A"/>
    <w:rPr>
      <w:rFonts w:ascii="Arial" w:eastAsia="SimSun" w:hAnsi="Arial" w:cs="Arial"/>
      <w:b/>
      <w:bCs/>
      <w:sz w:val="18"/>
      <w:lang w:eastAsia="ru-RU"/>
    </w:rPr>
  </w:style>
  <w:style w:type="paragraph" w:styleId="Revision">
    <w:name w:val="Revision"/>
    <w:hidden/>
    <w:uiPriority w:val="99"/>
    <w:semiHidden/>
    <w:rsid w:val="0050667A"/>
    <w:rPr>
      <w:rFonts w:ascii="Arial" w:eastAsia="SimSun" w:hAnsi="Arial" w:cs="Arial"/>
      <w:sz w:val="22"/>
    </w:rPr>
  </w:style>
  <w:style w:type="character" w:customStyle="1" w:styleId="FooterChar">
    <w:name w:val="Footer Char"/>
    <w:basedOn w:val="DefaultParagraphFont"/>
    <w:link w:val="Footer"/>
    <w:uiPriority w:val="99"/>
    <w:rsid w:val="0050667A"/>
    <w:rPr>
      <w:rFonts w:ascii="Arial" w:eastAsia="SimSun" w:hAnsi="Arial" w:cs="Arial"/>
      <w:sz w:val="22"/>
      <w:lang w:eastAsia="ru-RU"/>
    </w:rPr>
  </w:style>
  <w:style w:type="character" w:customStyle="1" w:styleId="FootnoteTextChar">
    <w:name w:val="Footnote Text Char"/>
    <w:basedOn w:val="DefaultParagraphFont"/>
    <w:link w:val="FootnoteText"/>
    <w:semiHidden/>
    <w:rsid w:val="0050667A"/>
    <w:rPr>
      <w:rFonts w:ascii="Arial" w:eastAsia="SimSun" w:hAnsi="Arial" w:cs="Arial"/>
      <w:sz w:val="18"/>
      <w:lang w:eastAsia="ru-RU"/>
    </w:rPr>
  </w:style>
  <w:style w:type="paragraph" w:customStyle="1" w:styleId="SectionHeading">
    <w:name w:val="Section Heading"/>
    <w:basedOn w:val="Heading1"/>
    <w:link w:val="SectionHeadingChar"/>
    <w:qFormat/>
    <w:rsid w:val="0050667A"/>
    <w:pPr>
      <w:pBdr>
        <w:top w:val="single" w:sz="4" w:space="1" w:color="auto"/>
        <w:bottom w:val="single" w:sz="4" w:space="1" w:color="auto"/>
      </w:pBdr>
      <w:tabs>
        <w:tab w:val="num" w:pos="1440"/>
      </w:tabs>
      <w:spacing w:before="360" w:after="200"/>
    </w:pPr>
  </w:style>
  <w:style w:type="character" w:customStyle="1" w:styleId="SectionHeadingChar">
    <w:name w:val="Section Heading Char"/>
    <w:basedOn w:val="Heading1Char"/>
    <w:link w:val="SectionHeading"/>
    <w:rsid w:val="0050667A"/>
    <w:rPr>
      <w:rFonts w:ascii="Arial" w:eastAsia="SimSun" w:hAnsi="Arial" w:cs="Arial"/>
      <w:b/>
      <w:bCs/>
      <w:caps/>
      <w:kern w:val="32"/>
      <w:sz w:val="22"/>
      <w:szCs w:val="32"/>
      <w:lang w:eastAsia="ru-RU"/>
    </w:rPr>
  </w:style>
  <w:style w:type="paragraph" w:styleId="ListParagraph">
    <w:name w:val="List Paragraph"/>
    <w:basedOn w:val="Normal"/>
    <w:uiPriority w:val="34"/>
    <w:qFormat/>
    <w:rsid w:val="0050667A"/>
    <w:pPr>
      <w:ind w:left="720"/>
      <w:contextualSpacing/>
    </w:pPr>
  </w:style>
  <w:style w:type="character" w:styleId="FollowedHyperlink">
    <w:name w:val="FollowedHyperlink"/>
    <w:basedOn w:val="DefaultParagraphFont"/>
    <w:rsid w:val="0050667A"/>
    <w:rPr>
      <w:color w:val="800080" w:themeColor="followedHyperlink"/>
      <w:u w:val="single"/>
    </w:rPr>
  </w:style>
  <w:style w:type="paragraph" w:styleId="NormalWeb">
    <w:name w:val="Normal (Web)"/>
    <w:basedOn w:val="Normal"/>
    <w:uiPriority w:val="99"/>
    <w:rsid w:val="0050667A"/>
    <w:pPr>
      <w:spacing w:before="100" w:beforeAutospacing="1" w:after="100" w:afterAutospacing="1"/>
    </w:pPr>
    <w:rPr>
      <w:rFonts w:eastAsia="MS Mincho"/>
      <w:sz w:val="18"/>
      <w:szCs w:val="18"/>
    </w:rPr>
  </w:style>
  <w:style w:type="paragraph" w:styleId="BodyText2">
    <w:name w:val="Body Text 2"/>
    <w:basedOn w:val="Normal"/>
    <w:link w:val="BodyText2Char"/>
    <w:rsid w:val="0050667A"/>
    <w:rPr>
      <w:rFonts w:ascii="Century Gothic" w:hAnsi="Century Gothic"/>
      <w:i/>
      <w:color w:val="0000FF"/>
      <w:sz w:val="20"/>
    </w:rPr>
  </w:style>
  <w:style w:type="character" w:customStyle="1" w:styleId="BodyText2Char">
    <w:name w:val="Body Text 2 Char"/>
    <w:basedOn w:val="DefaultParagraphFont"/>
    <w:link w:val="BodyText2"/>
    <w:rsid w:val="0050667A"/>
    <w:rPr>
      <w:rFonts w:ascii="Century Gothic" w:eastAsia="SimSun" w:hAnsi="Century Gothic" w:cs="Arial"/>
      <w:i/>
      <w:color w:val="0000FF"/>
      <w:lang w:eastAsia="ru-RU"/>
    </w:rPr>
  </w:style>
  <w:style w:type="paragraph" w:styleId="BodyText3">
    <w:name w:val="Body Text 3"/>
    <w:basedOn w:val="Normal"/>
    <w:link w:val="BodyText3Char"/>
    <w:rsid w:val="0050667A"/>
    <w:rPr>
      <w:rFonts w:ascii="Century Gothic" w:hAnsi="Century Gothic"/>
      <w:color w:val="0000FF"/>
      <w:sz w:val="20"/>
    </w:rPr>
  </w:style>
  <w:style w:type="character" w:customStyle="1" w:styleId="BodyText3Char">
    <w:name w:val="Body Text 3 Char"/>
    <w:basedOn w:val="DefaultParagraphFont"/>
    <w:link w:val="BodyText3"/>
    <w:rsid w:val="0050667A"/>
    <w:rPr>
      <w:rFonts w:ascii="Century Gothic" w:eastAsia="SimSun" w:hAnsi="Century Gothic" w:cs="Arial"/>
      <w:color w:val="0000FF"/>
      <w:lang w:eastAsia="ru-RU"/>
    </w:rPr>
  </w:style>
  <w:style w:type="paragraph" w:customStyle="1" w:styleId="Note-subparai">
    <w:name w:val="Note - subpara (i)"/>
    <w:basedOn w:val="Normal"/>
    <w:locked/>
    <w:rsid w:val="0050667A"/>
    <w:pPr>
      <w:tabs>
        <w:tab w:val="right" w:pos="1843"/>
        <w:tab w:val="left" w:pos="2127"/>
      </w:tabs>
      <w:ind w:left="2127" w:hanging="2127"/>
    </w:pPr>
    <w:rPr>
      <w:rFonts w:ascii="Times New Roman" w:hAnsi="Times New Roman" w:cs="Times New Roman"/>
      <w:color w:val="000000"/>
      <w:sz w:val="24"/>
    </w:rPr>
  </w:style>
  <w:style w:type="numbering" w:styleId="ArticleSection">
    <w:name w:val="Outline List 3"/>
    <w:basedOn w:val="NoList"/>
    <w:rsid w:val="0050667A"/>
    <w:pPr>
      <w:numPr>
        <w:numId w:val="12"/>
      </w:numPr>
    </w:pPr>
  </w:style>
  <w:style w:type="paragraph" w:styleId="BodyTextIndent2">
    <w:name w:val="Body Text Indent 2"/>
    <w:basedOn w:val="Normal"/>
    <w:link w:val="BodyTextIndent2Char"/>
    <w:rsid w:val="0050667A"/>
    <w:pPr>
      <w:ind w:left="567"/>
    </w:pPr>
    <w:rPr>
      <w:rFonts w:ascii="Century Gothic" w:hAnsi="Century Gothic"/>
      <w:bCs/>
      <w:iCs/>
      <w:sz w:val="16"/>
      <w:szCs w:val="16"/>
    </w:rPr>
  </w:style>
  <w:style w:type="character" w:customStyle="1" w:styleId="BodyTextIndent2Char">
    <w:name w:val="Body Text Indent 2 Char"/>
    <w:basedOn w:val="DefaultParagraphFont"/>
    <w:link w:val="BodyTextIndent2"/>
    <w:rsid w:val="0050667A"/>
    <w:rPr>
      <w:rFonts w:ascii="Century Gothic" w:eastAsia="SimSun" w:hAnsi="Century Gothic" w:cs="Arial"/>
      <w:bCs/>
      <w:iCs/>
      <w:sz w:val="16"/>
      <w:szCs w:val="16"/>
      <w:lang w:eastAsia="ru-RU"/>
    </w:rPr>
  </w:style>
  <w:style w:type="table" w:customStyle="1" w:styleId="TableGrid1">
    <w:name w:val="Table Grid1"/>
    <w:basedOn w:val="TableNormal"/>
    <w:next w:val="TableGrid"/>
    <w:rsid w:val="005066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066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667A"/>
    <w:rPr>
      <w:rFonts w:asciiTheme="minorHAnsi" w:eastAsiaTheme="minorHAnsi" w:hAnsiTheme="minorHAnsi" w:cstheme="minorBidi"/>
      <w:sz w:val="22"/>
      <w:szCs w:val="22"/>
    </w:rPr>
  </w:style>
  <w:style w:type="paragraph" w:styleId="BodyTextIndent3">
    <w:name w:val="Body Text Indent 3"/>
    <w:basedOn w:val="Normal"/>
    <w:link w:val="BodyTextIndent3Char"/>
    <w:rsid w:val="0050667A"/>
    <w:pPr>
      <w:ind w:left="360"/>
    </w:pPr>
    <w:rPr>
      <w:rFonts w:ascii="Century Gothic" w:hAnsi="Century Gothic"/>
      <w:color w:val="00B050"/>
      <w:sz w:val="20"/>
    </w:rPr>
  </w:style>
  <w:style w:type="character" w:customStyle="1" w:styleId="BodyTextIndent3Char">
    <w:name w:val="Body Text Indent 3 Char"/>
    <w:basedOn w:val="DefaultParagraphFont"/>
    <w:link w:val="BodyTextIndent3"/>
    <w:rsid w:val="0050667A"/>
    <w:rPr>
      <w:rFonts w:ascii="Century Gothic" w:eastAsia="SimSun" w:hAnsi="Century Gothic" w:cs="Arial"/>
      <w:color w:val="00B050"/>
      <w:lang w:eastAsia="ru-RU"/>
    </w:rPr>
  </w:style>
  <w:style w:type="table" w:styleId="MediumShading1">
    <w:name w:val="Medium Shading 1"/>
    <w:basedOn w:val="TableNormal"/>
    <w:uiPriority w:val="63"/>
    <w:rsid w:val="0050667A"/>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uiPriority w:val="99"/>
    <w:rsid w:val="0050667A"/>
    <w:rPr>
      <w:rFonts w:ascii="Arial" w:eastAsia="SimSun" w:hAnsi="Arial" w:cs="Arial"/>
      <w:sz w:val="22"/>
      <w:lang w:eastAsia="ru-RU"/>
    </w:rPr>
  </w:style>
  <w:style w:type="paragraph" w:customStyle="1" w:styleId="Subsection">
    <w:name w:val="Subsection"/>
    <w:basedOn w:val="Normal"/>
    <w:link w:val="SubsectionChar"/>
    <w:qFormat/>
    <w:rsid w:val="00354444"/>
    <w:pPr>
      <w:keepNext/>
    </w:pPr>
    <w:rPr>
      <w:b/>
    </w:rPr>
  </w:style>
  <w:style w:type="character" w:customStyle="1" w:styleId="SubsectionChar">
    <w:name w:val="Subsection Char"/>
    <w:basedOn w:val="DefaultParagraphFont"/>
    <w:link w:val="Subsection"/>
    <w:rsid w:val="00354444"/>
    <w:rPr>
      <w:rFonts w:ascii="Arial" w:eastAsia="SimSun" w:hAnsi="Arial" w:cs="Arial"/>
      <w:b/>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sciencemag.org/" TargetMode="External"/><Relationship Id="rId26" Type="http://schemas.openxmlformats.org/officeDocument/2006/relationships/hyperlink" Target="https://ru.wikipedia.org/wiki/%D0%A1%D0%BF%D0%B8%D1%81%D0%BE%D0%BA_%D1%81%D1%82%D1%80%D0%B0%D0%BD_%D0%BF%D0%BE_%D0%92%D0%92%D0%9F_(%D0%9F%D0%9F%D0%A1)_%D0%BD%D0%B0_%D0%B4%D1%83%D1%88%D1%83_%D0%BD%D0%B0%D1%81%D0%B5%D0%BB%D0%B5%D0%BD%D0%B8%D1%8F?oldformat=true" TargetMode="External"/><Relationship Id="rId39" Type="http://schemas.openxmlformats.org/officeDocument/2006/relationships/hyperlink" Target="http://canadabusiness.ca/programs/innovacorp-1/" TargetMode="External"/><Relationship Id="rId21" Type="http://schemas.openxmlformats.org/officeDocument/2006/relationships/image" Target="media/image2.png"/><Relationship Id="rId34" Type="http://schemas.openxmlformats.org/officeDocument/2006/relationships/hyperlink" Target="http://canadabusiness.ca/" TargetMode="External"/><Relationship Id="rId42" Type="http://schemas.openxmlformats.org/officeDocument/2006/relationships/hyperlink" Target="http://canadabusiness.ca/programs/farm-production-services-1/" TargetMode="External"/><Relationship Id="rId47" Type="http://schemas.openxmlformats.org/officeDocument/2006/relationships/hyperlink" Target="http://www.torontopubliclibrary.ca/detail.jsp?Entt=RDMLIB018&amp;R=LIB018" TargetMode="External"/><Relationship Id="rId50" Type="http://schemas.openxmlformats.org/officeDocument/2006/relationships/hyperlink" Target="http://www.international.gc.ca/economist-economiste/performance/state-point/state_2016_point/index.aspx?lang=eng" TargetMode="External"/><Relationship Id="rId55" Type="http://schemas.openxmlformats.org/officeDocument/2006/relationships/hyperlink" Target="http://www.ic.gc.ca/eic/site/icgc.nsf/eng/home"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elaine.hellyer@canada.ca" TargetMode="External"/><Relationship Id="rId20" Type="http://schemas.openxmlformats.org/officeDocument/2006/relationships/hyperlink" Target="http://www.wipo.int/edocs/mdocs/pct/en/pct_mia_24/pct_mia_24_presentation_statistics.pdf" TargetMode="External"/><Relationship Id="rId29" Type="http://schemas.openxmlformats.org/officeDocument/2006/relationships/hyperlink" Target="https://ru.wikipedia.org/wiki/%D0%A1%D0%BF%D0%B8%D1%81%D0%BE%D0%BA_%D1%81%D1%82%D1%80%D0%B0%D0%BD_%D0%BF%D0%BE_%D0%92%D0%92%D0%9F_(%D0%BD%D0%BE%D0%BC%D0%B8%D0%BD%D0%B0%D0%BB)_%D0%BD%D0%B0_%D0%B4%D1%83%D1%88%D1%83_%D0%BD%D0%B0%D1%81%D0%B5%D0%BB%D0%B5%D0%BD%D0%B8%D1%8F?oldformat=true" TargetMode="External"/><Relationship Id="rId41" Type="http://schemas.openxmlformats.org/officeDocument/2006/relationships/hyperlink" Target="http://www.criq.qc.ca/en/" TargetMode="External"/><Relationship Id="rId54" Type="http://schemas.openxmlformats.org/officeDocument/2006/relationships/hyperlink" Target="http://www.ic.gc.ca/eic/site/cipointernet-internetopic.nsf/eng/h_wr03993.html"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ru.wikipedia.org/wiki/%D0%9F%D0%B0%D1%80%D0%B8%D1%82%D0%B5%D1%82_%D0%BF%D0%BE%D0%BA%D1%83%D0%BF%D0%B0%D1%82%D0%B5%D0%BB%D1%8C%D0%BD%D0%BE%D0%B9_%D1%81%D0%BF%D0%BE%D1%81%D0%BE%D0%B1%D0%BD%D0%BE%D1%81%D1%82%D0%B8?oldformat=true" TargetMode="External"/><Relationship Id="rId32" Type="http://schemas.openxmlformats.org/officeDocument/2006/relationships/hyperlink" Target="http://dx.doi.org/10.1787/eag-2016-45-en" TargetMode="External"/><Relationship Id="rId37" Type="http://schemas.openxmlformats.org/officeDocument/2006/relationships/hyperlink" Target="http://nwtresearch.com/" TargetMode="External"/><Relationship Id="rId40" Type="http://schemas.openxmlformats.org/officeDocument/2006/relationships/hyperlink" Target="http://www.atlantictechnologycentre.ca/" TargetMode="External"/><Relationship Id="rId45" Type="http://schemas.openxmlformats.org/officeDocument/2006/relationships/hyperlink" Target="http://www.tecedmonton.com/organization/" TargetMode="External"/><Relationship Id="rId53" Type="http://schemas.openxmlformats.org/officeDocument/2006/relationships/hyperlink" Target="http://www.ic.gc.ca/eic/site/cipointernet-internetopic.nsf/eng/h_wr03993.html" TargetMode="External"/><Relationship Id="rId58" Type="http://schemas.openxmlformats.org/officeDocument/2006/relationships/hyperlink" Target="http://www.ic.gc.ca/eic/site/cipointernet-internetopic.nsf/eng/h_wr02360.html"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wikiwand.com/ru/%D0%92%D0%B0%D0%BB%D0%BE%D0%B2%D0%BE%D0%B9_%D0%B2%D0%BD%D1%83%D1%82%D1%80%D0%B5%D0%BD%D0%BD%D0%B8%D0%B9_%D0%BF%D1%80%D0%BE%D0%B4%D1%83%D0%BA%D1%82" TargetMode="External"/><Relationship Id="rId28" Type="http://schemas.openxmlformats.org/officeDocument/2006/relationships/hyperlink" Target="https://ru.wikipedia.org/wiki/%D0%A1%D0%BF%D0%B8%D1%81%D0%BE%D0%BA_%D1%81%D1%82%D1%80%D0%B0%D0%BD_%D0%BF%D0%BE_%D0%92%D0%92%D0%9F_(%D0%BD%D0%BE%D0%BC%D0%B8%D0%BD%D0%B0%D0%BB)?oldformat=true" TargetMode="External"/><Relationship Id="rId36" Type="http://schemas.openxmlformats.org/officeDocument/2006/relationships/hyperlink" Target="http://www.tpsgc-pwgsc.gc.ca/app-acq/picc-bcip/index-eng.html" TargetMode="External"/><Relationship Id="rId49" Type="http://schemas.openxmlformats.org/officeDocument/2006/relationships/hyperlink" Target="http://www.wearebctech.com/community/innovation-hub" TargetMode="External"/><Relationship Id="rId57" Type="http://schemas.openxmlformats.org/officeDocument/2006/relationships/hyperlink" Target="http://www.ic.gc.ca/eic/site/cipointernet-internetopic.nsf/eng/h_wr03652.html" TargetMode="External"/><Relationship Id="rId61"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ww.wipo.int/pct/en/quality/authorities.html" TargetMode="External"/><Relationship Id="rId31" Type="http://schemas.openxmlformats.org/officeDocument/2006/relationships/hyperlink" Target="http://www.keepeek.com/Digital-Asset-Management/oecd/education/education-at-a-glance-2016/canada_eag-2016-45-en" TargetMode="External"/><Relationship Id="rId44" Type="http://schemas.openxmlformats.org/officeDocument/2006/relationships/hyperlink" Target="http://gov.nu.ca/edt/programs-services/strategic-investments-program" TargetMode="External"/><Relationship Id="rId52" Type="http://schemas.openxmlformats.org/officeDocument/2006/relationships/hyperlink" Target="https://www.ic.gc.ca/eic/site/062.nsf/eng/h_00051.html" TargetMode="External"/><Relationship Id="rId60" Type="http://schemas.openxmlformats.org/officeDocument/2006/relationships/hyperlink" Target="http://www.ic.gc.ca/eic/site/cipointernet-internetopic.nsf/eng/h_wr02300.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international.gc.ca/cip-pic/organisations.aspx?lang=eng" TargetMode="External"/><Relationship Id="rId27" Type="http://schemas.openxmlformats.org/officeDocument/2006/relationships/hyperlink" Target="https://ru.wikipedia.org/wiki/%D0%92%D0%B0%D0%BB%D0%BE%D0%B2%D0%BE%D0%B9_%D0%B2%D0%BD%D1%83%D1%82%D1%80%D0%B5%D0%BD%D0%BD%D0%B8%D0%B9_%D0%BF%D1%80%D0%BE%D0%B4%D1%83%D0%BA%D1%82?oldformat=true" TargetMode="External"/><Relationship Id="rId30" Type="http://schemas.openxmlformats.org/officeDocument/2006/relationships/hyperlink" Target="http://www.statcan.gc.ca/daily-quotidien/150923/dq150923b-eng.htm" TargetMode="External"/><Relationship Id="rId35" Type="http://schemas.openxmlformats.org/officeDocument/2006/relationships/hyperlink" Target="http://www.nce-rce.gc.ca/NetworksCentres-CentresReseaux/ByBrogram-ParProgramme_eng.asp" TargetMode="External"/><Relationship Id="rId43" Type="http://schemas.openxmlformats.org/officeDocument/2006/relationships/hyperlink" Target="http://www.oce-ontario.org/" TargetMode="External"/><Relationship Id="rId48" Type="http://schemas.openxmlformats.org/officeDocument/2006/relationships/hyperlink" Target="http://www.innovatecalgary.com/" TargetMode="External"/><Relationship Id="rId56" Type="http://schemas.openxmlformats.org/officeDocument/2006/relationships/hyperlink" Target="http://www.ic.gc.ca/eic/site/cipointernet-internetopic.nsf/eng/wr03585.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ic.gc.ca/eic/site/062.nsf/eng/hom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wipo.int/edocs/mdocs/pct/en/pct_mia_24/pct_mia_24_presentation_statistics.pdf" TargetMode="External"/><Relationship Id="rId25" Type="http://schemas.openxmlformats.org/officeDocument/2006/relationships/hyperlink" Target="https://ru.wikipedia.org/wiki/%D0%A1%D0%BF%D0%B8%D1%81%D0%BE%D0%BA_%D1%81%D1%82%D1%80%D0%B0%D0%BD_%D0%BF%D0%BE_%D0%92%D0%92%D0%9F_(%D0%9F%D0%9F%D0%A1)?oldformat=true" TargetMode="External"/><Relationship Id="rId33" Type="http://schemas.openxmlformats.org/officeDocument/2006/relationships/hyperlink" Target="http://www.nserc-crsng.gc.ca/index_eng.asp" TargetMode="External"/><Relationship Id="rId38" Type="http://schemas.openxmlformats.org/officeDocument/2006/relationships/hyperlink" Target="http://nbif.ca/en" TargetMode="External"/><Relationship Id="rId46" Type="http://schemas.openxmlformats.org/officeDocument/2006/relationships/hyperlink" Target="http://www.ceim.org/en/" TargetMode="External"/><Relationship Id="rId59" Type="http://schemas.openxmlformats.org/officeDocument/2006/relationships/hyperlink" Target="http://www.ic.gc.ca/eic/site/cipointernet-internetopic.nsf/eng/h_wr0228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3311E-2E54-4DA2-A78D-03E43BE9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6345</Words>
  <Characters>49399</Characters>
  <Application>Microsoft Office Word</Application>
  <DocSecurity>0</DocSecurity>
  <Lines>411</Lines>
  <Paragraphs>111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PCT/CTC/30/6</vt:lpstr>
      <vt:lpstr>PCT/CTC/30/6</vt:lpstr>
    </vt:vector>
  </TitlesOfParts>
  <Company>WIPO</Company>
  <LinksUpToDate>false</LinksUpToDate>
  <CharactersWithSpaces>55633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PCT/CTC/30/6</dc:title>
  <dc:subject>Extension of Appointment of the Canadian Intellectual Property Office as an International Searching and Preliminary Examining Authority Under the PCT</dc:subject>
  <dc:creator>MARLOW Thomas</dc:creator>
  <cp:lastModifiedBy>MARLOW Thomas</cp:lastModifiedBy>
  <cp:revision>3</cp:revision>
  <cp:lastPrinted>2017-02-28T14:25:00Z</cp:lastPrinted>
  <dcterms:created xsi:type="dcterms:W3CDTF">2017-04-04T07:43:00Z</dcterms:created>
  <dcterms:modified xsi:type="dcterms:W3CDTF">2017-04-04T07:53:00Z</dcterms:modified>
</cp:coreProperties>
</file>