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619A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34CCB" w:rsidP="00916EE2">
            <w:r>
              <w:rPr>
                <w:noProof/>
                <w:lang w:eastAsia="en-US"/>
              </w:rPr>
              <w:drawing>
                <wp:inline distT="0" distB="0" distL="0" distR="0" wp14:anchorId="2B9AFB2C" wp14:editId="73A28639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00BE8" w:rsidRDefault="00000BE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D619A4" w:rsidRPr="00D619A4" w:rsidTr="00D448F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619A4" w:rsidRPr="00D619A4" w:rsidRDefault="00D619A4" w:rsidP="00D448F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19A4">
              <w:rPr>
                <w:rFonts w:ascii="Arial Black" w:hAnsi="Arial Black"/>
                <w:caps/>
                <w:sz w:val="15"/>
                <w:lang w:val="ru-RU"/>
              </w:rPr>
              <w:t>PCT/WG/10/23</w:t>
            </w:r>
            <w:r w:rsidRPr="00D619A4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D619A4" w:rsidRPr="00D619A4" w:rsidTr="00D448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619A4" w:rsidRPr="00D619A4" w:rsidRDefault="00D619A4" w:rsidP="00D448F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19A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D619A4" w:rsidRPr="00D619A4" w:rsidTr="00D448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619A4" w:rsidRPr="00D619A4" w:rsidRDefault="00D619A4" w:rsidP="00D448F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19A4">
              <w:rPr>
                <w:rFonts w:ascii="Arial Black" w:hAnsi="Arial Black"/>
                <w:caps/>
                <w:sz w:val="15"/>
                <w:lang w:val="ru-RU"/>
              </w:rPr>
              <w:t>дата: 28 апреля 2017 г.</w:t>
            </w:r>
          </w:p>
        </w:tc>
      </w:tr>
    </w:tbl>
    <w:p w:rsidR="00D619A4" w:rsidRPr="00D619A4" w:rsidRDefault="00D619A4" w:rsidP="00D619A4"/>
    <w:p w:rsidR="00D619A4" w:rsidRPr="00D619A4" w:rsidRDefault="00D619A4" w:rsidP="00D619A4"/>
    <w:p w:rsidR="00D619A4" w:rsidRPr="00D619A4" w:rsidRDefault="00D619A4" w:rsidP="00D619A4"/>
    <w:p w:rsidR="00D619A4" w:rsidRPr="00D619A4" w:rsidRDefault="00D619A4" w:rsidP="00D619A4"/>
    <w:p w:rsidR="00D619A4" w:rsidRPr="00D619A4" w:rsidRDefault="00D619A4" w:rsidP="00D619A4"/>
    <w:p w:rsidR="00D619A4" w:rsidRPr="00D619A4" w:rsidRDefault="00D619A4" w:rsidP="00D619A4">
      <w:pPr>
        <w:rPr>
          <w:b/>
          <w:sz w:val="28"/>
          <w:szCs w:val="28"/>
          <w:lang w:val="ru-RU"/>
        </w:rPr>
      </w:pPr>
      <w:r w:rsidRPr="00D619A4">
        <w:rPr>
          <w:b/>
          <w:sz w:val="28"/>
          <w:szCs w:val="28"/>
          <w:lang w:val="ru-RU"/>
        </w:rPr>
        <w:t xml:space="preserve">Рабочая группа по </w:t>
      </w:r>
    </w:p>
    <w:p w:rsidR="00D619A4" w:rsidRPr="00D619A4" w:rsidRDefault="00D619A4" w:rsidP="00D619A4">
      <w:pPr>
        <w:rPr>
          <w:b/>
          <w:sz w:val="28"/>
          <w:szCs w:val="28"/>
          <w:lang w:val="ru-RU"/>
        </w:rPr>
      </w:pPr>
      <w:r w:rsidRPr="00D619A4">
        <w:rPr>
          <w:b/>
          <w:sz w:val="28"/>
          <w:szCs w:val="28"/>
          <w:lang w:val="ru-RU"/>
        </w:rPr>
        <w:t xml:space="preserve">Договору о </w:t>
      </w:r>
      <w:r w:rsidR="00CB3D99" w:rsidRPr="00D619A4">
        <w:rPr>
          <w:b/>
          <w:sz w:val="28"/>
          <w:szCs w:val="28"/>
          <w:lang w:val="ru-RU"/>
        </w:rPr>
        <w:t>патентной</w:t>
      </w:r>
      <w:r w:rsidRPr="00D619A4">
        <w:rPr>
          <w:b/>
          <w:sz w:val="28"/>
          <w:szCs w:val="28"/>
          <w:lang w:val="ru-RU"/>
        </w:rPr>
        <w:t xml:space="preserve"> кооперации (РСТ)</w:t>
      </w:r>
    </w:p>
    <w:p w:rsidR="00D619A4" w:rsidRPr="00D619A4" w:rsidRDefault="00D619A4" w:rsidP="00D619A4">
      <w:pPr>
        <w:rPr>
          <w:lang w:val="ru-RU"/>
        </w:rPr>
      </w:pPr>
    </w:p>
    <w:p w:rsidR="00D619A4" w:rsidRPr="00D619A4" w:rsidRDefault="00D619A4" w:rsidP="00D619A4">
      <w:pPr>
        <w:rPr>
          <w:lang w:val="ru-RU"/>
        </w:rPr>
      </w:pPr>
    </w:p>
    <w:p w:rsidR="00D619A4" w:rsidRPr="00D619A4" w:rsidRDefault="00D619A4" w:rsidP="00D619A4">
      <w:pPr>
        <w:rPr>
          <w:b/>
          <w:sz w:val="24"/>
          <w:szCs w:val="24"/>
          <w:lang w:val="ru-RU"/>
        </w:rPr>
      </w:pPr>
      <w:r w:rsidRPr="00D619A4">
        <w:rPr>
          <w:b/>
          <w:sz w:val="24"/>
          <w:szCs w:val="24"/>
          <w:lang w:val="ru-RU"/>
        </w:rPr>
        <w:t>Десятая сессия</w:t>
      </w:r>
    </w:p>
    <w:p w:rsidR="00D619A4" w:rsidRPr="00D619A4" w:rsidRDefault="00D619A4" w:rsidP="00D619A4">
      <w:pPr>
        <w:rPr>
          <w:b/>
          <w:sz w:val="24"/>
          <w:szCs w:val="24"/>
          <w:lang w:val="ru-RU"/>
        </w:rPr>
      </w:pPr>
      <w:r w:rsidRPr="00D619A4">
        <w:rPr>
          <w:b/>
          <w:sz w:val="24"/>
          <w:szCs w:val="24"/>
          <w:lang w:val="ru-RU"/>
        </w:rPr>
        <w:t>Женева, 8-12 мая 2017 г.</w:t>
      </w:r>
    </w:p>
    <w:p w:rsidR="00D619A4" w:rsidRPr="00D619A4" w:rsidRDefault="00D619A4" w:rsidP="00D619A4">
      <w:pPr>
        <w:rPr>
          <w:lang w:val="ru-RU"/>
        </w:rPr>
      </w:pPr>
    </w:p>
    <w:p w:rsidR="00D619A4" w:rsidRPr="00D619A4" w:rsidRDefault="00D619A4" w:rsidP="00D619A4">
      <w:pPr>
        <w:rPr>
          <w:lang w:val="ru-RU"/>
        </w:rPr>
      </w:pPr>
    </w:p>
    <w:p w:rsidR="00D619A4" w:rsidRPr="00D619A4" w:rsidRDefault="00D619A4" w:rsidP="00D619A4">
      <w:pPr>
        <w:rPr>
          <w:lang w:val="ru-RU"/>
        </w:rPr>
      </w:pPr>
    </w:p>
    <w:p w:rsidR="00D619A4" w:rsidRPr="00D619A4" w:rsidRDefault="00D619A4" w:rsidP="00D619A4">
      <w:pPr>
        <w:rPr>
          <w:caps/>
          <w:sz w:val="24"/>
          <w:lang w:val="ru-RU"/>
        </w:rPr>
      </w:pPr>
      <w:bookmarkStart w:id="0" w:name="TitleOfDoc"/>
      <w:bookmarkEnd w:id="0"/>
      <w:r w:rsidRPr="00D619A4">
        <w:rPr>
          <w:caps/>
          <w:sz w:val="24"/>
          <w:lang w:val="ru-RU"/>
        </w:rPr>
        <w:t>Количество слов в рефератах и подписях к чертежам на титульном листе</w:t>
      </w:r>
      <w:r w:rsidR="00134CCB">
        <w:rPr>
          <w:caps/>
          <w:sz w:val="24"/>
          <w:lang w:val="ru-RU"/>
        </w:rPr>
        <w:t xml:space="preserve"> </w:t>
      </w:r>
    </w:p>
    <w:p w:rsidR="00D619A4" w:rsidRPr="00D619A4" w:rsidRDefault="00D619A4" w:rsidP="00D619A4">
      <w:pPr>
        <w:rPr>
          <w:lang w:val="ru-RU"/>
        </w:rPr>
      </w:pPr>
    </w:p>
    <w:p w:rsidR="00907055" w:rsidRPr="00000BE8" w:rsidRDefault="00D619A4" w:rsidP="00D619A4">
      <w:pPr>
        <w:rPr>
          <w:i/>
          <w:lang w:val="ru-RU"/>
        </w:rPr>
      </w:pPr>
      <w:bookmarkStart w:id="1" w:name="Prepared"/>
      <w:bookmarkEnd w:id="1"/>
      <w:r w:rsidRPr="00D619A4">
        <w:rPr>
          <w:i/>
          <w:lang w:val="ru-RU"/>
        </w:rPr>
        <w:t xml:space="preserve">Документ </w:t>
      </w:r>
      <w:r w:rsidR="00000BE8" w:rsidRPr="00D619A4">
        <w:rPr>
          <w:i/>
          <w:lang w:val="ru-RU"/>
        </w:rPr>
        <w:t>подготовлен</w:t>
      </w:r>
      <w:r w:rsidRPr="00D619A4">
        <w:rPr>
          <w:i/>
          <w:lang w:val="ru-RU"/>
        </w:rPr>
        <w:t xml:space="preserve"> Международным бюро</w:t>
      </w:r>
    </w:p>
    <w:p w:rsidR="00907055" w:rsidRPr="00000BE8" w:rsidRDefault="00907055" w:rsidP="00907055">
      <w:pPr>
        <w:rPr>
          <w:lang w:val="ru-RU"/>
        </w:rPr>
      </w:pPr>
    </w:p>
    <w:p w:rsidR="00907055" w:rsidRPr="00000BE8" w:rsidRDefault="00907055" w:rsidP="00907055">
      <w:pPr>
        <w:rPr>
          <w:lang w:val="ru-RU"/>
        </w:rPr>
      </w:pPr>
    </w:p>
    <w:p w:rsidR="00907055" w:rsidRPr="00000BE8" w:rsidRDefault="00907055" w:rsidP="00907055">
      <w:pPr>
        <w:rPr>
          <w:lang w:val="ru-RU"/>
        </w:rPr>
      </w:pPr>
    </w:p>
    <w:p w:rsidR="00907055" w:rsidRPr="00000BE8" w:rsidRDefault="00907055" w:rsidP="00907055">
      <w:pPr>
        <w:rPr>
          <w:lang w:val="ru-RU"/>
        </w:rPr>
      </w:pPr>
    </w:p>
    <w:p w:rsidR="00907055" w:rsidRPr="00ED4FFC" w:rsidRDefault="00ED4FFC" w:rsidP="00907055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ED4FFC" w:rsidRPr="00ED4FFC" w:rsidRDefault="00ED4FFC" w:rsidP="00907055">
      <w:pPr>
        <w:pStyle w:val="ONUME"/>
        <w:rPr>
          <w:lang w:val="ru-RU"/>
        </w:rPr>
      </w:pPr>
      <w:r>
        <w:rPr>
          <w:lang w:val="ru-RU"/>
        </w:rPr>
        <w:t>Во</w:t>
      </w:r>
      <w:r w:rsidRPr="00ED4FFC">
        <w:rPr>
          <w:lang w:val="ru-RU"/>
        </w:rPr>
        <w:t xml:space="preserve"> </w:t>
      </w:r>
      <w:r>
        <w:rPr>
          <w:lang w:val="ru-RU"/>
        </w:rPr>
        <w:t>многих</w:t>
      </w:r>
      <w:r w:rsidRPr="00ED4FFC">
        <w:rPr>
          <w:lang w:val="ru-RU"/>
        </w:rPr>
        <w:t xml:space="preserve"> </w:t>
      </w:r>
      <w:r>
        <w:rPr>
          <w:lang w:val="ru-RU"/>
        </w:rPr>
        <w:t>случаях</w:t>
      </w:r>
      <w:r w:rsidRPr="00ED4FFC">
        <w:rPr>
          <w:lang w:val="ru-RU"/>
        </w:rPr>
        <w:t xml:space="preserve"> </w:t>
      </w:r>
      <w:r>
        <w:rPr>
          <w:lang w:val="ru-RU"/>
        </w:rPr>
        <w:t>рефераты</w:t>
      </w:r>
      <w:r w:rsidRPr="00ED4FFC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ED4FFC">
        <w:rPr>
          <w:lang w:val="ru-RU"/>
        </w:rPr>
        <w:t xml:space="preserve"> </w:t>
      </w:r>
      <w:r>
        <w:rPr>
          <w:lang w:val="ru-RU"/>
        </w:rPr>
        <w:t>заявок</w:t>
      </w:r>
      <w:r w:rsidRPr="00ED4FFC">
        <w:rPr>
          <w:lang w:val="ru-RU"/>
        </w:rPr>
        <w:t xml:space="preserve"> </w:t>
      </w:r>
      <w:r>
        <w:rPr>
          <w:lang w:val="ru-RU"/>
        </w:rPr>
        <w:t>по</w:t>
      </w:r>
      <w:r w:rsidRPr="00ED4FFC">
        <w:rPr>
          <w:lang w:val="ru-RU"/>
        </w:rPr>
        <w:t xml:space="preserve"> </w:t>
      </w:r>
      <w:r>
        <w:rPr>
          <w:lang w:val="ru-RU"/>
        </w:rPr>
        <w:t>своему</w:t>
      </w:r>
      <w:r w:rsidRPr="00ED4FFC">
        <w:rPr>
          <w:lang w:val="ru-RU"/>
        </w:rPr>
        <w:t xml:space="preserve"> </w:t>
      </w:r>
      <w:r>
        <w:rPr>
          <w:lang w:val="ru-RU"/>
        </w:rPr>
        <w:t>объему</w:t>
      </w:r>
      <w:r w:rsidRPr="00ED4FFC">
        <w:rPr>
          <w:lang w:val="ru-RU"/>
        </w:rPr>
        <w:t xml:space="preserve"> </w:t>
      </w:r>
      <w:r>
        <w:rPr>
          <w:lang w:val="ru-RU"/>
        </w:rPr>
        <w:t xml:space="preserve">превышают количество слов, рекомендованное в правиле </w:t>
      </w:r>
      <w:r w:rsidRPr="00ED4FFC">
        <w:rPr>
          <w:lang w:val="ru-RU"/>
        </w:rPr>
        <w:t>8.1(</w:t>
      </w:r>
      <w:r>
        <w:t>b</w:t>
      </w:r>
      <w:r w:rsidRPr="00ED4FFC">
        <w:rPr>
          <w:lang w:val="ru-RU"/>
        </w:rPr>
        <w:t xml:space="preserve">) </w:t>
      </w:r>
      <w:r>
        <w:rPr>
          <w:lang w:val="ru-RU"/>
        </w:rPr>
        <w:t xml:space="preserve">Инструкции к </w:t>
      </w:r>
      <w:r>
        <w:t>PCT</w:t>
      </w:r>
      <w:r>
        <w:rPr>
          <w:lang w:val="ru-RU"/>
        </w:rPr>
        <w:t xml:space="preserve">, а прилагаемые чертежи вопреки правилу </w:t>
      </w:r>
      <w:r w:rsidRPr="00ED4FFC">
        <w:rPr>
          <w:lang w:val="ru-RU"/>
        </w:rPr>
        <w:t>11.11(</w:t>
      </w:r>
      <w:r>
        <w:t>a</w:t>
      </w:r>
      <w:r w:rsidRPr="00ED4FFC">
        <w:rPr>
          <w:lang w:val="ru-RU"/>
        </w:rPr>
        <w:t>)</w:t>
      </w:r>
      <w:r>
        <w:rPr>
          <w:lang w:val="ru-RU"/>
        </w:rPr>
        <w:t xml:space="preserve"> </w:t>
      </w:r>
      <w:r w:rsidRPr="00ED4FFC">
        <w:rPr>
          <w:lang w:val="ru-RU"/>
        </w:rPr>
        <w:t xml:space="preserve">Инструкции к </w:t>
      </w:r>
      <w:r w:rsidRPr="00ED4FFC">
        <w:t>PCT</w:t>
      </w:r>
      <w:r>
        <w:rPr>
          <w:lang w:val="ru-RU"/>
        </w:rPr>
        <w:t xml:space="preserve"> содержат значительное количество слов.</w:t>
      </w:r>
      <w:r w:rsidR="00110BD1">
        <w:rPr>
          <w:lang w:val="ru-RU"/>
        </w:rPr>
        <w:t xml:space="preserve">  Предпочтительный диапазон размеров реферата является не более чем рекомендацией для обычных ситуаций, и в отдельных случаях отклонения от этих параметров необходимы в целях обеспечения точного и целесообразного раскрытия информации.  Вместе с тем, Международное бюро хотело бы рекомендовать меры </w:t>
      </w:r>
      <w:r w:rsidR="00932081">
        <w:rPr>
          <w:lang w:val="ru-RU"/>
        </w:rPr>
        <w:t>по</w:t>
      </w:r>
      <w:r w:rsidR="00110BD1">
        <w:rPr>
          <w:lang w:val="ru-RU"/>
        </w:rPr>
        <w:t xml:space="preserve"> обеспечени</w:t>
      </w:r>
      <w:r w:rsidR="00932081">
        <w:rPr>
          <w:lang w:val="ru-RU"/>
        </w:rPr>
        <w:t>ю</w:t>
      </w:r>
      <w:r w:rsidR="00110BD1">
        <w:rPr>
          <w:lang w:val="ru-RU"/>
        </w:rPr>
        <w:t xml:space="preserve"> качества и полезности </w:t>
      </w:r>
      <w:r w:rsidR="00932081">
        <w:rPr>
          <w:lang w:val="ru-RU"/>
        </w:rPr>
        <w:t>рефератов в международной публикации при максимально возможном сокращении затрат на перевод.</w:t>
      </w:r>
    </w:p>
    <w:p w:rsidR="00907055" w:rsidRPr="00932081" w:rsidRDefault="00932081" w:rsidP="00907055">
      <w:pPr>
        <w:pStyle w:val="Heading1"/>
        <w:rPr>
          <w:lang w:val="ru-RU"/>
        </w:rPr>
      </w:pPr>
      <w:r>
        <w:rPr>
          <w:lang w:val="ru-RU"/>
        </w:rPr>
        <w:t>справочная информация</w:t>
      </w:r>
    </w:p>
    <w:p w:rsidR="00907055" w:rsidRPr="00932081" w:rsidRDefault="00932081" w:rsidP="00016B48">
      <w:pPr>
        <w:pStyle w:val="ONUME"/>
        <w:keepNext/>
        <w:rPr>
          <w:lang w:val="ru-RU"/>
        </w:rPr>
      </w:pPr>
      <w:r>
        <w:rPr>
          <w:lang w:val="ru-RU"/>
        </w:rPr>
        <w:t>Цель реферата определена в правиле</w:t>
      </w:r>
      <w:r w:rsidR="00907055">
        <w:t> </w:t>
      </w:r>
      <w:r w:rsidR="00907055" w:rsidRPr="00932081">
        <w:rPr>
          <w:lang w:val="ru-RU"/>
        </w:rPr>
        <w:t xml:space="preserve">8.3 </w:t>
      </w:r>
      <w:r>
        <w:rPr>
          <w:lang w:val="ru-RU"/>
        </w:rPr>
        <w:t>следующим образом</w:t>
      </w:r>
      <w:r w:rsidR="00907055" w:rsidRPr="00932081">
        <w:rPr>
          <w:lang w:val="ru-RU"/>
        </w:rPr>
        <w:t>:</w:t>
      </w:r>
    </w:p>
    <w:p w:rsidR="00907055" w:rsidRPr="003649F6" w:rsidRDefault="003649F6" w:rsidP="00016B48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3649F6">
        <w:rPr>
          <w:lang w:val="ru-RU"/>
        </w:rPr>
        <w:t>Реферат составляется таким образом, чтобы он мог служить эффективным инструментом поиска в определенной области, в особенности для того, чтобы помочь ученому, инженеру или исследователю решить вопрос, есть ли необходимость обращаться к самой международной заявке</w:t>
      </w:r>
      <w:r>
        <w:rPr>
          <w:lang w:val="ru-RU"/>
        </w:rPr>
        <w:t>»</w:t>
      </w:r>
      <w:r w:rsidRPr="003649F6">
        <w:rPr>
          <w:lang w:val="ru-RU"/>
        </w:rPr>
        <w:t>.</w:t>
      </w:r>
    </w:p>
    <w:p w:rsidR="000B0C35" w:rsidRPr="000B0C35" w:rsidRDefault="003649F6" w:rsidP="00A94A0B">
      <w:pPr>
        <w:pStyle w:val="ONUME"/>
        <w:rPr>
          <w:lang w:val="ru-RU"/>
        </w:rPr>
      </w:pPr>
      <w:bookmarkStart w:id="2" w:name="_Ref466387677"/>
      <w:r>
        <w:rPr>
          <w:lang w:val="ru-RU"/>
        </w:rPr>
        <w:t>Рефераты и прилагаемые чертежи представляются в нескольких форматах.</w:t>
      </w:r>
      <w:r w:rsidR="000B0C35">
        <w:rPr>
          <w:lang w:val="ru-RU"/>
        </w:rPr>
        <w:t xml:space="preserve">  Они </w:t>
      </w:r>
      <w:r w:rsidR="00134CCB">
        <w:rPr>
          <w:lang w:val="ru-RU"/>
        </w:rPr>
        <w:t>печатаются</w:t>
      </w:r>
      <w:r w:rsidR="000B0C35">
        <w:rPr>
          <w:lang w:val="ru-RU"/>
        </w:rPr>
        <w:t xml:space="preserve"> на титульном листе опубликованной международной заявки как на английском языке, так и на языке публикации.  В системе </w:t>
      </w:r>
      <w:r w:rsidR="000B0C35">
        <w:t>PATENTSCOPE</w:t>
      </w:r>
      <w:r w:rsidR="000B0C35">
        <w:rPr>
          <w:lang w:val="ru-RU"/>
        </w:rPr>
        <w:t xml:space="preserve"> они представлены на английском и французском языках и на языке публикации</w:t>
      </w:r>
      <w:r w:rsidR="00A94A0B">
        <w:rPr>
          <w:lang w:val="ru-RU"/>
        </w:rPr>
        <w:t>, при этом</w:t>
      </w:r>
      <w:r w:rsidR="000B0C35">
        <w:rPr>
          <w:lang w:val="ru-RU"/>
        </w:rPr>
        <w:t xml:space="preserve"> </w:t>
      </w:r>
      <w:r w:rsidR="000B0C35">
        <w:rPr>
          <w:lang w:val="ru-RU"/>
        </w:rPr>
        <w:lastRenderedPageBreak/>
        <w:t xml:space="preserve">текст реферата допускает возможность поиска, а </w:t>
      </w:r>
      <w:r w:rsidR="00A94A0B">
        <w:rPr>
          <w:lang w:val="ru-RU"/>
        </w:rPr>
        <w:t>любые подписи</w:t>
      </w:r>
      <w:r w:rsidR="000B0C35">
        <w:rPr>
          <w:lang w:val="ru-RU"/>
        </w:rPr>
        <w:t xml:space="preserve"> на чертеже </w:t>
      </w:r>
      <w:r w:rsidR="00A94A0B">
        <w:rPr>
          <w:lang w:val="ru-RU"/>
        </w:rPr>
        <w:t xml:space="preserve">– нет.  </w:t>
      </w:r>
      <w:r w:rsidR="000B0C35">
        <w:rPr>
          <w:lang w:val="ru-RU"/>
        </w:rPr>
        <w:t xml:space="preserve"> </w:t>
      </w:r>
      <w:r w:rsidR="00A94A0B">
        <w:rPr>
          <w:lang w:val="ru-RU"/>
        </w:rPr>
        <w:t xml:space="preserve">Рефераты и прилагаемые </w:t>
      </w:r>
      <w:r w:rsidR="00A94A0B" w:rsidRPr="00A94A0B">
        <w:rPr>
          <w:lang w:val="ru-RU"/>
        </w:rPr>
        <w:t xml:space="preserve">чертежи предоставляются </w:t>
      </w:r>
      <w:r w:rsidR="00A94A0B">
        <w:rPr>
          <w:lang w:val="ru-RU"/>
        </w:rPr>
        <w:t xml:space="preserve">в распоряжение </w:t>
      </w:r>
      <w:r w:rsidR="00A94A0B" w:rsidRPr="00A94A0B">
        <w:rPr>
          <w:lang w:val="ru-RU"/>
        </w:rPr>
        <w:t>национальны</w:t>
      </w:r>
      <w:r w:rsidR="00A94A0B">
        <w:rPr>
          <w:lang w:val="ru-RU"/>
        </w:rPr>
        <w:t>х</w:t>
      </w:r>
      <w:r w:rsidR="00A94A0B" w:rsidRPr="00A94A0B">
        <w:rPr>
          <w:lang w:val="ru-RU"/>
        </w:rPr>
        <w:t xml:space="preserve"> ведомств и поставщик</w:t>
      </w:r>
      <w:r w:rsidR="00A94A0B">
        <w:rPr>
          <w:lang w:val="ru-RU"/>
        </w:rPr>
        <w:t>ов</w:t>
      </w:r>
      <w:r w:rsidR="00A94A0B" w:rsidRPr="00A94A0B">
        <w:rPr>
          <w:lang w:val="ru-RU"/>
        </w:rPr>
        <w:t xml:space="preserve"> патентной информации для использования в других системах, и </w:t>
      </w:r>
      <w:r w:rsidR="004B4F08">
        <w:t>c</w:t>
      </w:r>
      <w:r w:rsidR="00A94A0B" w:rsidRPr="00A94A0B">
        <w:rPr>
          <w:lang w:val="ru-RU"/>
        </w:rPr>
        <w:t xml:space="preserve"> различным</w:t>
      </w:r>
      <w:r w:rsidR="004B4F08">
        <w:rPr>
          <w:lang w:val="ru-RU"/>
        </w:rPr>
        <w:t>и</w:t>
      </w:r>
      <w:r w:rsidR="00A94A0B" w:rsidRPr="00A94A0B">
        <w:rPr>
          <w:lang w:val="ru-RU"/>
        </w:rPr>
        <w:t xml:space="preserve"> режимам</w:t>
      </w:r>
      <w:r w:rsidR="004B4F08">
        <w:rPr>
          <w:lang w:val="ru-RU"/>
        </w:rPr>
        <w:t>и</w:t>
      </w:r>
      <w:r w:rsidR="00A94A0B" w:rsidRPr="00A94A0B">
        <w:rPr>
          <w:lang w:val="ru-RU"/>
        </w:rPr>
        <w:t xml:space="preserve"> использования</w:t>
      </w:r>
      <w:r w:rsidR="004B4F08">
        <w:rPr>
          <w:lang w:val="ru-RU"/>
        </w:rPr>
        <w:t xml:space="preserve"> могут быть сопряжены разные проблемы</w:t>
      </w:r>
      <w:r w:rsidR="00A94A0B" w:rsidRPr="00A94A0B">
        <w:rPr>
          <w:lang w:val="ru-RU"/>
        </w:rPr>
        <w:t>.</w:t>
      </w:r>
      <w:r w:rsidR="000B0C35">
        <w:rPr>
          <w:lang w:val="ru-RU"/>
        </w:rPr>
        <w:t xml:space="preserve">  </w:t>
      </w:r>
    </w:p>
    <w:p w:rsidR="004B4F08" w:rsidRPr="004B4F08" w:rsidRDefault="004B4F08" w:rsidP="00AA224B">
      <w:pPr>
        <w:pStyle w:val="ONUME"/>
        <w:rPr>
          <w:lang w:val="ru-RU"/>
        </w:rPr>
      </w:pPr>
      <w:r>
        <w:rPr>
          <w:lang w:val="ru-RU"/>
        </w:rPr>
        <w:t>В</w:t>
      </w:r>
      <w:r w:rsidRPr="004B4F08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4B4F08">
        <w:rPr>
          <w:lang w:val="ru-RU"/>
        </w:rPr>
        <w:t xml:space="preserve"> </w:t>
      </w:r>
      <w:r>
        <w:rPr>
          <w:lang w:val="ru-RU"/>
        </w:rPr>
        <w:t>к</w:t>
      </w:r>
      <w:r w:rsidRPr="004B4F08">
        <w:rPr>
          <w:lang w:val="ru-RU"/>
        </w:rPr>
        <w:t xml:space="preserve"> </w:t>
      </w:r>
      <w:r>
        <w:rPr>
          <w:lang w:val="ru-RU"/>
        </w:rPr>
        <w:t>документу</w:t>
      </w:r>
      <w:r w:rsidRPr="004B4F08">
        <w:rPr>
          <w:lang w:val="ru-RU"/>
        </w:rPr>
        <w:t xml:space="preserve"> </w:t>
      </w:r>
      <w:r>
        <w:t>PCT</w:t>
      </w:r>
      <w:r w:rsidRPr="004B4F08">
        <w:rPr>
          <w:lang w:val="ru-RU"/>
        </w:rPr>
        <w:t>/</w:t>
      </w:r>
      <w:r>
        <w:t>WG</w:t>
      </w:r>
      <w:r w:rsidRPr="004B4F08">
        <w:rPr>
          <w:lang w:val="ru-RU"/>
        </w:rPr>
        <w:t>/9/16</w:t>
      </w:r>
      <w:r>
        <w:rPr>
          <w:lang w:val="ru-RU"/>
        </w:rPr>
        <w:t xml:space="preserve"> приводятся </w:t>
      </w:r>
      <w:r w:rsidRPr="004B4F08">
        <w:rPr>
          <w:lang w:val="ru-RU"/>
        </w:rPr>
        <w:t xml:space="preserve">примеры рефератов и чертежей на титульном листе </w:t>
      </w:r>
      <w:r>
        <w:rPr>
          <w:lang w:val="ru-RU"/>
        </w:rPr>
        <w:t xml:space="preserve">опубликованных </w:t>
      </w:r>
      <w:r w:rsidRPr="004B4F08">
        <w:rPr>
          <w:lang w:val="ru-RU"/>
        </w:rPr>
        <w:t>международных заявок</w:t>
      </w:r>
      <w:r>
        <w:rPr>
          <w:lang w:val="ru-RU"/>
        </w:rPr>
        <w:t>.  С точки зрения пользователей главные проблемы заключаются в том, что очень объемные рефераты и чертежи с большим числом подлежащих переводу подписей</w:t>
      </w:r>
    </w:p>
    <w:p w:rsidR="00AA224B" w:rsidRPr="004B4F08" w:rsidRDefault="00BE4831" w:rsidP="00AA22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</w:t>
      </w:r>
      <w:r w:rsidR="004B4F08">
        <w:rPr>
          <w:lang w:val="ru-RU"/>
        </w:rPr>
        <w:t>огут</w:t>
      </w:r>
      <w:r w:rsidR="004B4F08" w:rsidRPr="004B4F08">
        <w:rPr>
          <w:lang w:val="ru-RU"/>
        </w:rPr>
        <w:t xml:space="preserve"> </w:t>
      </w:r>
      <w:r w:rsidR="004B4F08">
        <w:rPr>
          <w:lang w:val="ru-RU"/>
        </w:rPr>
        <w:t>затруднять</w:t>
      </w:r>
      <w:r w:rsidR="004B4F08" w:rsidRPr="004B4F08">
        <w:rPr>
          <w:lang w:val="ru-RU"/>
        </w:rPr>
        <w:t xml:space="preserve"> </w:t>
      </w:r>
      <w:r w:rsidR="004B4F08">
        <w:rPr>
          <w:lang w:val="ru-RU"/>
        </w:rPr>
        <w:t>выявление</w:t>
      </w:r>
      <w:r w:rsidR="004B4F08" w:rsidRPr="004B4F08">
        <w:rPr>
          <w:lang w:val="ru-RU"/>
        </w:rPr>
        <w:t xml:space="preserve"> </w:t>
      </w:r>
      <w:r w:rsidR="004B4F08">
        <w:rPr>
          <w:lang w:val="ru-RU"/>
        </w:rPr>
        <w:t>важнейших аспектов раскрываемой информации</w:t>
      </w:r>
      <w:r w:rsidR="00AA224B" w:rsidRPr="004B4F08">
        <w:rPr>
          <w:lang w:val="ru-RU"/>
        </w:rPr>
        <w:t>;</w:t>
      </w:r>
      <w:r w:rsidR="0009288D" w:rsidRPr="004B4F08">
        <w:rPr>
          <w:lang w:val="ru-RU"/>
        </w:rPr>
        <w:t xml:space="preserve"> </w:t>
      </w:r>
      <w:r w:rsidR="00AA224B" w:rsidRPr="004B4F08">
        <w:rPr>
          <w:lang w:val="ru-RU"/>
        </w:rPr>
        <w:t xml:space="preserve"> </w:t>
      </w:r>
      <w:r w:rsidR="004B4F08">
        <w:rPr>
          <w:lang w:val="ru-RU"/>
        </w:rPr>
        <w:t>и</w:t>
      </w:r>
      <w:r w:rsidR="0009288D" w:rsidRPr="004B4F08">
        <w:rPr>
          <w:lang w:val="ru-RU"/>
        </w:rPr>
        <w:t xml:space="preserve"> </w:t>
      </w:r>
    </w:p>
    <w:p w:rsidR="00AA224B" w:rsidRPr="00BE4831" w:rsidRDefault="00BE4831" w:rsidP="00AA224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порой их</w:t>
      </w:r>
      <w:r w:rsidRPr="00BE4831">
        <w:rPr>
          <w:lang w:val="ru-RU"/>
        </w:rPr>
        <w:t xml:space="preserve"> </w:t>
      </w:r>
      <w:r>
        <w:rPr>
          <w:lang w:val="ru-RU"/>
        </w:rPr>
        <w:t>крайне</w:t>
      </w:r>
      <w:r w:rsidRPr="00BE4831">
        <w:rPr>
          <w:lang w:val="ru-RU"/>
        </w:rPr>
        <w:t xml:space="preserve"> </w:t>
      </w:r>
      <w:r>
        <w:rPr>
          <w:lang w:val="ru-RU"/>
        </w:rPr>
        <w:t>трудно</w:t>
      </w:r>
      <w:r w:rsidRPr="00BE4831">
        <w:rPr>
          <w:lang w:val="ru-RU"/>
        </w:rPr>
        <w:t xml:space="preserve"> </w:t>
      </w:r>
      <w:r>
        <w:rPr>
          <w:lang w:val="ru-RU"/>
        </w:rPr>
        <w:t>читать</w:t>
      </w:r>
      <w:r w:rsidRPr="00BE4831">
        <w:rPr>
          <w:lang w:val="ru-RU"/>
        </w:rPr>
        <w:t xml:space="preserve"> </w:t>
      </w:r>
      <w:r>
        <w:rPr>
          <w:lang w:val="ru-RU"/>
        </w:rPr>
        <w:t>в</w:t>
      </w:r>
      <w:r w:rsidRPr="00BE4831">
        <w:rPr>
          <w:lang w:val="ru-RU"/>
        </w:rPr>
        <w:t xml:space="preserve"> </w:t>
      </w:r>
      <w:r>
        <w:rPr>
          <w:lang w:val="ru-RU"/>
        </w:rPr>
        <w:t>тех</w:t>
      </w:r>
      <w:r w:rsidRPr="00BE4831">
        <w:rPr>
          <w:lang w:val="ru-RU"/>
        </w:rPr>
        <w:t xml:space="preserve"> </w:t>
      </w:r>
      <w:r>
        <w:rPr>
          <w:lang w:val="ru-RU"/>
        </w:rPr>
        <w:t>форматах</w:t>
      </w:r>
      <w:r w:rsidRPr="00BE4831">
        <w:rPr>
          <w:lang w:val="ru-RU"/>
        </w:rPr>
        <w:t xml:space="preserve">, </w:t>
      </w:r>
      <w:r>
        <w:rPr>
          <w:lang w:val="ru-RU"/>
        </w:rPr>
        <w:t>в</w:t>
      </w:r>
      <w:r w:rsidRPr="00BE4831">
        <w:rPr>
          <w:lang w:val="ru-RU"/>
        </w:rPr>
        <w:t xml:space="preserve"> </w:t>
      </w:r>
      <w:r>
        <w:rPr>
          <w:lang w:val="ru-RU"/>
        </w:rPr>
        <w:t>которых</w:t>
      </w:r>
      <w:r w:rsidRPr="00BE4831">
        <w:rPr>
          <w:lang w:val="ru-RU"/>
        </w:rPr>
        <w:t xml:space="preserve"> </w:t>
      </w:r>
      <w:r>
        <w:rPr>
          <w:lang w:val="ru-RU"/>
        </w:rPr>
        <w:t>они</w:t>
      </w:r>
      <w:r w:rsidRPr="00BE4831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BE4831">
        <w:rPr>
          <w:lang w:val="ru-RU"/>
        </w:rPr>
        <w:t>.</w:t>
      </w:r>
    </w:p>
    <w:p w:rsidR="0009288D" w:rsidRPr="00BE4831" w:rsidRDefault="00BE4831" w:rsidP="00AA224B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Как</w:t>
      </w:r>
      <w:r w:rsidRPr="00BE4831">
        <w:rPr>
          <w:lang w:val="ru-RU"/>
        </w:rPr>
        <w:t xml:space="preserve"> </w:t>
      </w:r>
      <w:r>
        <w:rPr>
          <w:lang w:val="ru-RU"/>
        </w:rPr>
        <w:t>следствие</w:t>
      </w:r>
      <w:r w:rsidRPr="00BE4831">
        <w:rPr>
          <w:lang w:val="ru-RU"/>
        </w:rPr>
        <w:t xml:space="preserve">, </w:t>
      </w:r>
      <w:r>
        <w:rPr>
          <w:lang w:val="ru-RU"/>
        </w:rPr>
        <w:t>несмотря</w:t>
      </w:r>
      <w:r w:rsidRPr="00BE4831">
        <w:rPr>
          <w:lang w:val="ru-RU"/>
        </w:rPr>
        <w:t xml:space="preserve"> </w:t>
      </w:r>
      <w:r>
        <w:rPr>
          <w:lang w:val="ru-RU"/>
        </w:rPr>
        <w:t>на высокую стоимость выпуска таких рефератов и чертежей, ценность их может оказаться невелика.</w:t>
      </w:r>
    </w:p>
    <w:p w:rsidR="00BE4831" w:rsidRPr="00BE4831" w:rsidRDefault="00BE4831" w:rsidP="00BE4831">
      <w:pPr>
        <w:pStyle w:val="ONUME"/>
        <w:rPr>
          <w:lang w:val="ru-RU"/>
        </w:rPr>
      </w:pPr>
      <w:r>
        <w:rPr>
          <w:lang w:val="ru-RU"/>
        </w:rPr>
        <w:t>Безусловно,</w:t>
      </w:r>
      <w:r w:rsidRPr="00BE4831">
        <w:rPr>
          <w:lang w:val="ru-RU"/>
        </w:rPr>
        <w:t xml:space="preserve"> количество слов в реферате не является прямым </w:t>
      </w:r>
      <w:r>
        <w:rPr>
          <w:lang w:val="ru-RU"/>
        </w:rPr>
        <w:t>свидетельством</w:t>
      </w:r>
      <w:r w:rsidRPr="00BE4831">
        <w:rPr>
          <w:lang w:val="ru-RU"/>
        </w:rPr>
        <w:t xml:space="preserve"> качества </w:t>
      </w:r>
      <w:r>
        <w:rPr>
          <w:lang w:val="ru-RU"/>
        </w:rPr>
        <w:t>–</w:t>
      </w:r>
      <w:r w:rsidRPr="00BE4831">
        <w:rPr>
          <w:lang w:val="ru-RU"/>
        </w:rPr>
        <w:t xml:space="preserve"> некоторые изобретения </w:t>
      </w:r>
      <w:r>
        <w:rPr>
          <w:lang w:val="ru-RU"/>
        </w:rPr>
        <w:t xml:space="preserve">вполне </w:t>
      </w:r>
      <w:r w:rsidRPr="00BE4831">
        <w:rPr>
          <w:lang w:val="ru-RU"/>
        </w:rPr>
        <w:t xml:space="preserve">можно </w:t>
      </w:r>
      <w:r>
        <w:rPr>
          <w:lang w:val="ru-RU"/>
        </w:rPr>
        <w:t>от</w:t>
      </w:r>
      <w:r w:rsidRPr="00BE4831">
        <w:rPr>
          <w:lang w:val="ru-RU"/>
        </w:rPr>
        <w:t>образить несколькими словами, в то время как другие могут потребовать более подробно</w:t>
      </w:r>
      <w:r w:rsidR="009A25DC">
        <w:rPr>
          <w:lang w:val="ru-RU"/>
        </w:rPr>
        <w:t xml:space="preserve">го описания.  </w:t>
      </w:r>
      <w:r w:rsidRPr="00BE4831">
        <w:rPr>
          <w:lang w:val="ru-RU"/>
        </w:rPr>
        <w:t xml:space="preserve">Однако </w:t>
      </w:r>
      <w:r w:rsidR="009A25DC">
        <w:rPr>
          <w:lang w:val="ru-RU"/>
        </w:rPr>
        <w:t>доля рефератов, не вписывающихся в рамки</w:t>
      </w:r>
      <w:r w:rsidRPr="00BE4831">
        <w:rPr>
          <w:lang w:val="ru-RU"/>
        </w:rPr>
        <w:t xml:space="preserve"> рекомендованного диапазона</w:t>
      </w:r>
      <w:r w:rsidR="009A25DC">
        <w:rPr>
          <w:lang w:val="ru-RU"/>
        </w:rPr>
        <w:t>,</w:t>
      </w:r>
      <w:r w:rsidRPr="00BE4831">
        <w:rPr>
          <w:lang w:val="ru-RU"/>
        </w:rPr>
        <w:t xml:space="preserve"> велика. </w:t>
      </w:r>
      <w:r w:rsidR="009A25DC">
        <w:rPr>
          <w:lang w:val="ru-RU"/>
        </w:rPr>
        <w:t xml:space="preserve"> Без представления</w:t>
      </w:r>
      <w:r w:rsidRPr="00BE4831">
        <w:rPr>
          <w:lang w:val="ru-RU"/>
        </w:rPr>
        <w:t xml:space="preserve"> </w:t>
      </w:r>
      <w:r w:rsidR="009A25DC">
        <w:rPr>
          <w:lang w:val="ru-RU"/>
        </w:rPr>
        <w:t>данных</w:t>
      </w:r>
      <w:r w:rsidRPr="00BE4831">
        <w:rPr>
          <w:lang w:val="ru-RU"/>
        </w:rPr>
        <w:t xml:space="preserve"> ведомствам и пользователям патентной информации в полезных форматах и с содержанием, </w:t>
      </w:r>
      <w:r w:rsidR="009A25DC">
        <w:rPr>
          <w:lang w:val="ru-RU"/>
        </w:rPr>
        <w:t>отвечающ</w:t>
      </w:r>
      <w:r w:rsidRPr="00BE4831">
        <w:rPr>
          <w:lang w:val="ru-RU"/>
        </w:rPr>
        <w:t xml:space="preserve">им их потребностям, </w:t>
      </w:r>
      <w:r w:rsidR="008B5B15" w:rsidRPr="00BE4831">
        <w:rPr>
          <w:lang w:val="ru-RU"/>
        </w:rPr>
        <w:t>трудно обосновать</w:t>
      </w:r>
      <w:r w:rsidR="008B5B15">
        <w:rPr>
          <w:lang w:val="ru-RU"/>
        </w:rPr>
        <w:t xml:space="preserve"> целесообразность</w:t>
      </w:r>
      <w:r w:rsidR="008B5B15" w:rsidRPr="00BE4831">
        <w:rPr>
          <w:lang w:val="ru-RU"/>
        </w:rPr>
        <w:t xml:space="preserve"> </w:t>
      </w:r>
      <w:r w:rsidRPr="00BE4831">
        <w:rPr>
          <w:lang w:val="ru-RU"/>
        </w:rPr>
        <w:t>затрат на перевод и связанны</w:t>
      </w:r>
      <w:r w:rsidR="008B5B15">
        <w:rPr>
          <w:lang w:val="ru-RU"/>
        </w:rPr>
        <w:t>х</w:t>
      </w:r>
      <w:r w:rsidRPr="00BE4831">
        <w:rPr>
          <w:lang w:val="ru-RU"/>
        </w:rPr>
        <w:t xml:space="preserve"> с этим административны</w:t>
      </w:r>
      <w:r w:rsidR="008B5B15">
        <w:rPr>
          <w:lang w:val="ru-RU"/>
        </w:rPr>
        <w:t>х</w:t>
      </w:r>
      <w:r w:rsidRPr="00BE4831">
        <w:rPr>
          <w:lang w:val="ru-RU"/>
        </w:rPr>
        <w:t xml:space="preserve"> </w:t>
      </w:r>
      <w:r w:rsidR="009A25DC">
        <w:rPr>
          <w:lang w:val="ru-RU"/>
        </w:rPr>
        <w:t>процедур</w:t>
      </w:r>
      <w:r w:rsidRPr="00BE4831">
        <w:rPr>
          <w:lang w:val="ru-RU"/>
        </w:rPr>
        <w:t>.</w:t>
      </w:r>
    </w:p>
    <w:p w:rsidR="006C6361" w:rsidRPr="009A25DC" w:rsidRDefault="009A25DC" w:rsidP="006C6361">
      <w:pPr>
        <w:pStyle w:val="ONUME"/>
        <w:rPr>
          <w:lang w:val="ru-RU"/>
        </w:rPr>
      </w:pPr>
      <w:r>
        <w:rPr>
          <w:lang w:val="ru-RU"/>
        </w:rPr>
        <w:t>В плане объема рефератов необходима должная сбалансированность</w:t>
      </w:r>
      <w:r w:rsidR="006C6361" w:rsidRPr="009A25DC">
        <w:rPr>
          <w:lang w:val="ru-RU"/>
        </w:rPr>
        <w:t>:</w:t>
      </w:r>
    </w:p>
    <w:p w:rsidR="006C6361" w:rsidRPr="009A25DC" w:rsidRDefault="008B5B15" w:rsidP="009A25D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рефераты</w:t>
      </w:r>
      <w:r w:rsidR="009A25DC" w:rsidRPr="009A25DC">
        <w:rPr>
          <w:lang w:val="ru-RU"/>
        </w:rPr>
        <w:t xml:space="preserve"> должны быть достаточно длинными, чтобы </w:t>
      </w:r>
      <w:r>
        <w:rPr>
          <w:lang w:val="ru-RU"/>
        </w:rPr>
        <w:t>отразить</w:t>
      </w:r>
      <w:r w:rsidR="009A25DC" w:rsidRPr="009A25DC">
        <w:rPr>
          <w:lang w:val="ru-RU"/>
        </w:rPr>
        <w:t xml:space="preserve"> наиболее важные технические </w:t>
      </w:r>
      <w:r>
        <w:rPr>
          <w:lang w:val="ru-RU"/>
        </w:rPr>
        <w:t>элементы</w:t>
      </w:r>
      <w:r w:rsidR="009A25DC" w:rsidRPr="009A25DC">
        <w:rPr>
          <w:lang w:val="ru-RU"/>
        </w:rPr>
        <w:t xml:space="preserve">, </w:t>
      </w:r>
      <w:r>
        <w:rPr>
          <w:lang w:val="ru-RU"/>
        </w:rPr>
        <w:t xml:space="preserve">нужные пользователям, </w:t>
      </w:r>
      <w:r w:rsidR="009A25DC" w:rsidRPr="009A25DC">
        <w:rPr>
          <w:lang w:val="ru-RU"/>
        </w:rPr>
        <w:t>ищу</w:t>
      </w:r>
      <w:r>
        <w:rPr>
          <w:lang w:val="ru-RU"/>
        </w:rPr>
        <w:t>щим</w:t>
      </w:r>
      <w:r w:rsidR="009A25DC" w:rsidRPr="009A25DC">
        <w:rPr>
          <w:lang w:val="ru-RU"/>
        </w:rPr>
        <w:t xml:space="preserve"> техническую информацию и получаю</w:t>
      </w:r>
      <w:r>
        <w:rPr>
          <w:lang w:val="ru-RU"/>
        </w:rPr>
        <w:t>щим</w:t>
      </w:r>
      <w:r w:rsidR="009A25DC" w:rsidRPr="009A25DC">
        <w:rPr>
          <w:lang w:val="ru-RU"/>
        </w:rPr>
        <w:t xml:space="preserve"> общее представление об области, в которой испрашивается </w:t>
      </w:r>
      <w:r w:rsidR="009B1897">
        <w:rPr>
          <w:lang w:val="ru-RU"/>
        </w:rPr>
        <w:t>охрана;</w:t>
      </w:r>
    </w:p>
    <w:p w:rsidR="008B5B15" w:rsidRDefault="008B5B15" w:rsidP="009A25D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рефераты</w:t>
      </w:r>
      <w:r w:rsidR="009A25DC" w:rsidRPr="009A25DC">
        <w:rPr>
          <w:lang w:val="ru-RU"/>
        </w:rPr>
        <w:t xml:space="preserve"> должны быть достаточно короткими, чтобы читатели могли сразу </w:t>
      </w:r>
      <w:r>
        <w:rPr>
          <w:lang w:val="ru-RU"/>
        </w:rPr>
        <w:t>воспринять важнейшую</w:t>
      </w:r>
      <w:r w:rsidR="009A25DC" w:rsidRPr="009A25DC">
        <w:rPr>
          <w:lang w:val="ru-RU"/>
        </w:rPr>
        <w:t xml:space="preserve"> информаци</w:t>
      </w:r>
      <w:r>
        <w:rPr>
          <w:lang w:val="ru-RU"/>
        </w:rPr>
        <w:t>ю</w:t>
      </w:r>
      <w:r w:rsidR="009A25DC" w:rsidRPr="009A25DC">
        <w:rPr>
          <w:lang w:val="ru-RU"/>
        </w:rPr>
        <w:t xml:space="preserve">; </w:t>
      </w:r>
      <w:r>
        <w:rPr>
          <w:lang w:val="ru-RU"/>
        </w:rPr>
        <w:t xml:space="preserve"> в </w:t>
      </w:r>
      <w:r w:rsidR="009A25DC" w:rsidRPr="009A25DC">
        <w:rPr>
          <w:lang w:val="ru-RU"/>
        </w:rPr>
        <w:t xml:space="preserve">частности, большинство </w:t>
      </w:r>
      <w:r>
        <w:rPr>
          <w:lang w:val="ru-RU"/>
        </w:rPr>
        <w:t>рефератов</w:t>
      </w:r>
      <w:r w:rsidR="009A25DC" w:rsidRPr="009A25DC">
        <w:rPr>
          <w:lang w:val="ru-RU"/>
        </w:rPr>
        <w:t xml:space="preserve"> должно </w:t>
      </w:r>
      <w:r>
        <w:rPr>
          <w:lang w:val="ru-RU"/>
        </w:rPr>
        <w:t>помещаться на титульной</w:t>
      </w:r>
      <w:r w:rsidR="009A25DC" w:rsidRPr="009A25DC">
        <w:rPr>
          <w:lang w:val="ru-RU"/>
        </w:rPr>
        <w:t xml:space="preserve"> страниц</w:t>
      </w:r>
      <w:r>
        <w:rPr>
          <w:lang w:val="ru-RU"/>
        </w:rPr>
        <w:t>е</w:t>
      </w:r>
      <w:r w:rsidR="009A25DC" w:rsidRPr="009A25DC">
        <w:rPr>
          <w:lang w:val="ru-RU"/>
        </w:rPr>
        <w:t xml:space="preserve"> опубликованно</w:t>
      </w:r>
      <w:r>
        <w:rPr>
          <w:lang w:val="ru-RU"/>
        </w:rPr>
        <w:t>й заявки</w:t>
      </w:r>
      <w:r w:rsidR="009A25DC" w:rsidRPr="009A25DC">
        <w:rPr>
          <w:lang w:val="ru-RU"/>
        </w:rPr>
        <w:t xml:space="preserve"> (для пользователей, просматривающих обычные документы) или </w:t>
      </w:r>
      <w:r>
        <w:rPr>
          <w:lang w:val="ru-RU"/>
        </w:rPr>
        <w:t xml:space="preserve">вписываться </w:t>
      </w:r>
      <w:r w:rsidR="009A25DC" w:rsidRPr="009A25DC">
        <w:rPr>
          <w:lang w:val="ru-RU"/>
        </w:rPr>
        <w:t>в</w:t>
      </w:r>
      <w:r>
        <w:rPr>
          <w:lang w:val="ru-RU"/>
        </w:rPr>
        <w:t xml:space="preserve"> размеры</w:t>
      </w:r>
      <w:r w:rsidR="009A25DC" w:rsidRPr="009A25DC">
        <w:rPr>
          <w:lang w:val="ru-RU"/>
        </w:rPr>
        <w:t xml:space="preserve"> экранн</w:t>
      </w:r>
      <w:r>
        <w:rPr>
          <w:lang w:val="ru-RU"/>
        </w:rPr>
        <w:t>ого</w:t>
      </w:r>
      <w:r w:rsidR="009A25DC" w:rsidRPr="009A25DC">
        <w:rPr>
          <w:lang w:val="ru-RU"/>
        </w:rPr>
        <w:t xml:space="preserve"> пространства, оптимизированн</w:t>
      </w:r>
      <w:r>
        <w:rPr>
          <w:lang w:val="ru-RU"/>
        </w:rPr>
        <w:t>ого</w:t>
      </w:r>
      <w:r w:rsidR="00090CA4">
        <w:rPr>
          <w:lang w:val="ru-RU"/>
        </w:rPr>
        <w:t xml:space="preserve"> с тем</w:t>
      </w:r>
      <w:r w:rsidR="009A25DC" w:rsidRPr="009A25DC">
        <w:rPr>
          <w:lang w:val="ru-RU"/>
        </w:rPr>
        <w:t xml:space="preserve">, чтобы пользователи могли просматривать наиболее типичные </w:t>
      </w:r>
      <w:r w:rsidR="00F46E33">
        <w:rPr>
          <w:lang w:val="ru-RU"/>
        </w:rPr>
        <w:t>рефераты</w:t>
      </w:r>
      <w:r w:rsidR="009A25DC" w:rsidRPr="009A25DC">
        <w:rPr>
          <w:lang w:val="ru-RU"/>
        </w:rPr>
        <w:t xml:space="preserve"> без необходимости </w:t>
      </w:r>
      <w:r w:rsidR="00090CA4">
        <w:rPr>
          <w:lang w:val="ru-RU"/>
        </w:rPr>
        <w:t>«</w:t>
      </w:r>
      <w:r w:rsidR="009A25DC" w:rsidRPr="009A25DC">
        <w:rPr>
          <w:lang w:val="ru-RU"/>
        </w:rPr>
        <w:t>прокрутки</w:t>
      </w:r>
      <w:r w:rsidR="00090CA4">
        <w:rPr>
          <w:lang w:val="ru-RU"/>
        </w:rPr>
        <w:t>» текста</w:t>
      </w:r>
      <w:r w:rsidR="009A25DC" w:rsidRPr="009A25DC">
        <w:rPr>
          <w:lang w:val="ru-RU"/>
        </w:rPr>
        <w:t xml:space="preserve"> или уменьшения </w:t>
      </w:r>
      <w:r w:rsidR="00090CA4">
        <w:rPr>
          <w:lang w:val="ru-RU"/>
        </w:rPr>
        <w:t xml:space="preserve">его </w:t>
      </w:r>
      <w:r w:rsidR="009A25DC" w:rsidRPr="009A25DC">
        <w:rPr>
          <w:lang w:val="ru-RU"/>
        </w:rPr>
        <w:t>размера</w:t>
      </w:r>
      <w:r w:rsidR="00090CA4">
        <w:rPr>
          <w:lang w:val="ru-RU"/>
        </w:rPr>
        <w:t>.</w:t>
      </w:r>
    </w:p>
    <w:p w:rsidR="009A25DC" w:rsidRPr="009A25DC" w:rsidRDefault="00090CA4" w:rsidP="009A25DC">
      <w:pPr>
        <w:pStyle w:val="ONUME"/>
        <w:rPr>
          <w:lang w:val="ru-RU"/>
        </w:rPr>
      </w:pPr>
      <w:r>
        <w:rPr>
          <w:lang w:val="ru-RU"/>
        </w:rPr>
        <w:t>По своему содержанию</w:t>
      </w:r>
      <w:r w:rsidR="009A25DC" w:rsidRPr="009A25DC">
        <w:rPr>
          <w:lang w:val="ru-RU"/>
        </w:rPr>
        <w:t xml:space="preserve"> реферат должен быть достаточно конкретным, чтобы дать полезную </w:t>
      </w:r>
      <w:r>
        <w:rPr>
          <w:lang w:val="ru-RU"/>
        </w:rPr>
        <w:t xml:space="preserve">раскрываемую </w:t>
      </w:r>
      <w:r w:rsidR="009A25DC" w:rsidRPr="009A25DC">
        <w:rPr>
          <w:lang w:val="ru-RU"/>
        </w:rPr>
        <w:t xml:space="preserve">техническую информацию, не вводя в заблуждение относительно широты </w:t>
      </w:r>
      <w:r>
        <w:rPr>
          <w:lang w:val="ru-RU"/>
        </w:rPr>
        <w:t xml:space="preserve">диапазона испрашиваемых </w:t>
      </w:r>
      <w:r w:rsidR="009A25DC" w:rsidRPr="009A25DC">
        <w:rPr>
          <w:lang w:val="ru-RU"/>
        </w:rPr>
        <w:t>альтернатив</w:t>
      </w:r>
      <w:r>
        <w:rPr>
          <w:lang w:val="ru-RU"/>
        </w:rPr>
        <w:t>ных вариантов.</w:t>
      </w:r>
    </w:p>
    <w:p w:rsidR="006C6361" w:rsidRPr="008E3333" w:rsidRDefault="008E3333" w:rsidP="006C6361">
      <w:pPr>
        <w:pStyle w:val="ONUME"/>
        <w:rPr>
          <w:lang w:val="ru-RU"/>
        </w:rPr>
      </w:pPr>
      <w:r>
        <w:rPr>
          <w:lang w:val="ru-RU"/>
        </w:rPr>
        <w:t>В</w:t>
      </w:r>
      <w:r w:rsidRPr="008E3333">
        <w:rPr>
          <w:lang w:val="ru-RU"/>
        </w:rPr>
        <w:t xml:space="preserve"> </w:t>
      </w:r>
      <w:r>
        <w:rPr>
          <w:lang w:val="ru-RU"/>
        </w:rPr>
        <w:t>случае</w:t>
      </w:r>
      <w:r w:rsidRPr="008E3333">
        <w:rPr>
          <w:lang w:val="ru-RU"/>
        </w:rPr>
        <w:t xml:space="preserve"> </w:t>
      </w:r>
      <w:r>
        <w:rPr>
          <w:lang w:val="ru-RU"/>
        </w:rPr>
        <w:t>прилагаемых</w:t>
      </w:r>
      <w:r w:rsidRPr="008E3333">
        <w:rPr>
          <w:lang w:val="ru-RU"/>
        </w:rPr>
        <w:t xml:space="preserve"> </w:t>
      </w:r>
      <w:r>
        <w:rPr>
          <w:lang w:val="ru-RU"/>
        </w:rPr>
        <w:t>к</w:t>
      </w:r>
      <w:r w:rsidRPr="008E3333">
        <w:rPr>
          <w:lang w:val="ru-RU"/>
        </w:rPr>
        <w:t xml:space="preserve"> </w:t>
      </w:r>
      <w:r>
        <w:rPr>
          <w:lang w:val="ru-RU"/>
        </w:rPr>
        <w:t>рефератам</w:t>
      </w:r>
      <w:r w:rsidRPr="008E3333">
        <w:rPr>
          <w:lang w:val="ru-RU"/>
        </w:rPr>
        <w:t xml:space="preserve"> </w:t>
      </w:r>
      <w:r>
        <w:rPr>
          <w:lang w:val="ru-RU"/>
        </w:rPr>
        <w:t>чертежей</w:t>
      </w:r>
      <w:r w:rsidRPr="008E3333">
        <w:rPr>
          <w:lang w:val="ru-RU"/>
        </w:rPr>
        <w:t xml:space="preserve"> </w:t>
      </w:r>
      <w:r>
        <w:rPr>
          <w:lang w:val="ru-RU"/>
        </w:rPr>
        <w:t>следует</w:t>
      </w:r>
      <w:r w:rsidRPr="008E3333">
        <w:rPr>
          <w:lang w:val="ru-RU"/>
        </w:rPr>
        <w:t xml:space="preserve"> </w:t>
      </w:r>
      <w:r>
        <w:rPr>
          <w:lang w:val="ru-RU"/>
        </w:rPr>
        <w:t>принимать</w:t>
      </w:r>
      <w:r w:rsidRPr="008E3333">
        <w:rPr>
          <w:lang w:val="ru-RU"/>
        </w:rPr>
        <w:t xml:space="preserve"> </w:t>
      </w:r>
      <w:r>
        <w:rPr>
          <w:lang w:val="ru-RU"/>
        </w:rPr>
        <w:t>во</w:t>
      </w:r>
      <w:r w:rsidRPr="008E3333">
        <w:rPr>
          <w:lang w:val="ru-RU"/>
        </w:rPr>
        <w:t xml:space="preserve"> </w:t>
      </w:r>
      <w:r>
        <w:rPr>
          <w:lang w:val="ru-RU"/>
        </w:rPr>
        <w:t>внимание следующее</w:t>
      </w:r>
      <w:r w:rsidRPr="008E3333">
        <w:rPr>
          <w:lang w:val="ru-RU"/>
        </w:rPr>
        <w:t>:</w:t>
      </w:r>
      <w:r w:rsidR="006C6361" w:rsidRPr="008E3333">
        <w:rPr>
          <w:lang w:val="ru-RU"/>
        </w:rPr>
        <w:t xml:space="preserve"> </w:t>
      </w:r>
    </w:p>
    <w:p w:rsidR="006C6361" w:rsidRPr="008E3333" w:rsidRDefault="008E3333" w:rsidP="006C63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можно</w:t>
      </w:r>
      <w:r w:rsidRPr="008E3333">
        <w:rPr>
          <w:lang w:val="ru-RU"/>
        </w:rPr>
        <w:t xml:space="preserve"> </w:t>
      </w:r>
      <w:r>
        <w:rPr>
          <w:lang w:val="ru-RU"/>
        </w:rPr>
        <w:t>ли</w:t>
      </w:r>
      <w:r w:rsidRPr="008E3333">
        <w:rPr>
          <w:lang w:val="ru-RU"/>
        </w:rPr>
        <w:t xml:space="preserve"> </w:t>
      </w:r>
      <w:r>
        <w:rPr>
          <w:lang w:val="ru-RU"/>
        </w:rPr>
        <w:t>будет</w:t>
      </w:r>
      <w:r w:rsidRPr="008E3333">
        <w:rPr>
          <w:lang w:val="ru-RU"/>
        </w:rPr>
        <w:t xml:space="preserve"> </w:t>
      </w:r>
      <w:r>
        <w:rPr>
          <w:lang w:val="ru-RU"/>
        </w:rPr>
        <w:t>прочитать</w:t>
      </w:r>
      <w:r w:rsidRPr="008E3333">
        <w:rPr>
          <w:lang w:val="ru-RU"/>
        </w:rPr>
        <w:t xml:space="preserve"> </w:t>
      </w:r>
      <w:r>
        <w:rPr>
          <w:lang w:val="ru-RU"/>
        </w:rPr>
        <w:t>текст</w:t>
      </w:r>
      <w:r w:rsidRPr="008E3333">
        <w:rPr>
          <w:lang w:val="ru-RU"/>
        </w:rPr>
        <w:t xml:space="preserve"> </w:t>
      </w:r>
      <w:r>
        <w:rPr>
          <w:lang w:val="ru-RU"/>
        </w:rPr>
        <w:t>на</w:t>
      </w:r>
      <w:r w:rsidRPr="008E3333">
        <w:rPr>
          <w:lang w:val="ru-RU"/>
        </w:rPr>
        <w:t xml:space="preserve"> </w:t>
      </w:r>
      <w:r>
        <w:rPr>
          <w:lang w:val="ru-RU"/>
        </w:rPr>
        <w:t>чертежах при уменьшении размеров</w:t>
      </w:r>
      <w:r w:rsidRPr="008E3333">
        <w:rPr>
          <w:lang w:val="ru-RU"/>
        </w:rPr>
        <w:t>,</w:t>
      </w:r>
      <w:r>
        <w:rPr>
          <w:lang w:val="ru-RU"/>
        </w:rPr>
        <w:t xml:space="preserve"> чтобы они поместились на титульной странице</w:t>
      </w:r>
      <w:r w:rsidR="006C6361" w:rsidRPr="008E3333">
        <w:rPr>
          <w:lang w:val="ru-RU"/>
        </w:rPr>
        <w:t xml:space="preserve">; </w:t>
      </w:r>
      <w:r>
        <w:rPr>
          <w:lang w:val="ru-RU"/>
        </w:rPr>
        <w:t xml:space="preserve"> и</w:t>
      </w:r>
    </w:p>
    <w:p w:rsidR="008E3333" w:rsidRDefault="008E3333" w:rsidP="009A25DC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</w:t>
      </w:r>
      <w:r w:rsidR="009A25DC" w:rsidRPr="008E3333">
        <w:rPr>
          <w:lang w:val="ru-RU"/>
        </w:rPr>
        <w:t>уд</w:t>
      </w:r>
      <w:r>
        <w:rPr>
          <w:lang w:val="ru-RU"/>
        </w:rPr>
        <w:t>е</w:t>
      </w:r>
      <w:r w:rsidR="009A25DC" w:rsidRPr="008E3333">
        <w:rPr>
          <w:lang w:val="ru-RU"/>
        </w:rPr>
        <w:t xml:space="preserve">т </w:t>
      </w:r>
      <w:r>
        <w:rPr>
          <w:lang w:val="ru-RU"/>
        </w:rPr>
        <w:t xml:space="preserve"> ли </w:t>
      </w:r>
      <w:r w:rsidR="009A25DC" w:rsidRPr="008E3333">
        <w:rPr>
          <w:lang w:val="ru-RU"/>
        </w:rPr>
        <w:t>легко понят</w:t>
      </w:r>
      <w:r>
        <w:rPr>
          <w:lang w:val="ru-RU"/>
        </w:rPr>
        <w:t xml:space="preserve">ь такой текст, </w:t>
      </w:r>
      <w:r w:rsidR="009A25DC" w:rsidRPr="008E3333">
        <w:rPr>
          <w:lang w:val="ru-RU"/>
        </w:rPr>
        <w:t xml:space="preserve">если </w:t>
      </w:r>
      <w:r>
        <w:rPr>
          <w:lang w:val="ru-RU"/>
        </w:rPr>
        <w:t xml:space="preserve">при </w:t>
      </w:r>
      <w:r w:rsidR="009A25DC" w:rsidRPr="008E3333">
        <w:rPr>
          <w:lang w:val="ru-RU"/>
        </w:rPr>
        <w:t>перев</w:t>
      </w:r>
      <w:r>
        <w:rPr>
          <w:lang w:val="ru-RU"/>
        </w:rPr>
        <w:t>оде он будет помещаться под</w:t>
      </w:r>
      <w:r w:rsidR="009A25DC" w:rsidRPr="008E3333">
        <w:rPr>
          <w:lang w:val="ru-RU"/>
        </w:rPr>
        <w:t xml:space="preserve"> чертеж</w:t>
      </w:r>
      <w:r>
        <w:rPr>
          <w:lang w:val="ru-RU"/>
        </w:rPr>
        <w:t xml:space="preserve">ом или сбоку от </w:t>
      </w:r>
      <w:r w:rsidR="0000019B">
        <w:rPr>
          <w:lang w:val="ru-RU"/>
        </w:rPr>
        <w:t>чертежа</w:t>
      </w:r>
      <w:r w:rsidR="009A25DC" w:rsidRPr="008E3333">
        <w:rPr>
          <w:lang w:val="ru-RU"/>
        </w:rPr>
        <w:t>, связанн</w:t>
      </w:r>
      <w:r w:rsidR="0000019B">
        <w:rPr>
          <w:lang w:val="ru-RU"/>
        </w:rPr>
        <w:t>ого</w:t>
      </w:r>
      <w:r w:rsidR="009A25DC" w:rsidRPr="008E3333">
        <w:rPr>
          <w:lang w:val="ru-RU"/>
        </w:rPr>
        <w:t xml:space="preserve"> с</w:t>
      </w:r>
      <w:r w:rsidR="0000019B">
        <w:rPr>
          <w:lang w:val="ru-RU"/>
        </w:rPr>
        <w:t xml:space="preserve"> номерами позиций</w:t>
      </w:r>
      <w:r w:rsidR="009A25DC" w:rsidRPr="008E3333">
        <w:rPr>
          <w:lang w:val="ru-RU"/>
        </w:rPr>
        <w:t xml:space="preserve"> (учитывая, что это</w:t>
      </w:r>
      <w:r w:rsidR="0000019B">
        <w:rPr>
          <w:lang w:val="ru-RU"/>
        </w:rPr>
        <w:t>т</w:t>
      </w:r>
      <w:r w:rsidR="009A25DC" w:rsidRPr="008E3333">
        <w:rPr>
          <w:lang w:val="ru-RU"/>
        </w:rPr>
        <w:t xml:space="preserve"> </w:t>
      </w:r>
      <w:r w:rsidR="0000019B">
        <w:rPr>
          <w:lang w:val="ru-RU"/>
        </w:rPr>
        <w:t>способ</w:t>
      </w:r>
      <w:r w:rsidR="009A25DC" w:rsidRPr="008E3333">
        <w:rPr>
          <w:lang w:val="ru-RU"/>
        </w:rPr>
        <w:t xml:space="preserve"> отображения переводов </w:t>
      </w:r>
      <w:r w:rsidR="00F46E33">
        <w:rPr>
          <w:lang w:val="ru-RU"/>
        </w:rPr>
        <w:t xml:space="preserve">подписей на </w:t>
      </w:r>
      <w:r w:rsidR="009A25DC" w:rsidRPr="008E3333">
        <w:rPr>
          <w:lang w:val="ru-RU"/>
        </w:rPr>
        <w:t>чертеж</w:t>
      </w:r>
      <w:r w:rsidR="00F46E33">
        <w:rPr>
          <w:lang w:val="ru-RU"/>
        </w:rPr>
        <w:t>ах</w:t>
      </w:r>
      <w:r w:rsidR="009A25DC" w:rsidRPr="008E3333">
        <w:rPr>
          <w:lang w:val="ru-RU"/>
        </w:rPr>
        <w:t xml:space="preserve"> вряд ли изменится в ближайшем будущем)</w:t>
      </w:r>
      <w:r w:rsidR="0000019B">
        <w:rPr>
          <w:lang w:val="ru-RU"/>
        </w:rPr>
        <w:t>.</w:t>
      </w:r>
    </w:p>
    <w:p w:rsidR="009A25DC" w:rsidRPr="009A25DC" w:rsidRDefault="009A25DC" w:rsidP="0099542D">
      <w:pPr>
        <w:pStyle w:val="ONUME"/>
        <w:rPr>
          <w:lang w:val="ru-RU"/>
        </w:rPr>
      </w:pPr>
      <w:r w:rsidRPr="009A25DC">
        <w:rPr>
          <w:lang w:val="ru-RU"/>
        </w:rPr>
        <w:t xml:space="preserve">Рабочая группа </w:t>
      </w:r>
      <w:r w:rsidR="0000019B">
        <w:rPr>
          <w:lang w:val="ru-RU"/>
        </w:rPr>
        <w:t xml:space="preserve">по </w:t>
      </w:r>
      <w:r w:rsidRPr="009A25DC">
        <w:t>PCT</w:t>
      </w:r>
      <w:r w:rsidRPr="009A25DC">
        <w:rPr>
          <w:lang w:val="ru-RU"/>
        </w:rPr>
        <w:t xml:space="preserve"> на своей девятой сессии, </w:t>
      </w:r>
      <w:r w:rsidR="0000019B" w:rsidRPr="0000019B">
        <w:rPr>
          <w:lang w:val="ru-RU"/>
        </w:rPr>
        <w:t>состоявшейся в Женеве 17–20 мая 2016 г., обсудила рабочий документ</w:t>
      </w:r>
      <w:r w:rsidRPr="009A25DC">
        <w:rPr>
          <w:lang w:val="ru-RU"/>
        </w:rPr>
        <w:t xml:space="preserve">, </w:t>
      </w:r>
      <w:r w:rsidR="0099542D">
        <w:rPr>
          <w:lang w:val="ru-RU"/>
        </w:rPr>
        <w:t xml:space="preserve">в </w:t>
      </w:r>
      <w:r w:rsidRPr="009A25DC">
        <w:rPr>
          <w:lang w:val="ru-RU"/>
        </w:rPr>
        <w:t>котор</w:t>
      </w:r>
      <w:r w:rsidR="0099542D">
        <w:rPr>
          <w:lang w:val="ru-RU"/>
        </w:rPr>
        <w:t>ом было</w:t>
      </w:r>
      <w:r w:rsidRPr="009A25DC">
        <w:rPr>
          <w:lang w:val="ru-RU"/>
        </w:rPr>
        <w:t xml:space="preserve"> показа</w:t>
      </w:r>
      <w:r w:rsidR="0099542D">
        <w:rPr>
          <w:lang w:val="ru-RU"/>
        </w:rPr>
        <w:t>но</w:t>
      </w:r>
      <w:r w:rsidRPr="009A25DC">
        <w:rPr>
          <w:lang w:val="ru-RU"/>
        </w:rPr>
        <w:t xml:space="preserve">, что </w:t>
      </w:r>
      <w:r w:rsidR="0099542D">
        <w:rPr>
          <w:lang w:val="ru-RU"/>
        </w:rPr>
        <w:t>з</w:t>
      </w:r>
      <w:r w:rsidR="0099542D" w:rsidRPr="0099542D">
        <w:rPr>
          <w:lang w:val="ru-RU"/>
        </w:rPr>
        <w:t xml:space="preserve">начительная часть </w:t>
      </w:r>
      <w:r w:rsidR="0099542D" w:rsidRPr="0099542D">
        <w:rPr>
          <w:lang w:val="ru-RU"/>
        </w:rPr>
        <w:lastRenderedPageBreak/>
        <w:t xml:space="preserve">международных заявок </w:t>
      </w:r>
      <w:r w:rsidR="0099542D">
        <w:rPr>
          <w:lang w:val="ru-RU"/>
        </w:rPr>
        <w:t>публиковалась с</w:t>
      </w:r>
      <w:r w:rsidR="0099542D" w:rsidRPr="0099542D">
        <w:rPr>
          <w:lang w:val="ru-RU"/>
        </w:rPr>
        <w:t xml:space="preserve"> реферат</w:t>
      </w:r>
      <w:r w:rsidR="0099542D">
        <w:rPr>
          <w:lang w:val="ru-RU"/>
        </w:rPr>
        <w:t>ами</w:t>
      </w:r>
      <w:r w:rsidR="0099542D" w:rsidRPr="0099542D">
        <w:rPr>
          <w:lang w:val="ru-RU"/>
        </w:rPr>
        <w:t>, которы</w:t>
      </w:r>
      <w:r w:rsidR="0099542D">
        <w:rPr>
          <w:lang w:val="ru-RU"/>
        </w:rPr>
        <w:t>е по своим размерам</w:t>
      </w:r>
      <w:r w:rsidR="0099542D" w:rsidRPr="0099542D">
        <w:rPr>
          <w:lang w:val="ru-RU"/>
        </w:rPr>
        <w:t xml:space="preserve"> существенно </w:t>
      </w:r>
      <w:r w:rsidR="0099542D">
        <w:rPr>
          <w:lang w:val="ru-RU"/>
        </w:rPr>
        <w:t>выходят за рамки,</w:t>
      </w:r>
      <w:r w:rsidR="0099542D" w:rsidRPr="0099542D">
        <w:rPr>
          <w:lang w:val="ru-RU"/>
        </w:rPr>
        <w:t xml:space="preserve"> рекомендованн</w:t>
      </w:r>
      <w:r w:rsidR="0099542D">
        <w:rPr>
          <w:lang w:val="ru-RU"/>
        </w:rPr>
        <w:t xml:space="preserve">ые в правиле </w:t>
      </w:r>
      <w:r w:rsidR="0099542D" w:rsidRPr="0099542D">
        <w:rPr>
          <w:lang w:val="ru-RU"/>
        </w:rPr>
        <w:t>8.1(</w:t>
      </w:r>
      <w:r w:rsidR="0099542D">
        <w:t>b</w:t>
      </w:r>
      <w:r w:rsidR="0099542D" w:rsidRPr="0099542D">
        <w:rPr>
          <w:lang w:val="ru-RU"/>
        </w:rPr>
        <w:t>)</w:t>
      </w:r>
      <w:r w:rsidR="0099542D">
        <w:rPr>
          <w:lang w:val="ru-RU"/>
        </w:rPr>
        <w:t xml:space="preserve"> и содержат значительный</w:t>
      </w:r>
      <w:r w:rsidR="0099542D" w:rsidRPr="0099542D">
        <w:rPr>
          <w:lang w:val="ru-RU"/>
        </w:rPr>
        <w:t xml:space="preserve"> объем текста </w:t>
      </w:r>
      <w:r w:rsidR="0099542D">
        <w:rPr>
          <w:lang w:val="ru-RU"/>
        </w:rPr>
        <w:t>на</w:t>
      </w:r>
      <w:r w:rsidR="0099542D" w:rsidRPr="0099542D">
        <w:rPr>
          <w:lang w:val="ru-RU"/>
        </w:rPr>
        <w:t xml:space="preserve"> чертеж</w:t>
      </w:r>
      <w:r w:rsidR="0099542D">
        <w:rPr>
          <w:lang w:val="ru-RU"/>
        </w:rPr>
        <w:t>е</w:t>
      </w:r>
      <w:r w:rsidR="0099542D" w:rsidRPr="0099542D">
        <w:rPr>
          <w:lang w:val="ru-RU"/>
        </w:rPr>
        <w:t>,</w:t>
      </w:r>
      <w:r w:rsidR="0099542D">
        <w:rPr>
          <w:lang w:val="ru-RU"/>
        </w:rPr>
        <w:t xml:space="preserve"> выбранном для размещения</w:t>
      </w:r>
      <w:r w:rsidR="0099542D" w:rsidRPr="0099542D">
        <w:rPr>
          <w:lang w:val="ru-RU"/>
        </w:rPr>
        <w:t xml:space="preserve"> на титульном листе</w:t>
      </w:r>
      <w:r w:rsidR="0099542D">
        <w:rPr>
          <w:lang w:val="ru-RU"/>
        </w:rPr>
        <w:t xml:space="preserve"> публикуемой </w:t>
      </w:r>
      <w:r w:rsidRPr="009A25DC">
        <w:rPr>
          <w:lang w:val="ru-RU"/>
        </w:rPr>
        <w:t xml:space="preserve">международной заявки. </w:t>
      </w:r>
      <w:r w:rsidR="006B174A">
        <w:rPr>
          <w:lang w:val="ru-RU"/>
        </w:rPr>
        <w:t xml:space="preserve"> В результате возрастают </w:t>
      </w:r>
      <w:r w:rsidRPr="009A25DC">
        <w:rPr>
          <w:lang w:val="ru-RU"/>
        </w:rPr>
        <w:t>расход</w:t>
      </w:r>
      <w:r w:rsidR="006B174A">
        <w:rPr>
          <w:lang w:val="ru-RU"/>
        </w:rPr>
        <w:t>ы</w:t>
      </w:r>
      <w:r w:rsidRPr="009A25DC">
        <w:rPr>
          <w:lang w:val="ru-RU"/>
        </w:rPr>
        <w:t xml:space="preserve"> на перевод и обработку</w:t>
      </w:r>
      <w:r w:rsidR="006B174A">
        <w:rPr>
          <w:lang w:val="ru-RU"/>
        </w:rPr>
        <w:t xml:space="preserve"> документов</w:t>
      </w:r>
      <w:r w:rsidRPr="009A25DC">
        <w:rPr>
          <w:lang w:val="ru-RU"/>
        </w:rPr>
        <w:t xml:space="preserve">, </w:t>
      </w:r>
      <w:r w:rsidR="006B174A">
        <w:rPr>
          <w:lang w:val="ru-RU"/>
        </w:rPr>
        <w:t>а</w:t>
      </w:r>
      <w:r w:rsidRPr="009A25DC">
        <w:rPr>
          <w:lang w:val="ru-RU"/>
        </w:rPr>
        <w:t xml:space="preserve"> также </w:t>
      </w:r>
      <w:r w:rsidR="006B174A">
        <w:rPr>
          <w:lang w:val="ru-RU"/>
        </w:rPr>
        <w:t>возникает</w:t>
      </w:r>
      <w:r w:rsidRPr="009A25DC">
        <w:rPr>
          <w:lang w:val="ru-RU"/>
        </w:rPr>
        <w:t xml:space="preserve"> вопрос о том, </w:t>
      </w:r>
      <w:r w:rsidR="006B174A">
        <w:rPr>
          <w:lang w:val="ru-RU"/>
        </w:rPr>
        <w:t xml:space="preserve">что, возможно, </w:t>
      </w:r>
      <w:r w:rsidRPr="009A25DC">
        <w:rPr>
          <w:lang w:val="ru-RU"/>
        </w:rPr>
        <w:t xml:space="preserve"> </w:t>
      </w:r>
      <w:r w:rsidR="006B174A">
        <w:rPr>
          <w:lang w:val="ru-RU"/>
        </w:rPr>
        <w:t>публикуемые</w:t>
      </w:r>
      <w:r w:rsidR="006B174A" w:rsidRPr="009A25DC">
        <w:rPr>
          <w:lang w:val="ru-RU"/>
        </w:rPr>
        <w:t xml:space="preserve"> на </w:t>
      </w:r>
      <w:r w:rsidR="006B174A">
        <w:rPr>
          <w:lang w:val="ru-RU"/>
        </w:rPr>
        <w:t>титульной</w:t>
      </w:r>
      <w:r w:rsidR="006B174A" w:rsidRPr="009A25DC">
        <w:rPr>
          <w:lang w:val="ru-RU"/>
        </w:rPr>
        <w:t xml:space="preserve"> странице </w:t>
      </w:r>
      <w:r w:rsidRPr="009A25DC">
        <w:rPr>
          <w:lang w:val="ru-RU"/>
        </w:rPr>
        <w:t xml:space="preserve">реферат и </w:t>
      </w:r>
      <w:r w:rsidR="006B174A">
        <w:rPr>
          <w:lang w:val="ru-RU"/>
        </w:rPr>
        <w:t>чертеж нередко</w:t>
      </w:r>
      <w:r w:rsidRPr="009A25DC">
        <w:rPr>
          <w:lang w:val="ru-RU"/>
        </w:rPr>
        <w:t xml:space="preserve"> </w:t>
      </w:r>
      <w:r w:rsidR="006B174A">
        <w:rPr>
          <w:lang w:val="ru-RU"/>
        </w:rPr>
        <w:t>не</w:t>
      </w:r>
      <w:r w:rsidR="00383B11">
        <w:rPr>
          <w:lang w:val="ru-RU"/>
        </w:rPr>
        <w:t xml:space="preserve"> являются</w:t>
      </w:r>
      <w:r w:rsidR="006B174A">
        <w:rPr>
          <w:lang w:val="ru-RU"/>
        </w:rPr>
        <w:t xml:space="preserve"> </w:t>
      </w:r>
      <w:r w:rsidRPr="009A25DC">
        <w:rPr>
          <w:lang w:val="ru-RU"/>
        </w:rPr>
        <w:t>оптимальны</w:t>
      </w:r>
      <w:r w:rsidR="00383B11">
        <w:rPr>
          <w:lang w:val="ru-RU"/>
        </w:rPr>
        <w:t>ми</w:t>
      </w:r>
      <w:r w:rsidR="006B174A">
        <w:rPr>
          <w:lang w:val="ru-RU"/>
        </w:rPr>
        <w:t xml:space="preserve"> </w:t>
      </w:r>
      <w:r w:rsidRPr="009A25DC">
        <w:rPr>
          <w:lang w:val="ru-RU"/>
        </w:rPr>
        <w:t xml:space="preserve">для </w:t>
      </w:r>
      <w:r w:rsidR="006B174A">
        <w:rPr>
          <w:lang w:val="ru-RU"/>
        </w:rPr>
        <w:t xml:space="preserve">целей </w:t>
      </w:r>
      <w:r w:rsidRPr="009A25DC">
        <w:rPr>
          <w:lang w:val="ru-RU"/>
        </w:rPr>
        <w:t>эффективного поиска.</w:t>
      </w:r>
    </w:p>
    <w:p w:rsidR="00907055" w:rsidRPr="006B174A" w:rsidRDefault="006B174A" w:rsidP="00907055">
      <w:pPr>
        <w:pStyle w:val="ONUME"/>
        <w:rPr>
          <w:lang w:val="ru-RU"/>
        </w:rPr>
      </w:pPr>
      <w:r>
        <w:rPr>
          <w:lang w:val="ru-RU"/>
        </w:rPr>
        <w:t>В</w:t>
      </w:r>
      <w:r w:rsidRPr="006B174A">
        <w:rPr>
          <w:lang w:val="ru-RU"/>
        </w:rPr>
        <w:t xml:space="preserve"> </w:t>
      </w:r>
      <w:r>
        <w:rPr>
          <w:lang w:val="ru-RU"/>
        </w:rPr>
        <w:t>пунктах</w:t>
      </w:r>
      <w:r w:rsidRPr="006B174A">
        <w:rPr>
          <w:lang w:val="ru-RU"/>
        </w:rPr>
        <w:t xml:space="preserve"> </w:t>
      </w:r>
      <w:r w:rsidR="00907055" w:rsidRPr="006B174A">
        <w:rPr>
          <w:lang w:val="ru-RU"/>
        </w:rPr>
        <w:t>110</w:t>
      </w:r>
      <w:r w:rsidRPr="006B174A">
        <w:rPr>
          <w:lang w:val="ru-RU"/>
        </w:rPr>
        <w:t>–</w:t>
      </w:r>
      <w:r w:rsidR="00907055" w:rsidRPr="006B174A">
        <w:rPr>
          <w:lang w:val="ru-RU"/>
        </w:rPr>
        <w:t xml:space="preserve">116 </w:t>
      </w:r>
      <w:r>
        <w:rPr>
          <w:lang w:val="ru-RU"/>
        </w:rPr>
        <w:t>резюме</w:t>
      </w:r>
      <w:r w:rsidRPr="006B174A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6B174A">
        <w:rPr>
          <w:lang w:val="ru-RU"/>
        </w:rPr>
        <w:t xml:space="preserve"> </w:t>
      </w:r>
      <w:r>
        <w:rPr>
          <w:lang w:val="ru-RU"/>
        </w:rPr>
        <w:t>сессии</w:t>
      </w:r>
      <w:r w:rsidRPr="006B174A">
        <w:rPr>
          <w:lang w:val="ru-RU"/>
        </w:rPr>
        <w:t xml:space="preserve"> (</w:t>
      </w:r>
      <w:r>
        <w:rPr>
          <w:lang w:val="ru-RU"/>
        </w:rPr>
        <w:t>документ</w:t>
      </w:r>
      <w:r w:rsidRPr="006B174A">
        <w:rPr>
          <w:lang w:val="ru-RU"/>
        </w:rPr>
        <w:t xml:space="preserve"> </w:t>
      </w:r>
      <w:r w:rsidR="00907055">
        <w:t>PCT</w:t>
      </w:r>
      <w:r w:rsidR="00907055" w:rsidRPr="006B174A">
        <w:rPr>
          <w:lang w:val="ru-RU"/>
        </w:rPr>
        <w:t>/</w:t>
      </w:r>
      <w:r w:rsidR="00907055">
        <w:t>WG</w:t>
      </w:r>
      <w:r w:rsidR="00907055" w:rsidRPr="006B174A">
        <w:rPr>
          <w:lang w:val="ru-RU"/>
        </w:rPr>
        <w:t xml:space="preserve">/9/27) </w:t>
      </w:r>
      <w:r>
        <w:rPr>
          <w:lang w:val="ru-RU"/>
        </w:rPr>
        <w:t>следующим</w:t>
      </w:r>
      <w:r w:rsidR="00383B11">
        <w:rPr>
          <w:lang w:val="ru-RU"/>
        </w:rPr>
        <w:t xml:space="preserve"> образом</w:t>
      </w:r>
      <w:r>
        <w:rPr>
          <w:lang w:val="ru-RU"/>
        </w:rPr>
        <w:t xml:space="preserve"> отражен</w:t>
      </w:r>
      <w:r w:rsidR="00383B11">
        <w:rPr>
          <w:lang w:val="ru-RU"/>
        </w:rPr>
        <w:t>ы</w:t>
      </w:r>
      <w:r w:rsidRPr="006B174A">
        <w:rPr>
          <w:lang w:val="ru-RU"/>
        </w:rPr>
        <w:t xml:space="preserve"> </w:t>
      </w:r>
      <w:r>
        <w:rPr>
          <w:lang w:val="ru-RU"/>
        </w:rPr>
        <w:t>обсуждение данного предложения</w:t>
      </w:r>
      <w:r w:rsidR="00383B11">
        <w:rPr>
          <w:lang w:val="ru-RU"/>
        </w:rPr>
        <w:t xml:space="preserve"> и последующие действия, согласованные Рабочей группой по </w:t>
      </w:r>
      <w:r w:rsidR="00383B11">
        <w:t>PCT</w:t>
      </w:r>
      <w:r w:rsidR="00907055" w:rsidRPr="006B174A">
        <w:rPr>
          <w:lang w:val="ru-RU"/>
        </w:rPr>
        <w:t>:</w:t>
      </w:r>
      <w:bookmarkEnd w:id="2"/>
    </w:p>
    <w:p w:rsidR="00907055" w:rsidRPr="00383B11" w:rsidRDefault="00383B11" w:rsidP="00AA224B">
      <w:pPr>
        <w:pStyle w:val="ONUME"/>
        <w:keepNext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383B11">
        <w:rPr>
          <w:lang w:val="ru-RU"/>
        </w:rPr>
        <w:t>«</w:t>
      </w:r>
      <w:r w:rsidR="00907055" w:rsidRPr="00383B11">
        <w:rPr>
          <w:lang w:val="ru-RU"/>
        </w:rPr>
        <w:t>110.</w:t>
      </w:r>
      <w:r w:rsidR="00907055" w:rsidRPr="00383B11">
        <w:rPr>
          <w:lang w:val="ru-RU"/>
        </w:rPr>
        <w:tab/>
      </w:r>
      <w:r w:rsidRPr="00383B11">
        <w:rPr>
          <w:lang w:val="ru-RU"/>
        </w:rPr>
        <w:t>Обсуждения проходили на основе документа PCT/WG/9/16</w:t>
      </w:r>
      <w:r>
        <w:rPr>
          <w:lang w:val="ru-RU"/>
        </w:rPr>
        <w:t>.</w:t>
      </w:r>
    </w:p>
    <w:p w:rsidR="00383B11" w:rsidRPr="00383B11" w:rsidRDefault="00907055" w:rsidP="00383B11">
      <w:pPr>
        <w:pStyle w:val="ONUME"/>
        <w:keepLines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383B11">
        <w:rPr>
          <w:lang w:val="ru-RU"/>
        </w:rPr>
        <w:t>111.</w:t>
      </w:r>
      <w:r w:rsidRPr="00383B11">
        <w:rPr>
          <w:lang w:val="ru-RU"/>
        </w:rPr>
        <w:tab/>
      </w:r>
      <w:r w:rsidR="00383B11" w:rsidRPr="00383B11">
        <w:rPr>
          <w:lang w:val="ru-RU"/>
        </w:rPr>
        <w:t>Несколько делегаций, представляющих ведомства, действующие в качестве международных поисковых органов, заявили, что содержание и качество рефератов и выбор прилагаемого чертежа являются в конечном итоге обязанностью международного поискового органа, и именно эти органы должны обеспечить, чтобы были соблюдены соответствующие стандарты, и по возможности выбирать чертежи, в подписях к которым не содержится слишком большой объем текста.</w:t>
      </w:r>
    </w:p>
    <w:p w:rsidR="00907055" w:rsidRPr="00383B11" w:rsidRDefault="00907055" w:rsidP="00907055">
      <w:pPr>
        <w:pStyle w:val="ONUME"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383B11">
        <w:rPr>
          <w:lang w:val="ru-RU"/>
        </w:rPr>
        <w:t>112.</w:t>
      </w:r>
      <w:r w:rsidRPr="00383B11">
        <w:rPr>
          <w:lang w:val="ru-RU"/>
        </w:rPr>
        <w:tab/>
      </w:r>
      <w:r w:rsidR="00383B11" w:rsidRPr="00383B11">
        <w:rPr>
          <w:lang w:val="ru-RU"/>
        </w:rPr>
        <w:t>Несколько делегаций подтвердили, что заявители и ведомства сталкиваются со значительными трудностями при определении того, насколько длина текста рефератов на других языках, кроме английского, отвечает положениям правила 8.1(b), и высказали предположение, что разработка более четких рекомендаций будет полезной.  Одна из делегаций подчеркнула, что никаких прямых доказательств существования связи между количеством слов в реферате и высоким качеством не существует и что следует учитывать различия в знаках и символах, используемых в разных языках.  Делегации отметили, что не следует забывать о том, что формулировка «от 50 до 150 слов» является лишь рекомендацией и в некоторых случаях более короткие или более длинные рефераты являются уместными и высококачественными.  С другой стороны, одна из делегаций предложила, чтобы получающие ведомства применяли строгие ограничения и требовали от заявителей исправлять рефераты, объем текста в которых не соответствует установленному для каждого языка объему.  Вместе с тем другая делегация заявила, что применение такого ограничительного подхода является нежелательным.</w:t>
      </w:r>
      <w:r w:rsidR="00383B11">
        <w:rPr>
          <w:lang w:val="ru-RU"/>
        </w:rPr>
        <w:t xml:space="preserve"> </w:t>
      </w:r>
    </w:p>
    <w:p w:rsidR="00907055" w:rsidRPr="00383B11" w:rsidRDefault="00907055" w:rsidP="00907055">
      <w:pPr>
        <w:pStyle w:val="ONUME"/>
        <w:keepLines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383B11">
        <w:rPr>
          <w:lang w:val="ru-RU"/>
        </w:rPr>
        <w:t>113.</w:t>
      </w:r>
      <w:r w:rsidRPr="00383B11">
        <w:rPr>
          <w:lang w:val="ru-RU"/>
        </w:rPr>
        <w:tab/>
      </w:r>
      <w:r w:rsidR="00383B11" w:rsidRPr="00383B11">
        <w:rPr>
          <w:lang w:val="ru-RU"/>
        </w:rPr>
        <w:t>Многие делегации отметили, что методы поиска значительно изменились с тех пор, когда было составлено правило 8.  Несколько делегаций указали, что их ведомства в основном осуществляют поиск по всему тексту, используя функцию выделения текста и машинного перевода, и лишь в ограниченном числе случаев используют рефераты, подготовленные для целей поиска.  В то же время другие ведомства и некоторые пользователи патентной информации при осуществлении поиска широко используют рефераты, так как механизмы поиска, имеющиеся в свободном доступе для многих пользователей, являются менее совершенными, чем механизмы поиска, используемые экспертами поисковых органов или другими специалистами, занимающимися поиском.  Поэтому важно понимать потребности всех пользователей рефератов и прилагаемых чертежей при определении их надлежащего содержания и качества.</w:t>
      </w:r>
    </w:p>
    <w:p w:rsidR="00907055" w:rsidRPr="00383B11" w:rsidRDefault="00907055" w:rsidP="00907055">
      <w:pPr>
        <w:pStyle w:val="ONUME"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383B11">
        <w:rPr>
          <w:lang w:val="ru-RU"/>
        </w:rPr>
        <w:t>114.</w:t>
      </w:r>
      <w:r w:rsidRPr="00383B11">
        <w:rPr>
          <w:lang w:val="ru-RU"/>
        </w:rPr>
        <w:tab/>
      </w:r>
      <w:r w:rsidR="00383B11" w:rsidRPr="00383B11">
        <w:rPr>
          <w:lang w:val="ru-RU"/>
        </w:rPr>
        <w:t>Одна из делегаций высказала предположение, что в некоторых случаях возможен менее строгий подход к переводу подписей к чертежам.  Например, в настоящее время заявки, поданные на немецком языке, иногда включают чертежи с подписями на английском языке, которые получающие ведомства требуют заменить подписями, переведенными на немецкий язык, а Международное бюро затем переводит один из чертежей обратно на английский язык.  Возможно, в некоторых случаях целесообразно, чтобы в подписях к чертежам использовались технические термины на английском языке, независимо от языка заявки.</w:t>
      </w:r>
    </w:p>
    <w:p w:rsidR="00907055" w:rsidRPr="00383B11" w:rsidRDefault="00907055" w:rsidP="00907055">
      <w:pPr>
        <w:pStyle w:val="ONUME"/>
        <w:numPr>
          <w:ilvl w:val="0"/>
          <w:numId w:val="0"/>
        </w:numPr>
        <w:tabs>
          <w:tab w:val="left" w:pos="567"/>
        </w:tabs>
        <w:ind w:left="567"/>
        <w:rPr>
          <w:lang w:val="ru-RU"/>
        </w:rPr>
      </w:pPr>
      <w:r w:rsidRPr="00383B11">
        <w:rPr>
          <w:lang w:val="ru-RU"/>
        </w:rPr>
        <w:t>115.</w:t>
      </w:r>
      <w:r w:rsidRPr="00383B11">
        <w:rPr>
          <w:lang w:val="ru-RU"/>
        </w:rPr>
        <w:tab/>
      </w:r>
      <w:r w:rsidR="00383B11" w:rsidRPr="00383B11">
        <w:rPr>
          <w:lang w:val="ru-RU"/>
        </w:rPr>
        <w:t>Отвечая на вопрос одной из делегаций, Международное бюро подтвердило, что подписи к чертежам, прилагаемым к реферату, в настоящее время имеют формат изображения, который невозможно использовать для целей поиска как на языке оригинала, так на языке перевода.</w:t>
      </w:r>
    </w:p>
    <w:p w:rsidR="00907055" w:rsidRPr="00383B11" w:rsidRDefault="00907055" w:rsidP="00907055">
      <w:pPr>
        <w:pStyle w:val="ONUME"/>
        <w:numPr>
          <w:ilvl w:val="0"/>
          <w:numId w:val="0"/>
        </w:numPr>
        <w:tabs>
          <w:tab w:val="left" w:pos="567"/>
        </w:tabs>
        <w:ind w:left="1134"/>
        <w:rPr>
          <w:lang w:val="ru-RU"/>
        </w:rPr>
      </w:pPr>
      <w:r w:rsidRPr="00383B11">
        <w:rPr>
          <w:lang w:val="ru-RU"/>
        </w:rPr>
        <w:t>116.</w:t>
      </w:r>
      <w:r w:rsidRPr="00383B11">
        <w:rPr>
          <w:lang w:val="ru-RU"/>
        </w:rPr>
        <w:tab/>
      </w:r>
      <w:r w:rsidR="00383B11" w:rsidRPr="00383B11">
        <w:rPr>
          <w:lang w:val="ru-RU"/>
        </w:rPr>
        <w:t>Рабочая группа приняла решение о том, что Международное бюро должно будет разослать циркулярное письмо с предложением представить более подробные комментарии по вопросам, поднятым в пункте 23 документа PCT/WG/9/16, в особенности комментари</w:t>
      </w:r>
      <w:r w:rsidR="00CB31AC">
        <w:rPr>
          <w:lang w:val="ru-RU"/>
        </w:rPr>
        <w:t>и</w:t>
      </w:r>
      <w:r w:rsidR="00383B11" w:rsidRPr="00383B11">
        <w:rPr>
          <w:lang w:val="ru-RU"/>
        </w:rPr>
        <w:t xml:space="preserve"> указанных ведомств и представителей заявителей и пользователей патентной информации, что послужит справочной информацией для обсуждения в ходе следующей сессии </w:t>
      </w:r>
      <w:r w:rsidR="00383B11">
        <w:rPr>
          <w:lang w:val="ru-RU"/>
        </w:rPr>
        <w:t>Заседания международных органов».</w:t>
      </w:r>
    </w:p>
    <w:p w:rsidR="00907055" w:rsidRDefault="00383B11" w:rsidP="002D0597">
      <w:pPr>
        <w:pStyle w:val="Heading1"/>
        <w:keepNext w:val="0"/>
      </w:pPr>
      <w:r w:rsidRPr="00383B11">
        <w:rPr>
          <w:lang w:val="ru-RU"/>
        </w:rPr>
        <w:t>ЦИРКУЛЯРНОЕ ПИСЬМО</w:t>
      </w:r>
      <w:r w:rsidR="00DE3F63">
        <w:t xml:space="preserve"> </w:t>
      </w:r>
      <w:r w:rsidR="00907055">
        <w:t>C. PCT 1486</w:t>
      </w:r>
    </w:p>
    <w:p w:rsidR="00907055" w:rsidRPr="00DE3F63" w:rsidRDefault="00BA180C" w:rsidP="002D0597">
      <w:pPr>
        <w:pStyle w:val="ONUME"/>
        <w:keepLines/>
        <w:rPr>
          <w:lang w:val="ru-RU"/>
        </w:rPr>
      </w:pPr>
      <w:r>
        <w:rPr>
          <w:lang w:val="ru-RU"/>
        </w:rPr>
        <w:t>В</w:t>
      </w:r>
      <w:r w:rsidRPr="00DE3F63">
        <w:rPr>
          <w:lang w:val="ru-RU"/>
        </w:rPr>
        <w:t xml:space="preserve"> </w:t>
      </w:r>
      <w:r>
        <w:rPr>
          <w:lang w:val="ru-RU"/>
        </w:rPr>
        <w:t>распространенном</w:t>
      </w:r>
      <w:r w:rsidRPr="00DE3F63">
        <w:rPr>
          <w:lang w:val="ru-RU"/>
        </w:rPr>
        <w:t xml:space="preserve"> </w:t>
      </w:r>
      <w:r>
        <w:rPr>
          <w:lang w:val="ru-RU"/>
        </w:rPr>
        <w:t>с</w:t>
      </w:r>
      <w:r w:rsidRPr="00DE3F63">
        <w:rPr>
          <w:lang w:val="ru-RU"/>
        </w:rPr>
        <w:t xml:space="preserve"> </w:t>
      </w:r>
      <w:r>
        <w:rPr>
          <w:lang w:val="ru-RU"/>
        </w:rPr>
        <w:t>учетом</w:t>
      </w:r>
      <w:r w:rsidRPr="00DE3F63">
        <w:rPr>
          <w:lang w:val="ru-RU"/>
        </w:rPr>
        <w:t xml:space="preserve"> </w:t>
      </w:r>
      <w:r>
        <w:rPr>
          <w:lang w:val="ru-RU"/>
        </w:rPr>
        <w:t>упомянутого</w:t>
      </w:r>
      <w:r w:rsidRPr="00DE3F63">
        <w:rPr>
          <w:lang w:val="ru-RU"/>
        </w:rPr>
        <w:t xml:space="preserve"> </w:t>
      </w:r>
      <w:r>
        <w:rPr>
          <w:lang w:val="ru-RU"/>
        </w:rPr>
        <w:t>выше</w:t>
      </w:r>
      <w:r w:rsidRPr="00DE3F6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DE3F63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DE3F63">
        <w:rPr>
          <w:lang w:val="ru-RU"/>
        </w:rPr>
        <w:t xml:space="preserve"> </w:t>
      </w:r>
      <w:r>
        <w:rPr>
          <w:lang w:val="ru-RU"/>
        </w:rPr>
        <w:t>письме</w:t>
      </w:r>
      <w:r w:rsidRPr="00DE3F63">
        <w:rPr>
          <w:lang w:val="ru-RU"/>
        </w:rPr>
        <w:t xml:space="preserve"> </w:t>
      </w:r>
      <w:r w:rsidR="00907055">
        <w:t>C</w:t>
      </w:r>
      <w:r w:rsidR="00907055" w:rsidRPr="00DE3F63">
        <w:rPr>
          <w:lang w:val="ru-RU"/>
        </w:rPr>
        <w:t xml:space="preserve">. </w:t>
      </w:r>
      <w:r w:rsidR="00907055">
        <w:t>PCT </w:t>
      </w:r>
      <w:r w:rsidR="00907055" w:rsidRPr="00DE3F63">
        <w:rPr>
          <w:lang w:val="ru-RU"/>
        </w:rPr>
        <w:t>1486</w:t>
      </w:r>
      <w:r w:rsidRPr="00DE3F63">
        <w:rPr>
          <w:lang w:val="ru-RU"/>
        </w:rPr>
        <w:t xml:space="preserve"> </w:t>
      </w:r>
      <w:r>
        <w:rPr>
          <w:lang w:val="ru-RU"/>
        </w:rPr>
        <w:t>была</w:t>
      </w:r>
      <w:r w:rsidRPr="00DE3F63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DE3F63">
        <w:rPr>
          <w:lang w:val="ru-RU"/>
        </w:rPr>
        <w:t xml:space="preserve"> </w:t>
      </w:r>
      <w:r>
        <w:rPr>
          <w:lang w:val="ru-RU"/>
        </w:rPr>
        <w:t>дополнительная</w:t>
      </w:r>
      <w:r w:rsidRPr="00DE3F63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E3F63">
        <w:rPr>
          <w:lang w:val="ru-RU"/>
        </w:rPr>
        <w:t xml:space="preserve"> </w:t>
      </w:r>
      <w:r>
        <w:rPr>
          <w:lang w:val="ru-RU"/>
        </w:rPr>
        <w:t>о</w:t>
      </w:r>
      <w:r w:rsidRPr="00DE3F63">
        <w:rPr>
          <w:lang w:val="ru-RU"/>
        </w:rPr>
        <w:t xml:space="preserve"> </w:t>
      </w:r>
      <w:r>
        <w:rPr>
          <w:lang w:val="ru-RU"/>
        </w:rPr>
        <w:t>том</w:t>
      </w:r>
      <w:r w:rsidRPr="00DE3F63">
        <w:rPr>
          <w:lang w:val="ru-RU"/>
        </w:rPr>
        <w:t xml:space="preserve">, </w:t>
      </w:r>
      <w:r>
        <w:rPr>
          <w:lang w:val="ru-RU"/>
        </w:rPr>
        <w:t>в</w:t>
      </w:r>
      <w:r w:rsidRPr="00DE3F63">
        <w:rPr>
          <w:lang w:val="ru-RU"/>
        </w:rPr>
        <w:t xml:space="preserve"> </w:t>
      </w:r>
      <w:r>
        <w:rPr>
          <w:lang w:val="ru-RU"/>
        </w:rPr>
        <w:t>какой</w:t>
      </w:r>
      <w:r w:rsidRPr="00DE3F63">
        <w:rPr>
          <w:lang w:val="ru-RU"/>
        </w:rPr>
        <w:t xml:space="preserve"> </w:t>
      </w:r>
      <w:r>
        <w:rPr>
          <w:lang w:val="ru-RU"/>
        </w:rPr>
        <w:t>степени</w:t>
      </w:r>
      <w:r w:rsidRPr="00DE3F63">
        <w:rPr>
          <w:lang w:val="ru-RU"/>
        </w:rPr>
        <w:t xml:space="preserve"> </w:t>
      </w:r>
      <w:r>
        <w:rPr>
          <w:lang w:val="ru-RU"/>
        </w:rPr>
        <w:t>рефераты</w:t>
      </w:r>
      <w:r w:rsidRPr="00DE3F63">
        <w:rPr>
          <w:lang w:val="ru-RU"/>
        </w:rPr>
        <w:t xml:space="preserve"> </w:t>
      </w:r>
      <w:r>
        <w:rPr>
          <w:lang w:val="ru-RU"/>
        </w:rPr>
        <w:t>и</w:t>
      </w:r>
      <w:r w:rsidRPr="00DE3F63">
        <w:rPr>
          <w:lang w:val="ru-RU"/>
        </w:rPr>
        <w:t xml:space="preserve"> </w:t>
      </w:r>
      <w:r>
        <w:rPr>
          <w:lang w:val="ru-RU"/>
        </w:rPr>
        <w:t>чертежи</w:t>
      </w:r>
      <w:r w:rsidRPr="00DE3F63">
        <w:rPr>
          <w:lang w:val="ru-RU"/>
        </w:rPr>
        <w:t xml:space="preserve"> </w:t>
      </w:r>
      <w:r>
        <w:rPr>
          <w:lang w:val="ru-RU"/>
        </w:rPr>
        <w:t>выходят</w:t>
      </w:r>
      <w:r w:rsidRPr="00DE3F63">
        <w:rPr>
          <w:lang w:val="ru-RU"/>
        </w:rPr>
        <w:t xml:space="preserve"> </w:t>
      </w:r>
      <w:r>
        <w:rPr>
          <w:lang w:val="ru-RU"/>
        </w:rPr>
        <w:t>за</w:t>
      </w:r>
      <w:r w:rsidRPr="00DE3F63">
        <w:rPr>
          <w:lang w:val="ru-RU"/>
        </w:rPr>
        <w:t xml:space="preserve"> </w:t>
      </w:r>
      <w:r>
        <w:rPr>
          <w:lang w:val="ru-RU"/>
        </w:rPr>
        <w:t>рамки</w:t>
      </w:r>
      <w:r w:rsidRPr="00DE3F63">
        <w:rPr>
          <w:lang w:val="ru-RU"/>
        </w:rPr>
        <w:t xml:space="preserve"> </w:t>
      </w:r>
      <w:r>
        <w:rPr>
          <w:lang w:val="ru-RU"/>
        </w:rPr>
        <w:t>рекомендованных</w:t>
      </w:r>
      <w:r w:rsidRPr="00DE3F63">
        <w:rPr>
          <w:lang w:val="ru-RU"/>
        </w:rPr>
        <w:t xml:space="preserve"> </w:t>
      </w:r>
      <w:r>
        <w:rPr>
          <w:lang w:val="ru-RU"/>
        </w:rPr>
        <w:t>размеров</w:t>
      </w:r>
      <w:r w:rsidRPr="00DE3F63">
        <w:rPr>
          <w:lang w:val="ru-RU"/>
        </w:rPr>
        <w:t xml:space="preserve"> </w:t>
      </w:r>
      <w:r>
        <w:rPr>
          <w:lang w:val="ru-RU"/>
        </w:rPr>
        <w:t>и</w:t>
      </w:r>
      <w:r w:rsidRPr="00DE3F63">
        <w:rPr>
          <w:lang w:val="ru-RU"/>
        </w:rPr>
        <w:t xml:space="preserve"> </w:t>
      </w:r>
      <w:r>
        <w:rPr>
          <w:lang w:val="ru-RU"/>
        </w:rPr>
        <w:t>каким</w:t>
      </w:r>
      <w:r w:rsidRPr="00DE3F63">
        <w:rPr>
          <w:lang w:val="ru-RU"/>
        </w:rPr>
        <w:t xml:space="preserve"> </w:t>
      </w:r>
      <w:r>
        <w:rPr>
          <w:lang w:val="ru-RU"/>
        </w:rPr>
        <w:t>образом</w:t>
      </w:r>
      <w:r w:rsidRPr="00DE3F63">
        <w:rPr>
          <w:lang w:val="ru-RU"/>
        </w:rPr>
        <w:t xml:space="preserve"> </w:t>
      </w:r>
      <w:r>
        <w:rPr>
          <w:lang w:val="ru-RU"/>
        </w:rPr>
        <w:t>данные</w:t>
      </w:r>
      <w:r w:rsidRPr="00DE3F63">
        <w:rPr>
          <w:lang w:val="ru-RU"/>
        </w:rPr>
        <w:t xml:space="preserve"> </w:t>
      </w:r>
      <w:r>
        <w:rPr>
          <w:lang w:val="ru-RU"/>
        </w:rPr>
        <w:t>о</w:t>
      </w:r>
      <w:r w:rsidRPr="00DE3F63">
        <w:rPr>
          <w:lang w:val="ru-RU"/>
        </w:rPr>
        <w:t xml:space="preserve"> </w:t>
      </w:r>
      <w:r>
        <w:rPr>
          <w:lang w:val="ru-RU"/>
        </w:rPr>
        <w:t>количестве</w:t>
      </w:r>
      <w:r w:rsidRPr="00DE3F63">
        <w:rPr>
          <w:lang w:val="ru-RU"/>
        </w:rPr>
        <w:t xml:space="preserve"> </w:t>
      </w:r>
      <w:r>
        <w:rPr>
          <w:lang w:val="ru-RU"/>
        </w:rPr>
        <w:t>слов</w:t>
      </w:r>
      <w:r w:rsidRPr="00DE3F63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DE3F63">
        <w:rPr>
          <w:lang w:val="ru-RU"/>
        </w:rPr>
        <w:t xml:space="preserve"> </w:t>
      </w:r>
      <w:r>
        <w:rPr>
          <w:lang w:val="ru-RU"/>
        </w:rPr>
        <w:t>по</w:t>
      </w:r>
      <w:r w:rsidRPr="00DE3F63">
        <w:rPr>
          <w:lang w:val="ru-RU"/>
        </w:rPr>
        <w:t xml:space="preserve"> </w:t>
      </w:r>
      <w:r>
        <w:rPr>
          <w:lang w:val="ru-RU"/>
        </w:rPr>
        <w:t>тематике</w:t>
      </w:r>
      <w:r w:rsidRPr="00DE3F63">
        <w:rPr>
          <w:lang w:val="ru-RU"/>
        </w:rPr>
        <w:t xml:space="preserve">, </w:t>
      </w:r>
      <w:r>
        <w:rPr>
          <w:lang w:val="ru-RU"/>
        </w:rPr>
        <w:t>языкам</w:t>
      </w:r>
      <w:r w:rsidRPr="00DE3F63">
        <w:rPr>
          <w:lang w:val="ru-RU"/>
        </w:rPr>
        <w:t xml:space="preserve">, </w:t>
      </w:r>
      <w:r>
        <w:rPr>
          <w:lang w:val="ru-RU"/>
        </w:rPr>
        <w:t>получающим</w:t>
      </w:r>
      <w:r w:rsidRPr="00DE3F63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DE3F63">
        <w:rPr>
          <w:lang w:val="ru-RU"/>
        </w:rPr>
        <w:t xml:space="preserve"> </w:t>
      </w:r>
      <w:r>
        <w:rPr>
          <w:lang w:val="ru-RU"/>
        </w:rPr>
        <w:t>и</w:t>
      </w:r>
      <w:r w:rsidRPr="00DE3F63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DE3F63">
        <w:rPr>
          <w:lang w:val="ru-RU"/>
        </w:rPr>
        <w:t xml:space="preserve"> </w:t>
      </w:r>
      <w:r>
        <w:rPr>
          <w:lang w:val="ru-RU"/>
        </w:rPr>
        <w:t>поисковым</w:t>
      </w:r>
      <w:r w:rsidRPr="00DE3F63">
        <w:rPr>
          <w:lang w:val="ru-RU"/>
        </w:rPr>
        <w:t xml:space="preserve"> </w:t>
      </w:r>
      <w:r>
        <w:rPr>
          <w:lang w:val="ru-RU"/>
        </w:rPr>
        <w:t>органам</w:t>
      </w:r>
      <w:r w:rsidRPr="00DE3F63">
        <w:rPr>
          <w:lang w:val="ru-RU"/>
        </w:rPr>
        <w:t xml:space="preserve">.  </w:t>
      </w:r>
      <w:r>
        <w:rPr>
          <w:lang w:val="ru-RU"/>
        </w:rPr>
        <w:t>В</w:t>
      </w:r>
      <w:r w:rsidRPr="00BA180C">
        <w:rPr>
          <w:lang w:val="ru-RU"/>
        </w:rPr>
        <w:t xml:space="preserve"> </w:t>
      </w:r>
      <w:r>
        <w:rPr>
          <w:lang w:val="ru-RU"/>
        </w:rPr>
        <w:t>указанном</w:t>
      </w:r>
      <w:r w:rsidRPr="00BA180C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BA180C">
        <w:rPr>
          <w:lang w:val="ru-RU"/>
        </w:rPr>
        <w:t xml:space="preserve"> </w:t>
      </w:r>
      <w:r>
        <w:rPr>
          <w:lang w:val="ru-RU"/>
        </w:rPr>
        <w:t>письме</w:t>
      </w:r>
      <w:r w:rsidRPr="00BA180C">
        <w:rPr>
          <w:lang w:val="ru-RU"/>
        </w:rPr>
        <w:t xml:space="preserve"> </w:t>
      </w:r>
      <w:r>
        <w:rPr>
          <w:lang w:val="ru-RU"/>
        </w:rPr>
        <w:t>ведомствам</w:t>
      </w:r>
      <w:r w:rsidRPr="00BA180C">
        <w:rPr>
          <w:lang w:val="ru-RU"/>
        </w:rPr>
        <w:t xml:space="preserve"> </w:t>
      </w:r>
      <w:r>
        <w:rPr>
          <w:lang w:val="ru-RU"/>
        </w:rPr>
        <w:t>и</w:t>
      </w:r>
      <w:r w:rsidRPr="00BA180C">
        <w:rPr>
          <w:lang w:val="ru-RU"/>
        </w:rPr>
        <w:t xml:space="preserve"> </w:t>
      </w:r>
      <w:r>
        <w:rPr>
          <w:lang w:val="ru-RU"/>
        </w:rPr>
        <w:t>пользователям</w:t>
      </w:r>
      <w:r w:rsidRPr="00BA180C">
        <w:rPr>
          <w:lang w:val="ru-RU"/>
        </w:rPr>
        <w:t xml:space="preserve"> </w:t>
      </w:r>
      <w:r>
        <w:rPr>
          <w:lang w:val="ru-RU"/>
        </w:rPr>
        <w:t>патентной</w:t>
      </w:r>
      <w:r w:rsidRPr="00BA180C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A180C">
        <w:rPr>
          <w:lang w:val="ru-RU"/>
        </w:rPr>
        <w:t xml:space="preserve"> </w:t>
      </w:r>
      <w:r>
        <w:rPr>
          <w:lang w:val="ru-RU"/>
        </w:rPr>
        <w:t>было</w:t>
      </w:r>
      <w:r w:rsidRPr="00BA180C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BA180C">
        <w:rPr>
          <w:lang w:val="ru-RU"/>
        </w:rPr>
        <w:t xml:space="preserve"> </w:t>
      </w:r>
      <w:r>
        <w:rPr>
          <w:lang w:val="ru-RU"/>
        </w:rPr>
        <w:t>представить</w:t>
      </w:r>
      <w:r w:rsidRPr="00BA180C">
        <w:rPr>
          <w:lang w:val="ru-RU"/>
        </w:rPr>
        <w:t xml:space="preserve"> </w:t>
      </w:r>
      <w:r>
        <w:rPr>
          <w:lang w:val="ru-RU"/>
        </w:rPr>
        <w:t xml:space="preserve">информацию о рефератах и о том, как они используются в настоящее время. </w:t>
      </w:r>
      <w:r w:rsidRPr="00BA180C">
        <w:rPr>
          <w:lang w:val="ru-RU"/>
        </w:rPr>
        <w:t xml:space="preserve">  </w:t>
      </w:r>
      <w:r w:rsidR="0009288D" w:rsidRPr="00BA180C">
        <w:rPr>
          <w:lang w:val="ru-RU"/>
        </w:rPr>
        <w:t xml:space="preserve"> </w:t>
      </w:r>
    </w:p>
    <w:p w:rsidR="00907055" w:rsidRPr="005E3979" w:rsidRDefault="00BA180C" w:rsidP="0009288D">
      <w:pPr>
        <w:pStyle w:val="ONUME"/>
        <w:keepNext/>
        <w:rPr>
          <w:lang w:val="ru-RU"/>
        </w:rPr>
      </w:pPr>
      <w:r>
        <w:rPr>
          <w:lang w:val="ru-RU"/>
        </w:rPr>
        <w:t xml:space="preserve">Ответы представили 26 национальных и региональных ведомств.  </w:t>
      </w:r>
      <w:r w:rsidR="005E3979">
        <w:rPr>
          <w:lang w:val="ru-RU"/>
        </w:rPr>
        <w:t>Ниже изложены основные тезисы полученных ответов:</w:t>
      </w:r>
    </w:p>
    <w:p w:rsidR="00DE3F63" w:rsidRPr="00DE3F63" w:rsidRDefault="00945559" w:rsidP="00DE3F6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рефераты</w:t>
      </w:r>
      <w:r w:rsidR="00DE3F63" w:rsidRPr="00DE3F63">
        <w:rPr>
          <w:lang w:val="ru-RU"/>
        </w:rPr>
        <w:t xml:space="preserve"> по-разному</w:t>
      </w:r>
      <w:r>
        <w:rPr>
          <w:lang w:val="ru-RU"/>
        </w:rPr>
        <w:t xml:space="preserve"> используются в ведомствах, причем</w:t>
      </w:r>
      <w:r w:rsidR="00DE3F63" w:rsidRPr="00DE3F63">
        <w:rPr>
          <w:lang w:val="ru-RU"/>
        </w:rPr>
        <w:t xml:space="preserve"> в некоторых случаях </w:t>
      </w:r>
      <w:r w:rsidR="0015574A">
        <w:rPr>
          <w:lang w:val="ru-RU"/>
        </w:rPr>
        <w:t xml:space="preserve">несколькими </w:t>
      </w:r>
      <w:r>
        <w:rPr>
          <w:lang w:val="ru-RU"/>
        </w:rPr>
        <w:t>неодинаковыми</w:t>
      </w:r>
      <w:r w:rsidR="00DE3F63" w:rsidRPr="00DE3F63">
        <w:rPr>
          <w:lang w:val="ru-RU"/>
        </w:rPr>
        <w:t xml:space="preserve"> способ</w:t>
      </w:r>
      <w:r>
        <w:rPr>
          <w:lang w:val="ru-RU"/>
        </w:rPr>
        <w:t>ами в различных</w:t>
      </w:r>
      <w:r w:rsidR="00DE3F63" w:rsidRPr="00DE3F63">
        <w:rPr>
          <w:lang w:val="ru-RU"/>
        </w:rPr>
        <w:t xml:space="preserve"> </w:t>
      </w:r>
      <w:r>
        <w:rPr>
          <w:lang w:val="ru-RU"/>
        </w:rPr>
        <w:t>целях в рамках одного и того же ведомства.  Эксперты</w:t>
      </w:r>
      <w:r w:rsidR="00DE3F63" w:rsidRPr="00DE3F63">
        <w:rPr>
          <w:lang w:val="ru-RU"/>
        </w:rPr>
        <w:t xml:space="preserve"> все </w:t>
      </w:r>
      <w:r>
        <w:rPr>
          <w:lang w:val="ru-RU"/>
        </w:rPr>
        <w:t>шире</w:t>
      </w:r>
      <w:r w:rsidR="00DE3F63" w:rsidRPr="00DE3F63">
        <w:rPr>
          <w:lang w:val="ru-RU"/>
        </w:rPr>
        <w:t xml:space="preserve"> используют для большинства поисковых запросов</w:t>
      </w:r>
      <w:r w:rsidRPr="00945559">
        <w:rPr>
          <w:lang w:val="ru-RU"/>
        </w:rPr>
        <w:t xml:space="preserve"> </w:t>
      </w:r>
      <w:r w:rsidRPr="00DE3F63">
        <w:rPr>
          <w:lang w:val="ru-RU"/>
        </w:rPr>
        <w:t>полный текст</w:t>
      </w:r>
      <w:r w:rsidR="00DE3F63" w:rsidRPr="00DE3F63">
        <w:rPr>
          <w:lang w:val="ru-RU"/>
        </w:rPr>
        <w:t xml:space="preserve">, а также </w:t>
      </w:r>
      <w:r>
        <w:rPr>
          <w:lang w:val="ru-RU"/>
        </w:rPr>
        <w:t>пользуются рефератами, составленными на коммерческой основе,</w:t>
      </w:r>
      <w:r w:rsidR="00DE3F63" w:rsidRPr="00DE3F63">
        <w:rPr>
          <w:lang w:val="ru-RU"/>
        </w:rPr>
        <w:t xml:space="preserve"> но </w:t>
      </w:r>
      <w:r>
        <w:rPr>
          <w:lang w:val="ru-RU"/>
        </w:rPr>
        <w:t xml:space="preserve">первоначальный реферат </w:t>
      </w:r>
      <w:r w:rsidR="00E611F5">
        <w:rPr>
          <w:lang w:val="ru-RU"/>
        </w:rPr>
        <w:t xml:space="preserve">по-прежнему </w:t>
      </w:r>
      <w:r w:rsidR="006A659C">
        <w:rPr>
          <w:lang w:val="ru-RU"/>
        </w:rPr>
        <w:t>сохраняет свое значение</w:t>
      </w:r>
      <w:r w:rsidR="00DE3F63" w:rsidRPr="00DE3F63">
        <w:rPr>
          <w:lang w:val="ru-RU"/>
        </w:rPr>
        <w:t xml:space="preserve"> для </w:t>
      </w:r>
      <w:r w:rsidR="006A659C">
        <w:rPr>
          <w:lang w:val="ru-RU"/>
        </w:rPr>
        <w:t xml:space="preserve">некоторых категорий </w:t>
      </w:r>
      <w:r w:rsidR="00DE3F63" w:rsidRPr="00DE3F63">
        <w:rPr>
          <w:lang w:val="ru-RU"/>
        </w:rPr>
        <w:t>поиск</w:t>
      </w:r>
      <w:r w:rsidR="006A659C">
        <w:rPr>
          <w:lang w:val="ru-RU"/>
        </w:rPr>
        <w:t>а</w:t>
      </w:r>
      <w:r w:rsidR="00DE3F63" w:rsidRPr="00DE3F63">
        <w:rPr>
          <w:lang w:val="ru-RU"/>
        </w:rPr>
        <w:t xml:space="preserve"> и для эффективного </w:t>
      </w:r>
      <w:r w:rsidR="00E611F5">
        <w:rPr>
          <w:lang w:val="ru-RU"/>
        </w:rPr>
        <w:t>просмотра</w:t>
      </w:r>
      <w:r w:rsidR="00DE3F63" w:rsidRPr="00DE3F63">
        <w:rPr>
          <w:lang w:val="ru-RU"/>
        </w:rPr>
        <w:t xml:space="preserve"> результатов, чтобы </w:t>
      </w:r>
      <w:r w:rsidR="00E611F5">
        <w:rPr>
          <w:lang w:val="ru-RU"/>
        </w:rPr>
        <w:t>решить</w:t>
      </w:r>
      <w:r w:rsidR="00DE3F63" w:rsidRPr="00DE3F63">
        <w:rPr>
          <w:lang w:val="ru-RU"/>
        </w:rPr>
        <w:t xml:space="preserve">, какие публикации следует </w:t>
      </w:r>
      <w:r w:rsidR="00E611F5">
        <w:rPr>
          <w:lang w:val="ru-RU"/>
        </w:rPr>
        <w:t>изучить</w:t>
      </w:r>
      <w:r w:rsidR="00DE3F63" w:rsidRPr="00DE3F63">
        <w:rPr>
          <w:lang w:val="ru-RU"/>
        </w:rPr>
        <w:t xml:space="preserve"> более подробно</w:t>
      </w:r>
      <w:r w:rsidR="00E611F5">
        <w:rPr>
          <w:lang w:val="ru-RU"/>
        </w:rPr>
        <w:t>;</w:t>
      </w:r>
    </w:p>
    <w:p w:rsidR="00DE3F63" w:rsidRPr="00DE3F63" w:rsidRDefault="00E611F5" w:rsidP="00DE3F6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</w:t>
      </w:r>
      <w:r w:rsidR="00DE3F63" w:rsidRPr="00DE3F63">
        <w:rPr>
          <w:lang w:val="ru-RU"/>
        </w:rPr>
        <w:t xml:space="preserve">деальные требования к </w:t>
      </w:r>
      <w:r>
        <w:rPr>
          <w:lang w:val="ru-RU"/>
        </w:rPr>
        <w:t>рефератам</w:t>
      </w:r>
      <w:r w:rsidR="00DE3F63" w:rsidRPr="00DE3F63">
        <w:rPr>
          <w:lang w:val="ru-RU"/>
        </w:rPr>
        <w:t xml:space="preserve"> варьируются в зависимости от большого числа факторов, </w:t>
      </w:r>
      <w:r>
        <w:rPr>
          <w:lang w:val="ru-RU"/>
        </w:rPr>
        <w:t>в том числе таких, как</w:t>
      </w:r>
      <w:r w:rsidR="00DE3F63" w:rsidRPr="00DE3F63">
        <w:rPr>
          <w:lang w:val="ru-RU"/>
        </w:rPr>
        <w:t xml:space="preserve"> </w:t>
      </w:r>
      <w:r>
        <w:rPr>
          <w:lang w:val="ru-RU"/>
        </w:rPr>
        <w:t>объект изобретения</w:t>
      </w:r>
      <w:r w:rsidR="00DE3F63" w:rsidRPr="00DE3F63">
        <w:rPr>
          <w:lang w:val="ru-RU"/>
        </w:rPr>
        <w:t xml:space="preserve">, язык и </w:t>
      </w:r>
      <w:r w:rsidR="006A659C">
        <w:rPr>
          <w:lang w:val="ru-RU"/>
        </w:rPr>
        <w:t>аспекты</w:t>
      </w:r>
      <w:r w:rsidR="00DE3F63" w:rsidRPr="00DE3F63">
        <w:rPr>
          <w:lang w:val="ru-RU"/>
        </w:rPr>
        <w:t xml:space="preserve">, </w:t>
      </w:r>
      <w:r>
        <w:rPr>
          <w:lang w:val="ru-RU"/>
        </w:rPr>
        <w:t xml:space="preserve">специфически присущие </w:t>
      </w:r>
      <w:r w:rsidR="00DE3F63" w:rsidRPr="00DE3F63">
        <w:rPr>
          <w:lang w:val="ru-RU"/>
        </w:rPr>
        <w:t>отдельны</w:t>
      </w:r>
      <w:r>
        <w:rPr>
          <w:lang w:val="ru-RU"/>
        </w:rPr>
        <w:t>м</w:t>
      </w:r>
      <w:r w:rsidR="00DE3F63" w:rsidRPr="00DE3F63">
        <w:rPr>
          <w:lang w:val="ru-RU"/>
        </w:rPr>
        <w:t xml:space="preserve"> заявител</w:t>
      </w:r>
      <w:r>
        <w:rPr>
          <w:lang w:val="ru-RU"/>
        </w:rPr>
        <w:t>ям</w:t>
      </w:r>
      <w:r w:rsidR="00DE3F63" w:rsidRPr="00DE3F63">
        <w:rPr>
          <w:lang w:val="ru-RU"/>
        </w:rPr>
        <w:t xml:space="preserve"> или пользовател</w:t>
      </w:r>
      <w:r>
        <w:rPr>
          <w:lang w:val="ru-RU"/>
        </w:rPr>
        <w:t>ям</w:t>
      </w:r>
      <w:r w:rsidR="00DE3F63" w:rsidRPr="00DE3F63">
        <w:rPr>
          <w:lang w:val="ru-RU"/>
        </w:rPr>
        <w:t xml:space="preserve"> патентной информации</w:t>
      </w:r>
      <w:r>
        <w:rPr>
          <w:lang w:val="ru-RU"/>
        </w:rPr>
        <w:t>;</w:t>
      </w:r>
    </w:p>
    <w:p w:rsidR="00907055" w:rsidRPr="001602F6" w:rsidRDefault="00E611F5" w:rsidP="001602F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существенно расходятся и оценки доли рефератов низкого качества.  По мнению некоторых ведомств</w:t>
      </w:r>
      <w:r w:rsidR="000536F7">
        <w:rPr>
          <w:lang w:val="ru-RU"/>
        </w:rPr>
        <w:t>,</w:t>
      </w:r>
      <w:r>
        <w:rPr>
          <w:lang w:val="ru-RU"/>
        </w:rPr>
        <w:t xml:space="preserve"> подавляющее большинство рефератов составлен</w:t>
      </w:r>
      <w:r w:rsidR="00CB3D99">
        <w:rPr>
          <w:lang w:val="ru-RU"/>
        </w:rPr>
        <w:t>о</w:t>
      </w:r>
      <w:r>
        <w:rPr>
          <w:lang w:val="ru-RU"/>
        </w:rPr>
        <w:t xml:space="preserve"> должным образом.  Другие же полагают, что обычный подход</w:t>
      </w:r>
      <w:r w:rsidR="001602F6">
        <w:rPr>
          <w:lang w:val="ru-RU"/>
        </w:rPr>
        <w:t>, когда подается реферат, практически совпадающий с первым пунктом формулы изобретения, не позволяет обеспечить, чтобы «</w:t>
      </w:r>
      <w:r w:rsidR="00DE3F63" w:rsidRPr="00DE3F63">
        <w:rPr>
          <w:lang w:val="ru-RU"/>
        </w:rPr>
        <w:t>ясно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понимались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техническая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задача</w:t>
      </w:r>
      <w:r w:rsidR="00DE3F63" w:rsidRPr="001602F6">
        <w:rPr>
          <w:lang w:val="ru-RU"/>
        </w:rPr>
        <w:t xml:space="preserve">, </w:t>
      </w:r>
      <w:r w:rsidR="00DE3F63" w:rsidRPr="00DE3F63">
        <w:rPr>
          <w:lang w:val="ru-RU"/>
        </w:rPr>
        <w:t>сущность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ее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решения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посредством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изобретения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и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основное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использование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или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использования</w:t>
      </w:r>
      <w:r w:rsidR="00DE3F63" w:rsidRPr="001602F6">
        <w:rPr>
          <w:lang w:val="ru-RU"/>
        </w:rPr>
        <w:t xml:space="preserve"> </w:t>
      </w:r>
      <w:r w:rsidR="00DE3F63" w:rsidRPr="00DE3F63">
        <w:rPr>
          <w:lang w:val="ru-RU"/>
        </w:rPr>
        <w:t>изобретения</w:t>
      </w:r>
      <w:r w:rsidR="001602F6">
        <w:rPr>
          <w:lang w:val="ru-RU"/>
        </w:rPr>
        <w:t>»</w:t>
      </w:r>
      <w:r w:rsidR="00907055" w:rsidRPr="001602F6">
        <w:rPr>
          <w:lang w:val="ru-RU"/>
        </w:rPr>
        <w:t xml:space="preserve">.  </w:t>
      </w:r>
      <w:r w:rsidR="001602F6">
        <w:rPr>
          <w:lang w:val="ru-RU"/>
        </w:rPr>
        <w:t xml:space="preserve"> Ряд ведомств указывают, что профессионально составленные рефераты крайне важны для результативного поиска.  И</w:t>
      </w:r>
      <w:r w:rsidR="001602F6" w:rsidRPr="001602F6">
        <w:rPr>
          <w:lang w:val="ru-RU"/>
        </w:rPr>
        <w:t xml:space="preserve"> </w:t>
      </w:r>
      <w:r w:rsidR="001602F6">
        <w:rPr>
          <w:lang w:val="ru-RU"/>
        </w:rPr>
        <w:t>в</w:t>
      </w:r>
      <w:r w:rsidR="001602F6" w:rsidRPr="001602F6">
        <w:rPr>
          <w:lang w:val="ru-RU"/>
        </w:rPr>
        <w:t xml:space="preserve"> </w:t>
      </w:r>
      <w:r w:rsidR="001602F6">
        <w:rPr>
          <w:lang w:val="ru-RU"/>
        </w:rPr>
        <w:t>данном</w:t>
      </w:r>
      <w:r w:rsidR="001602F6" w:rsidRPr="001602F6">
        <w:rPr>
          <w:lang w:val="ru-RU"/>
        </w:rPr>
        <w:t xml:space="preserve"> </w:t>
      </w:r>
      <w:r w:rsidR="001602F6">
        <w:rPr>
          <w:lang w:val="ru-RU"/>
        </w:rPr>
        <w:t>случае некоторые ведомства не уверены в этом и сообщают, что они пока не смогли проанализировать этот вопрос;</w:t>
      </w:r>
    </w:p>
    <w:p w:rsidR="00945559" w:rsidRPr="00945559" w:rsidRDefault="001602F6" w:rsidP="0094555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м</w:t>
      </w:r>
      <w:r w:rsidR="00945559" w:rsidRPr="00945559">
        <w:rPr>
          <w:lang w:val="ru-RU"/>
        </w:rPr>
        <w:t xml:space="preserve">ногие ведомства считают, что </w:t>
      </w:r>
      <w:r>
        <w:rPr>
          <w:lang w:val="ru-RU"/>
        </w:rPr>
        <w:t xml:space="preserve">объем </w:t>
      </w:r>
      <w:r w:rsidR="00945559" w:rsidRPr="00945559">
        <w:rPr>
          <w:lang w:val="ru-RU"/>
        </w:rPr>
        <w:t xml:space="preserve">реферата является </w:t>
      </w:r>
      <w:r>
        <w:rPr>
          <w:lang w:val="ru-RU"/>
        </w:rPr>
        <w:t>немаловажным показателем, поскольку нередко очень длинные и</w:t>
      </w:r>
      <w:r w:rsidR="00C97951">
        <w:rPr>
          <w:lang w:val="ru-RU"/>
        </w:rPr>
        <w:t>ли</w:t>
      </w:r>
      <w:r>
        <w:rPr>
          <w:lang w:val="ru-RU"/>
        </w:rPr>
        <w:t xml:space="preserve"> очень короткие</w:t>
      </w:r>
      <w:r w:rsidR="00945559" w:rsidRPr="00945559">
        <w:rPr>
          <w:lang w:val="ru-RU"/>
        </w:rPr>
        <w:t xml:space="preserve"> рефераты </w:t>
      </w:r>
      <w:r w:rsidR="00C97951">
        <w:rPr>
          <w:lang w:val="ru-RU"/>
        </w:rPr>
        <w:t xml:space="preserve">по той или иной причине </w:t>
      </w:r>
      <w:r w:rsidR="00945559" w:rsidRPr="00945559">
        <w:rPr>
          <w:lang w:val="ru-RU"/>
        </w:rPr>
        <w:t xml:space="preserve"> </w:t>
      </w:r>
      <w:r w:rsidR="00C97951">
        <w:rPr>
          <w:lang w:val="ru-RU"/>
        </w:rPr>
        <w:t>не отвечают установленным критериям, но при этом, как правило, подчер</w:t>
      </w:r>
      <w:r w:rsidR="00945559" w:rsidRPr="00945559">
        <w:rPr>
          <w:lang w:val="ru-RU"/>
        </w:rPr>
        <w:t xml:space="preserve">кивается, что это </w:t>
      </w:r>
      <w:r w:rsidR="00C97951">
        <w:rPr>
          <w:lang w:val="ru-RU"/>
        </w:rPr>
        <w:t>справедливо не</w:t>
      </w:r>
      <w:r w:rsidR="00945559" w:rsidRPr="00945559">
        <w:rPr>
          <w:lang w:val="ru-RU"/>
        </w:rPr>
        <w:t xml:space="preserve"> во всех случаях и что </w:t>
      </w:r>
      <w:r w:rsidR="00C97951">
        <w:rPr>
          <w:lang w:val="ru-RU"/>
        </w:rPr>
        <w:t>объем реферата никоим образом не является мерилом</w:t>
      </w:r>
      <w:r w:rsidR="00945559" w:rsidRPr="00945559">
        <w:rPr>
          <w:lang w:val="ru-RU"/>
        </w:rPr>
        <w:t xml:space="preserve"> качества информации, </w:t>
      </w:r>
      <w:r w:rsidR="00C97951">
        <w:rPr>
          <w:lang w:val="ru-RU"/>
        </w:rPr>
        <w:t>пред</w:t>
      </w:r>
      <w:r w:rsidR="00945559" w:rsidRPr="00945559">
        <w:rPr>
          <w:lang w:val="ru-RU"/>
        </w:rPr>
        <w:t>ставляе</w:t>
      </w:r>
      <w:r w:rsidR="00C97951">
        <w:rPr>
          <w:lang w:val="ru-RU"/>
        </w:rPr>
        <w:t>мой</w:t>
      </w:r>
      <w:r w:rsidR="00945559" w:rsidRPr="00945559">
        <w:rPr>
          <w:lang w:val="ru-RU"/>
        </w:rPr>
        <w:t xml:space="preserve"> в отдельных случаях</w:t>
      </w:r>
      <w:r w:rsidR="00C97951">
        <w:rPr>
          <w:lang w:val="ru-RU"/>
        </w:rPr>
        <w:t>;</w:t>
      </w:r>
    </w:p>
    <w:p w:rsidR="00945559" w:rsidRPr="00945559" w:rsidRDefault="00C97951" w:rsidP="005D585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</w:t>
      </w:r>
      <w:r w:rsidR="00945559" w:rsidRPr="00945559">
        <w:rPr>
          <w:lang w:val="ru-RU"/>
        </w:rPr>
        <w:t>ольшое количество текста на чертежах, как правило, бесполезно</w:t>
      </w:r>
      <w:r>
        <w:rPr>
          <w:lang w:val="ru-RU"/>
        </w:rPr>
        <w:t xml:space="preserve"> и сразу видно</w:t>
      </w:r>
      <w:r w:rsidR="00945559" w:rsidRPr="00945559">
        <w:rPr>
          <w:lang w:val="ru-RU"/>
        </w:rPr>
        <w:t xml:space="preserve"> получающе</w:t>
      </w:r>
      <w:r>
        <w:rPr>
          <w:lang w:val="ru-RU"/>
        </w:rPr>
        <w:t>му</w:t>
      </w:r>
      <w:r w:rsidR="00945559" w:rsidRPr="00945559">
        <w:rPr>
          <w:lang w:val="ru-RU"/>
        </w:rPr>
        <w:t xml:space="preserve"> ведомств</w:t>
      </w:r>
      <w:r>
        <w:rPr>
          <w:lang w:val="ru-RU"/>
        </w:rPr>
        <w:t>у</w:t>
      </w:r>
      <w:r w:rsidR="00945559" w:rsidRPr="00945559">
        <w:rPr>
          <w:lang w:val="ru-RU"/>
        </w:rPr>
        <w:t>, Международно</w:t>
      </w:r>
      <w:r>
        <w:rPr>
          <w:lang w:val="ru-RU"/>
        </w:rPr>
        <w:t>му</w:t>
      </w:r>
      <w:r w:rsidR="00945559" w:rsidRPr="00945559">
        <w:rPr>
          <w:lang w:val="ru-RU"/>
        </w:rPr>
        <w:t xml:space="preserve"> бюро и </w:t>
      </w:r>
      <w:r>
        <w:rPr>
          <w:lang w:val="ru-RU"/>
        </w:rPr>
        <w:t>м</w:t>
      </w:r>
      <w:r w:rsidR="00945559" w:rsidRPr="00945559">
        <w:rPr>
          <w:lang w:val="ru-RU"/>
        </w:rPr>
        <w:t>еждународн</w:t>
      </w:r>
      <w:r>
        <w:rPr>
          <w:lang w:val="ru-RU"/>
        </w:rPr>
        <w:t xml:space="preserve">ому </w:t>
      </w:r>
      <w:r w:rsidR="00945559" w:rsidRPr="00945559">
        <w:rPr>
          <w:lang w:val="ru-RU"/>
        </w:rPr>
        <w:t>поисков</w:t>
      </w:r>
      <w:r>
        <w:rPr>
          <w:lang w:val="ru-RU"/>
        </w:rPr>
        <w:t>ому</w:t>
      </w:r>
      <w:r w:rsidR="00945559" w:rsidRPr="00945559">
        <w:rPr>
          <w:lang w:val="ru-RU"/>
        </w:rPr>
        <w:t xml:space="preserve"> орган</w:t>
      </w:r>
      <w:r>
        <w:rPr>
          <w:lang w:val="ru-RU"/>
        </w:rPr>
        <w:t>у</w:t>
      </w:r>
      <w:r w:rsidR="00945559" w:rsidRPr="00945559">
        <w:rPr>
          <w:lang w:val="ru-RU"/>
        </w:rPr>
        <w:t xml:space="preserve">. </w:t>
      </w:r>
      <w:r>
        <w:rPr>
          <w:lang w:val="ru-RU"/>
        </w:rPr>
        <w:t xml:space="preserve"> Вместе с тем,</w:t>
      </w:r>
      <w:r w:rsidR="00945559" w:rsidRPr="00945559">
        <w:rPr>
          <w:lang w:val="ru-RU"/>
        </w:rPr>
        <w:t xml:space="preserve"> в некоторых случаях блок-схемы с текстом действительно полезны</w:t>
      </w:r>
      <w:r>
        <w:rPr>
          <w:lang w:val="ru-RU"/>
        </w:rPr>
        <w:t xml:space="preserve"> как</w:t>
      </w:r>
      <w:r w:rsidR="00945559" w:rsidRPr="00945559">
        <w:rPr>
          <w:lang w:val="ru-RU"/>
        </w:rPr>
        <w:t xml:space="preserve"> способ объяснения изобретения.</w:t>
      </w:r>
      <w:r>
        <w:rPr>
          <w:lang w:val="ru-RU"/>
        </w:rPr>
        <w:t xml:space="preserve"> </w:t>
      </w:r>
      <w:r w:rsidR="00945559" w:rsidRPr="00945559">
        <w:rPr>
          <w:lang w:val="ru-RU"/>
        </w:rPr>
        <w:t xml:space="preserve"> В более общем плане, </w:t>
      </w:r>
      <w:r>
        <w:rPr>
          <w:lang w:val="ru-RU"/>
        </w:rPr>
        <w:t>в частности</w:t>
      </w:r>
      <w:r w:rsidR="00945559" w:rsidRPr="00945559">
        <w:rPr>
          <w:lang w:val="ru-RU"/>
        </w:rPr>
        <w:t xml:space="preserve"> в контексте РСТ, </w:t>
      </w:r>
      <w:r w:rsidR="005D585D">
        <w:rPr>
          <w:lang w:val="ru-RU"/>
        </w:rPr>
        <w:t xml:space="preserve">в тех случаях, </w:t>
      </w:r>
      <w:r w:rsidR="00945559" w:rsidRPr="00945559">
        <w:rPr>
          <w:lang w:val="ru-RU"/>
        </w:rPr>
        <w:t xml:space="preserve">когда рассмотрение </w:t>
      </w:r>
      <w:r w:rsidR="005D585D">
        <w:rPr>
          <w:lang w:val="ru-RU"/>
        </w:rPr>
        <w:t>экспертами</w:t>
      </w:r>
      <w:r w:rsidR="005D585D" w:rsidRPr="005D585D">
        <w:rPr>
          <w:lang w:val="ru-RU"/>
        </w:rPr>
        <w:t xml:space="preserve"> по существу</w:t>
      </w:r>
      <w:r w:rsidR="00945559" w:rsidRPr="00945559">
        <w:rPr>
          <w:lang w:val="ru-RU"/>
        </w:rPr>
        <w:t xml:space="preserve"> </w:t>
      </w:r>
      <w:r w:rsidR="005D585D">
        <w:rPr>
          <w:lang w:val="ru-RU"/>
        </w:rPr>
        <w:t>проводится для</w:t>
      </w:r>
      <w:r w:rsidR="00945559" w:rsidRPr="00945559">
        <w:rPr>
          <w:lang w:val="ru-RU"/>
        </w:rPr>
        <w:t xml:space="preserve"> целей </w:t>
      </w:r>
      <w:r w:rsidR="005D585D">
        <w:rPr>
          <w:lang w:val="ru-RU"/>
        </w:rPr>
        <w:t xml:space="preserve">составления заключений, </w:t>
      </w:r>
      <w:r w:rsidR="00945559" w:rsidRPr="00945559">
        <w:rPr>
          <w:lang w:val="ru-RU"/>
        </w:rPr>
        <w:t>не имеющих обязательной силы</w:t>
      </w:r>
      <w:r w:rsidR="005D585D">
        <w:rPr>
          <w:lang w:val="ru-RU"/>
        </w:rPr>
        <w:t>,</w:t>
      </w:r>
      <w:r w:rsidR="00945559" w:rsidRPr="00945559">
        <w:rPr>
          <w:lang w:val="ru-RU"/>
        </w:rPr>
        <w:t xml:space="preserve"> треб</w:t>
      </w:r>
      <w:r w:rsidR="005D585D">
        <w:rPr>
          <w:lang w:val="ru-RU"/>
        </w:rPr>
        <w:t>ование</w:t>
      </w:r>
      <w:r w:rsidR="00945559" w:rsidRPr="00945559">
        <w:rPr>
          <w:lang w:val="ru-RU"/>
        </w:rPr>
        <w:t xml:space="preserve"> исправления</w:t>
      </w:r>
      <w:r w:rsidR="005D585D">
        <w:rPr>
          <w:lang w:val="ru-RU"/>
        </w:rPr>
        <w:t xml:space="preserve"> заявителем</w:t>
      </w:r>
      <w:r w:rsidR="00945559" w:rsidRPr="00945559">
        <w:rPr>
          <w:lang w:val="ru-RU"/>
        </w:rPr>
        <w:t xml:space="preserve"> </w:t>
      </w:r>
      <w:r w:rsidR="000876F1">
        <w:rPr>
          <w:lang w:val="ru-RU"/>
        </w:rPr>
        <w:t>порока формы такого рода</w:t>
      </w:r>
      <w:r w:rsidR="00945559" w:rsidRPr="00945559">
        <w:rPr>
          <w:lang w:val="ru-RU"/>
        </w:rPr>
        <w:t xml:space="preserve"> после подачи заявки сопряжено с риск</w:t>
      </w:r>
      <w:r w:rsidR="000876F1">
        <w:rPr>
          <w:lang w:val="ru-RU"/>
        </w:rPr>
        <w:t>ом создания материально-правовых</w:t>
      </w:r>
      <w:r w:rsidR="00945559" w:rsidRPr="00945559">
        <w:rPr>
          <w:lang w:val="ru-RU"/>
        </w:rPr>
        <w:t xml:space="preserve"> проблем (в частности, </w:t>
      </w:r>
      <w:r w:rsidR="000876F1">
        <w:rPr>
          <w:lang w:val="ru-RU"/>
        </w:rPr>
        <w:t>дополнительного включения объекта</w:t>
      </w:r>
      <w:r w:rsidR="00945559" w:rsidRPr="00945559">
        <w:rPr>
          <w:lang w:val="ru-RU"/>
        </w:rPr>
        <w:t>), которы</w:t>
      </w:r>
      <w:r w:rsidR="00E8316A">
        <w:rPr>
          <w:lang w:val="ru-RU"/>
        </w:rPr>
        <w:t>е</w:t>
      </w:r>
      <w:r w:rsidR="00945559" w:rsidRPr="00945559">
        <w:rPr>
          <w:lang w:val="ru-RU"/>
        </w:rPr>
        <w:t xml:space="preserve"> будет трудно или невозможно </w:t>
      </w:r>
      <w:r w:rsidR="00E8316A">
        <w:rPr>
          <w:lang w:val="ru-RU"/>
        </w:rPr>
        <w:t>устранить</w:t>
      </w:r>
      <w:r w:rsidR="00945559" w:rsidRPr="00945559">
        <w:rPr>
          <w:lang w:val="ru-RU"/>
        </w:rPr>
        <w:t xml:space="preserve"> на национально</w:t>
      </w:r>
      <w:r w:rsidR="00E8316A">
        <w:rPr>
          <w:lang w:val="ru-RU"/>
        </w:rPr>
        <w:t>й</w:t>
      </w:r>
      <w:r w:rsidR="00945559" w:rsidRPr="00945559">
        <w:rPr>
          <w:lang w:val="ru-RU"/>
        </w:rPr>
        <w:t xml:space="preserve"> </w:t>
      </w:r>
      <w:r w:rsidR="00E8316A">
        <w:rPr>
          <w:lang w:val="ru-RU"/>
        </w:rPr>
        <w:t>фазе;</w:t>
      </w:r>
    </w:p>
    <w:p w:rsidR="00945559" w:rsidRPr="00945559" w:rsidRDefault="00E8316A" w:rsidP="0094555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="00945559" w:rsidRPr="00945559">
        <w:rPr>
          <w:lang w:val="ru-RU"/>
        </w:rPr>
        <w:t xml:space="preserve"> принципе, полезно </w:t>
      </w:r>
      <w:r w:rsidRPr="00945559">
        <w:rPr>
          <w:lang w:val="ru-RU"/>
        </w:rPr>
        <w:t xml:space="preserve">было бы </w:t>
      </w:r>
      <w:r w:rsidR="00945559" w:rsidRPr="00945559">
        <w:rPr>
          <w:lang w:val="ru-RU"/>
        </w:rPr>
        <w:t xml:space="preserve">иметь возможность поиска и </w:t>
      </w:r>
      <w:r>
        <w:rPr>
          <w:lang w:val="ru-RU"/>
        </w:rPr>
        <w:t xml:space="preserve">более оптимального представления </w:t>
      </w:r>
      <w:r w:rsidR="00945559" w:rsidRPr="00945559">
        <w:rPr>
          <w:lang w:val="ru-RU"/>
        </w:rPr>
        <w:t xml:space="preserve">текста в форматах без абзацев, </w:t>
      </w:r>
      <w:r>
        <w:rPr>
          <w:lang w:val="ru-RU"/>
        </w:rPr>
        <w:t>например в виде блок-схем</w:t>
      </w:r>
      <w:r w:rsidR="00945559" w:rsidRPr="00945559">
        <w:rPr>
          <w:lang w:val="ru-RU"/>
        </w:rPr>
        <w:t xml:space="preserve">, но неясно, </w:t>
      </w:r>
      <w:r>
        <w:rPr>
          <w:lang w:val="ru-RU"/>
        </w:rPr>
        <w:t>каким образом можно</w:t>
      </w:r>
      <w:r w:rsidR="00945559" w:rsidRPr="00945559">
        <w:rPr>
          <w:lang w:val="ru-RU"/>
        </w:rPr>
        <w:t xml:space="preserve"> облегчить</w:t>
      </w:r>
      <w:r>
        <w:rPr>
          <w:lang w:val="ru-RU"/>
        </w:rPr>
        <w:t xml:space="preserve"> решение этой задачи;</w:t>
      </w:r>
    </w:p>
    <w:p w:rsidR="00945559" w:rsidRPr="00945559" w:rsidRDefault="00E8316A" w:rsidP="0094555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ряд</w:t>
      </w:r>
      <w:r w:rsidR="00945559" w:rsidRPr="00945559">
        <w:rPr>
          <w:lang w:val="ru-RU"/>
        </w:rPr>
        <w:t xml:space="preserve"> ведомств указывают, что было бы желательно, чтобы </w:t>
      </w:r>
      <w:r>
        <w:rPr>
          <w:lang w:val="ru-RU"/>
        </w:rPr>
        <w:t xml:space="preserve">получающие </w:t>
      </w:r>
      <w:r w:rsidR="00945559" w:rsidRPr="00945559">
        <w:rPr>
          <w:lang w:val="ru-RU"/>
        </w:rPr>
        <w:t xml:space="preserve">ведомства </w:t>
      </w:r>
      <w:r>
        <w:rPr>
          <w:lang w:val="ru-RU"/>
        </w:rPr>
        <w:t>могли принимать меры в связи с рефератами,</w:t>
      </w:r>
      <w:r w:rsidR="00945559" w:rsidRPr="00945559">
        <w:rPr>
          <w:lang w:val="ru-RU"/>
        </w:rPr>
        <w:t xml:space="preserve"> предлагая</w:t>
      </w:r>
      <w:r>
        <w:rPr>
          <w:lang w:val="ru-RU"/>
        </w:rPr>
        <w:t>,</w:t>
      </w:r>
      <w:r w:rsidR="00945559" w:rsidRPr="00945559">
        <w:rPr>
          <w:lang w:val="ru-RU"/>
        </w:rPr>
        <w:t xml:space="preserve"> </w:t>
      </w:r>
      <w:r w:rsidRPr="00945559">
        <w:rPr>
          <w:lang w:val="ru-RU"/>
        </w:rPr>
        <w:t xml:space="preserve">например, </w:t>
      </w:r>
      <w:r>
        <w:rPr>
          <w:lang w:val="ru-RU"/>
        </w:rPr>
        <w:t>заменить реферат</w:t>
      </w:r>
      <w:r w:rsidR="00945559" w:rsidRPr="00945559">
        <w:rPr>
          <w:lang w:val="ru-RU"/>
        </w:rPr>
        <w:t>, или взима</w:t>
      </w:r>
      <w:r>
        <w:rPr>
          <w:lang w:val="ru-RU"/>
        </w:rPr>
        <w:t>я дополнительные пошлины</w:t>
      </w:r>
      <w:r w:rsidR="00945559" w:rsidRPr="00945559">
        <w:rPr>
          <w:lang w:val="ru-RU"/>
        </w:rPr>
        <w:t xml:space="preserve">, если </w:t>
      </w:r>
      <w:r>
        <w:rPr>
          <w:lang w:val="ru-RU"/>
        </w:rPr>
        <w:t xml:space="preserve">реферат по своему объему </w:t>
      </w:r>
      <w:r w:rsidR="00945559" w:rsidRPr="00945559">
        <w:rPr>
          <w:lang w:val="ru-RU"/>
        </w:rPr>
        <w:t xml:space="preserve">значительно </w:t>
      </w:r>
      <w:r>
        <w:rPr>
          <w:lang w:val="ru-RU"/>
        </w:rPr>
        <w:t>выходит за</w:t>
      </w:r>
      <w:r w:rsidR="00945559" w:rsidRPr="00945559">
        <w:rPr>
          <w:lang w:val="ru-RU"/>
        </w:rPr>
        <w:t xml:space="preserve"> рекомендованн</w:t>
      </w:r>
      <w:r>
        <w:rPr>
          <w:lang w:val="ru-RU"/>
        </w:rPr>
        <w:t>ые рамки</w:t>
      </w:r>
      <w:r w:rsidR="00945559" w:rsidRPr="00945559">
        <w:rPr>
          <w:lang w:val="ru-RU"/>
        </w:rPr>
        <w:t xml:space="preserve">. </w:t>
      </w:r>
      <w:r>
        <w:rPr>
          <w:lang w:val="ru-RU"/>
        </w:rPr>
        <w:t xml:space="preserve"> Вместе с тем, по мнению нескольких ведомств</w:t>
      </w:r>
      <w:r w:rsidR="000536F7">
        <w:rPr>
          <w:lang w:val="ru-RU"/>
        </w:rPr>
        <w:t>,</w:t>
      </w:r>
      <w:r>
        <w:rPr>
          <w:lang w:val="ru-RU"/>
        </w:rPr>
        <w:t xml:space="preserve"> </w:t>
      </w:r>
      <w:r w:rsidR="00945559" w:rsidRPr="00945559">
        <w:rPr>
          <w:lang w:val="ru-RU"/>
        </w:rPr>
        <w:t xml:space="preserve">любые </w:t>
      </w:r>
      <w:r>
        <w:rPr>
          <w:lang w:val="ru-RU"/>
        </w:rPr>
        <w:t>подобные</w:t>
      </w:r>
      <w:r w:rsidR="00945559" w:rsidRPr="00945559">
        <w:rPr>
          <w:lang w:val="ru-RU"/>
        </w:rPr>
        <w:t xml:space="preserve"> процедуры не должны </w:t>
      </w:r>
      <w:r>
        <w:rPr>
          <w:lang w:val="ru-RU"/>
        </w:rPr>
        <w:t>предполагать увеличени</w:t>
      </w:r>
      <w:r w:rsidR="004E555E">
        <w:rPr>
          <w:lang w:val="ru-RU"/>
        </w:rPr>
        <w:t>я</w:t>
      </w:r>
      <w:r>
        <w:rPr>
          <w:lang w:val="ru-RU"/>
        </w:rPr>
        <w:t xml:space="preserve"> нагрузки</w:t>
      </w:r>
      <w:r w:rsidR="00945559" w:rsidRPr="00945559">
        <w:rPr>
          <w:lang w:val="ru-RU"/>
        </w:rPr>
        <w:t xml:space="preserve">, </w:t>
      </w:r>
      <w:r w:rsidR="004E555E">
        <w:rPr>
          <w:lang w:val="ru-RU"/>
        </w:rPr>
        <w:t>скажем при осуществлении операций по</w:t>
      </w:r>
      <w:r w:rsidR="00945559" w:rsidRPr="00945559">
        <w:rPr>
          <w:lang w:val="ru-RU"/>
        </w:rPr>
        <w:t xml:space="preserve"> подсчет</w:t>
      </w:r>
      <w:r w:rsidR="004E555E">
        <w:rPr>
          <w:lang w:val="ru-RU"/>
        </w:rPr>
        <w:t>у</w:t>
      </w:r>
      <w:r w:rsidR="00945559" w:rsidRPr="00945559">
        <w:rPr>
          <w:lang w:val="ru-RU"/>
        </w:rPr>
        <w:t xml:space="preserve"> слов. </w:t>
      </w:r>
      <w:r w:rsidR="004E555E">
        <w:rPr>
          <w:lang w:val="ru-RU"/>
        </w:rPr>
        <w:t xml:space="preserve"> </w:t>
      </w:r>
      <w:r w:rsidR="00945559" w:rsidRPr="00945559">
        <w:rPr>
          <w:lang w:val="ru-RU"/>
        </w:rPr>
        <w:t>Кроме того</w:t>
      </w:r>
      <w:r w:rsidR="004E555E">
        <w:rPr>
          <w:lang w:val="ru-RU"/>
        </w:rPr>
        <w:t>, подчеркивалось</w:t>
      </w:r>
      <w:r w:rsidR="00945559" w:rsidRPr="00945559">
        <w:rPr>
          <w:lang w:val="ru-RU"/>
        </w:rPr>
        <w:t>, что оценить качество отдельного реферата</w:t>
      </w:r>
      <w:r w:rsidR="004E555E" w:rsidRPr="004E555E">
        <w:rPr>
          <w:lang w:val="ru-RU"/>
        </w:rPr>
        <w:t xml:space="preserve"> </w:t>
      </w:r>
      <w:r w:rsidR="004E555E">
        <w:rPr>
          <w:lang w:val="ru-RU"/>
        </w:rPr>
        <w:t xml:space="preserve">в состоянии </w:t>
      </w:r>
      <w:r w:rsidR="004E555E" w:rsidRPr="00945559">
        <w:rPr>
          <w:lang w:val="ru-RU"/>
        </w:rPr>
        <w:t xml:space="preserve">только </w:t>
      </w:r>
      <w:r w:rsidR="004E555E">
        <w:rPr>
          <w:lang w:val="ru-RU"/>
        </w:rPr>
        <w:t>м</w:t>
      </w:r>
      <w:r w:rsidR="004E555E" w:rsidRPr="00945559">
        <w:rPr>
          <w:lang w:val="ru-RU"/>
        </w:rPr>
        <w:t>еждународный поисковый орган</w:t>
      </w:r>
      <w:r w:rsidR="004E555E">
        <w:rPr>
          <w:lang w:val="ru-RU"/>
        </w:rPr>
        <w:t>;</w:t>
      </w:r>
    </w:p>
    <w:p w:rsidR="00945559" w:rsidRPr="00945559" w:rsidRDefault="004E555E" w:rsidP="00945559">
      <w:pPr>
        <w:pStyle w:val="ONUME"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по мнению ряда</w:t>
      </w:r>
      <w:r w:rsidR="00945559" w:rsidRPr="00945559">
        <w:rPr>
          <w:lang w:val="ru-RU"/>
        </w:rPr>
        <w:t xml:space="preserve"> ведомств</w:t>
      </w:r>
      <w:r w:rsidR="000536F7">
        <w:rPr>
          <w:lang w:val="ru-RU"/>
        </w:rPr>
        <w:t>,</w:t>
      </w:r>
      <w:r w:rsidR="00945559" w:rsidRPr="00945559">
        <w:rPr>
          <w:lang w:val="ru-RU"/>
        </w:rPr>
        <w:t xml:space="preserve"> важно обеспечи</w:t>
      </w:r>
      <w:r>
        <w:rPr>
          <w:lang w:val="ru-RU"/>
        </w:rPr>
        <w:t>ва</w:t>
      </w:r>
      <w:r w:rsidR="00945559" w:rsidRPr="00945559">
        <w:rPr>
          <w:lang w:val="ru-RU"/>
        </w:rPr>
        <w:t xml:space="preserve">ть </w:t>
      </w:r>
      <w:r>
        <w:rPr>
          <w:lang w:val="ru-RU"/>
        </w:rPr>
        <w:t>подготовку</w:t>
      </w:r>
      <w:r w:rsidR="00945559" w:rsidRPr="00945559">
        <w:rPr>
          <w:lang w:val="ru-RU"/>
        </w:rPr>
        <w:t xml:space="preserve"> пользователей и повы</w:t>
      </w:r>
      <w:r>
        <w:rPr>
          <w:lang w:val="ru-RU"/>
        </w:rPr>
        <w:t>ша</w:t>
      </w:r>
      <w:r w:rsidR="00945559" w:rsidRPr="00945559">
        <w:rPr>
          <w:lang w:val="ru-RU"/>
        </w:rPr>
        <w:t xml:space="preserve">ть </w:t>
      </w:r>
      <w:r>
        <w:rPr>
          <w:lang w:val="ru-RU"/>
        </w:rPr>
        <w:t xml:space="preserve">уровень </w:t>
      </w:r>
      <w:r w:rsidR="00945559" w:rsidRPr="00945559">
        <w:rPr>
          <w:lang w:val="ru-RU"/>
        </w:rPr>
        <w:t>осведомленност</w:t>
      </w:r>
      <w:r>
        <w:rPr>
          <w:lang w:val="ru-RU"/>
        </w:rPr>
        <w:t>и</w:t>
      </w:r>
      <w:r w:rsidR="00945559" w:rsidRPr="00945559">
        <w:rPr>
          <w:lang w:val="ru-RU"/>
        </w:rPr>
        <w:t xml:space="preserve"> о важности </w:t>
      </w:r>
      <w:r>
        <w:rPr>
          <w:lang w:val="ru-RU"/>
        </w:rPr>
        <w:t>правильного составления</w:t>
      </w:r>
      <w:r w:rsidR="00945559" w:rsidRPr="00945559">
        <w:rPr>
          <w:lang w:val="ru-RU"/>
        </w:rPr>
        <w:t xml:space="preserve"> реферата</w:t>
      </w:r>
      <w:r w:rsidRPr="004E555E">
        <w:rPr>
          <w:lang w:val="ru-RU"/>
        </w:rPr>
        <w:t xml:space="preserve"> </w:t>
      </w:r>
      <w:r w:rsidRPr="00945559">
        <w:rPr>
          <w:lang w:val="ru-RU"/>
        </w:rPr>
        <w:t>для заявителей</w:t>
      </w:r>
      <w:r w:rsidR="00945559" w:rsidRPr="00945559">
        <w:rPr>
          <w:lang w:val="ru-RU"/>
        </w:rPr>
        <w:t xml:space="preserve">. </w:t>
      </w:r>
      <w:r>
        <w:rPr>
          <w:lang w:val="ru-RU"/>
        </w:rPr>
        <w:t xml:space="preserve"> </w:t>
      </w:r>
      <w:r w:rsidR="0099006F">
        <w:rPr>
          <w:lang w:val="ru-RU"/>
        </w:rPr>
        <w:t>При этом могут возникать такие вопросы, как полезность</w:t>
      </w:r>
      <w:r w:rsidR="00945559" w:rsidRPr="00945559">
        <w:rPr>
          <w:lang w:val="ru-RU"/>
        </w:rPr>
        <w:t xml:space="preserve"> публикации для поиска</w:t>
      </w:r>
      <w:r w:rsidR="0099006F">
        <w:rPr>
          <w:lang w:val="ru-RU"/>
        </w:rPr>
        <w:t xml:space="preserve"> на предмет соблюдения принципа разумного прилежания</w:t>
      </w:r>
      <w:r w:rsidR="00945559" w:rsidRPr="00945559">
        <w:rPr>
          <w:lang w:val="ru-RU"/>
        </w:rPr>
        <w:t>, снижени</w:t>
      </w:r>
      <w:r w:rsidR="0099006F">
        <w:rPr>
          <w:lang w:val="ru-RU"/>
        </w:rPr>
        <w:t>е</w:t>
      </w:r>
      <w:r w:rsidR="00945559" w:rsidRPr="00945559">
        <w:rPr>
          <w:lang w:val="ru-RU"/>
        </w:rPr>
        <w:t xml:space="preserve"> риска нарушения любого </w:t>
      </w:r>
      <w:r w:rsidR="0099006F">
        <w:rPr>
          <w:lang w:val="ru-RU"/>
        </w:rPr>
        <w:t>выданного</w:t>
      </w:r>
      <w:r w:rsidR="00945559" w:rsidRPr="00945559">
        <w:rPr>
          <w:lang w:val="ru-RU"/>
        </w:rPr>
        <w:t xml:space="preserve"> патента и </w:t>
      </w:r>
      <w:r w:rsidR="0099006F">
        <w:rPr>
          <w:lang w:val="ru-RU"/>
        </w:rPr>
        <w:t>обеспечение хорошей</w:t>
      </w:r>
      <w:r w:rsidR="00945559" w:rsidRPr="00945559">
        <w:rPr>
          <w:lang w:val="ru-RU"/>
        </w:rPr>
        <w:t xml:space="preserve"> «рекламы» технологии заявителя</w:t>
      </w:r>
      <w:r w:rsidR="0099006F">
        <w:rPr>
          <w:lang w:val="ru-RU"/>
        </w:rPr>
        <w:t>;</w:t>
      </w:r>
    </w:p>
    <w:p w:rsidR="00945559" w:rsidRPr="00945559" w:rsidRDefault="0099006F" w:rsidP="0094555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высказывалась мысль о том, что в</w:t>
      </w:r>
      <w:r w:rsidR="00945559" w:rsidRPr="00945559">
        <w:rPr>
          <w:lang w:val="ru-RU"/>
        </w:rPr>
        <w:t xml:space="preserve"> систем</w:t>
      </w:r>
      <w:r>
        <w:rPr>
          <w:lang w:val="ru-RU"/>
        </w:rPr>
        <w:t>ах подачи заявок</w:t>
      </w:r>
      <w:r w:rsidR="00945559" w:rsidRPr="00945559">
        <w:rPr>
          <w:lang w:val="ru-RU"/>
        </w:rPr>
        <w:t xml:space="preserve"> могли </w:t>
      </w:r>
      <w:r w:rsidR="000669A2">
        <w:rPr>
          <w:lang w:val="ru-RU"/>
        </w:rPr>
        <w:t xml:space="preserve">бы </w:t>
      </w:r>
      <w:r w:rsidR="00945559" w:rsidRPr="00945559">
        <w:rPr>
          <w:lang w:val="ru-RU"/>
        </w:rPr>
        <w:t>предлагать</w:t>
      </w:r>
      <w:r w:rsidR="000669A2">
        <w:rPr>
          <w:lang w:val="ru-RU"/>
        </w:rPr>
        <w:t>ся</w:t>
      </w:r>
      <w:r w:rsidR="00945559" w:rsidRPr="00945559">
        <w:rPr>
          <w:lang w:val="ru-RU"/>
        </w:rPr>
        <w:t xml:space="preserve"> услуги машинного перевода для оценки </w:t>
      </w:r>
      <w:r w:rsidR="000669A2">
        <w:rPr>
          <w:lang w:val="ru-RU"/>
        </w:rPr>
        <w:t>объема рефератов после</w:t>
      </w:r>
      <w:r w:rsidR="00945559" w:rsidRPr="00945559">
        <w:rPr>
          <w:lang w:val="ru-RU"/>
        </w:rPr>
        <w:t xml:space="preserve"> перевода на английский язык</w:t>
      </w:r>
      <w:r w:rsidR="000669A2">
        <w:rPr>
          <w:lang w:val="ru-RU"/>
        </w:rPr>
        <w:t>;</w:t>
      </w:r>
    </w:p>
    <w:p w:rsidR="00945559" w:rsidRPr="00945559" w:rsidRDefault="000669A2" w:rsidP="000669A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 мнению одного ведомства</w:t>
      </w:r>
      <w:r w:rsidR="000536F7">
        <w:rPr>
          <w:lang w:val="ru-RU"/>
        </w:rPr>
        <w:t>,</w:t>
      </w:r>
      <w:r w:rsidR="00945559" w:rsidRPr="00945559">
        <w:rPr>
          <w:lang w:val="ru-RU"/>
        </w:rPr>
        <w:t xml:space="preserve">  </w:t>
      </w:r>
      <w:r>
        <w:rPr>
          <w:lang w:val="ru-RU"/>
        </w:rPr>
        <w:t>полезным инструментом для выявления</w:t>
      </w:r>
      <w:r w:rsidR="00945559" w:rsidRPr="00945559">
        <w:rPr>
          <w:lang w:val="ru-RU"/>
        </w:rPr>
        <w:t xml:space="preserve"> различий в </w:t>
      </w:r>
      <w:r w:rsidR="000536F7">
        <w:rPr>
          <w:lang w:val="ru-RU"/>
        </w:rPr>
        <w:t>процедурах</w:t>
      </w:r>
      <w:r>
        <w:rPr>
          <w:lang w:val="ru-RU"/>
        </w:rPr>
        <w:t xml:space="preserve"> проведения</w:t>
      </w:r>
      <w:r w:rsidR="00945559" w:rsidRPr="00945559">
        <w:rPr>
          <w:lang w:val="ru-RU"/>
        </w:rPr>
        <w:t xml:space="preserve"> </w:t>
      </w:r>
      <w:r w:rsidRPr="000669A2">
        <w:rPr>
          <w:lang w:val="ru-RU"/>
        </w:rPr>
        <w:t>экспертиз</w:t>
      </w:r>
      <w:r>
        <w:rPr>
          <w:lang w:val="ru-RU"/>
        </w:rPr>
        <w:t>ы</w:t>
      </w:r>
      <w:r w:rsidRPr="000669A2">
        <w:rPr>
          <w:lang w:val="ru-RU"/>
        </w:rPr>
        <w:t xml:space="preserve"> по формальным признакам </w:t>
      </w:r>
      <w:r w:rsidR="00945559" w:rsidRPr="00945559">
        <w:rPr>
          <w:lang w:val="ru-RU"/>
        </w:rPr>
        <w:t>в разных ведомствах</w:t>
      </w:r>
      <w:r>
        <w:rPr>
          <w:lang w:val="ru-RU"/>
        </w:rPr>
        <w:t xml:space="preserve"> мог бы стать </w:t>
      </w:r>
      <w:r w:rsidRPr="00945559">
        <w:rPr>
          <w:lang w:val="ru-RU"/>
        </w:rPr>
        <w:t xml:space="preserve">анализ использования </w:t>
      </w:r>
      <w:r>
        <w:rPr>
          <w:lang w:val="ru-RU"/>
        </w:rPr>
        <w:t>бланка</w:t>
      </w:r>
      <w:r w:rsidRPr="00945559">
        <w:rPr>
          <w:lang w:val="ru-RU"/>
        </w:rPr>
        <w:t xml:space="preserve"> </w:t>
      </w:r>
      <w:r w:rsidRPr="00945559">
        <w:t>PCT</w:t>
      </w:r>
      <w:r w:rsidRPr="00945559">
        <w:rPr>
          <w:lang w:val="ru-RU"/>
        </w:rPr>
        <w:t>/</w:t>
      </w:r>
      <w:r w:rsidRPr="00945559">
        <w:t>RO</w:t>
      </w:r>
      <w:r w:rsidRPr="00945559">
        <w:rPr>
          <w:lang w:val="ru-RU"/>
        </w:rPr>
        <w:t>/106</w:t>
      </w:r>
      <w:r>
        <w:rPr>
          <w:lang w:val="ru-RU"/>
        </w:rPr>
        <w:t>;</w:t>
      </w:r>
    </w:p>
    <w:p w:rsidR="00945559" w:rsidRPr="00945559" w:rsidRDefault="000669A2" w:rsidP="00945559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как подчеркивают н</w:t>
      </w:r>
      <w:r w:rsidR="00945559" w:rsidRPr="00945559">
        <w:rPr>
          <w:lang w:val="ru-RU"/>
        </w:rPr>
        <w:t>екоторые ведомства</w:t>
      </w:r>
      <w:r>
        <w:rPr>
          <w:lang w:val="ru-RU"/>
        </w:rPr>
        <w:t>,</w:t>
      </w:r>
      <w:r w:rsidR="00945559" w:rsidRPr="00945559">
        <w:rPr>
          <w:lang w:val="ru-RU"/>
        </w:rPr>
        <w:t xml:space="preserve"> полезно </w:t>
      </w:r>
      <w:r w:rsidR="0056571A" w:rsidRPr="00945559">
        <w:rPr>
          <w:lang w:val="ru-RU"/>
        </w:rPr>
        <w:t>было бы</w:t>
      </w:r>
      <w:r w:rsidR="0056571A">
        <w:rPr>
          <w:lang w:val="ru-RU"/>
        </w:rPr>
        <w:t xml:space="preserve"> ознакомиться с мнением</w:t>
      </w:r>
      <w:r w:rsidR="00945559" w:rsidRPr="00945559">
        <w:rPr>
          <w:lang w:val="ru-RU"/>
        </w:rPr>
        <w:t xml:space="preserve"> патентных поверенных </w:t>
      </w:r>
      <w:r w:rsidR="0056571A">
        <w:rPr>
          <w:lang w:val="ru-RU"/>
        </w:rPr>
        <w:t>–</w:t>
      </w:r>
      <w:r w:rsidR="00945559" w:rsidRPr="00945559">
        <w:rPr>
          <w:lang w:val="ru-RU"/>
        </w:rPr>
        <w:t xml:space="preserve"> </w:t>
      </w:r>
      <w:r w:rsidR="0056571A">
        <w:rPr>
          <w:lang w:val="ru-RU"/>
        </w:rPr>
        <w:t>ц</w:t>
      </w:r>
      <w:r w:rsidR="00945559" w:rsidRPr="00945559">
        <w:rPr>
          <w:lang w:val="ru-RU"/>
        </w:rPr>
        <w:t>иркуляр</w:t>
      </w:r>
      <w:r w:rsidR="0056571A">
        <w:rPr>
          <w:lang w:val="ru-RU"/>
        </w:rPr>
        <w:t>ное письмо</w:t>
      </w:r>
      <w:r w:rsidR="00945559" w:rsidRPr="00945559">
        <w:rPr>
          <w:lang w:val="ru-RU"/>
        </w:rPr>
        <w:t xml:space="preserve"> был</w:t>
      </w:r>
      <w:r w:rsidR="0056571A">
        <w:rPr>
          <w:lang w:val="ru-RU"/>
        </w:rPr>
        <w:t>о</w:t>
      </w:r>
      <w:r w:rsidR="00945559" w:rsidRPr="00945559">
        <w:rPr>
          <w:lang w:val="ru-RU"/>
        </w:rPr>
        <w:t xml:space="preserve"> </w:t>
      </w:r>
      <w:r w:rsidR="0056571A">
        <w:rPr>
          <w:lang w:val="ru-RU"/>
        </w:rPr>
        <w:t>разослано</w:t>
      </w:r>
      <w:r w:rsidR="00945559" w:rsidRPr="00945559">
        <w:rPr>
          <w:lang w:val="ru-RU"/>
        </w:rPr>
        <w:t xml:space="preserve"> ряд</w:t>
      </w:r>
      <w:r w:rsidR="0056571A">
        <w:rPr>
          <w:lang w:val="ru-RU"/>
        </w:rPr>
        <w:t>у</w:t>
      </w:r>
      <w:r w:rsidR="00945559" w:rsidRPr="00945559">
        <w:rPr>
          <w:lang w:val="ru-RU"/>
        </w:rPr>
        <w:t xml:space="preserve"> организаций, представляющих </w:t>
      </w:r>
      <w:r w:rsidR="0056571A">
        <w:rPr>
          <w:lang w:val="ru-RU"/>
        </w:rPr>
        <w:t xml:space="preserve">ассоциации </w:t>
      </w:r>
      <w:r w:rsidR="00945559" w:rsidRPr="00945559">
        <w:rPr>
          <w:lang w:val="ru-RU"/>
        </w:rPr>
        <w:t xml:space="preserve"> </w:t>
      </w:r>
      <w:r w:rsidR="0056571A">
        <w:rPr>
          <w:lang w:val="ru-RU"/>
        </w:rPr>
        <w:t>деловых кругов</w:t>
      </w:r>
      <w:r w:rsidR="00945559" w:rsidRPr="00945559">
        <w:rPr>
          <w:lang w:val="ru-RU"/>
        </w:rPr>
        <w:t>, специалистов</w:t>
      </w:r>
      <w:r w:rsidR="0056571A">
        <w:rPr>
          <w:lang w:val="ru-RU"/>
        </w:rPr>
        <w:t xml:space="preserve"> в патентной сфере и пользователей</w:t>
      </w:r>
      <w:r w:rsidR="00945559" w:rsidRPr="00945559">
        <w:rPr>
          <w:lang w:val="ru-RU"/>
        </w:rPr>
        <w:t xml:space="preserve"> патентной информации, однако на момент </w:t>
      </w:r>
      <w:r w:rsidR="0056571A">
        <w:rPr>
          <w:lang w:val="ru-RU"/>
        </w:rPr>
        <w:t>составления настоящего документа</w:t>
      </w:r>
      <w:r w:rsidR="00945559" w:rsidRPr="00945559">
        <w:rPr>
          <w:lang w:val="ru-RU"/>
        </w:rPr>
        <w:t xml:space="preserve"> ответы были получены только от ведомств.</w:t>
      </w:r>
    </w:p>
    <w:p w:rsidR="00907055" w:rsidRPr="00945559" w:rsidRDefault="0056571A" w:rsidP="00907055">
      <w:pPr>
        <w:pStyle w:val="Heading1"/>
        <w:rPr>
          <w:lang w:val="ru-RU"/>
        </w:rPr>
      </w:pPr>
      <w:r>
        <w:rPr>
          <w:lang w:val="ru-RU"/>
        </w:rPr>
        <w:t>ПО</w:t>
      </w:r>
      <w:r w:rsidR="00945559">
        <w:rPr>
          <w:lang w:val="ru-RU"/>
        </w:rPr>
        <w:t>ВЫШЕНИЕ КАЧЕСТВА ПОЛУЧАЕМЫХ РЕФЕРАТОВ</w:t>
      </w:r>
    </w:p>
    <w:p w:rsidR="00907055" w:rsidRPr="003D1F95" w:rsidRDefault="003D1F95" w:rsidP="00907055">
      <w:pPr>
        <w:pStyle w:val="Heading3"/>
        <w:rPr>
          <w:lang w:val="ru-RU"/>
        </w:rPr>
      </w:pPr>
      <w:r>
        <w:rPr>
          <w:lang w:val="ru-RU"/>
        </w:rPr>
        <w:t>Указания для заявителей</w:t>
      </w:r>
    </w:p>
    <w:p w:rsidR="0056571A" w:rsidRPr="002F7BE5" w:rsidRDefault="0056571A" w:rsidP="002F7BE5">
      <w:pPr>
        <w:pStyle w:val="ONUME"/>
        <w:rPr>
          <w:lang w:val="ru-RU"/>
        </w:rPr>
      </w:pPr>
      <w:bookmarkStart w:id="3" w:name="_Ref480980642"/>
      <w:r w:rsidRPr="002F7BE5">
        <w:rPr>
          <w:lang w:val="ru-RU"/>
        </w:rPr>
        <w:t xml:space="preserve">Международное бюро принимает к сведению </w:t>
      </w:r>
      <w:r w:rsidR="00C5419A" w:rsidRPr="002F7BE5">
        <w:rPr>
          <w:lang w:val="ru-RU"/>
        </w:rPr>
        <w:t>высказанное</w:t>
      </w:r>
      <w:r w:rsidRPr="002F7BE5">
        <w:rPr>
          <w:lang w:val="ru-RU"/>
        </w:rPr>
        <w:t xml:space="preserve"> в ответ</w:t>
      </w:r>
      <w:r w:rsidR="00C5419A" w:rsidRPr="002F7BE5">
        <w:rPr>
          <w:lang w:val="ru-RU"/>
        </w:rPr>
        <w:t>ах</w:t>
      </w:r>
      <w:r w:rsidRPr="002F7BE5">
        <w:rPr>
          <w:lang w:val="ru-RU"/>
        </w:rPr>
        <w:t xml:space="preserve"> на </w:t>
      </w:r>
      <w:r w:rsidR="003D1F95" w:rsidRPr="002F7BE5">
        <w:rPr>
          <w:lang w:val="ru-RU"/>
        </w:rPr>
        <w:t>ц</w:t>
      </w:r>
      <w:r w:rsidRPr="002F7BE5">
        <w:rPr>
          <w:lang w:val="ru-RU"/>
        </w:rPr>
        <w:t>иркуляр</w:t>
      </w:r>
      <w:r w:rsidR="003D1F95" w:rsidRPr="002F7BE5">
        <w:rPr>
          <w:lang w:val="ru-RU"/>
        </w:rPr>
        <w:t>ное письмо</w:t>
      </w:r>
      <w:r w:rsidRPr="002F7BE5">
        <w:rPr>
          <w:lang w:val="ru-RU"/>
        </w:rPr>
        <w:t xml:space="preserve"> C. PCT 1486</w:t>
      </w:r>
      <w:r w:rsidR="003D1F95" w:rsidRPr="002F7BE5">
        <w:rPr>
          <w:lang w:val="ru-RU"/>
        </w:rPr>
        <w:t xml:space="preserve"> </w:t>
      </w:r>
      <w:r w:rsidR="00C5419A" w:rsidRPr="002F7BE5">
        <w:rPr>
          <w:lang w:val="ru-RU"/>
        </w:rPr>
        <w:t>мнение</w:t>
      </w:r>
      <w:r w:rsidR="003D1F95" w:rsidRPr="002F7BE5">
        <w:rPr>
          <w:lang w:val="ru-RU"/>
        </w:rPr>
        <w:t>,</w:t>
      </w:r>
      <w:r w:rsidRPr="002F7BE5">
        <w:rPr>
          <w:lang w:val="ru-RU"/>
        </w:rPr>
        <w:t xml:space="preserve"> </w:t>
      </w:r>
      <w:r w:rsidR="00C5419A" w:rsidRPr="002F7BE5">
        <w:rPr>
          <w:lang w:val="ru-RU"/>
        </w:rPr>
        <w:t>согласно которому</w:t>
      </w:r>
      <w:r w:rsidRPr="002F7BE5">
        <w:rPr>
          <w:lang w:val="ru-RU"/>
        </w:rPr>
        <w:t xml:space="preserve"> многие заявители</w:t>
      </w:r>
      <w:r w:rsidR="00C5419A" w:rsidRPr="002F7BE5">
        <w:rPr>
          <w:lang w:val="ru-RU"/>
        </w:rPr>
        <w:t>, возможно, были бы готовы лучше составлять</w:t>
      </w:r>
      <w:r w:rsidRPr="002F7BE5">
        <w:rPr>
          <w:lang w:val="ru-RU"/>
        </w:rPr>
        <w:t xml:space="preserve"> рефераты, </w:t>
      </w:r>
      <w:r w:rsidR="00C5419A" w:rsidRPr="002F7BE5">
        <w:rPr>
          <w:lang w:val="ru-RU"/>
        </w:rPr>
        <w:t>получив соответствующие указания</w:t>
      </w:r>
      <w:r w:rsidRPr="002F7BE5">
        <w:rPr>
          <w:lang w:val="ru-RU"/>
        </w:rPr>
        <w:t xml:space="preserve"> и</w:t>
      </w:r>
      <w:r w:rsidR="00C5419A" w:rsidRPr="002F7BE5">
        <w:rPr>
          <w:lang w:val="ru-RU"/>
        </w:rPr>
        <w:t xml:space="preserve"> </w:t>
      </w:r>
      <w:r w:rsidRPr="002F7BE5">
        <w:rPr>
          <w:lang w:val="ru-RU"/>
        </w:rPr>
        <w:t xml:space="preserve">разъяснения относительно того, почему </w:t>
      </w:r>
      <w:r w:rsidR="00C5419A" w:rsidRPr="002F7BE5">
        <w:rPr>
          <w:lang w:val="ru-RU"/>
        </w:rPr>
        <w:t xml:space="preserve">в их собственных интересах  следует </w:t>
      </w:r>
      <w:r w:rsidRPr="002F7BE5">
        <w:rPr>
          <w:lang w:val="ru-RU"/>
        </w:rPr>
        <w:t>хорош</w:t>
      </w:r>
      <w:r w:rsidR="00C5419A" w:rsidRPr="002F7BE5">
        <w:rPr>
          <w:lang w:val="ru-RU"/>
        </w:rPr>
        <w:t>о подготовить</w:t>
      </w:r>
      <w:r w:rsidRPr="002F7BE5">
        <w:rPr>
          <w:lang w:val="ru-RU"/>
        </w:rPr>
        <w:t xml:space="preserve"> реферат</w:t>
      </w:r>
      <w:r w:rsidR="00C5419A" w:rsidRPr="002F7BE5">
        <w:rPr>
          <w:lang w:val="ru-RU"/>
        </w:rPr>
        <w:t xml:space="preserve">. </w:t>
      </w:r>
      <w:r w:rsidRPr="002F7BE5">
        <w:rPr>
          <w:lang w:val="ru-RU"/>
        </w:rPr>
        <w:t xml:space="preserve"> Международное бюро </w:t>
      </w:r>
      <w:r w:rsidR="00C5419A" w:rsidRPr="002F7BE5">
        <w:rPr>
          <w:lang w:val="ru-RU"/>
        </w:rPr>
        <w:t>проанализирует</w:t>
      </w:r>
      <w:r w:rsidRPr="002F7BE5">
        <w:rPr>
          <w:lang w:val="ru-RU"/>
        </w:rPr>
        <w:t xml:space="preserve"> рекомендации, </w:t>
      </w:r>
      <w:r w:rsidR="00C5419A" w:rsidRPr="002F7BE5">
        <w:rPr>
          <w:lang w:val="ru-RU"/>
        </w:rPr>
        <w:t>содержащиеся в г</w:t>
      </w:r>
      <w:r w:rsidRPr="002F7BE5">
        <w:rPr>
          <w:lang w:val="ru-RU"/>
        </w:rPr>
        <w:t>лаве 5 Руководств</w:t>
      </w:r>
      <w:r w:rsidR="00C5419A" w:rsidRPr="002F7BE5">
        <w:rPr>
          <w:lang w:val="ru-RU"/>
        </w:rPr>
        <w:t>а</w:t>
      </w:r>
      <w:r w:rsidRPr="002F7BE5">
        <w:rPr>
          <w:lang w:val="ru-RU"/>
        </w:rPr>
        <w:t xml:space="preserve"> для заявителя, использующего РСТ. </w:t>
      </w:r>
      <w:r w:rsidR="00C5419A" w:rsidRPr="002F7BE5">
        <w:rPr>
          <w:lang w:val="ru-RU"/>
        </w:rPr>
        <w:t xml:space="preserve"> В порядке подспорья оно использует с</w:t>
      </w:r>
      <w:r w:rsidRPr="002F7BE5">
        <w:rPr>
          <w:lang w:val="ru-RU"/>
        </w:rPr>
        <w:t xml:space="preserve">тандарт ВОИС ST.12, но также </w:t>
      </w:r>
      <w:r w:rsidR="009510E8" w:rsidRPr="002F7BE5">
        <w:rPr>
          <w:lang w:val="ru-RU"/>
        </w:rPr>
        <w:t>с готовностью ознакомится с</w:t>
      </w:r>
      <w:r w:rsidR="00C5419A" w:rsidRPr="002F7BE5">
        <w:rPr>
          <w:lang w:val="ru-RU"/>
        </w:rPr>
        <w:t xml:space="preserve"> </w:t>
      </w:r>
      <w:r w:rsidRPr="002F7BE5">
        <w:rPr>
          <w:lang w:val="ru-RU"/>
        </w:rPr>
        <w:t>люб</w:t>
      </w:r>
      <w:r w:rsidR="00C5419A" w:rsidRPr="002F7BE5">
        <w:rPr>
          <w:lang w:val="ru-RU"/>
        </w:rPr>
        <w:t>ой</w:t>
      </w:r>
      <w:r w:rsidRPr="002F7BE5">
        <w:rPr>
          <w:lang w:val="ru-RU"/>
        </w:rPr>
        <w:t xml:space="preserve"> информаци</w:t>
      </w:r>
      <w:r w:rsidR="009510E8" w:rsidRPr="002F7BE5">
        <w:rPr>
          <w:lang w:val="ru-RU"/>
        </w:rPr>
        <w:t>ей</w:t>
      </w:r>
      <w:r w:rsidR="00C5419A" w:rsidRPr="002F7BE5">
        <w:rPr>
          <w:lang w:val="ru-RU"/>
        </w:rPr>
        <w:t xml:space="preserve"> о</w:t>
      </w:r>
      <w:r w:rsidRPr="002F7BE5">
        <w:rPr>
          <w:lang w:val="ru-RU"/>
        </w:rPr>
        <w:t xml:space="preserve"> национальных </w:t>
      </w:r>
      <w:r w:rsidR="00C5419A" w:rsidRPr="002F7BE5">
        <w:rPr>
          <w:lang w:val="ru-RU"/>
        </w:rPr>
        <w:t>рекомендациях по</w:t>
      </w:r>
      <w:r w:rsidRPr="002F7BE5">
        <w:rPr>
          <w:lang w:val="ru-RU"/>
        </w:rPr>
        <w:t xml:space="preserve"> составлени</w:t>
      </w:r>
      <w:r w:rsidR="00C5419A" w:rsidRPr="002F7BE5">
        <w:rPr>
          <w:lang w:val="ru-RU"/>
        </w:rPr>
        <w:t>ю рефератов</w:t>
      </w:r>
      <w:r w:rsidRPr="002F7BE5">
        <w:rPr>
          <w:lang w:val="ru-RU"/>
        </w:rPr>
        <w:t xml:space="preserve">, а также </w:t>
      </w:r>
      <w:r w:rsidR="009510E8" w:rsidRPr="002F7BE5">
        <w:rPr>
          <w:lang w:val="ru-RU"/>
        </w:rPr>
        <w:t xml:space="preserve">с </w:t>
      </w:r>
      <w:r w:rsidRPr="002F7BE5">
        <w:rPr>
          <w:lang w:val="ru-RU"/>
        </w:rPr>
        <w:t>мнения</w:t>
      </w:r>
      <w:r w:rsidR="009510E8" w:rsidRPr="002F7BE5">
        <w:rPr>
          <w:lang w:val="ru-RU"/>
        </w:rPr>
        <w:t>ми</w:t>
      </w:r>
      <w:r w:rsidRPr="002F7BE5">
        <w:rPr>
          <w:lang w:val="ru-RU"/>
        </w:rPr>
        <w:t xml:space="preserve"> по другим </w:t>
      </w:r>
      <w:r w:rsidR="009510E8" w:rsidRPr="002F7BE5">
        <w:rPr>
          <w:lang w:val="ru-RU"/>
        </w:rPr>
        <w:t xml:space="preserve">иногда затрагиваемым проблемам. </w:t>
      </w:r>
      <w:r w:rsidRPr="002F7BE5">
        <w:rPr>
          <w:lang w:val="ru-RU"/>
        </w:rPr>
        <w:t xml:space="preserve"> Например, некоторые заявители </w:t>
      </w:r>
      <w:r w:rsidR="009510E8" w:rsidRPr="002F7BE5">
        <w:rPr>
          <w:lang w:val="ru-RU"/>
        </w:rPr>
        <w:t>рассматривают</w:t>
      </w:r>
      <w:r w:rsidRPr="002F7BE5">
        <w:rPr>
          <w:lang w:val="ru-RU"/>
        </w:rPr>
        <w:t xml:space="preserve"> использование текста </w:t>
      </w:r>
      <w:r w:rsidR="009510E8" w:rsidRPr="002F7BE5">
        <w:rPr>
          <w:lang w:val="ru-RU"/>
        </w:rPr>
        <w:t xml:space="preserve">первого </w:t>
      </w:r>
      <w:r w:rsidRPr="002F7BE5">
        <w:rPr>
          <w:lang w:val="ru-RU"/>
        </w:rPr>
        <w:t xml:space="preserve">пункта формулы в качестве «безопасного» варианта, </w:t>
      </w:r>
      <w:r w:rsidR="009510E8" w:rsidRPr="002F7BE5">
        <w:rPr>
          <w:lang w:val="ru-RU"/>
        </w:rPr>
        <w:t>опасаясь</w:t>
      </w:r>
      <w:r w:rsidRPr="002F7BE5">
        <w:rPr>
          <w:lang w:val="ru-RU"/>
        </w:rPr>
        <w:t xml:space="preserve">, что </w:t>
      </w:r>
      <w:r w:rsidR="009510E8" w:rsidRPr="002F7BE5">
        <w:rPr>
          <w:lang w:val="ru-RU"/>
        </w:rPr>
        <w:t>какие-либо</w:t>
      </w:r>
      <w:r w:rsidRPr="002F7BE5">
        <w:rPr>
          <w:lang w:val="ru-RU"/>
        </w:rPr>
        <w:t xml:space="preserve"> расхождения между рефератом и </w:t>
      </w:r>
      <w:r w:rsidR="009510E8" w:rsidRPr="002F7BE5">
        <w:rPr>
          <w:lang w:val="ru-RU"/>
        </w:rPr>
        <w:t xml:space="preserve">этим первым </w:t>
      </w:r>
      <w:r w:rsidRPr="002F7BE5">
        <w:rPr>
          <w:lang w:val="ru-RU"/>
        </w:rPr>
        <w:t xml:space="preserve">пунктом могут влиять на толкование формулы изобретения, </w:t>
      </w:r>
      <w:r w:rsidR="009B0479">
        <w:rPr>
          <w:lang w:val="ru-RU"/>
        </w:rPr>
        <w:t xml:space="preserve">хотя </w:t>
      </w:r>
      <w:r w:rsidR="002F7BE5" w:rsidRPr="002F7BE5">
        <w:rPr>
          <w:lang w:val="ru-RU"/>
        </w:rPr>
        <w:t>в статье</w:t>
      </w:r>
      <w:r w:rsidRPr="002F7BE5">
        <w:rPr>
          <w:lang w:val="ru-RU"/>
        </w:rPr>
        <w:t xml:space="preserve"> </w:t>
      </w:r>
      <w:r w:rsidR="009510E8" w:rsidRPr="002F7BE5">
        <w:rPr>
          <w:lang w:val="ru-RU"/>
        </w:rPr>
        <w:t xml:space="preserve">3(3) </w:t>
      </w:r>
      <w:r w:rsidRPr="002F7BE5">
        <w:rPr>
          <w:lang w:val="ru-RU"/>
        </w:rPr>
        <w:t xml:space="preserve"> РСТ</w:t>
      </w:r>
      <w:r w:rsidR="002F7BE5" w:rsidRPr="002F7BE5">
        <w:rPr>
          <w:lang w:val="ru-RU"/>
        </w:rPr>
        <w:t xml:space="preserve"> четко указано, ч</w:t>
      </w:r>
      <w:r w:rsidRPr="002F7BE5">
        <w:rPr>
          <w:lang w:val="ru-RU"/>
        </w:rPr>
        <w:t>то «</w:t>
      </w:r>
      <w:r w:rsidR="002F7BE5">
        <w:rPr>
          <w:lang w:val="ru-RU"/>
        </w:rPr>
        <w:t>р</w:t>
      </w:r>
      <w:r w:rsidR="002F7BE5" w:rsidRPr="002F7BE5">
        <w:rPr>
          <w:lang w:val="ru-RU"/>
        </w:rPr>
        <w:t>еферат служит исключительно целям технической информации и не может приниматься во внимание в других целях, в частности, для толкования объема</w:t>
      </w:r>
      <w:r w:rsidR="002F7BE5">
        <w:rPr>
          <w:lang w:val="ru-RU"/>
        </w:rPr>
        <w:t xml:space="preserve"> </w:t>
      </w:r>
      <w:r w:rsidR="00251803">
        <w:rPr>
          <w:lang w:val="ru-RU"/>
        </w:rPr>
        <w:t>испрашиваемой охраны</w:t>
      </w:r>
      <w:r w:rsidRPr="002F7BE5">
        <w:rPr>
          <w:lang w:val="ru-RU"/>
        </w:rPr>
        <w:t>».</w:t>
      </w:r>
    </w:p>
    <w:bookmarkEnd w:id="3"/>
    <w:p w:rsidR="00907055" w:rsidRPr="002F7BE5" w:rsidRDefault="002F7BE5" w:rsidP="00907055">
      <w:pPr>
        <w:pStyle w:val="Heading3"/>
        <w:rPr>
          <w:lang w:val="ru-RU"/>
        </w:rPr>
      </w:pPr>
      <w:r>
        <w:rPr>
          <w:lang w:val="ru-RU"/>
        </w:rPr>
        <w:t>Рефераты, составленные не на английском языке</w:t>
      </w:r>
    </w:p>
    <w:p w:rsidR="0056571A" w:rsidRPr="0056571A" w:rsidRDefault="002F7BE5" w:rsidP="0056571A">
      <w:pPr>
        <w:pStyle w:val="ONUME"/>
        <w:rPr>
          <w:lang w:val="ru-RU"/>
        </w:rPr>
      </w:pPr>
      <w:r>
        <w:rPr>
          <w:lang w:val="ru-RU"/>
        </w:rPr>
        <w:t>Серьезное беспокойство вызывает тот</w:t>
      </w:r>
      <w:r w:rsidR="0056571A" w:rsidRPr="0056571A">
        <w:rPr>
          <w:lang w:val="ru-RU"/>
        </w:rPr>
        <w:t xml:space="preserve"> аспект составления </w:t>
      </w:r>
      <w:r>
        <w:rPr>
          <w:lang w:val="ru-RU"/>
        </w:rPr>
        <w:t>рефератов</w:t>
      </w:r>
      <w:r w:rsidR="0056571A" w:rsidRPr="0056571A">
        <w:rPr>
          <w:lang w:val="ru-RU"/>
        </w:rPr>
        <w:t>, чт</w:t>
      </w:r>
      <w:r>
        <w:rPr>
          <w:lang w:val="ru-RU"/>
        </w:rPr>
        <w:t xml:space="preserve">о заявители, подающие заявки не на английском </w:t>
      </w:r>
      <w:r w:rsidR="0056571A" w:rsidRPr="0056571A">
        <w:rPr>
          <w:lang w:val="ru-RU"/>
        </w:rPr>
        <w:t>язык</w:t>
      </w:r>
      <w:r>
        <w:rPr>
          <w:lang w:val="ru-RU"/>
        </w:rPr>
        <w:t>е</w:t>
      </w:r>
      <w:r w:rsidR="0056571A" w:rsidRPr="0056571A">
        <w:rPr>
          <w:lang w:val="ru-RU"/>
        </w:rPr>
        <w:t xml:space="preserve">, </w:t>
      </w:r>
      <w:r>
        <w:rPr>
          <w:lang w:val="ru-RU"/>
        </w:rPr>
        <w:t xml:space="preserve">не знают, </w:t>
      </w:r>
      <w:r w:rsidR="00C03B38">
        <w:rPr>
          <w:lang w:val="ru-RU"/>
        </w:rPr>
        <w:t>каков будет объем реферата после</w:t>
      </w:r>
      <w:r>
        <w:rPr>
          <w:lang w:val="ru-RU"/>
        </w:rPr>
        <w:t xml:space="preserve"> перевода на английский язык. </w:t>
      </w:r>
      <w:r w:rsidR="0056571A" w:rsidRPr="0056571A">
        <w:rPr>
          <w:lang w:val="ru-RU"/>
        </w:rPr>
        <w:t xml:space="preserve"> Предлагается разработать </w:t>
      </w:r>
      <w:r w:rsidR="00C03B38">
        <w:rPr>
          <w:lang w:val="ru-RU"/>
        </w:rPr>
        <w:t>рекомендации</w:t>
      </w:r>
      <w:r w:rsidR="0056571A" w:rsidRPr="0056571A">
        <w:rPr>
          <w:lang w:val="ru-RU"/>
        </w:rPr>
        <w:t xml:space="preserve"> на каждом язык</w:t>
      </w:r>
      <w:r w:rsidR="00985CAD">
        <w:rPr>
          <w:lang w:val="ru-RU"/>
        </w:rPr>
        <w:t>е</w:t>
      </w:r>
      <w:r w:rsidR="0056571A" w:rsidRPr="0056571A">
        <w:rPr>
          <w:lang w:val="ru-RU"/>
        </w:rPr>
        <w:t xml:space="preserve"> публикации</w:t>
      </w:r>
      <w:r w:rsidR="00C03B38">
        <w:rPr>
          <w:lang w:val="ru-RU"/>
        </w:rPr>
        <w:t xml:space="preserve"> с указанием</w:t>
      </w:r>
      <w:r w:rsidR="0056571A" w:rsidRPr="0056571A">
        <w:rPr>
          <w:lang w:val="ru-RU"/>
        </w:rPr>
        <w:t xml:space="preserve"> рекомендуемы</w:t>
      </w:r>
      <w:r w:rsidR="00C03B38">
        <w:rPr>
          <w:lang w:val="ru-RU"/>
        </w:rPr>
        <w:t>х</w:t>
      </w:r>
      <w:r w:rsidR="0056571A" w:rsidRPr="0056571A">
        <w:rPr>
          <w:lang w:val="ru-RU"/>
        </w:rPr>
        <w:t xml:space="preserve"> диапазон</w:t>
      </w:r>
      <w:r w:rsidR="00C03B38">
        <w:rPr>
          <w:lang w:val="ru-RU"/>
        </w:rPr>
        <w:t>ов</w:t>
      </w:r>
      <w:r w:rsidR="0056571A" w:rsidRPr="0056571A">
        <w:rPr>
          <w:lang w:val="ru-RU"/>
        </w:rPr>
        <w:t xml:space="preserve"> на основе </w:t>
      </w:r>
      <w:r w:rsidR="00C03B38">
        <w:rPr>
          <w:lang w:val="ru-RU"/>
        </w:rPr>
        <w:t>со</w:t>
      </w:r>
      <w:r w:rsidR="0056571A" w:rsidRPr="0056571A">
        <w:rPr>
          <w:lang w:val="ru-RU"/>
        </w:rPr>
        <w:t xml:space="preserve">отношения среднего </w:t>
      </w:r>
      <w:r w:rsidR="00C03B38">
        <w:rPr>
          <w:lang w:val="ru-RU"/>
        </w:rPr>
        <w:t>количества</w:t>
      </w:r>
      <w:r w:rsidR="0056571A" w:rsidRPr="0056571A">
        <w:rPr>
          <w:lang w:val="ru-RU"/>
        </w:rPr>
        <w:t xml:space="preserve"> слов или знаков на языке публикации </w:t>
      </w:r>
      <w:r w:rsidR="00C03B38">
        <w:rPr>
          <w:lang w:val="ru-RU"/>
        </w:rPr>
        <w:t>и</w:t>
      </w:r>
      <w:r w:rsidR="0056571A" w:rsidRPr="0056571A">
        <w:rPr>
          <w:lang w:val="ru-RU"/>
        </w:rPr>
        <w:t xml:space="preserve"> средне</w:t>
      </w:r>
      <w:r w:rsidR="00C03B38">
        <w:rPr>
          <w:lang w:val="ru-RU"/>
        </w:rPr>
        <w:t>го количества</w:t>
      </w:r>
      <w:r w:rsidR="0056571A" w:rsidRPr="0056571A">
        <w:rPr>
          <w:lang w:val="ru-RU"/>
        </w:rPr>
        <w:t xml:space="preserve"> слов на английском языке </w:t>
      </w:r>
      <w:r w:rsidR="00C03B38">
        <w:rPr>
          <w:lang w:val="ru-RU"/>
        </w:rPr>
        <w:t>в переве</w:t>
      </w:r>
      <w:r w:rsidR="0056571A" w:rsidRPr="0056571A">
        <w:rPr>
          <w:lang w:val="ru-RU"/>
        </w:rPr>
        <w:t>д</w:t>
      </w:r>
      <w:r w:rsidR="00C03B38">
        <w:rPr>
          <w:lang w:val="ru-RU"/>
        </w:rPr>
        <w:t>енных текстах</w:t>
      </w:r>
      <w:r w:rsidR="0056571A" w:rsidRPr="0056571A">
        <w:rPr>
          <w:lang w:val="ru-RU"/>
        </w:rPr>
        <w:t xml:space="preserve"> </w:t>
      </w:r>
      <w:r w:rsidR="00C03B38">
        <w:rPr>
          <w:lang w:val="ru-RU"/>
        </w:rPr>
        <w:t>рефератов</w:t>
      </w:r>
      <w:r w:rsidR="0056571A" w:rsidRPr="0056571A">
        <w:rPr>
          <w:lang w:val="ru-RU"/>
        </w:rPr>
        <w:t xml:space="preserve">, </w:t>
      </w:r>
      <w:r w:rsidR="00C03B38">
        <w:rPr>
          <w:lang w:val="ru-RU"/>
        </w:rPr>
        <w:t xml:space="preserve">подготовленных </w:t>
      </w:r>
      <w:r w:rsidR="0056571A" w:rsidRPr="0056571A">
        <w:rPr>
          <w:lang w:val="ru-RU"/>
        </w:rPr>
        <w:t>Международн</w:t>
      </w:r>
      <w:r w:rsidR="00C03B38">
        <w:rPr>
          <w:lang w:val="ru-RU"/>
        </w:rPr>
        <w:t>ым</w:t>
      </w:r>
      <w:r w:rsidR="0056571A" w:rsidRPr="0056571A">
        <w:rPr>
          <w:lang w:val="ru-RU"/>
        </w:rPr>
        <w:t xml:space="preserve"> бюро для публикации в 2016 году:</w:t>
      </w:r>
    </w:p>
    <w:tbl>
      <w:tblPr>
        <w:tblStyle w:val="TableGrid"/>
        <w:tblW w:w="97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1134"/>
        <w:gridCol w:w="1134"/>
        <w:gridCol w:w="1346"/>
        <w:gridCol w:w="1064"/>
        <w:gridCol w:w="843"/>
        <w:gridCol w:w="876"/>
        <w:gridCol w:w="2117"/>
      </w:tblGrid>
      <w:tr w:rsidR="00907055" w:rsidRPr="009B1897" w:rsidTr="00D448FE">
        <w:tc>
          <w:tcPr>
            <w:tcW w:w="1191" w:type="dxa"/>
            <w:noWrap/>
            <w:hideMark/>
          </w:tcPr>
          <w:p w:rsidR="00907055" w:rsidRPr="00C03B38" w:rsidRDefault="00C03B38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Язык публика</w:t>
            </w:r>
            <w:r w:rsidR="00D448FE">
              <w:rPr>
                <w:b/>
                <w:bCs/>
                <w:sz w:val="20"/>
                <w:lang w:val="ru-RU"/>
              </w:rPr>
              <w:t>-</w:t>
            </w:r>
            <w:r>
              <w:rPr>
                <w:b/>
                <w:bCs/>
                <w:sz w:val="20"/>
                <w:lang w:val="ru-RU"/>
              </w:rPr>
              <w:t>ции</w:t>
            </w:r>
          </w:p>
        </w:tc>
        <w:tc>
          <w:tcPr>
            <w:tcW w:w="1134" w:type="dxa"/>
            <w:hideMark/>
          </w:tcPr>
          <w:p w:rsid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Количе-ство ре-фератов, опублико-</w:t>
            </w:r>
          </w:p>
          <w:p w:rsidR="00907055" w:rsidRPr="001A6384" w:rsidRDefault="00D448FE" w:rsidP="00D448FE">
            <w:pPr>
              <w:spacing w:before="40" w:after="4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ru-RU"/>
              </w:rPr>
              <w:t>ванных</w:t>
            </w:r>
            <w:r w:rsidR="00907055" w:rsidRPr="00D448FE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в 2016 г.</w:t>
            </w:r>
          </w:p>
        </w:tc>
        <w:tc>
          <w:tcPr>
            <w:tcW w:w="1134" w:type="dxa"/>
            <w:hideMark/>
          </w:tcPr>
          <w:p w:rsidR="00D448FE" w:rsidRPr="009B5485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Среднее</w:t>
            </w:r>
            <w:r w:rsidRPr="009B5485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количе</w:t>
            </w:r>
            <w:r w:rsidRPr="009B5485">
              <w:rPr>
                <w:b/>
                <w:bCs/>
                <w:sz w:val="20"/>
                <w:lang w:val="ru-RU"/>
              </w:rPr>
              <w:t>-</w:t>
            </w:r>
          </w:p>
          <w:p w:rsid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ство</w:t>
            </w:r>
            <w:r w:rsidRPr="00D448FE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слов</w:t>
            </w:r>
            <w:r w:rsidR="00907055" w:rsidRPr="00D448FE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в рефе-</w:t>
            </w:r>
          </w:p>
          <w:p w:rsid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рате</w:t>
            </w:r>
          </w:p>
          <w:p w:rsidR="00D448FE" w:rsidRDefault="00907055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448FE">
              <w:rPr>
                <w:b/>
                <w:bCs/>
                <w:sz w:val="20"/>
                <w:lang w:val="ru-RU"/>
              </w:rPr>
              <w:t>(</w:t>
            </w:r>
            <w:r w:rsidR="00D448FE">
              <w:rPr>
                <w:b/>
                <w:bCs/>
                <w:sz w:val="20"/>
                <w:lang w:val="ru-RU"/>
              </w:rPr>
              <w:t>на языке</w:t>
            </w:r>
          </w:p>
          <w:p w:rsidR="00907055" w:rsidRP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исход-ного текста</w:t>
            </w:r>
            <w:r w:rsidR="00907055" w:rsidRPr="00D448FE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1346" w:type="dxa"/>
            <w:hideMark/>
          </w:tcPr>
          <w:p w:rsidR="00D448FE" w:rsidRP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448FE">
              <w:rPr>
                <w:b/>
                <w:bCs/>
                <w:sz w:val="20"/>
                <w:lang w:val="ru-RU"/>
              </w:rPr>
              <w:t>Среднее количе-</w:t>
            </w:r>
          </w:p>
          <w:p w:rsidR="00D448FE" w:rsidRP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448FE">
              <w:rPr>
                <w:b/>
                <w:bCs/>
                <w:sz w:val="20"/>
                <w:lang w:val="ru-RU"/>
              </w:rPr>
              <w:t>ство слов в рефе-</w:t>
            </w:r>
          </w:p>
          <w:p w:rsidR="00907055" w:rsidRPr="00D448FE" w:rsidRDefault="00D448FE" w:rsidP="00CB3D99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D448FE">
              <w:rPr>
                <w:b/>
                <w:bCs/>
                <w:sz w:val="20"/>
                <w:lang w:val="ru-RU"/>
              </w:rPr>
              <w:t xml:space="preserve">рате </w:t>
            </w:r>
            <w:r w:rsidR="00907055" w:rsidRPr="00D448FE">
              <w:rPr>
                <w:b/>
                <w:bCs/>
                <w:sz w:val="20"/>
                <w:lang w:val="ru-RU"/>
              </w:rPr>
              <w:t>(</w:t>
            </w:r>
            <w:r>
              <w:rPr>
                <w:b/>
                <w:bCs/>
                <w:sz w:val="20"/>
                <w:lang w:val="ru-RU"/>
              </w:rPr>
              <w:t>в переводе на англий-ский язык</w:t>
            </w:r>
            <w:r w:rsidR="00907055" w:rsidRPr="00D448FE">
              <w:rPr>
                <w:b/>
                <w:bCs/>
                <w:sz w:val="20"/>
                <w:lang w:val="ru-RU"/>
              </w:rPr>
              <w:t>)</w:t>
            </w:r>
          </w:p>
        </w:tc>
        <w:tc>
          <w:tcPr>
            <w:tcW w:w="1064" w:type="dxa"/>
            <w:hideMark/>
          </w:tcPr>
          <w:p w:rsidR="00907055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Коэффи-</w:t>
            </w:r>
          </w:p>
          <w:p w:rsidR="00D448FE" w:rsidRPr="00D448FE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циент</w:t>
            </w:r>
          </w:p>
        </w:tc>
        <w:tc>
          <w:tcPr>
            <w:tcW w:w="843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Экви-валент</w:t>
            </w:r>
            <w:r w:rsidR="00907055" w:rsidRPr="001A6384">
              <w:rPr>
                <w:b/>
                <w:sz w:val="20"/>
              </w:rPr>
              <w:t xml:space="preserve"> 50</w:t>
            </w:r>
            <w:r>
              <w:rPr>
                <w:b/>
                <w:sz w:val="20"/>
                <w:lang w:val="ru-RU"/>
              </w:rPr>
              <w:t xml:space="preserve"> слов</w:t>
            </w:r>
          </w:p>
        </w:tc>
        <w:tc>
          <w:tcPr>
            <w:tcW w:w="876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b/>
                <w:sz w:val="20"/>
                <w:lang w:val="ru-RU"/>
              </w:rPr>
            </w:pPr>
            <w:r w:rsidRPr="00D448FE">
              <w:rPr>
                <w:b/>
                <w:sz w:val="20"/>
                <w:lang w:val="ru-RU"/>
              </w:rPr>
              <w:t>Экви</w:t>
            </w:r>
            <w:r>
              <w:rPr>
                <w:b/>
                <w:sz w:val="20"/>
                <w:lang w:val="ru-RU"/>
              </w:rPr>
              <w:t>-валент</w:t>
            </w:r>
            <w:r w:rsidRPr="00D448FE">
              <w:rPr>
                <w:b/>
                <w:sz w:val="20"/>
              </w:rPr>
              <w:t xml:space="preserve"> </w:t>
            </w:r>
            <w:r w:rsidR="00907055" w:rsidRPr="001A6384">
              <w:rPr>
                <w:b/>
                <w:sz w:val="20"/>
              </w:rPr>
              <w:t>150</w:t>
            </w:r>
            <w:r>
              <w:rPr>
                <w:b/>
                <w:sz w:val="20"/>
                <w:lang w:val="ru-RU"/>
              </w:rPr>
              <w:t xml:space="preserve"> слов</w:t>
            </w:r>
          </w:p>
        </w:tc>
        <w:tc>
          <w:tcPr>
            <w:tcW w:w="2117" w:type="dxa"/>
            <w:hideMark/>
          </w:tcPr>
          <w:p w:rsidR="00D448FE" w:rsidRPr="009B5485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Предлагаемый</w:t>
            </w:r>
          </w:p>
          <w:p w:rsidR="00907055" w:rsidRPr="009B5485" w:rsidRDefault="00D448FE" w:rsidP="00D448FE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>диапазон</w:t>
            </w:r>
            <w:r w:rsidRPr="009B5485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на</w:t>
            </w:r>
            <w:r w:rsidRPr="009B5485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языке</w:t>
            </w:r>
            <w:r w:rsidRPr="009B5485">
              <w:rPr>
                <w:b/>
                <w:bCs/>
                <w:sz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lang w:val="ru-RU"/>
              </w:rPr>
              <w:t>оригинала</w:t>
            </w:r>
            <w:r w:rsidRPr="009B5485">
              <w:rPr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Арабский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26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127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172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74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36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9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110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8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E11E40" w:rsidP="00E11E4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z w:val="20"/>
                <w:lang w:val="ru-RU"/>
              </w:rPr>
              <w:t>–</w:t>
            </w:r>
            <w:r w:rsidR="00907055" w:rsidRPr="001A6384">
              <w:rPr>
                <w:sz w:val="20"/>
              </w:rPr>
              <w:t xml:space="preserve">110 </w:t>
            </w:r>
            <w:r>
              <w:rPr>
                <w:sz w:val="20"/>
              </w:rPr>
              <w:t>слов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Китайский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26</w:t>
            </w:r>
            <w:r w:rsidR="00E11E40">
              <w:rPr>
                <w:sz w:val="20"/>
                <w:lang w:val="ru-RU"/>
              </w:rPr>
              <w:t xml:space="preserve"> </w:t>
            </w:r>
            <w:r w:rsidRPr="001A6384">
              <w:rPr>
                <w:sz w:val="20"/>
              </w:rPr>
              <w:t>001</w:t>
            </w:r>
          </w:p>
        </w:tc>
        <w:tc>
          <w:tcPr>
            <w:tcW w:w="1134" w:type="dxa"/>
            <w:noWrap/>
          </w:tcPr>
          <w:p w:rsidR="00907055" w:rsidRPr="00E11E40" w:rsidRDefault="00907055" w:rsidP="00E11E40">
            <w:pPr>
              <w:spacing w:before="40" w:after="40"/>
              <w:ind w:right="84"/>
              <w:jc w:val="right"/>
              <w:rPr>
                <w:sz w:val="20"/>
                <w:lang w:val="ru-RU"/>
              </w:rPr>
            </w:pPr>
            <w:r w:rsidRPr="001A6384">
              <w:rPr>
                <w:sz w:val="20"/>
              </w:rPr>
              <w:t xml:space="preserve">236 </w:t>
            </w:r>
            <w:r w:rsidR="00E11E40">
              <w:rPr>
                <w:sz w:val="20"/>
                <w:lang w:val="ru-RU"/>
              </w:rPr>
              <w:t>знаков</w:t>
            </w:r>
          </w:p>
        </w:tc>
        <w:tc>
          <w:tcPr>
            <w:tcW w:w="1346" w:type="dxa"/>
            <w:noWrap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150</w:t>
            </w:r>
          </w:p>
        </w:tc>
        <w:tc>
          <w:tcPr>
            <w:tcW w:w="1064" w:type="dxa"/>
            <w:noWrap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57</w:t>
            </w:r>
          </w:p>
        </w:tc>
        <w:tc>
          <w:tcPr>
            <w:tcW w:w="843" w:type="dxa"/>
            <w:noWrap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78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7</w:t>
            </w:r>
          </w:p>
        </w:tc>
        <w:tc>
          <w:tcPr>
            <w:tcW w:w="876" w:type="dxa"/>
            <w:noWrap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236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0</w:t>
            </w:r>
          </w:p>
        </w:tc>
        <w:tc>
          <w:tcPr>
            <w:tcW w:w="2117" w:type="dxa"/>
            <w:noWrap/>
          </w:tcPr>
          <w:p w:rsidR="00907055" w:rsidRPr="00E11E40" w:rsidRDefault="00907055" w:rsidP="00E11E40">
            <w:pPr>
              <w:spacing w:before="40" w:after="40"/>
              <w:rPr>
                <w:sz w:val="20"/>
                <w:lang w:val="ru-RU"/>
              </w:rPr>
            </w:pPr>
            <w:r w:rsidRPr="001A6384">
              <w:rPr>
                <w:sz w:val="20"/>
              </w:rPr>
              <w:t>80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240 </w:t>
            </w:r>
            <w:r w:rsidR="00E11E40">
              <w:rPr>
                <w:sz w:val="20"/>
                <w:lang w:val="ru-RU"/>
              </w:rPr>
              <w:t>знаков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Француз-ский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6</w:t>
            </w:r>
            <w:r w:rsidR="00E11E40">
              <w:rPr>
                <w:sz w:val="20"/>
                <w:lang w:val="ru-RU"/>
              </w:rPr>
              <w:t xml:space="preserve"> </w:t>
            </w:r>
            <w:r w:rsidRPr="001A6384">
              <w:rPr>
                <w:sz w:val="20"/>
              </w:rPr>
              <w:t>183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125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126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99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49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6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148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8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907055" w:rsidP="00D448FE">
            <w:pPr>
              <w:spacing w:before="40" w:after="40"/>
              <w:rPr>
                <w:sz w:val="20"/>
              </w:rPr>
            </w:pPr>
            <w:r w:rsidRPr="001A6384">
              <w:rPr>
                <w:sz w:val="20"/>
              </w:rPr>
              <w:t>50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150 </w:t>
            </w:r>
            <w:r w:rsidR="00E11E40">
              <w:rPr>
                <w:sz w:val="20"/>
              </w:rPr>
              <w:t>слов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Немецкий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16</w:t>
            </w:r>
            <w:r w:rsidR="00E11E40">
              <w:rPr>
                <w:sz w:val="20"/>
                <w:lang w:val="ru-RU"/>
              </w:rPr>
              <w:t xml:space="preserve"> </w:t>
            </w:r>
            <w:r w:rsidRPr="001A6384">
              <w:rPr>
                <w:sz w:val="20"/>
              </w:rPr>
              <w:t>088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109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141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77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38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7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116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0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907055" w:rsidP="00D448FE">
            <w:pPr>
              <w:spacing w:before="40" w:after="40"/>
              <w:rPr>
                <w:sz w:val="20"/>
              </w:rPr>
            </w:pPr>
            <w:r w:rsidRPr="001A6384">
              <w:rPr>
                <w:sz w:val="20"/>
              </w:rPr>
              <w:t>40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120 </w:t>
            </w:r>
            <w:r w:rsidR="00E11E40">
              <w:rPr>
                <w:sz w:val="20"/>
              </w:rPr>
              <w:t>слов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Японский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E11E40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41</w:t>
            </w:r>
            <w:r w:rsidR="00E11E40">
              <w:rPr>
                <w:sz w:val="20"/>
                <w:lang w:val="ru-RU"/>
              </w:rPr>
              <w:t xml:space="preserve"> </w:t>
            </w:r>
            <w:r w:rsidRPr="001A6384">
              <w:rPr>
                <w:sz w:val="20"/>
              </w:rPr>
              <w:t>847</w:t>
            </w:r>
          </w:p>
        </w:tc>
        <w:tc>
          <w:tcPr>
            <w:tcW w:w="1134" w:type="dxa"/>
            <w:noWrap/>
            <w:hideMark/>
          </w:tcPr>
          <w:p w:rsidR="00907055" w:rsidRPr="00E11E40" w:rsidRDefault="00907055" w:rsidP="00E11E40">
            <w:pPr>
              <w:spacing w:before="40" w:after="40"/>
              <w:ind w:right="84"/>
              <w:jc w:val="right"/>
              <w:rPr>
                <w:sz w:val="20"/>
                <w:lang w:val="ru-RU"/>
              </w:rPr>
            </w:pPr>
            <w:r w:rsidRPr="001A6384">
              <w:rPr>
                <w:sz w:val="20"/>
              </w:rPr>
              <w:t xml:space="preserve"> 274 </w:t>
            </w:r>
            <w:r w:rsidR="00E11E40">
              <w:rPr>
                <w:sz w:val="20"/>
                <w:lang w:val="ru-RU"/>
              </w:rPr>
              <w:t>знака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135</w:t>
            </w:r>
          </w:p>
        </w:tc>
        <w:tc>
          <w:tcPr>
            <w:tcW w:w="1064" w:type="dxa"/>
            <w:noWrap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2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03</w:t>
            </w:r>
          </w:p>
        </w:tc>
        <w:tc>
          <w:tcPr>
            <w:tcW w:w="843" w:type="dxa"/>
            <w:noWrap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101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5</w:t>
            </w:r>
          </w:p>
        </w:tc>
        <w:tc>
          <w:tcPr>
            <w:tcW w:w="876" w:type="dxa"/>
            <w:noWrap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304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4</w:t>
            </w:r>
          </w:p>
        </w:tc>
        <w:tc>
          <w:tcPr>
            <w:tcW w:w="2117" w:type="dxa"/>
            <w:noWrap/>
            <w:hideMark/>
          </w:tcPr>
          <w:p w:rsidR="00907055" w:rsidRPr="00E11E40" w:rsidRDefault="00907055" w:rsidP="00E11E40">
            <w:pPr>
              <w:spacing w:before="40" w:after="40"/>
              <w:rPr>
                <w:sz w:val="20"/>
                <w:lang w:val="ru-RU"/>
              </w:rPr>
            </w:pPr>
            <w:r w:rsidRPr="001A6384">
              <w:rPr>
                <w:sz w:val="20"/>
              </w:rPr>
              <w:t>100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300 </w:t>
            </w:r>
            <w:r w:rsidR="00E11E40">
              <w:rPr>
                <w:sz w:val="20"/>
                <w:lang w:val="ru-RU"/>
              </w:rPr>
              <w:t>знаков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Корейский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11</w:t>
            </w:r>
            <w:r w:rsidR="00E11E40">
              <w:rPr>
                <w:sz w:val="20"/>
                <w:lang w:val="ru-RU"/>
              </w:rPr>
              <w:t xml:space="preserve"> </w:t>
            </w:r>
            <w:r w:rsidRPr="001A6384">
              <w:rPr>
                <w:sz w:val="20"/>
              </w:rPr>
              <w:t>866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77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132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58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29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2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87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5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907055" w:rsidP="00D448FE">
            <w:pPr>
              <w:spacing w:before="40" w:after="40"/>
              <w:rPr>
                <w:sz w:val="20"/>
              </w:rPr>
            </w:pPr>
            <w:r w:rsidRPr="001A6384">
              <w:rPr>
                <w:sz w:val="20"/>
              </w:rPr>
              <w:t>30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130 </w:t>
            </w:r>
            <w:r w:rsidR="00E11E40">
              <w:rPr>
                <w:sz w:val="20"/>
              </w:rPr>
              <w:t>слов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Португаль-ский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480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131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129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02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50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8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152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3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907055" w:rsidP="00D448FE">
            <w:pPr>
              <w:spacing w:before="40" w:after="40"/>
              <w:rPr>
                <w:sz w:val="20"/>
              </w:rPr>
            </w:pPr>
            <w:r w:rsidRPr="001A6384">
              <w:rPr>
                <w:sz w:val="20"/>
              </w:rPr>
              <w:t>50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150 </w:t>
            </w:r>
            <w:r w:rsidR="00E11E40">
              <w:rPr>
                <w:sz w:val="20"/>
              </w:rPr>
              <w:t>слов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Русский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824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122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171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71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35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7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107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0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907055" w:rsidP="00D448FE">
            <w:pPr>
              <w:spacing w:before="40" w:after="40"/>
              <w:rPr>
                <w:sz w:val="20"/>
              </w:rPr>
            </w:pPr>
            <w:r w:rsidRPr="001A6384">
              <w:rPr>
                <w:sz w:val="20"/>
              </w:rPr>
              <w:t>35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110 </w:t>
            </w:r>
            <w:r w:rsidR="00E11E40">
              <w:rPr>
                <w:sz w:val="20"/>
              </w:rPr>
              <w:t>слов</w:t>
            </w:r>
          </w:p>
        </w:tc>
      </w:tr>
      <w:tr w:rsidR="00907055" w:rsidRPr="00201EAD" w:rsidTr="00D448FE">
        <w:tc>
          <w:tcPr>
            <w:tcW w:w="1191" w:type="dxa"/>
            <w:noWrap/>
            <w:hideMark/>
          </w:tcPr>
          <w:p w:rsidR="00907055" w:rsidRPr="00D448FE" w:rsidRDefault="00D448FE" w:rsidP="00D448FE">
            <w:pPr>
              <w:spacing w:before="40" w:after="4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Испанский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</w:t>
            </w:r>
            <w:r w:rsidR="00E11E40">
              <w:rPr>
                <w:sz w:val="20"/>
                <w:lang w:val="ru-RU"/>
              </w:rPr>
              <w:t xml:space="preserve"> </w:t>
            </w:r>
            <w:r w:rsidRPr="001A6384">
              <w:rPr>
                <w:sz w:val="20"/>
              </w:rPr>
              <w:t>497</w:t>
            </w:r>
          </w:p>
        </w:tc>
        <w:tc>
          <w:tcPr>
            <w:tcW w:w="113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84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118</w:t>
            </w:r>
          </w:p>
        </w:tc>
        <w:tc>
          <w:tcPr>
            <w:tcW w:w="134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296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116</w:t>
            </w:r>
          </w:p>
        </w:tc>
        <w:tc>
          <w:tcPr>
            <w:tcW w:w="1064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02</w:t>
            </w:r>
          </w:p>
        </w:tc>
        <w:tc>
          <w:tcPr>
            <w:tcW w:w="843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50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9</w:t>
            </w:r>
          </w:p>
        </w:tc>
        <w:tc>
          <w:tcPr>
            <w:tcW w:w="876" w:type="dxa"/>
            <w:noWrap/>
            <w:hideMark/>
          </w:tcPr>
          <w:p w:rsidR="00907055" w:rsidRPr="001A6384" w:rsidRDefault="00907055" w:rsidP="00D448FE">
            <w:pPr>
              <w:spacing w:before="40" w:after="40"/>
              <w:ind w:right="149"/>
              <w:jc w:val="right"/>
              <w:rPr>
                <w:sz w:val="20"/>
              </w:rPr>
            </w:pPr>
            <w:r w:rsidRPr="001A6384">
              <w:rPr>
                <w:sz w:val="20"/>
              </w:rPr>
              <w:t>152</w:t>
            </w:r>
            <w:r w:rsidR="00D448FE">
              <w:rPr>
                <w:sz w:val="20"/>
              </w:rPr>
              <w:t>,</w:t>
            </w:r>
            <w:r w:rsidRPr="001A6384">
              <w:rPr>
                <w:sz w:val="20"/>
              </w:rPr>
              <w:t>6</w:t>
            </w:r>
          </w:p>
        </w:tc>
        <w:tc>
          <w:tcPr>
            <w:tcW w:w="2117" w:type="dxa"/>
            <w:noWrap/>
            <w:hideMark/>
          </w:tcPr>
          <w:p w:rsidR="00907055" w:rsidRPr="001A6384" w:rsidRDefault="00907055" w:rsidP="00D448FE">
            <w:pPr>
              <w:spacing w:before="40" w:after="40"/>
              <w:rPr>
                <w:sz w:val="20"/>
              </w:rPr>
            </w:pPr>
            <w:r w:rsidRPr="001A6384">
              <w:rPr>
                <w:sz w:val="20"/>
              </w:rPr>
              <w:t>50</w:t>
            </w:r>
            <w:r w:rsidR="00E11E40">
              <w:rPr>
                <w:sz w:val="20"/>
              </w:rPr>
              <w:t>–</w:t>
            </w:r>
            <w:r w:rsidRPr="001A6384">
              <w:rPr>
                <w:sz w:val="20"/>
              </w:rPr>
              <w:t xml:space="preserve">150 </w:t>
            </w:r>
            <w:r w:rsidR="00E11E40">
              <w:rPr>
                <w:sz w:val="20"/>
              </w:rPr>
              <w:t>слов</w:t>
            </w:r>
          </w:p>
        </w:tc>
      </w:tr>
    </w:tbl>
    <w:p w:rsidR="00907055" w:rsidRPr="00E07187" w:rsidRDefault="00F4666C" w:rsidP="00907055">
      <w:pPr>
        <w:pStyle w:val="Heading1"/>
      </w:pPr>
      <w:r>
        <w:rPr>
          <w:lang w:val="ru-RU"/>
        </w:rPr>
        <w:t xml:space="preserve">рассмотрение </w:t>
      </w:r>
      <w:r w:rsidR="009B5485">
        <w:rPr>
          <w:lang w:val="ru-RU"/>
        </w:rPr>
        <w:t>ПОЛУЧАЮЩИМИ ВЕДОМСТВАМИ</w:t>
      </w:r>
    </w:p>
    <w:p w:rsidR="00907055" w:rsidRPr="005E1C8F" w:rsidRDefault="0056571A" w:rsidP="00176DBF">
      <w:pPr>
        <w:pStyle w:val="ONUME"/>
        <w:rPr>
          <w:lang w:val="ru-RU"/>
        </w:rPr>
      </w:pPr>
      <w:r w:rsidRPr="0056571A">
        <w:rPr>
          <w:lang w:val="ru-RU"/>
        </w:rPr>
        <w:t xml:space="preserve">Международное бюро отмечает </w:t>
      </w:r>
      <w:r w:rsidR="009B5485" w:rsidRPr="0056571A">
        <w:rPr>
          <w:lang w:val="ru-RU"/>
        </w:rPr>
        <w:t xml:space="preserve">полученные в ответ на </w:t>
      </w:r>
      <w:r w:rsidR="009B5485">
        <w:rPr>
          <w:lang w:val="ru-RU"/>
        </w:rPr>
        <w:t>ц</w:t>
      </w:r>
      <w:r w:rsidR="009B5485" w:rsidRPr="0056571A">
        <w:rPr>
          <w:lang w:val="ru-RU"/>
        </w:rPr>
        <w:t>иркуляр</w:t>
      </w:r>
      <w:r w:rsidR="009B5485">
        <w:rPr>
          <w:lang w:val="ru-RU"/>
        </w:rPr>
        <w:t xml:space="preserve">ное письмо </w:t>
      </w:r>
      <w:r w:rsidR="009B5485" w:rsidRPr="0056571A">
        <w:t>C</w:t>
      </w:r>
      <w:r w:rsidR="009B5485" w:rsidRPr="0056571A">
        <w:rPr>
          <w:lang w:val="ru-RU"/>
        </w:rPr>
        <w:t>.</w:t>
      </w:r>
      <w:r w:rsidR="009B5485">
        <w:rPr>
          <w:lang w:val="ru-RU"/>
        </w:rPr>
        <w:t> </w:t>
      </w:r>
      <w:r w:rsidR="009B5485" w:rsidRPr="0056571A">
        <w:t>PCT</w:t>
      </w:r>
      <w:r w:rsidR="009B5485">
        <w:rPr>
          <w:lang w:val="ru-RU"/>
        </w:rPr>
        <w:t> </w:t>
      </w:r>
      <w:r w:rsidR="009B5485" w:rsidRPr="0056571A">
        <w:rPr>
          <w:lang w:val="ru-RU"/>
        </w:rPr>
        <w:t>1486</w:t>
      </w:r>
      <w:r w:rsidR="009B5485">
        <w:rPr>
          <w:lang w:val="ru-RU"/>
        </w:rPr>
        <w:t xml:space="preserve"> </w:t>
      </w:r>
      <w:r w:rsidRPr="0056571A">
        <w:rPr>
          <w:lang w:val="ru-RU"/>
        </w:rPr>
        <w:t>предложения</w:t>
      </w:r>
      <w:r w:rsidR="009B5485">
        <w:rPr>
          <w:lang w:val="ru-RU"/>
        </w:rPr>
        <w:t xml:space="preserve"> в отношении</w:t>
      </w:r>
      <w:r w:rsidRPr="0056571A">
        <w:rPr>
          <w:lang w:val="ru-RU"/>
        </w:rPr>
        <w:t xml:space="preserve"> мер, которые могут быть приняты в получающих ведомствах, и рассмотрит вопрос о</w:t>
      </w:r>
      <w:r w:rsidR="00176DBF">
        <w:rPr>
          <w:lang w:val="ru-RU"/>
        </w:rPr>
        <w:t xml:space="preserve"> целесообразности передачи</w:t>
      </w:r>
      <w:r w:rsidRPr="0056571A">
        <w:rPr>
          <w:lang w:val="ru-RU"/>
        </w:rPr>
        <w:t xml:space="preserve"> предложени</w:t>
      </w:r>
      <w:r w:rsidR="00176DBF">
        <w:rPr>
          <w:lang w:val="ru-RU"/>
        </w:rPr>
        <w:t>й</w:t>
      </w:r>
      <w:r w:rsidRPr="0056571A">
        <w:rPr>
          <w:lang w:val="ru-RU"/>
        </w:rPr>
        <w:t xml:space="preserve"> в Рабочую группу </w:t>
      </w:r>
      <w:r w:rsidR="00985CAD">
        <w:rPr>
          <w:lang w:val="ru-RU"/>
        </w:rPr>
        <w:t xml:space="preserve">по </w:t>
      </w:r>
      <w:r w:rsidRPr="0056571A">
        <w:t>PCT</w:t>
      </w:r>
      <w:r w:rsidRPr="0056571A">
        <w:rPr>
          <w:lang w:val="ru-RU"/>
        </w:rPr>
        <w:t>.</w:t>
      </w:r>
      <w:r w:rsidR="00176DBF">
        <w:rPr>
          <w:lang w:val="ru-RU"/>
        </w:rPr>
        <w:t xml:space="preserve"> </w:t>
      </w:r>
      <w:r w:rsidRPr="0056571A">
        <w:rPr>
          <w:lang w:val="ru-RU"/>
        </w:rPr>
        <w:t xml:space="preserve"> Однако</w:t>
      </w:r>
      <w:r w:rsidR="00176DBF">
        <w:rPr>
          <w:lang w:val="ru-RU"/>
        </w:rPr>
        <w:t>, на первый взгляд,</w:t>
      </w:r>
      <w:r w:rsidRPr="0056571A">
        <w:rPr>
          <w:lang w:val="ru-RU"/>
        </w:rPr>
        <w:t xml:space="preserve"> любые действия, </w:t>
      </w:r>
      <w:r w:rsidR="00176DBF">
        <w:rPr>
          <w:lang w:val="ru-RU"/>
        </w:rPr>
        <w:t>по всей вероятности</w:t>
      </w:r>
      <w:r w:rsidRPr="0056571A">
        <w:rPr>
          <w:lang w:val="ru-RU"/>
        </w:rPr>
        <w:t>, будут огранич</w:t>
      </w:r>
      <w:r w:rsidR="00176DBF">
        <w:rPr>
          <w:lang w:val="ru-RU"/>
        </w:rPr>
        <w:t>иваться</w:t>
      </w:r>
      <w:r w:rsidRPr="0056571A">
        <w:rPr>
          <w:lang w:val="ru-RU"/>
        </w:rPr>
        <w:t xml:space="preserve"> рассмотрением вопроса о том, достаточно ли четко сформулированы </w:t>
      </w:r>
      <w:r w:rsidR="00176DBF">
        <w:rPr>
          <w:lang w:val="ru-RU"/>
        </w:rPr>
        <w:t xml:space="preserve">положения </w:t>
      </w:r>
      <w:r w:rsidRPr="0056571A">
        <w:rPr>
          <w:lang w:val="ru-RU"/>
        </w:rPr>
        <w:t>Руковод</w:t>
      </w:r>
      <w:r w:rsidR="00176DBF">
        <w:rPr>
          <w:lang w:val="ru-RU"/>
        </w:rPr>
        <w:t>ства</w:t>
      </w:r>
      <w:r w:rsidRPr="0056571A">
        <w:rPr>
          <w:lang w:val="ru-RU"/>
        </w:rPr>
        <w:t xml:space="preserve"> для получающих ведомств. </w:t>
      </w:r>
      <w:r w:rsidR="00176DBF">
        <w:rPr>
          <w:lang w:val="ru-RU"/>
        </w:rPr>
        <w:t xml:space="preserve"> На данный момент </w:t>
      </w:r>
      <w:r w:rsidRPr="009B5485">
        <w:rPr>
          <w:lang w:val="ru-RU"/>
        </w:rPr>
        <w:t xml:space="preserve">пункт 147 </w:t>
      </w:r>
      <w:r w:rsidR="00176DBF">
        <w:rPr>
          <w:lang w:val="ru-RU"/>
        </w:rPr>
        <w:t>гласит</w:t>
      </w:r>
      <w:r w:rsidR="00907055" w:rsidRPr="005E1C8F">
        <w:rPr>
          <w:lang w:val="ru-RU"/>
        </w:rPr>
        <w:t>:</w:t>
      </w:r>
    </w:p>
    <w:p w:rsidR="00907055" w:rsidRPr="005E1C8F" w:rsidRDefault="005E1C8F" w:rsidP="002D0597">
      <w:pPr>
        <w:pStyle w:val="ONUME"/>
        <w:keepLines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Pr="005E1C8F">
        <w:rPr>
          <w:lang w:val="ru-RU"/>
        </w:rPr>
        <w:t>Получающее ведомство проверяет, содержит ли заявка реферат, как это предусмотрено в статье 14(1)(</w:t>
      </w:r>
      <w:r w:rsidRPr="005E1C8F">
        <w:t>a</w:t>
      </w:r>
      <w:r w:rsidRPr="005E1C8F">
        <w:rPr>
          <w:lang w:val="ru-RU"/>
        </w:rPr>
        <w:t>)(</w:t>
      </w:r>
      <w:r w:rsidRPr="005E1C8F">
        <w:t>iv</w:t>
      </w:r>
      <w:r w:rsidRPr="005E1C8F">
        <w:rPr>
          <w:lang w:val="ru-RU"/>
        </w:rPr>
        <w:t xml:space="preserve">), </w:t>
      </w:r>
      <w:r w:rsidR="00985CAD">
        <w:rPr>
          <w:lang w:val="ru-RU"/>
        </w:rPr>
        <w:t>не проверяя при этом соответствие</w:t>
      </w:r>
      <w:r w:rsidRPr="005E1C8F">
        <w:rPr>
          <w:lang w:val="ru-RU"/>
        </w:rPr>
        <w:t xml:space="preserve"> реферат</w:t>
      </w:r>
      <w:r w:rsidR="00985CAD">
        <w:rPr>
          <w:lang w:val="ru-RU"/>
        </w:rPr>
        <w:t>а</w:t>
      </w:r>
      <w:r w:rsidRPr="005E1C8F">
        <w:rPr>
          <w:lang w:val="ru-RU"/>
        </w:rPr>
        <w:t xml:space="preserve"> требованиям правила 8 (в частности, в обязанности Получающего ведомства не входит проверять, содержит ли реферат более чем 150 слов на английском языке или</w:t>
      </w:r>
      <w:r>
        <w:rPr>
          <w:lang w:val="ru-RU"/>
        </w:rPr>
        <w:t xml:space="preserve"> в переводе на английский язык)</w:t>
      </w:r>
      <w:r w:rsidR="00907055" w:rsidRPr="005E1C8F">
        <w:rPr>
          <w:lang w:val="ru-RU"/>
        </w:rPr>
        <w:t>…</w:t>
      </w:r>
      <w:r>
        <w:rPr>
          <w:lang w:val="ru-RU"/>
        </w:rPr>
        <w:t>»</w:t>
      </w:r>
    </w:p>
    <w:p w:rsidR="0056571A" w:rsidRPr="0056571A" w:rsidRDefault="0056571A" w:rsidP="0056571A">
      <w:pPr>
        <w:pStyle w:val="ONUME"/>
        <w:rPr>
          <w:lang w:val="ru-RU"/>
        </w:rPr>
      </w:pPr>
      <w:r w:rsidRPr="0056571A">
        <w:rPr>
          <w:lang w:val="ru-RU"/>
        </w:rPr>
        <w:t xml:space="preserve">Возможно, </w:t>
      </w:r>
      <w:r w:rsidR="00176DBF">
        <w:rPr>
          <w:lang w:val="ru-RU"/>
        </w:rPr>
        <w:t xml:space="preserve">получающим ведомствам </w:t>
      </w:r>
      <w:r w:rsidRPr="0056571A">
        <w:rPr>
          <w:lang w:val="ru-RU"/>
        </w:rPr>
        <w:t>целесообразно</w:t>
      </w:r>
      <w:r w:rsidR="00176DBF" w:rsidRPr="00176DBF">
        <w:rPr>
          <w:lang w:val="ru-RU"/>
        </w:rPr>
        <w:t xml:space="preserve"> </w:t>
      </w:r>
      <w:r w:rsidR="00176DBF" w:rsidRPr="0056571A">
        <w:rPr>
          <w:lang w:val="ru-RU"/>
        </w:rPr>
        <w:t>было бы</w:t>
      </w:r>
      <w:r w:rsidR="00176DBF">
        <w:rPr>
          <w:lang w:val="ru-RU"/>
        </w:rPr>
        <w:t xml:space="preserve"> в исключительных случаях обращать внимание заявителя на представление</w:t>
      </w:r>
      <w:r w:rsidRPr="0056571A">
        <w:rPr>
          <w:lang w:val="ru-RU"/>
        </w:rPr>
        <w:t xml:space="preserve"> очень короткого, очень длинного или явно неправильного текста. </w:t>
      </w:r>
      <w:r w:rsidR="00176DBF">
        <w:rPr>
          <w:lang w:val="ru-RU"/>
        </w:rPr>
        <w:t xml:space="preserve"> </w:t>
      </w:r>
      <w:r w:rsidRPr="0056571A">
        <w:rPr>
          <w:lang w:val="ru-RU"/>
        </w:rPr>
        <w:t>Однако, как правило, получающее ведомс</w:t>
      </w:r>
      <w:r w:rsidR="00781AD5">
        <w:rPr>
          <w:lang w:val="ru-RU"/>
        </w:rPr>
        <w:t>тво</w:t>
      </w:r>
      <w:r w:rsidRPr="0056571A">
        <w:rPr>
          <w:lang w:val="ru-RU"/>
        </w:rPr>
        <w:t xml:space="preserve"> будет </w:t>
      </w:r>
      <w:r w:rsidR="00781AD5">
        <w:rPr>
          <w:lang w:val="ru-RU"/>
        </w:rPr>
        <w:t>не в состоянии</w:t>
      </w:r>
      <w:r w:rsidRPr="0056571A">
        <w:rPr>
          <w:lang w:val="ru-RU"/>
        </w:rPr>
        <w:t xml:space="preserve"> судить о качестве текста</w:t>
      </w:r>
      <w:r w:rsidR="00456434">
        <w:rPr>
          <w:lang w:val="ru-RU"/>
        </w:rPr>
        <w:t xml:space="preserve"> по существу вопросов</w:t>
      </w:r>
      <w:r w:rsidRPr="0056571A">
        <w:rPr>
          <w:lang w:val="ru-RU"/>
        </w:rPr>
        <w:t xml:space="preserve"> и, следовательно, о </w:t>
      </w:r>
      <w:r w:rsidR="00456434">
        <w:rPr>
          <w:lang w:val="ru-RU"/>
        </w:rPr>
        <w:t>приемлемости объема текста, выходящего за рамки</w:t>
      </w:r>
      <w:r w:rsidRPr="0056571A">
        <w:rPr>
          <w:lang w:val="ru-RU"/>
        </w:rPr>
        <w:t xml:space="preserve"> обычно</w:t>
      </w:r>
      <w:r w:rsidR="00456434">
        <w:rPr>
          <w:lang w:val="ru-RU"/>
        </w:rPr>
        <w:t xml:space="preserve"> </w:t>
      </w:r>
      <w:r w:rsidRPr="0056571A">
        <w:rPr>
          <w:lang w:val="ru-RU"/>
        </w:rPr>
        <w:t>рекомендуемого диапазона</w:t>
      </w:r>
      <w:r w:rsidR="00456434">
        <w:rPr>
          <w:lang w:val="ru-RU"/>
        </w:rPr>
        <w:t xml:space="preserve">.  </w:t>
      </w:r>
      <w:r w:rsidRPr="0056571A">
        <w:rPr>
          <w:lang w:val="ru-RU"/>
        </w:rPr>
        <w:t>Таким образом, желательно</w:t>
      </w:r>
      <w:r w:rsidR="00456434">
        <w:rPr>
          <w:lang w:val="ru-RU"/>
        </w:rPr>
        <w:t>, быть может,</w:t>
      </w:r>
      <w:r w:rsidRPr="0056571A">
        <w:rPr>
          <w:lang w:val="ru-RU"/>
        </w:rPr>
        <w:t xml:space="preserve"> адаптировать системы</w:t>
      </w:r>
      <w:r w:rsidR="00456434">
        <w:rPr>
          <w:lang w:val="ru-RU"/>
        </w:rPr>
        <w:t xml:space="preserve"> подачи заявок, предусмотрев</w:t>
      </w:r>
      <w:r w:rsidRPr="0056571A">
        <w:rPr>
          <w:lang w:val="ru-RU"/>
        </w:rPr>
        <w:t xml:space="preserve"> предупреждени</w:t>
      </w:r>
      <w:r w:rsidR="00456434">
        <w:rPr>
          <w:lang w:val="ru-RU"/>
        </w:rPr>
        <w:t>я для</w:t>
      </w:r>
      <w:r w:rsidRPr="0056571A">
        <w:rPr>
          <w:lang w:val="ru-RU"/>
        </w:rPr>
        <w:t xml:space="preserve"> заявител</w:t>
      </w:r>
      <w:r w:rsidR="00456434">
        <w:rPr>
          <w:lang w:val="ru-RU"/>
        </w:rPr>
        <w:t>ей</w:t>
      </w:r>
      <w:r w:rsidRPr="0056571A">
        <w:rPr>
          <w:lang w:val="ru-RU"/>
        </w:rPr>
        <w:t xml:space="preserve"> до подачи </w:t>
      </w:r>
      <w:r w:rsidR="00314290">
        <w:rPr>
          <w:lang w:val="ru-RU"/>
        </w:rPr>
        <w:t>реферата</w:t>
      </w:r>
      <w:r w:rsidRPr="0056571A">
        <w:rPr>
          <w:lang w:val="ru-RU"/>
        </w:rPr>
        <w:t xml:space="preserve">, если </w:t>
      </w:r>
      <w:r w:rsidR="00456434">
        <w:rPr>
          <w:lang w:val="ru-RU"/>
        </w:rPr>
        <w:t xml:space="preserve">по своему объему </w:t>
      </w:r>
      <w:r w:rsidR="00314290">
        <w:rPr>
          <w:lang w:val="ru-RU"/>
        </w:rPr>
        <w:t>он</w:t>
      </w:r>
      <w:r w:rsidR="00456434">
        <w:rPr>
          <w:lang w:val="ru-RU"/>
        </w:rPr>
        <w:t xml:space="preserve"> выходит за рамки</w:t>
      </w:r>
      <w:r w:rsidRPr="0056571A">
        <w:rPr>
          <w:lang w:val="ru-RU"/>
        </w:rPr>
        <w:t xml:space="preserve"> ожидаемого диапазона, но </w:t>
      </w:r>
      <w:r w:rsidR="00314290">
        <w:rPr>
          <w:lang w:val="ru-RU"/>
        </w:rPr>
        <w:t xml:space="preserve">при этом </w:t>
      </w:r>
      <w:r w:rsidRPr="0056571A">
        <w:rPr>
          <w:lang w:val="ru-RU"/>
        </w:rPr>
        <w:t xml:space="preserve">было бы нецелесообразно просить получающие ведомства </w:t>
      </w:r>
      <w:r w:rsidR="00456434">
        <w:rPr>
          <w:lang w:val="ru-RU"/>
        </w:rPr>
        <w:t>производить подсчет</w:t>
      </w:r>
      <w:r w:rsidRPr="0056571A">
        <w:rPr>
          <w:lang w:val="ru-RU"/>
        </w:rPr>
        <w:t xml:space="preserve"> количеств</w:t>
      </w:r>
      <w:r w:rsidR="00456434">
        <w:rPr>
          <w:lang w:val="ru-RU"/>
        </w:rPr>
        <w:t>а</w:t>
      </w:r>
      <w:r w:rsidRPr="0056571A">
        <w:rPr>
          <w:lang w:val="ru-RU"/>
        </w:rPr>
        <w:t xml:space="preserve"> слов.</w:t>
      </w:r>
      <w:r w:rsidR="00456434">
        <w:rPr>
          <w:lang w:val="ru-RU"/>
        </w:rPr>
        <w:t xml:space="preserve">  </w:t>
      </w:r>
      <w:r w:rsidRPr="0056571A">
        <w:rPr>
          <w:lang w:val="ru-RU"/>
        </w:rPr>
        <w:t xml:space="preserve">Международное бюро также не считает целесообразным </w:t>
      </w:r>
      <w:r w:rsidR="005E3E88">
        <w:rPr>
          <w:lang w:val="ru-RU"/>
        </w:rPr>
        <w:t>введение связанных с пошлинами</w:t>
      </w:r>
      <w:r w:rsidRPr="0056571A">
        <w:rPr>
          <w:lang w:val="ru-RU"/>
        </w:rPr>
        <w:t xml:space="preserve"> стимул</w:t>
      </w:r>
      <w:r w:rsidR="005E3E88">
        <w:rPr>
          <w:lang w:val="ru-RU"/>
        </w:rPr>
        <w:t>ов</w:t>
      </w:r>
      <w:r w:rsidRPr="0056571A">
        <w:rPr>
          <w:lang w:val="ru-RU"/>
        </w:rPr>
        <w:t xml:space="preserve">, поскольку они могут снизить общую эффективность </w:t>
      </w:r>
      <w:r w:rsidR="005E3E88">
        <w:rPr>
          <w:lang w:val="ru-RU"/>
        </w:rPr>
        <w:t>всей процедуры</w:t>
      </w:r>
      <w:r w:rsidRPr="0056571A">
        <w:rPr>
          <w:lang w:val="ru-RU"/>
        </w:rPr>
        <w:t>.</w:t>
      </w:r>
      <w:r w:rsidR="005E3E88">
        <w:rPr>
          <w:lang w:val="ru-RU"/>
        </w:rPr>
        <w:t xml:space="preserve"> </w:t>
      </w:r>
      <w:r w:rsidRPr="0056571A">
        <w:rPr>
          <w:lang w:val="ru-RU"/>
        </w:rPr>
        <w:t xml:space="preserve"> </w:t>
      </w:r>
      <w:r w:rsidR="005E3E88">
        <w:rPr>
          <w:lang w:val="ru-RU"/>
        </w:rPr>
        <w:t>К тому же</w:t>
      </w:r>
      <w:r w:rsidRPr="0056571A">
        <w:rPr>
          <w:lang w:val="ru-RU"/>
        </w:rPr>
        <w:t xml:space="preserve">, </w:t>
      </w:r>
      <w:r w:rsidR="005E3E88">
        <w:rPr>
          <w:lang w:val="ru-RU"/>
        </w:rPr>
        <w:t>расходы на их введение могут превысит</w:t>
      </w:r>
      <w:r w:rsidR="00CB3D99">
        <w:rPr>
          <w:lang w:val="ru-RU"/>
        </w:rPr>
        <w:t>ь</w:t>
      </w:r>
      <w:r w:rsidR="005E3E88">
        <w:rPr>
          <w:lang w:val="ru-RU"/>
        </w:rPr>
        <w:t xml:space="preserve"> тот уровень, который оправдывался бы вероятным повышением качества, </w:t>
      </w:r>
      <w:r w:rsidRPr="0056571A">
        <w:rPr>
          <w:lang w:val="ru-RU"/>
        </w:rPr>
        <w:t xml:space="preserve">если бы процесс </w:t>
      </w:r>
      <w:r w:rsidR="005E3E88">
        <w:rPr>
          <w:lang w:val="ru-RU"/>
        </w:rPr>
        <w:t xml:space="preserve">проходил под руководством </w:t>
      </w:r>
      <w:r w:rsidRPr="0056571A">
        <w:rPr>
          <w:lang w:val="ru-RU"/>
        </w:rPr>
        <w:t>получающ</w:t>
      </w:r>
      <w:r w:rsidR="005E3E88">
        <w:rPr>
          <w:lang w:val="ru-RU"/>
        </w:rPr>
        <w:t>его</w:t>
      </w:r>
      <w:r w:rsidRPr="0056571A">
        <w:rPr>
          <w:lang w:val="ru-RU"/>
        </w:rPr>
        <w:t xml:space="preserve"> ведомств</w:t>
      </w:r>
      <w:r w:rsidR="005E3E88">
        <w:rPr>
          <w:lang w:val="ru-RU"/>
        </w:rPr>
        <w:t>а</w:t>
      </w:r>
      <w:r w:rsidRPr="0056571A">
        <w:rPr>
          <w:lang w:val="ru-RU"/>
        </w:rPr>
        <w:t xml:space="preserve">, </w:t>
      </w:r>
      <w:r w:rsidR="009A14A0">
        <w:rPr>
          <w:lang w:val="ru-RU"/>
        </w:rPr>
        <w:t xml:space="preserve">в чью </w:t>
      </w:r>
      <w:r w:rsidRPr="0056571A">
        <w:rPr>
          <w:lang w:val="ru-RU"/>
        </w:rPr>
        <w:t>компетен</w:t>
      </w:r>
      <w:r w:rsidR="009A14A0">
        <w:rPr>
          <w:lang w:val="ru-RU"/>
        </w:rPr>
        <w:t>цию не входит</w:t>
      </w:r>
      <w:r w:rsidRPr="0056571A">
        <w:rPr>
          <w:lang w:val="ru-RU"/>
        </w:rPr>
        <w:t xml:space="preserve"> оцен</w:t>
      </w:r>
      <w:r w:rsidR="009A14A0">
        <w:rPr>
          <w:lang w:val="ru-RU"/>
        </w:rPr>
        <w:t>ка</w:t>
      </w:r>
      <w:r w:rsidRPr="0056571A">
        <w:rPr>
          <w:lang w:val="ru-RU"/>
        </w:rPr>
        <w:t xml:space="preserve"> качеств</w:t>
      </w:r>
      <w:r w:rsidR="009A14A0">
        <w:rPr>
          <w:lang w:val="ru-RU"/>
        </w:rPr>
        <w:t>а</w:t>
      </w:r>
      <w:r w:rsidRPr="0056571A">
        <w:rPr>
          <w:lang w:val="ru-RU"/>
        </w:rPr>
        <w:t xml:space="preserve"> результата.</w:t>
      </w:r>
    </w:p>
    <w:p w:rsidR="00907055" w:rsidRPr="009A14A0" w:rsidRDefault="00F4666C" w:rsidP="00907055">
      <w:pPr>
        <w:pStyle w:val="Heading1"/>
        <w:rPr>
          <w:lang w:val="ru-RU"/>
        </w:rPr>
      </w:pPr>
      <w:r>
        <w:rPr>
          <w:lang w:val="ru-RU"/>
        </w:rPr>
        <w:t>рассмотрение</w:t>
      </w:r>
      <w:r w:rsidR="009A14A0">
        <w:rPr>
          <w:lang w:val="ru-RU"/>
        </w:rPr>
        <w:t xml:space="preserve"> международными органами</w:t>
      </w:r>
    </w:p>
    <w:p w:rsidR="0056571A" w:rsidRPr="0056571A" w:rsidRDefault="009A14A0" w:rsidP="0056571A">
      <w:pPr>
        <w:pStyle w:val="ONUME"/>
        <w:rPr>
          <w:lang w:val="ru-RU"/>
        </w:rPr>
      </w:pPr>
      <w:r>
        <w:rPr>
          <w:lang w:val="ru-RU"/>
        </w:rPr>
        <w:t>Безусловно,</w:t>
      </w:r>
      <w:r w:rsidR="0056571A" w:rsidRPr="0056571A">
        <w:rPr>
          <w:lang w:val="ru-RU"/>
        </w:rPr>
        <w:t xml:space="preserve"> </w:t>
      </w:r>
      <w:r w:rsidRPr="0056571A">
        <w:rPr>
          <w:lang w:val="ru-RU"/>
        </w:rPr>
        <w:t xml:space="preserve">судить о достоинствах </w:t>
      </w:r>
      <w:r>
        <w:rPr>
          <w:lang w:val="ru-RU"/>
        </w:rPr>
        <w:t>отде</w:t>
      </w:r>
      <w:r w:rsidRPr="0056571A">
        <w:rPr>
          <w:lang w:val="ru-RU"/>
        </w:rPr>
        <w:t xml:space="preserve">льного реферата </w:t>
      </w:r>
      <w:r>
        <w:rPr>
          <w:lang w:val="ru-RU"/>
        </w:rPr>
        <w:t>может лишь м</w:t>
      </w:r>
      <w:r w:rsidR="0056571A" w:rsidRPr="0056571A">
        <w:rPr>
          <w:lang w:val="ru-RU"/>
        </w:rPr>
        <w:t xml:space="preserve">еждународный поисковый орган. </w:t>
      </w:r>
      <w:r>
        <w:rPr>
          <w:lang w:val="ru-RU"/>
        </w:rPr>
        <w:t xml:space="preserve"> Согласно п</w:t>
      </w:r>
      <w:r w:rsidR="0056571A" w:rsidRPr="0056571A">
        <w:rPr>
          <w:lang w:val="ru-RU"/>
        </w:rPr>
        <w:t>равил</w:t>
      </w:r>
      <w:r>
        <w:rPr>
          <w:lang w:val="ru-RU"/>
        </w:rPr>
        <w:t>у</w:t>
      </w:r>
      <w:r w:rsidR="0056571A" w:rsidRPr="0056571A">
        <w:rPr>
          <w:lang w:val="ru-RU"/>
        </w:rPr>
        <w:t xml:space="preserve"> 38.2 </w:t>
      </w:r>
      <w:r>
        <w:rPr>
          <w:lang w:val="ru-RU"/>
        </w:rPr>
        <w:t>м</w:t>
      </w:r>
      <w:r w:rsidR="0056571A" w:rsidRPr="0056571A">
        <w:rPr>
          <w:lang w:val="ru-RU"/>
        </w:rPr>
        <w:t>еждународн</w:t>
      </w:r>
      <w:r>
        <w:rPr>
          <w:lang w:val="ru-RU"/>
        </w:rPr>
        <w:t>ый</w:t>
      </w:r>
      <w:r w:rsidR="0056571A" w:rsidRPr="0056571A">
        <w:rPr>
          <w:lang w:val="ru-RU"/>
        </w:rPr>
        <w:t xml:space="preserve"> поисков</w:t>
      </w:r>
      <w:r>
        <w:rPr>
          <w:lang w:val="ru-RU"/>
        </w:rPr>
        <w:t>ый</w:t>
      </w:r>
      <w:r w:rsidR="0056571A" w:rsidRPr="0056571A">
        <w:rPr>
          <w:lang w:val="ru-RU"/>
        </w:rPr>
        <w:t xml:space="preserve"> орган</w:t>
      </w:r>
      <w:r>
        <w:rPr>
          <w:lang w:val="ru-RU"/>
        </w:rPr>
        <w:t xml:space="preserve"> наделен правом составлять</w:t>
      </w:r>
      <w:r w:rsidR="0056571A" w:rsidRPr="0056571A">
        <w:rPr>
          <w:lang w:val="ru-RU"/>
        </w:rPr>
        <w:t xml:space="preserve"> реферат, если </w:t>
      </w:r>
      <w:r>
        <w:rPr>
          <w:lang w:val="ru-RU"/>
        </w:rPr>
        <w:t xml:space="preserve">он не получен </w:t>
      </w:r>
      <w:r w:rsidR="0056571A" w:rsidRPr="0056571A">
        <w:rPr>
          <w:lang w:val="ru-RU"/>
        </w:rPr>
        <w:t xml:space="preserve">от заявителя </w:t>
      </w:r>
      <w:r>
        <w:rPr>
          <w:lang w:val="ru-RU"/>
        </w:rPr>
        <w:t>или</w:t>
      </w:r>
      <w:r w:rsidR="0056571A" w:rsidRPr="0056571A">
        <w:rPr>
          <w:lang w:val="ru-RU"/>
        </w:rPr>
        <w:t xml:space="preserve"> не соответствует </w:t>
      </w:r>
      <w:r>
        <w:rPr>
          <w:lang w:val="ru-RU"/>
        </w:rPr>
        <w:t xml:space="preserve">требованиям </w:t>
      </w:r>
      <w:r w:rsidR="0056571A" w:rsidRPr="0056571A">
        <w:rPr>
          <w:lang w:val="ru-RU"/>
        </w:rPr>
        <w:t>правил</w:t>
      </w:r>
      <w:r>
        <w:rPr>
          <w:lang w:val="ru-RU"/>
        </w:rPr>
        <w:t>а</w:t>
      </w:r>
      <w:r w:rsidR="0056571A" w:rsidRPr="0056571A">
        <w:rPr>
          <w:lang w:val="ru-RU"/>
        </w:rPr>
        <w:t xml:space="preserve"> 8.</w:t>
      </w:r>
      <w:r>
        <w:rPr>
          <w:lang w:val="ru-RU"/>
        </w:rPr>
        <w:t xml:space="preserve"> </w:t>
      </w:r>
      <w:r w:rsidR="0056571A" w:rsidRPr="0056571A">
        <w:rPr>
          <w:lang w:val="ru-RU"/>
        </w:rPr>
        <w:t xml:space="preserve"> Международное бюро надеется, что расходы на перевод могут быть </w:t>
      </w:r>
      <w:r w:rsidR="00314290">
        <w:rPr>
          <w:lang w:val="ru-RU"/>
        </w:rPr>
        <w:t>снижены</w:t>
      </w:r>
      <w:r w:rsidR="0056571A" w:rsidRPr="0056571A">
        <w:rPr>
          <w:lang w:val="ru-RU"/>
        </w:rPr>
        <w:t xml:space="preserve"> </w:t>
      </w:r>
      <w:r>
        <w:rPr>
          <w:lang w:val="ru-RU"/>
        </w:rPr>
        <w:t>в результате сокращения объемных рефератов и уменьшения числа прилагаемых к рефератам чертежей с</w:t>
      </w:r>
      <w:r w:rsidR="0056571A" w:rsidRPr="0056571A">
        <w:rPr>
          <w:lang w:val="ru-RU"/>
        </w:rPr>
        <w:t xml:space="preserve"> больш</w:t>
      </w:r>
      <w:r>
        <w:rPr>
          <w:lang w:val="ru-RU"/>
        </w:rPr>
        <w:t>им</w:t>
      </w:r>
      <w:r w:rsidR="0056571A" w:rsidRPr="0056571A">
        <w:rPr>
          <w:lang w:val="ru-RU"/>
        </w:rPr>
        <w:t xml:space="preserve"> количество</w:t>
      </w:r>
      <w:r>
        <w:rPr>
          <w:lang w:val="ru-RU"/>
        </w:rPr>
        <w:t>м</w:t>
      </w:r>
      <w:r w:rsidR="0056571A" w:rsidRPr="0056571A">
        <w:rPr>
          <w:lang w:val="ru-RU"/>
        </w:rPr>
        <w:t xml:space="preserve"> слов. Однако, в конечном счете, </w:t>
      </w:r>
      <w:r>
        <w:rPr>
          <w:lang w:val="ru-RU"/>
        </w:rPr>
        <w:t>главным</w:t>
      </w:r>
      <w:r w:rsidR="0056571A" w:rsidRPr="0056571A">
        <w:rPr>
          <w:lang w:val="ru-RU"/>
        </w:rPr>
        <w:t xml:space="preserve"> фактором должно </w:t>
      </w:r>
      <w:r>
        <w:rPr>
          <w:lang w:val="ru-RU"/>
        </w:rPr>
        <w:t>являться</w:t>
      </w:r>
      <w:r w:rsidR="0056571A" w:rsidRPr="0056571A">
        <w:rPr>
          <w:lang w:val="ru-RU"/>
        </w:rPr>
        <w:t xml:space="preserve"> обеспечение того, чтобы </w:t>
      </w:r>
      <w:r w:rsidR="008D0EEA">
        <w:rPr>
          <w:lang w:val="ru-RU"/>
        </w:rPr>
        <w:t>рефераты и прилагаемые чертежи отвечали своей</w:t>
      </w:r>
      <w:r w:rsidR="0056571A" w:rsidRPr="0056571A">
        <w:rPr>
          <w:lang w:val="ru-RU"/>
        </w:rPr>
        <w:t xml:space="preserve"> цели.</w:t>
      </w:r>
    </w:p>
    <w:p w:rsidR="0056571A" w:rsidRPr="0056571A" w:rsidRDefault="00BE5F6A" w:rsidP="00314290">
      <w:pPr>
        <w:pStyle w:val="ONUME"/>
        <w:rPr>
          <w:lang w:val="ru-RU"/>
        </w:rPr>
      </w:pPr>
      <w:r>
        <w:rPr>
          <w:lang w:val="ru-RU"/>
        </w:rPr>
        <w:t xml:space="preserve">При принятии решения о </w:t>
      </w:r>
      <w:r w:rsidR="0056571A" w:rsidRPr="0056571A">
        <w:rPr>
          <w:lang w:val="ru-RU"/>
        </w:rPr>
        <w:t>приемлем</w:t>
      </w:r>
      <w:r>
        <w:rPr>
          <w:lang w:val="ru-RU"/>
        </w:rPr>
        <w:t xml:space="preserve">ости реферата и составлении </w:t>
      </w:r>
      <w:r w:rsidR="00314290">
        <w:rPr>
          <w:lang w:val="ru-RU"/>
        </w:rPr>
        <w:t xml:space="preserve">проекта </w:t>
      </w:r>
      <w:r w:rsidR="0056571A" w:rsidRPr="0056571A">
        <w:rPr>
          <w:lang w:val="ru-RU"/>
        </w:rPr>
        <w:t>изменений</w:t>
      </w:r>
      <w:r>
        <w:rPr>
          <w:lang w:val="ru-RU"/>
        </w:rPr>
        <w:t xml:space="preserve"> международные органы опираются в первую очередь на</w:t>
      </w:r>
      <w:r w:rsidR="0056571A" w:rsidRPr="0056571A">
        <w:rPr>
          <w:lang w:val="ru-RU"/>
        </w:rPr>
        <w:t xml:space="preserve"> пункт</w:t>
      </w:r>
      <w:r>
        <w:rPr>
          <w:lang w:val="ru-RU"/>
        </w:rPr>
        <w:t>ы</w:t>
      </w:r>
      <w:r w:rsidR="0056571A" w:rsidRPr="0056571A">
        <w:rPr>
          <w:lang w:val="ru-RU"/>
        </w:rPr>
        <w:t xml:space="preserve"> 16.36 и 16.37 Руководства </w:t>
      </w:r>
      <w:r w:rsidR="008D0EEA" w:rsidRPr="0056571A">
        <w:rPr>
          <w:lang w:val="ru-RU"/>
        </w:rPr>
        <w:t xml:space="preserve">РСТ </w:t>
      </w:r>
      <w:r w:rsidR="0056571A" w:rsidRPr="0056571A">
        <w:rPr>
          <w:lang w:val="ru-RU"/>
        </w:rPr>
        <w:t>по</w:t>
      </w:r>
      <w:r w:rsidR="008D0EEA">
        <w:rPr>
          <w:lang w:val="ru-RU"/>
        </w:rPr>
        <w:t xml:space="preserve"> проведению</w:t>
      </w:r>
      <w:r w:rsidR="0056571A" w:rsidRPr="0056571A">
        <w:rPr>
          <w:lang w:val="ru-RU"/>
        </w:rPr>
        <w:t xml:space="preserve"> международно</w:t>
      </w:r>
      <w:r w:rsidR="008D0EEA">
        <w:rPr>
          <w:lang w:val="ru-RU"/>
        </w:rPr>
        <w:t>го</w:t>
      </w:r>
      <w:r w:rsidR="0056571A" w:rsidRPr="0056571A">
        <w:rPr>
          <w:lang w:val="ru-RU"/>
        </w:rPr>
        <w:t xml:space="preserve"> поиск</w:t>
      </w:r>
      <w:r w:rsidR="008D0EEA">
        <w:rPr>
          <w:lang w:val="ru-RU"/>
        </w:rPr>
        <w:t>а</w:t>
      </w:r>
      <w:r w:rsidR="0056571A" w:rsidRPr="0056571A">
        <w:rPr>
          <w:lang w:val="ru-RU"/>
        </w:rPr>
        <w:t xml:space="preserve"> и </w:t>
      </w:r>
      <w:r w:rsidR="00314290" w:rsidRPr="00314290">
        <w:rPr>
          <w:lang w:val="ru-RU"/>
        </w:rPr>
        <w:t xml:space="preserve">международной </w:t>
      </w:r>
      <w:r w:rsidR="0056571A" w:rsidRPr="0056571A">
        <w:rPr>
          <w:lang w:val="ru-RU"/>
        </w:rPr>
        <w:t>предварительной экспертиз</w:t>
      </w:r>
      <w:r w:rsidR="008D0EEA">
        <w:rPr>
          <w:lang w:val="ru-RU"/>
        </w:rPr>
        <w:t>ы</w:t>
      </w:r>
      <w:r w:rsidR="0056571A" w:rsidRPr="0056571A">
        <w:rPr>
          <w:lang w:val="ru-RU"/>
        </w:rPr>
        <w:t xml:space="preserve">. </w:t>
      </w:r>
      <w:r w:rsidR="008D0EEA">
        <w:rPr>
          <w:lang w:val="ru-RU"/>
        </w:rPr>
        <w:t xml:space="preserve"> </w:t>
      </w:r>
      <w:r w:rsidR="0056571A" w:rsidRPr="0056571A">
        <w:rPr>
          <w:lang w:val="ru-RU"/>
        </w:rPr>
        <w:t xml:space="preserve">На двадцать четвертой сессии </w:t>
      </w:r>
      <w:r w:rsidR="009A5545">
        <w:rPr>
          <w:lang w:val="ru-RU"/>
        </w:rPr>
        <w:t>Заседания</w:t>
      </w:r>
      <w:r w:rsidR="0056571A" w:rsidRPr="0056571A">
        <w:rPr>
          <w:lang w:val="ru-RU"/>
        </w:rPr>
        <w:t xml:space="preserve"> международных органов в рамках РСТ международные </w:t>
      </w:r>
      <w:r w:rsidR="009A5545">
        <w:rPr>
          <w:lang w:val="ru-RU"/>
        </w:rPr>
        <w:t xml:space="preserve">органы приняли решение провести </w:t>
      </w:r>
      <w:r w:rsidR="0056571A" w:rsidRPr="0056571A">
        <w:rPr>
          <w:lang w:val="ru-RU"/>
        </w:rPr>
        <w:t>пересмотр это</w:t>
      </w:r>
      <w:r w:rsidR="009A5545">
        <w:rPr>
          <w:lang w:val="ru-RU"/>
        </w:rPr>
        <w:t>го</w:t>
      </w:r>
      <w:r w:rsidR="0056571A" w:rsidRPr="0056571A">
        <w:rPr>
          <w:lang w:val="ru-RU"/>
        </w:rPr>
        <w:t xml:space="preserve"> руководств</w:t>
      </w:r>
      <w:r w:rsidR="009A5545">
        <w:rPr>
          <w:lang w:val="ru-RU"/>
        </w:rPr>
        <w:t>а</w:t>
      </w:r>
      <w:r w:rsidR="0056571A" w:rsidRPr="0056571A">
        <w:rPr>
          <w:lang w:val="ru-RU"/>
        </w:rPr>
        <w:t xml:space="preserve"> для обеспечения его </w:t>
      </w:r>
      <w:r w:rsidR="00523F19">
        <w:rPr>
          <w:lang w:val="ru-RU"/>
        </w:rPr>
        <w:t>соответствия предъявляемым требованиям</w:t>
      </w:r>
      <w:r w:rsidR="0056571A" w:rsidRPr="0056571A">
        <w:rPr>
          <w:lang w:val="ru-RU"/>
        </w:rPr>
        <w:t xml:space="preserve"> и надлежащего соблюдения (см. </w:t>
      </w:r>
      <w:r w:rsidR="009A5545">
        <w:rPr>
          <w:lang w:val="ru-RU"/>
        </w:rPr>
        <w:t>п</w:t>
      </w:r>
      <w:r w:rsidR="0056571A" w:rsidRPr="0056571A">
        <w:rPr>
          <w:lang w:val="ru-RU"/>
        </w:rPr>
        <w:t xml:space="preserve">ункты 43-51 документа </w:t>
      </w:r>
      <w:r w:rsidR="0056571A" w:rsidRPr="0056571A">
        <w:t>PCT</w:t>
      </w:r>
      <w:r w:rsidR="009A5545">
        <w:rPr>
          <w:lang w:val="ru-RU"/>
        </w:rPr>
        <w:t>/</w:t>
      </w:r>
      <w:r w:rsidR="0056571A" w:rsidRPr="0056571A">
        <w:t>MIA</w:t>
      </w:r>
      <w:r w:rsidR="009A5545">
        <w:rPr>
          <w:lang w:val="ru-RU"/>
        </w:rPr>
        <w:t>/</w:t>
      </w:r>
      <w:r w:rsidR="0056571A" w:rsidRPr="0056571A">
        <w:rPr>
          <w:lang w:val="ru-RU"/>
        </w:rPr>
        <w:t xml:space="preserve">24/15). </w:t>
      </w:r>
      <w:r w:rsidR="009A5545">
        <w:rPr>
          <w:lang w:val="ru-RU"/>
        </w:rPr>
        <w:t xml:space="preserve"> </w:t>
      </w:r>
      <w:r w:rsidR="00F4666C">
        <w:rPr>
          <w:lang w:val="ru-RU"/>
        </w:rPr>
        <w:t>Вместе с тем,</w:t>
      </w:r>
      <w:r w:rsidR="0056571A" w:rsidRPr="0056571A">
        <w:rPr>
          <w:lang w:val="ru-RU"/>
        </w:rPr>
        <w:t xml:space="preserve"> подчерк</w:t>
      </w:r>
      <w:r w:rsidR="00F4666C">
        <w:rPr>
          <w:lang w:val="ru-RU"/>
        </w:rPr>
        <w:t>ивалось</w:t>
      </w:r>
      <w:r w:rsidR="0056571A" w:rsidRPr="0056571A">
        <w:rPr>
          <w:lang w:val="ru-RU"/>
        </w:rPr>
        <w:t xml:space="preserve">, что </w:t>
      </w:r>
      <w:r w:rsidR="009A5545" w:rsidRPr="009A5545">
        <w:rPr>
          <w:lang w:val="ru-RU"/>
        </w:rPr>
        <w:t>заявители обязаны представлять рефераты, отвечающие установленным требованиям, и значительное изменение текста реферата международным поисковым органом не должно становиться общей практикой.</w:t>
      </w:r>
      <w:r w:rsidR="009A5545">
        <w:rPr>
          <w:lang w:val="ru-RU"/>
        </w:rPr>
        <w:t xml:space="preserve">  </w:t>
      </w:r>
      <w:r w:rsidR="00F4666C">
        <w:rPr>
          <w:lang w:val="ru-RU"/>
        </w:rPr>
        <w:t>Соответственно</w:t>
      </w:r>
      <w:r w:rsidR="0056571A" w:rsidRPr="0056571A">
        <w:rPr>
          <w:lang w:val="ru-RU"/>
        </w:rPr>
        <w:t xml:space="preserve"> </w:t>
      </w:r>
      <w:r w:rsidR="00F4666C">
        <w:rPr>
          <w:lang w:val="ru-RU"/>
        </w:rPr>
        <w:t>пересмотр</w:t>
      </w:r>
      <w:r w:rsidR="0056571A" w:rsidRPr="0056571A">
        <w:rPr>
          <w:lang w:val="ru-RU"/>
        </w:rPr>
        <w:t xml:space="preserve"> следует проводить в контексте </w:t>
      </w:r>
      <w:r w:rsidR="00F4666C">
        <w:rPr>
          <w:lang w:val="ru-RU"/>
        </w:rPr>
        <w:t>внесения соответствующих</w:t>
      </w:r>
      <w:r w:rsidR="0056571A" w:rsidRPr="0056571A">
        <w:rPr>
          <w:lang w:val="ru-RU"/>
        </w:rPr>
        <w:t xml:space="preserve"> изменений в Руководств</w:t>
      </w:r>
      <w:r w:rsidR="00F4666C">
        <w:rPr>
          <w:lang w:val="ru-RU"/>
        </w:rPr>
        <w:t>о</w:t>
      </w:r>
      <w:r w:rsidR="0056571A" w:rsidRPr="0056571A">
        <w:rPr>
          <w:lang w:val="ru-RU"/>
        </w:rPr>
        <w:t xml:space="preserve"> для заявителя.</w:t>
      </w:r>
    </w:p>
    <w:p w:rsidR="00907055" w:rsidRPr="00F4666C" w:rsidRDefault="00F4666C" w:rsidP="0009288D">
      <w:pPr>
        <w:pStyle w:val="Heading1"/>
        <w:rPr>
          <w:lang w:val="ru-RU"/>
        </w:rPr>
      </w:pPr>
      <w:r>
        <w:rPr>
          <w:lang w:val="ru-RU"/>
        </w:rPr>
        <w:t>последующие действия</w:t>
      </w:r>
    </w:p>
    <w:p w:rsidR="0056571A" w:rsidRPr="0056571A" w:rsidRDefault="0056571A" w:rsidP="00314290">
      <w:pPr>
        <w:pStyle w:val="ONUME"/>
        <w:rPr>
          <w:lang w:val="ru-RU"/>
        </w:rPr>
      </w:pPr>
      <w:r w:rsidRPr="0056571A">
        <w:rPr>
          <w:lang w:val="ru-RU"/>
        </w:rPr>
        <w:t xml:space="preserve">Международное бюро </w:t>
      </w:r>
      <w:r w:rsidR="00F4666C">
        <w:rPr>
          <w:lang w:val="ru-RU"/>
        </w:rPr>
        <w:t xml:space="preserve">планирует провести консультации по вопросу о внесении </w:t>
      </w:r>
      <w:r w:rsidRPr="0056571A">
        <w:rPr>
          <w:lang w:val="ru-RU"/>
        </w:rPr>
        <w:t>возможны</w:t>
      </w:r>
      <w:r w:rsidR="00F4666C">
        <w:rPr>
          <w:lang w:val="ru-RU"/>
        </w:rPr>
        <w:t>х</w:t>
      </w:r>
      <w:r w:rsidRPr="0056571A">
        <w:rPr>
          <w:lang w:val="ru-RU"/>
        </w:rPr>
        <w:t xml:space="preserve"> изменени</w:t>
      </w:r>
      <w:r w:rsidR="00F4666C">
        <w:rPr>
          <w:lang w:val="ru-RU"/>
        </w:rPr>
        <w:t>й</w:t>
      </w:r>
      <w:r w:rsidRPr="0056571A">
        <w:rPr>
          <w:lang w:val="ru-RU"/>
        </w:rPr>
        <w:t xml:space="preserve"> в Руководств</w:t>
      </w:r>
      <w:r w:rsidR="00F4666C">
        <w:rPr>
          <w:lang w:val="ru-RU"/>
        </w:rPr>
        <w:t>о</w:t>
      </w:r>
      <w:r w:rsidRPr="0056571A">
        <w:rPr>
          <w:lang w:val="ru-RU"/>
        </w:rPr>
        <w:t xml:space="preserve"> </w:t>
      </w:r>
      <w:r w:rsidR="00F4666C" w:rsidRPr="00F4666C">
        <w:rPr>
          <w:lang w:val="ru-RU"/>
        </w:rPr>
        <w:t>для заявителя, использующего РСТ</w:t>
      </w:r>
      <w:r w:rsidR="00F4666C">
        <w:rPr>
          <w:lang w:val="ru-RU"/>
        </w:rPr>
        <w:t>,</w:t>
      </w:r>
      <w:r w:rsidR="00F4666C" w:rsidRPr="00F4666C">
        <w:rPr>
          <w:lang w:val="ru-RU"/>
        </w:rPr>
        <w:t xml:space="preserve"> </w:t>
      </w:r>
      <w:r w:rsidRPr="0056571A">
        <w:rPr>
          <w:lang w:val="ru-RU"/>
        </w:rPr>
        <w:t xml:space="preserve">и в </w:t>
      </w:r>
      <w:r w:rsidRPr="00F4666C">
        <w:rPr>
          <w:lang w:val="ru-RU"/>
        </w:rPr>
        <w:t>Руководств</w:t>
      </w:r>
      <w:r w:rsidR="00F4666C">
        <w:rPr>
          <w:lang w:val="ru-RU"/>
        </w:rPr>
        <w:t>о</w:t>
      </w:r>
      <w:r w:rsidRPr="00F4666C">
        <w:rPr>
          <w:lang w:val="ru-RU"/>
        </w:rPr>
        <w:t xml:space="preserve"> </w:t>
      </w:r>
      <w:r w:rsidR="008D0EEA" w:rsidRPr="00F4666C">
        <w:rPr>
          <w:lang w:val="ru-RU"/>
        </w:rPr>
        <w:t xml:space="preserve">РСТ </w:t>
      </w:r>
      <w:r w:rsidRPr="00F4666C">
        <w:rPr>
          <w:lang w:val="ru-RU"/>
        </w:rPr>
        <w:t>по</w:t>
      </w:r>
      <w:r w:rsidR="008D0EEA" w:rsidRPr="00F4666C">
        <w:rPr>
          <w:lang w:val="ru-RU"/>
        </w:rPr>
        <w:t xml:space="preserve"> проведению</w:t>
      </w:r>
      <w:r w:rsidRPr="00F4666C">
        <w:rPr>
          <w:lang w:val="ru-RU"/>
        </w:rPr>
        <w:t xml:space="preserve"> международно</w:t>
      </w:r>
      <w:r w:rsidR="008D0EEA" w:rsidRPr="00F4666C">
        <w:rPr>
          <w:lang w:val="ru-RU"/>
        </w:rPr>
        <w:t>го</w:t>
      </w:r>
      <w:r w:rsidRPr="00F4666C">
        <w:rPr>
          <w:lang w:val="ru-RU"/>
        </w:rPr>
        <w:t xml:space="preserve"> поиск</w:t>
      </w:r>
      <w:r w:rsidR="008D0EEA" w:rsidRPr="00F4666C">
        <w:rPr>
          <w:lang w:val="ru-RU"/>
        </w:rPr>
        <w:t>а</w:t>
      </w:r>
      <w:r w:rsidRPr="00F4666C">
        <w:rPr>
          <w:lang w:val="ru-RU"/>
        </w:rPr>
        <w:t xml:space="preserve"> и </w:t>
      </w:r>
      <w:r w:rsidR="00314290" w:rsidRPr="00314290">
        <w:rPr>
          <w:lang w:val="ru-RU"/>
        </w:rPr>
        <w:t xml:space="preserve">международной </w:t>
      </w:r>
      <w:r w:rsidRPr="00F4666C">
        <w:rPr>
          <w:lang w:val="ru-RU"/>
        </w:rPr>
        <w:t>предварительной экспертиз</w:t>
      </w:r>
      <w:r w:rsidR="008D0EEA" w:rsidRPr="00F4666C">
        <w:rPr>
          <w:lang w:val="ru-RU"/>
        </w:rPr>
        <w:t>ы</w:t>
      </w:r>
      <w:r w:rsidRPr="0056571A">
        <w:rPr>
          <w:lang w:val="ru-RU"/>
        </w:rPr>
        <w:t>. Как отмеч</w:t>
      </w:r>
      <w:r w:rsidR="00F4666C">
        <w:rPr>
          <w:lang w:val="ru-RU"/>
        </w:rPr>
        <w:t>алось</w:t>
      </w:r>
      <w:r w:rsidRPr="0056571A">
        <w:rPr>
          <w:lang w:val="ru-RU"/>
        </w:rPr>
        <w:t xml:space="preserve"> в пункте 13 выше, будет приветствоваться </w:t>
      </w:r>
      <w:r w:rsidR="00F4666C">
        <w:rPr>
          <w:lang w:val="ru-RU"/>
        </w:rPr>
        <w:t xml:space="preserve">представление </w:t>
      </w:r>
      <w:r w:rsidR="00F4666C" w:rsidRPr="0056571A">
        <w:rPr>
          <w:lang w:val="ru-RU"/>
        </w:rPr>
        <w:t>информаци</w:t>
      </w:r>
      <w:r w:rsidR="00F4666C">
        <w:rPr>
          <w:lang w:val="ru-RU"/>
        </w:rPr>
        <w:t>и о</w:t>
      </w:r>
      <w:r w:rsidRPr="0056571A">
        <w:rPr>
          <w:lang w:val="ru-RU"/>
        </w:rPr>
        <w:t xml:space="preserve"> любых национальных или </w:t>
      </w:r>
      <w:r w:rsidR="00F4666C">
        <w:rPr>
          <w:lang w:val="ru-RU"/>
        </w:rPr>
        <w:t>иных рекомендациях</w:t>
      </w:r>
      <w:r w:rsidRPr="0056571A">
        <w:rPr>
          <w:lang w:val="ru-RU"/>
        </w:rPr>
        <w:t xml:space="preserve">, которые могут оказаться полезными при </w:t>
      </w:r>
      <w:r w:rsidR="00F4666C">
        <w:rPr>
          <w:lang w:val="ru-RU"/>
        </w:rPr>
        <w:t>составлении проекта</w:t>
      </w:r>
      <w:r w:rsidRPr="0056571A">
        <w:rPr>
          <w:lang w:val="ru-RU"/>
        </w:rPr>
        <w:t xml:space="preserve"> таких изменений. </w:t>
      </w:r>
      <w:r w:rsidR="00F4666C">
        <w:rPr>
          <w:lang w:val="ru-RU"/>
        </w:rPr>
        <w:t xml:space="preserve"> </w:t>
      </w:r>
      <w:r w:rsidRPr="0056571A">
        <w:rPr>
          <w:lang w:val="ru-RU"/>
        </w:rPr>
        <w:t xml:space="preserve">Также </w:t>
      </w:r>
      <w:r w:rsidR="00F4666C">
        <w:rPr>
          <w:lang w:val="ru-RU"/>
        </w:rPr>
        <w:t>хотелось бы получить</w:t>
      </w:r>
      <w:r w:rsidRPr="0056571A">
        <w:rPr>
          <w:lang w:val="ru-RU"/>
        </w:rPr>
        <w:t xml:space="preserve"> комментарии по вопросу о том, как</w:t>
      </w:r>
      <w:r w:rsidR="00F4666C">
        <w:rPr>
          <w:lang w:val="ru-RU"/>
        </w:rPr>
        <w:t>им образом можно убеждать</w:t>
      </w:r>
      <w:r w:rsidRPr="0056571A">
        <w:rPr>
          <w:lang w:val="ru-RU"/>
        </w:rPr>
        <w:t xml:space="preserve"> заявител</w:t>
      </w:r>
      <w:r w:rsidR="00F4666C">
        <w:rPr>
          <w:lang w:val="ru-RU"/>
        </w:rPr>
        <w:t>ей</w:t>
      </w:r>
      <w:r w:rsidR="0061755D">
        <w:rPr>
          <w:lang w:val="ru-RU"/>
        </w:rPr>
        <w:t xml:space="preserve"> в том, что представление</w:t>
      </w:r>
      <w:r w:rsidRPr="0056571A">
        <w:rPr>
          <w:lang w:val="ru-RU"/>
        </w:rPr>
        <w:t xml:space="preserve"> </w:t>
      </w:r>
      <w:r w:rsidR="0061755D" w:rsidRPr="0056571A">
        <w:rPr>
          <w:lang w:val="ru-RU"/>
        </w:rPr>
        <w:t xml:space="preserve">более качественных рефератов </w:t>
      </w:r>
      <w:r w:rsidR="0061755D">
        <w:rPr>
          <w:lang w:val="ru-RU"/>
        </w:rPr>
        <w:t>принесет пользу им самим</w:t>
      </w:r>
      <w:r w:rsidRPr="0056571A">
        <w:rPr>
          <w:lang w:val="ru-RU"/>
        </w:rPr>
        <w:t>.</w:t>
      </w:r>
    </w:p>
    <w:p w:rsidR="003D1F95" w:rsidRPr="003D1F95" w:rsidRDefault="003D1F95" w:rsidP="009B1897">
      <w:pPr>
        <w:pStyle w:val="ONUME"/>
        <w:keepLines/>
        <w:rPr>
          <w:lang w:val="ru-RU"/>
        </w:rPr>
      </w:pPr>
      <w:r w:rsidRPr="003D1F95">
        <w:rPr>
          <w:lang w:val="ru-RU"/>
        </w:rPr>
        <w:t>Кроме того, буд</w:t>
      </w:r>
      <w:r w:rsidR="0061755D">
        <w:rPr>
          <w:lang w:val="ru-RU"/>
        </w:rPr>
        <w:t>у</w:t>
      </w:r>
      <w:r w:rsidRPr="003D1F95">
        <w:rPr>
          <w:lang w:val="ru-RU"/>
        </w:rPr>
        <w:t>т</w:t>
      </w:r>
      <w:r w:rsidR="0061755D">
        <w:rPr>
          <w:lang w:val="ru-RU"/>
        </w:rPr>
        <w:t xml:space="preserve"> внесены изменения в систему подачи заявок по процедуре </w:t>
      </w:r>
      <w:r w:rsidR="0061755D" w:rsidRPr="003D1F95">
        <w:t>ePCT</w:t>
      </w:r>
      <w:r w:rsidR="0061755D" w:rsidRPr="003D1F95">
        <w:rPr>
          <w:lang w:val="ru-RU"/>
        </w:rPr>
        <w:t xml:space="preserve"> </w:t>
      </w:r>
      <w:r w:rsidR="0061755D">
        <w:rPr>
          <w:lang w:val="ru-RU"/>
        </w:rPr>
        <w:t xml:space="preserve">для подсчета, по мере </w:t>
      </w:r>
      <w:bookmarkStart w:id="4" w:name="_GoBack"/>
      <w:r w:rsidR="0061755D">
        <w:rPr>
          <w:lang w:val="ru-RU"/>
        </w:rPr>
        <w:t>возможности</w:t>
      </w:r>
      <w:r w:rsidRPr="003D1F95">
        <w:rPr>
          <w:lang w:val="ru-RU"/>
        </w:rPr>
        <w:t>, количеств</w:t>
      </w:r>
      <w:r w:rsidR="0061755D">
        <w:rPr>
          <w:lang w:val="ru-RU"/>
        </w:rPr>
        <w:t>а</w:t>
      </w:r>
      <w:r w:rsidR="00523F19">
        <w:rPr>
          <w:lang w:val="ru-RU"/>
        </w:rPr>
        <w:t xml:space="preserve"> слов в реферате с выводом на экран </w:t>
      </w:r>
      <w:r w:rsidR="0061755D">
        <w:rPr>
          <w:lang w:val="ru-RU"/>
        </w:rPr>
        <w:t>предупреждения, есл</w:t>
      </w:r>
      <w:bookmarkEnd w:id="4"/>
      <w:r w:rsidR="0061755D">
        <w:rPr>
          <w:lang w:val="ru-RU"/>
        </w:rPr>
        <w:t xml:space="preserve">и </w:t>
      </w:r>
      <w:r w:rsidR="00523F19">
        <w:rPr>
          <w:lang w:val="ru-RU"/>
        </w:rPr>
        <w:t>реферат по своему объему</w:t>
      </w:r>
      <w:r w:rsidR="0061755D">
        <w:rPr>
          <w:lang w:val="ru-RU"/>
        </w:rPr>
        <w:t xml:space="preserve"> выходит за рамки</w:t>
      </w:r>
      <w:r w:rsidRPr="003D1F95">
        <w:rPr>
          <w:lang w:val="ru-RU"/>
        </w:rPr>
        <w:t xml:space="preserve"> ожидаемого диапазона. </w:t>
      </w:r>
      <w:r w:rsidR="0061755D">
        <w:rPr>
          <w:lang w:val="ru-RU"/>
        </w:rPr>
        <w:t xml:space="preserve"> </w:t>
      </w:r>
      <w:r w:rsidRPr="003D1F95">
        <w:rPr>
          <w:lang w:val="ru-RU"/>
        </w:rPr>
        <w:t>Это, однако, не</w:t>
      </w:r>
      <w:r w:rsidR="0061755D">
        <w:rPr>
          <w:lang w:val="ru-RU"/>
        </w:rPr>
        <w:t xml:space="preserve"> будет</w:t>
      </w:r>
      <w:r w:rsidRPr="003D1F95">
        <w:rPr>
          <w:lang w:val="ru-RU"/>
        </w:rPr>
        <w:t xml:space="preserve"> препятств</w:t>
      </w:r>
      <w:r w:rsidR="0061755D">
        <w:rPr>
          <w:lang w:val="ru-RU"/>
        </w:rPr>
        <w:t>овать</w:t>
      </w:r>
      <w:r w:rsidRPr="003D1F95">
        <w:rPr>
          <w:lang w:val="ru-RU"/>
        </w:rPr>
        <w:t xml:space="preserve"> подаче заяв</w:t>
      </w:r>
      <w:r w:rsidR="0061755D">
        <w:rPr>
          <w:lang w:val="ru-RU"/>
        </w:rPr>
        <w:t>ителем</w:t>
      </w:r>
      <w:r w:rsidRPr="003D1F95">
        <w:rPr>
          <w:lang w:val="ru-RU"/>
        </w:rPr>
        <w:t xml:space="preserve"> более длинн</w:t>
      </w:r>
      <w:r w:rsidR="0061755D">
        <w:rPr>
          <w:lang w:val="ru-RU"/>
        </w:rPr>
        <w:t>ого</w:t>
      </w:r>
      <w:r w:rsidRPr="003D1F95">
        <w:rPr>
          <w:lang w:val="ru-RU"/>
        </w:rPr>
        <w:t xml:space="preserve"> или </w:t>
      </w:r>
      <w:r w:rsidR="0061755D">
        <w:rPr>
          <w:lang w:val="ru-RU"/>
        </w:rPr>
        <w:t xml:space="preserve">более </w:t>
      </w:r>
      <w:r w:rsidRPr="003D1F95">
        <w:rPr>
          <w:lang w:val="ru-RU"/>
        </w:rPr>
        <w:t>коротк</w:t>
      </w:r>
      <w:r w:rsidR="0061755D">
        <w:rPr>
          <w:lang w:val="ru-RU"/>
        </w:rPr>
        <w:t>ого</w:t>
      </w:r>
      <w:r w:rsidRPr="003D1F95">
        <w:rPr>
          <w:lang w:val="ru-RU"/>
        </w:rPr>
        <w:t xml:space="preserve"> реферата.</w:t>
      </w:r>
      <w:r w:rsidR="0061755D">
        <w:rPr>
          <w:lang w:val="ru-RU"/>
        </w:rPr>
        <w:t xml:space="preserve">  </w:t>
      </w:r>
      <w:r w:rsidRPr="003D1F95">
        <w:rPr>
          <w:lang w:val="ru-RU"/>
        </w:rPr>
        <w:t xml:space="preserve">Получающим ведомствам, </w:t>
      </w:r>
      <w:r w:rsidR="0061755D">
        <w:rPr>
          <w:lang w:val="ru-RU"/>
        </w:rPr>
        <w:t>в которых имеются</w:t>
      </w:r>
      <w:r w:rsidRPr="003D1F95">
        <w:rPr>
          <w:lang w:val="ru-RU"/>
        </w:rPr>
        <w:t xml:space="preserve"> собственные системы </w:t>
      </w:r>
      <w:r w:rsidR="0061755D">
        <w:rPr>
          <w:lang w:val="ru-RU"/>
        </w:rPr>
        <w:t>подачи заявок</w:t>
      </w:r>
      <w:r w:rsidRPr="003D1F95">
        <w:rPr>
          <w:lang w:val="ru-RU"/>
        </w:rPr>
        <w:t xml:space="preserve">, предлагается рассмотреть </w:t>
      </w:r>
      <w:r w:rsidR="0061755D">
        <w:rPr>
          <w:lang w:val="ru-RU"/>
        </w:rPr>
        <w:t>аналогичные</w:t>
      </w:r>
      <w:r w:rsidRPr="003D1F95">
        <w:rPr>
          <w:lang w:val="ru-RU"/>
        </w:rPr>
        <w:t xml:space="preserve"> меры.</w:t>
      </w:r>
    </w:p>
    <w:p w:rsidR="00907055" w:rsidRPr="00F93629" w:rsidRDefault="0061755D" w:rsidP="002D0597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меры</w:t>
      </w:r>
      <w:r w:rsidRPr="00F93629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могут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быть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приняты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сокращения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расходов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на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перевод</w:t>
      </w:r>
      <w:r w:rsidRPr="00F93629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F93629">
        <w:rPr>
          <w:i/>
          <w:lang w:val="ru-RU"/>
        </w:rPr>
        <w:t xml:space="preserve"> </w:t>
      </w:r>
      <w:r w:rsidR="00F93629">
        <w:rPr>
          <w:i/>
          <w:lang w:val="ru-RU"/>
        </w:rPr>
        <w:t>повышения качества информации, связанной с рефератами и прилагаемыми к ним чертежами</w:t>
      </w:r>
      <w:r w:rsidR="00907055" w:rsidRPr="00F93629">
        <w:rPr>
          <w:i/>
          <w:lang w:val="ru-RU"/>
        </w:rPr>
        <w:t>.</w:t>
      </w:r>
    </w:p>
    <w:p w:rsidR="002928D3" w:rsidRDefault="00907055" w:rsidP="00340891">
      <w:pPr>
        <w:pStyle w:val="Endofdocument-Annex"/>
      </w:pPr>
      <w:r>
        <w:t>[</w:t>
      </w:r>
      <w:r w:rsidR="003D1F95">
        <w:rPr>
          <w:lang w:val="ru-RU"/>
        </w:rPr>
        <w:t>Конец докумен</w:t>
      </w:r>
      <w:r w:rsidR="00F93629">
        <w:rPr>
          <w:lang w:val="ru-RU"/>
        </w:rPr>
        <w:t>та</w:t>
      </w:r>
      <w:r>
        <w:t>]</w:t>
      </w:r>
      <w:r w:rsidR="0089564A">
        <w:t xml:space="preserve"> </w:t>
      </w:r>
    </w:p>
    <w:sectPr w:rsidR="002928D3" w:rsidSect="00AA224B">
      <w:headerReference w:type="default" r:id="rId10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A8" w:rsidRDefault="00C14DA8">
      <w:r>
        <w:separator/>
      </w:r>
    </w:p>
  </w:endnote>
  <w:endnote w:type="continuationSeparator" w:id="0">
    <w:p w:rsidR="00C14DA8" w:rsidRDefault="00C14DA8" w:rsidP="003B38C1">
      <w:r>
        <w:separator/>
      </w:r>
    </w:p>
    <w:p w:rsidR="00C14DA8" w:rsidRPr="003B38C1" w:rsidRDefault="00C14D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14DA8" w:rsidRPr="003B38C1" w:rsidRDefault="00C14D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A8" w:rsidRDefault="00C14DA8">
      <w:r>
        <w:separator/>
      </w:r>
    </w:p>
  </w:footnote>
  <w:footnote w:type="continuationSeparator" w:id="0">
    <w:p w:rsidR="00C14DA8" w:rsidRDefault="00C14DA8" w:rsidP="008B60B2">
      <w:r>
        <w:separator/>
      </w:r>
    </w:p>
    <w:p w:rsidR="00C14DA8" w:rsidRPr="00ED77FB" w:rsidRDefault="00C14D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14DA8" w:rsidRPr="00ED77FB" w:rsidRDefault="00C14D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8FE" w:rsidRDefault="00D448FE" w:rsidP="00477D6B">
    <w:pPr>
      <w:jc w:val="right"/>
    </w:pPr>
    <w:bookmarkStart w:id="5" w:name="Code2"/>
    <w:bookmarkEnd w:id="5"/>
    <w:r>
      <w:t>PCT/WG/10/23</w:t>
    </w:r>
  </w:p>
  <w:p w:rsidR="00D448FE" w:rsidRDefault="00D448FE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B1897">
      <w:rPr>
        <w:noProof/>
      </w:rPr>
      <w:t>2</w:t>
    </w:r>
    <w:r>
      <w:fldChar w:fldCharType="end"/>
    </w:r>
  </w:p>
  <w:p w:rsidR="00D448FE" w:rsidRDefault="00D448F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07"/>
    <w:rsid w:val="0000019B"/>
    <w:rsid w:val="00000BE8"/>
    <w:rsid w:val="000160E3"/>
    <w:rsid w:val="00016B48"/>
    <w:rsid w:val="00043CAA"/>
    <w:rsid w:val="000536F7"/>
    <w:rsid w:val="000669A2"/>
    <w:rsid w:val="00075432"/>
    <w:rsid w:val="00081E6C"/>
    <w:rsid w:val="000876F1"/>
    <w:rsid w:val="00090CA4"/>
    <w:rsid w:val="0009288D"/>
    <w:rsid w:val="00092DA8"/>
    <w:rsid w:val="000968ED"/>
    <w:rsid w:val="000A0218"/>
    <w:rsid w:val="000B0C35"/>
    <w:rsid w:val="000F5E56"/>
    <w:rsid w:val="00105BA6"/>
    <w:rsid w:val="00110BD1"/>
    <w:rsid w:val="00134CCB"/>
    <w:rsid w:val="001362EE"/>
    <w:rsid w:val="0015574A"/>
    <w:rsid w:val="001602F6"/>
    <w:rsid w:val="00176DBF"/>
    <w:rsid w:val="001832A6"/>
    <w:rsid w:val="001948CA"/>
    <w:rsid w:val="001E6B64"/>
    <w:rsid w:val="00210F0C"/>
    <w:rsid w:val="0021217E"/>
    <w:rsid w:val="002219D8"/>
    <w:rsid w:val="00251803"/>
    <w:rsid w:val="002634C4"/>
    <w:rsid w:val="002928D3"/>
    <w:rsid w:val="002D0597"/>
    <w:rsid w:val="002E28BC"/>
    <w:rsid w:val="002F1FE6"/>
    <w:rsid w:val="002F4E68"/>
    <w:rsid w:val="002F7BE5"/>
    <w:rsid w:val="00307CA8"/>
    <w:rsid w:val="00312F7F"/>
    <w:rsid w:val="00314290"/>
    <w:rsid w:val="0033339D"/>
    <w:rsid w:val="00340891"/>
    <w:rsid w:val="00361450"/>
    <w:rsid w:val="003648BD"/>
    <w:rsid w:val="003649F6"/>
    <w:rsid w:val="003673CF"/>
    <w:rsid w:val="0037625E"/>
    <w:rsid w:val="00383B11"/>
    <w:rsid w:val="003845C1"/>
    <w:rsid w:val="003914FA"/>
    <w:rsid w:val="003A6F89"/>
    <w:rsid w:val="003B38C1"/>
    <w:rsid w:val="003D10A3"/>
    <w:rsid w:val="003D12FE"/>
    <w:rsid w:val="003D1F95"/>
    <w:rsid w:val="003E08C7"/>
    <w:rsid w:val="00423E3E"/>
    <w:rsid w:val="00427AF4"/>
    <w:rsid w:val="00456434"/>
    <w:rsid w:val="004647DA"/>
    <w:rsid w:val="00474062"/>
    <w:rsid w:val="004777D7"/>
    <w:rsid w:val="00477D6B"/>
    <w:rsid w:val="00481E90"/>
    <w:rsid w:val="004B32C0"/>
    <w:rsid w:val="004B4F08"/>
    <w:rsid w:val="004B72C2"/>
    <w:rsid w:val="004E555E"/>
    <w:rsid w:val="005019FF"/>
    <w:rsid w:val="0051171B"/>
    <w:rsid w:val="00523F19"/>
    <w:rsid w:val="0053057A"/>
    <w:rsid w:val="00556BFD"/>
    <w:rsid w:val="00560A29"/>
    <w:rsid w:val="0056571A"/>
    <w:rsid w:val="005C6649"/>
    <w:rsid w:val="005D585D"/>
    <w:rsid w:val="005E1C8F"/>
    <w:rsid w:val="005E3979"/>
    <w:rsid w:val="005E3E88"/>
    <w:rsid w:val="00605827"/>
    <w:rsid w:val="0061755D"/>
    <w:rsid w:val="00646050"/>
    <w:rsid w:val="00662907"/>
    <w:rsid w:val="006713CA"/>
    <w:rsid w:val="00676C5C"/>
    <w:rsid w:val="00697877"/>
    <w:rsid w:val="006A659C"/>
    <w:rsid w:val="006B10DA"/>
    <w:rsid w:val="006B174A"/>
    <w:rsid w:val="006C6361"/>
    <w:rsid w:val="00717582"/>
    <w:rsid w:val="007737D7"/>
    <w:rsid w:val="007806C5"/>
    <w:rsid w:val="00781AD5"/>
    <w:rsid w:val="007D0947"/>
    <w:rsid w:val="007D1613"/>
    <w:rsid w:val="007D26C0"/>
    <w:rsid w:val="007E3A59"/>
    <w:rsid w:val="007E4C0E"/>
    <w:rsid w:val="008025E9"/>
    <w:rsid w:val="00810002"/>
    <w:rsid w:val="00822EE2"/>
    <w:rsid w:val="00837311"/>
    <w:rsid w:val="00856BFB"/>
    <w:rsid w:val="008647F3"/>
    <w:rsid w:val="00883345"/>
    <w:rsid w:val="008833CD"/>
    <w:rsid w:val="00885322"/>
    <w:rsid w:val="0089564A"/>
    <w:rsid w:val="00895BDB"/>
    <w:rsid w:val="008A1A9D"/>
    <w:rsid w:val="008B23FB"/>
    <w:rsid w:val="008B2CC1"/>
    <w:rsid w:val="008B5B15"/>
    <w:rsid w:val="008B60B2"/>
    <w:rsid w:val="008D0EEA"/>
    <w:rsid w:val="008E3333"/>
    <w:rsid w:val="008F13AA"/>
    <w:rsid w:val="009014DB"/>
    <w:rsid w:val="00907055"/>
    <w:rsid w:val="0090731E"/>
    <w:rsid w:val="00916EE2"/>
    <w:rsid w:val="00932081"/>
    <w:rsid w:val="00945559"/>
    <w:rsid w:val="009510E8"/>
    <w:rsid w:val="00966A22"/>
    <w:rsid w:val="0096722F"/>
    <w:rsid w:val="00972EBE"/>
    <w:rsid w:val="00980843"/>
    <w:rsid w:val="00985CAD"/>
    <w:rsid w:val="00985F92"/>
    <w:rsid w:val="0099006F"/>
    <w:rsid w:val="0099542D"/>
    <w:rsid w:val="009A14A0"/>
    <w:rsid w:val="009A25DC"/>
    <w:rsid w:val="009A5545"/>
    <w:rsid w:val="009B0479"/>
    <w:rsid w:val="009B1897"/>
    <w:rsid w:val="009B5485"/>
    <w:rsid w:val="009D6B49"/>
    <w:rsid w:val="009E2791"/>
    <w:rsid w:val="009E3F6F"/>
    <w:rsid w:val="009F1B62"/>
    <w:rsid w:val="009F499F"/>
    <w:rsid w:val="00A0469D"/>
    <w:rsid w:val="00A2223A"/>
    <w:rsid w:val="00A33C54"/>
    <w:rsid w:val="00A3403B"/>
    <w:rsid w:val="00A36DF7"/>
    <w:rsid w:val="00A42DAF"/>
    <w:rsid w:val="00A45BD8"/>
    <w:rsid w:val="00A71824"/>
    <w:rsid w:val="00A869B7"/>
    <w:rsid w:val="00A94A0B"/>
    <w:rsid w:val="00AA224B"/>
    <w:rsid w:val="00AC205C"/>
    <w:rsid w:val="00AF0A6B"/>
    <w:rsid w:val="00B05A69"/>
    <w:rsid w:val="00B260C2"/>
    <w:rsid w:val="00B84013"/>
    <w:rsid w:val="00B9734B"/>
    <w:rsid w:val="00BA180C"/>
    <w:rsid w:val="00BA30E2"/>
    <w:rsid w:val="00BD4C8A"/>
    <w:rsid w:val="00BE4831"/>
    <w:rsid w:val="00BE5F6A"/>
    <w:rsid w:val="00C03B38"/>
    <w:rsid w:val="00C11BFE"/>
    <w:rsid w:val="00C14DA8"/>
    <w:rsid w:val="00C152F8"/>
    <w:rsid w:val="00C24931"/>
    <w:rsid w:val="00C37B64"/>
    <w:rsid w:val="00C423B7"/>
    <w:rsid w:val="00C47788"/>
    <w:rsid w:val="00C5068F"/>
    <w:rsid w:val="00C5419A"/>
    <w:rsid w:val="00C9365F"/>
    <w:rsid w:val="00C97951"/>
    <w:rsid w:val="00CB31AC"/>
    <w:rsid w:val="00CB3D99"/>
    <w:rsid w:val="00CD04F1"/>
    <w:rsid w:val="00CF1C0D"/>
    <w:rsid w:val="00CF1D5C"/>
    <w:rsid w:val="00D31B4E"/>
    <w:rsid w:val="00D448FE"/>
    <w:rsid w:val="00D45252"/>
    <w:rsid w:val="00D619A4"/>
    <w:rsid w:val="00D71B4D"/>
    <w:rsid w:val="00D731AE"/>
    <w:rsid w:val="00D917AE"/>
    <w:rsid w:val="00D93D55"/>
    <w:rsid w:val="00DA3FD0"/>
    <w:rsid w:val="00DE3F63"/>
    <w:rsid w:val="00DF634E"/>
    <w:rsid w:val="00E00BDC"/>
    <w:rsid w:val="00E11E40"/>
    <w:rsid w:val="00E15015"/>
    <w:rsid w:val="00E2626A"/>
    <w:rsid w:val="00E335FE"/>
    <w:rsid w:val="00E611F5"/>
    <w:rsid w:val="00E66F82"/>
    <w:rsid w:val="00E8316A"/>
    <w:rsid w:val="00EC4E49"/>
    <w:rsid w:val="00ED4FFC"/>
    <w:rsid w:val="00ED77FB"/>
    <w:rsid w:val="00EE45FA"/>
    <w:rsid w:val="00F018F2"/>
    <w:rsid w:val="00F13BA5"/>
    <w:rsid w:val="00F20B1B"/>
    <w:rsid w:val="00F317F6"/>
    <w:rsid w:val="00F4666C"/>
    <w:rsid w:val="00F46E33"/>
    <w:rsid w:val="00F54F73"/>
    <w:rsid w:val="00F66152"/>
    <w:rsid w:val="00F737B0"/>
    <w:rsid w:val="00F86829"/>
    <w:rsid w:val="00F93629"/>
    <w:rsid w:val="00F9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90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6290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62907"/>
    <w:rPr>
      <w:vertAlign w:val="superscript"/>
    </w:rPr>
  </w:style>
  <w:style w:type="table" w:styleId="TableGrid">
    <w:name w:val="Table Grid"/>
    <w:basedOn w:val="TableNormal"/>
    <w:rsid w:val="008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907055"/>
    <w:rPr>
      <w:rFonts w:ascii="Arial" w:eastAsia="SimSun" w:hAnsi="Arial" w:cs="Arial"/>
      <w:sz w:val="22"/>
      <w:lang w:eastAsia="zh-CN"/>
    </w:rPr>
  </w:style>
  <w:style w:type="paragraph" w:customStyle="1" w:styleId="ArtRuleRef">
    <w:name w:val="Art/Rule Ref"/>
    <w:basedOn w:val="Normal"/>
    <w:rsid w:val="00907055"/>
    <w:pPr>
      <w:keepNext/>
      <w:keepLines/>
      <w:jc w:val="right"/>
    </w:pPr>
    <w:rPr>
      <w:rFonts w:eastAsia="Times New Roman" w:cs="Times New Roman"/>
      <w:i/>
      <w:snapToGrid w:val="0"/>
      <w:sz w:val="20"/>
      <w:szCs w:val="22"/>
      <w:lang w:eastAsia="en-US"/>
    </w:rPr>
  </w:style>
  <w:style w:type="paragraph" w:customStyle="1" w:styleId="BodyTexta">
    <w:name w:val="Body Text (a)"/>
    <w:basedOn w:val="Normal"/>
    <w:rsid w:val="00907055"/>
    <w:pPr>
      <w:spacing w:after="120"/>
      <w:ind w:firstLine="567"/>
    </w:pPr>
    <w:rPr>
      <w:rFonts w:eastAsia="Times New Roman" w:cs="Times New Roman"/>
      <w:szCs w:val="22"/>
      <w:lang w:eastAsia="en-US"/>
    </w:rPr>
  </w:style>
  <w:style w:type="character" w:styleId="CommentReference">
    <w:name w:val="annotation reference"/>
    <w:basedOn w:val="DefaultParagraphFont"/>
    <w:rsid w:val="00F018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18F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8F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018F2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62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907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662907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rsid w:val="00662907"/>
    <w:rPr>
      <w:vertAlign w:val="superscript"/>
    </w:rPr>
  </w:style>
  <w:style w:type="table" w:styleId="TableGrid">
    <w:name w:val="Table Grid"/>
    <w:basedOn w:val="TableNormal"/>
    <w:rsid w:val="00895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UMEChar">
    <w:name w:val="ONUM E Char"/>
    <w:basedOn w:val="DefaultParagraphFont"/>
    <w:link w:val="ONUME"/>
    <w:rsid w:val="00907055"/>
    <w:rPr>
      <w:rFonts w:ascii="Arial" w:eastAsia="SimSun" w:hAnsi="Arial" w:cs="Arial"/>
      <w:sz w:val="22"/>
      <w:lang w:eastAsia="zh-CN"/>
    </w:rPr>
  </w:style>
  <w:style w:type="paragraph" w:customStyle="1" w:styleId="ArtRuleRef">
    <w:name w:val="Art/Rule Ref"/>
    <w:basedOn w:val="Normal"/>
    <w:rsid w:val="00907055"/>
    <w:pPr>
      <w:keepNext/>
      <w:keepLines/>
      <w:jc w:val="right"/>
    </w:pPr>
    <w:rPr>
      <w:rFonts w:eastAsia="Times New Roman" w:cs="Times New Roman"/>
      <w:i/>
      <w:snapToGrid w:val="0"/>
      <w:sz w:val="20"/>
      <w:szCs w:val="22"/>
      <w:lang w:eastAsia="en-US"/>
    </w:rPr>
  </w:style>
  <w:style w:type="paragraph" w:customStyle="1" w:styleId="BodyTexta">
    <w:name w:val="Body Text (a)"/>
    <w:basedOn w:val="Normal"/>
    <w:rsid w:val="00907055"/>
    <w:pPr>
      <w:spacing w:after="120"/>
      <w:ind w:firstLine="567"/>
    </w:pPr>
    <w:rPr>
      <w:rFonts w:eastAsia="Times New Roman" w:cs="Times New Roman"/>
      <w:szCs w:val="22"/>
      <w:lang w:eastAsia="en-US"/>
    </w:rPr>
  </w:style>
  <w:style w:type="character" w:styleId="CommentReference">
    <w:name w:val="annotation reference"/>
    <w:basedOn w:val="DefaultParagraphFont"/>
    <w:rsid w:val="00F018F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18F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8F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018F2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C869-8B39-4173-9996-218D36E3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0</TotalTime>
  <Pages>8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PCT/WG/10/23</vt:lpstr>
    </vt:vector>
  </TitlesOfParts>
  <Company>WIPO</Company>
  <LinksUpToDate>false</LinksUpToDate>
  <CharactersWithSpaces>21442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PCT/WG/10/23</dc:title>
  <dc:subject>Number of Words in Abstracts and Front Page Drawings</dc:subject>
  <dc:creator>RICHARDSON Michael</dc:creator>
  <cp:lastModifiedBy>MARLOW Thomas</cp:lastModifiedBy>
  <cp:revision>2</cp:revision>
  <cp:lastPrinted>2017-05-02T14:11:00Z</cp:lastPrinted>
  <dcterms:created xsi:type="dcterms:W3CDTF">2017-05-03T07:54:00Z</dcterms:created>
  <dcterms:modified xsi:type="dcterms:W3CDTF">2017-05-03T07:54:00Z</dcterms:modified>
</cp:coreProperties>
</file>