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10BD7" w14:textId="77777777" w:rsidR="008B2CC1" w:rsidRPr="007657B7" w:rsidRDefault="004E54C0" w:rsidP="00556656">
      <w:pPr>
        <w:spacing w:before="360" w:after="240"/>
        <w:jc w:val="right"/>
        <w:rPr>
          <w:b/>
          <w:szCs w:val="22"/>
        </w:rPr>
      </w:pPr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5A25D430" wp14:editId="784A21DB">
            <wp:extent cx="3103245" cy="14325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602241" w14:textId="77777777" w:rsidR="008B2CC1" w:rsidRPr="00970992" w:rsidRDefault="008C180E" w:rsidP="00F874D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PCT</w:t>
      </w:r>
      <w:r w:rsidR="00556656" w:rsidRPr="00970992">
        <w:rPr>
          <w:rFonts w:ascii="Arial Black" w:hAnsi="Arial Black"/>
          <w:caps/>
          <w:sz w:val="15"/>
          <w:szCs w:val="15"/>
          <w:lang w:val="ru-RU"/>
        </w:rPr>
        <w:t>/</w:t>
      </w:r>
      <w:r>
        <w:rPr>
          <w:rFonts w:ascii="Arial Black" w:hAnsi="Arial Black"/>
          <w:caps/>
          <w:sz w:val="15"/>
          <w:szCs w:val="15"/>
        </w:rPr>
        <w:t>WG</w:t>
      </w:r>
      <w:r w:rsidRPr="00970992">
        <w:rPr>
          <w:rFonts w:ascii="Arial Black" w:hAnsi="Arial Black"/>
          <w:caps/>
          <w:sz w:val="15"/>
          <w:szCs w:val="15"/>
          <w:lang w:val="ru-RU"/>
        </w:rPr>
        <w:t>/1</w:t>
      </w:r>
      <w:r w:rsidR="00970992">
        <w:rPr>
          <w:rFonts w:ascii="Arial Black" w:hAnsi="Arial Black"/>
          <w:caps/>
          <w:sz w:val="15"/>
          <w:szCs w:val="15"/>
          <w:lang w:val="ru-RU"/>
        </w:rPr>
        <w:t>5</w:t>
      </w:r>
      <w:r w:rsidR="00556656" w:rsidRPr="00970992">
        <w:rPr>
          <w:rFonts w:ascii="Arial Black" w:hAnsi="Arial Black"/>
          <w:caps/>
          <w:sz w:val="15"/>
          <w:szCs w:val="15"/>
          <w:lang w:val="ru-RU"/>
        </w:rPr>
        <w:t>/</w:t>
      </w:r>
      <w:bookmarkStart w:id="0" w:name="Code"/>
      <w:r w:rsidR="00970992">
        <w:rPr>
          <w:rFonts w:ascii="Arial Black" w:hAnsi="Arial Black"/>
          <w:caps/>
          <w:sz w:val="15"/>
          <w:szCs w:val="15"/>
          <w:lang w:val="ru-RU"/>
        </w:rPr>
        <w:t>8</w:t>
      </w:r>
    </w:p>
    <w:bookmarkEnd w:id="0"/>
    <w:p w14:paraId="170EE7DD" w14:textId="77777777" w:rsidR="008B2CC1" w:rsidRPr="00970992" w:rsidRDefault="004E54C0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970992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31E1D15E" w14:textId="77777777" w:rsidR="008B2CC1" w:rsidRPr="004E54C0" w:rsidRDefault="004E54C0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bookmarkStart w:id="2" w:name="_GoBack"/>
      <w:bookmarkEnd w:id="2"/>
      <w:r w:rsidR="00EB2F76" w:rsidRPr="00970992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 w:rsidR="00970992">
        <w:rPr>
          <w:rFonts w:ascii="Arial Black" w:hAnsi="Arial Black"/>
          <w:caps/>
          <w:sz w:val="15"/>
          <w:szCs w:val="15"/>
          <w:lang w:val="ru-RU"/>
        </w:rPr>
        <w:t>5 сентября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485FDD">
        <w:rPr>
          <w:rFonts w:ascii="Arial Black" w:hAnsi="Arial Black"/>
          <w:caps/>
          <w:sz w:val="15"/>
          <w:szCs w:val="15"/>
          <w:lang w:val="ru-RU"/>
        </w:rPr>
        <w:t>2022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</w:t>
      </w:r>
      <w:r w:rsidR="00970992">
        <w:rPr>
          <w:rFonts w:ascii="Arial Black" w:hAnsi="Arial Black"/>
          <w:caps/>
          <w:sz w:val="15"/>
          <w:szCs w:val="15"/>
          <w:lang w:val="ru-RU"/>
        </w:rPr>
        <w:t>ода</w:t>
      </w:r>
    </w:p>
    <w:bookmarkEnd w:id="3"/>
    <w:p w14:paraId="3F29D2F3" w14:textId="77777777" w:rsidR="008B2CC1" w:rsidRPr="00970992" w:rsidRDefault="00B53E5B" w:rsidP="008D0E8D">
      <w:pPr>
        <w:pStyle w:val="Heading1"/>
        <w:spacing w:after="600"/>
        <w:rPr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Рабочая группа по Договору о патентной кооперации</w:t>
      </w:r>
      <w:r w:rsidR="008D0E8D" w:rsidRPr="00970992">
        <w:rPr>
          <w:caps w:val="0"/>
          <w:sz w:val="28"/>
          <w:szCs w:val="28"/>
          <w:lang w:val="ru-RU"/>
        </w:rPr>
        <w:t xml:space="preserve"> (</w:t>
      </w:r>
      <w:r w:rsidR="008D0E8D" w:rsidRPr="008D0E8D">
        <w:rPr>
          <w:caps w:val="0"/>
          <w:sz w:val="28"/>
          <w:szCs w:val="28"/>
        </w:rPr>
        <w:t>PCT</w:t>
      </w:r>
      <w:r w:rsidR="008D0E8D" w:rsidRPr="00970992">
        <w:rPr>
          <w:caps w:val="0"/>
          <w:sz w:val="28"/>
          <w:szCs w:val="28"/>
          <w:lang w:val="ru-RU"/>
        </w:rPr>
        <w:t>)</w:t>
      </w:r>
    </w:p>
    <w:p w14:paraId="428E78E9" w14:textId="77777777" w:rsidR="00FE77AF" w:rsidRPr="00970992" w:rsidRDefault="00970992" w:rsidP="00FE77AF">
      <w:pPr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Пятнадцатая</w:t>
      </w:r>
      <w:r w:rsidR="00DC0637">
        <w:rPr>
          <w:b/>
          <w:sz w:val="24"/>
          <w:szCs w:val="24"/>
          <w:lang w:val="ru-RU"/>
        </w:rPr>
        <w:t xml:space="preserve"> сессия</w:t>
      </w:r>
    </w:p>
    <w:p w14:paraId="6EC16B2B" w14:textId="77777777" w:rsidR="008B2CC1" w:rsidRPr="003D21B8" w:rsidRDefault="003D21B8" w:rsidP="00FE77AF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E77AF" w:rsidRPr="00970992">
        <w:rPr>
          <w:b/>
          <w:sz w:val="24"/>
          <w:szCs w:val="24"/>
          <w:lang w:val="ru-RU"/>
        </w:rPr>
        <w:t xml:space="preserve">, </w:t>
      </w:r>
      <w:r w:rsidR="00970992">
        <w:rPr>
          <w:b/>
          <w:sz w:val="24"/>
          <w:szCs w:val="24"/>
          <w:lang w:val="ru-RU"/>
        </w:rPr>
        <w:t>3</w:t>
      </w:r>
      <w:r w:rsidRPr="003D21B8">
        <w:rPr>
          <w:b/>
          <w:sz w:val="24"/>
          <w:szCs w:val="24"/>
          <w:lang w:val="ru-RU"/>
        </w:rPr>
        <w:t>–</w:t>
      </w:r>
      <w:r w:rsidR="00FE77AF" w:rsidRPr="00970992"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  <w:lang w:val="ru-RU"/>
        </w:rPr>
        <w:t xml:space="preserve"> </w:t>
      </w:r>
      <w:r w:rsidR="00970992">
        <w:rPr>
          <w:b/>
          <w:sz w:val="24"/>
          <w:szCs w:val="24"/>
          <w:lang w:val="ru-RU"/>
        </w:rPr>
        <w:t>октября 2022 года</w:t>
      </w:r>
    </w:p>
    <w:p w14:paraId="0D393960" w14:textId="77777777" w:rsidR="008B2CC1" w:rsidRPr="00970992" w:rsidRDefault="003D21B8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>
        <w:rPr>
          <w:caps/>
          <w:sz w:val="24"/>
          <w:lang w:val="ru-RU"/>
        </w:rPr>
        <w:t xml:space="preserve">ПРОВЕДЕНИЕ СОВМЕСТНОГО ПОИСКА И ЭКСПЕРТИЗЫ В РАМКАХ РСТ </w:t>
      </w:r>
      <w:r w:rsidR="005D65A0">
        <w:rPr>
          <w:caps/>
          <w:sz w:val="24"/>
          <w:lang w:val="ru-RU"/>
        </w:rPr>
        <w:t xml:space="preserve">силами </w:t>
      </w:r>
      <w:r>
        <w:rPr>
          <w:caps/>
          <w:sz w:val="24"/>
          <w:lang w:val="ru-RU"/>
        </w:rPr>
        <w:t xml:space="preserve">ВЕДОМСТВ ГРУППЫ </w:t>
      </w:r>
      <w:r w:rsidR="003F4664">
        <w:rPr>
          <w:caps/>
          <w:sz w:val="24"/>
        </w:rPr>
        <w:t>IP</w:t>
      </w:r>
      <w:r w:rsidR="003F4664" w:rsidRPr="00970992">
        <w:rPr>
          <w:caps/>
          <w:sz w:val="24"/>
          <w:lang w:val="ru-RU"/>
        </w:rPr>
        <w:t xml:space="preserve">5: </w:t>
      </w:r>
      <w:r w:rsidR="00143299">
        <w:rPr>
          <w:caps/>
          <w:sz w:val="24"/>
          <w:lang w:val="ru-RU"/>
        </w:rPr>
        <w:t>ОТЧЕТ О ХОДЕ РАБОТЫ</w:t>
      </w:r>
    </w:p>
    <w:p w14:paraId="675AC8F3" w14:textId="77777777" w:rsidR="002928D3" w:rsidRPr="00970992" w:rsidRDefault="00143299" w:rsidP="00556656">
      <w:pPr>
        <w:spacing w:after="960"/>
        <w:rPr>
          <w:i/>
          <w:lang w:val="ru-RU"/>
        </w:rPr>
      </w:pPr>
      <w:bookmarkStart w:id="5" w:name="Prepared"/>
      <w:bookmarkEnd w:id="4"/>
      <w:r>
        <w:rPr>
          <w:i/>
          <w:lang w:val="ru-RU"/>
        </w:rPr>
        <w:t>Документ подготовлен Европейским патентным ведомством</w:t>
      </w:r>
    </w:p>
    <w:bookmarkEnd w:id="5"/>
    <w:p w14:paraId="20DC1182" w14:textId="77777777" w:rsidR="004E4CA5" w:rsidRPr="00970992" w:rsidRDefault="00143299" w:rsidP="004E4CA5">
      <w:pPr>
        <w:pStyle w:val="Heading1"/>
        <w:rPr>
          <w:lang w:val="ru-RU"/>
        </w:rPr>
      </w:pPr>
      <w:r>
        <w:rPr>
          <w:lang w:val="ru-RU"/>
        </w:rPr>
        <w:t>РЕЗЮМЕ</w:t>
      </w:r>
    </w:p>
    <w:p w14:paraId="35986C0A" w14:textId="77777777" w:rsidR="004E4CA5" w:rsidRPr="00970992" w:rsidRDefault="00143299" w:rsidP="004E4CA5">
      <w:pPr>
        <w:pStyle w:val="ONUME"/>
        <w:rPr>
          <w:lang w:val="ru-RU"/>
        </w:rPr>
      </w:pPr>
      <w:r w:rsidRPr="00143299">
        <w:rPr>
          <w:lang w:val="ru-RU"/>
        </w:rPr>
        <w:t xml:space="preserve">В настоящем документе содержится отчет о ходе реализации третьего пилотного проекта по совместному поиску и экспертизе в рамках </w:t>
      </w:r>
      <w:r w:rsidRPr="00143299">
        <w:t>PCT</w:t>
      </w:r>
      <w:r w:rsidRPr="00143299">
        <w:rPr>
          <w:lang w:val="ru-RU"/>
        </w:rPr>
        <w:t xml:space="preserve"> (СПиЭ) между ведомствами группы </w:t>
      </w:r>
      <w:r w:rsidRPr="00143299">
        <w:t>IP</w:t>
      </w:r>
      <w:r w:rsidRPr="00143299">
        <w:rPr>
          <w:lang w:val="ru-RU"/>
        </w:rPr>
        <w:t>5 (Европейское патентное ведомство (ЕПВ), Японское патентное ведомство (ЯПВ), Корейское ведомство интеллектуальной собственности (</w:t>
      </w:r>
      <w:r w:rsidR="00293C93">
        <w:t>KIPO</w:t>
      </w:r>
      <w:r w:rsidRPr="00143299">
        <w:rPr>
          <w:lang w:val="ru-RU"/>
        </w:rPr>
        <w:t>), Национальное управление интеллектуальной собственности Китайской Народной Республики (</w:t>
      </w:r>
      <w:r w:rsidRPr="00143299">
        <w:t>CNIPA</w:t>
      </w:r>
      <w:r w:rsidRPr="00143299">
        <w:rPr>
          <w:lang w:val="ru-RU"/>
        </w:rPr>
        <w:t>) и Ведомство по патентам и товарным знакам Соединенных Штатов Америки (ВПТЗ США))</w:t>
      </w:r>
      <w:r w:rsidR="000E6641">
        <w:rPr>
          <w:lang w:val="ru-RU"/>
        </w:rPr>
        <w:t>.</w:t>
      </w:r>
    </w:p>
    <w:p w14:paraId="33757DDF" w14:textId="77777777" w:rsidR="004E4CA5" w:rsidRDefault="00F77682" w:rsidP="004E4CA5">
      <w:pPr>
        <w:pStyle w:val="Heading1"/>
      </w:pPr>
      <w:r>
        <w:rPr>
          <w:lang w:val="ru-RU"/>
        </w:rPr>
        <w:t>СПРАВОЧНАЯ ИНФОРМАЦИЯ</w:t>
      </w:r>
    </w:p>
    <w:p w14:paraId="3D6A9D5E" w14:textId="77777777" w:rsidR="004E4CA5" w:rsidRPr="00970992" w:rsidRDefault="00F77682" w:rsidP="004E4CA5">
      <w:pPr>
        <w:pStyle w:val="ONUME"/>
        <w:rPr>
          <w:lang w:val="ru-RU"/>
        </w:rPr>
      </w:pPr>
      <w:r w:rsidRPr="00F77682">
        <w:rPr>
          <w:lang w:val="ru-RU"/>
        </w:rPr>
        <w:t>На своей третьей сессии, состоявшейся в июне 2010</w:t>
      </w:r>
      <w:r w:rsidR="00A40401">
        <w:rPr>
          <w:lang w:val="ru-RU"/>
        </w:rPr>
        <w:t> </w:t>
      </w:r>
      <w:r w:rsidR="00970992">
        <w:rPr>
          <w:lang w:val="ru-RU"/>
        </w:rPr>
        <w:t>года</w:t>
      </w:r>
      <w:r w:rsidRPr="00F77682">
        <w:rPr>
          <w:lang w:val="ru-RU"/>
        </w:rPr>
        <w:t xml:space="preserve">, Рабочая группа по </w:t>
      </w:r>
      <w:r w:rsidRPr="00F77682">
        <w:t>PCT</w:t>
      </w:r>
      <w:r w:rsidRPr="00F77682">
        <w:rPr>
          <w:lang w:val="ru-RU"/>
        </w:rPr>
        <w:t xml:space="preserve"> одобрила ряд рекомендаций</w:t>
      </w:r>
      <w:r w:rsidR="00B1055E">
        <w:rPr>
          <w:lang w:val="ru-RU"/>
        </w:rPr>
        <w:t>,</w:t>
      </w:r>
      <w:r w:rsidRPr="00F77682">
        <w:rPr>
          <w:lang w:val="ru-RU"/>
        </w:rPr>
        <w:t xml:space="preserve"> </w:t>
      </w:r>
      <w:r w:rsidR="00B1055E" w:rsidRPr="00F77682">
        <w:rPr>
          <w:lang w:val="ru-RU"/>
        </w:rPr>
        <w:t>перечислен</w:t>
      </w:r>
      <w:r w:rsidR="00B1055E">
        <w:rPr>
          <w:lang w:val="ru-RU"/>
        </w:rPr>
        <w:t>н</w:t>
      </w:r>
      <w:r w:rsidR="00B1055E" w:rsidRPr="00F77682">
        <w:rPr>
          <w:lang w:val="ru-RU"/>
        </w:rPr>
        <w:t>ы</w:t>
      </w:r>
      <w:r w:rsidR="00B1055E">
        <w:rPr>
          <w:lang w:val="ru-RU"/>
        </w:rPr>
        <w:t>х</w:t>
      </w:r>
      <w:r w:rsidR="00B1055E" w:rsidRPr="00F77682">
        <w:rPr>
          <w:lang w:val="ru-RU"/>
        </w:rPr>
        <w:t xml:space="preserve"> в документе </w:t>
      </w:r>
      <w:r w:rsidR="00B1055E" w:rsidRPr="00F77682">
        <w:t>PCT</w:t>
      </w:r>
      <w:r w:rsidR="00B1055E" w:rsidRPr="00F77682">
        <w:rPr>
          <w:lang w:val="ru-RU"/>
        </w:rPr>
        <w:t>/</w:t>
      </w:r>
      <w:r w:rsidR="00B1055E" w:rsidRPr="00F77682">
        <w:t>WG</w:t>
      </w:r>
      <w:r w:rsidR="00B1055E" w:rsidRPr="00F77682">
        <w:rPr>
          <w:lang w:val="ru-RU"/>
        </w:rPr>
        <w:t>/4/3</w:t>
      </w:r>
      <w:r w:rsidR="00B1055E">
        <w:rPr>
          <w:lang w:val="ru-RU"/>
        </w:rPr>
        <w:t xml:space="preserve">, </w:t>
      </w:r>
      <w:r w:rsidRPr="00F77682">
        <w:rPr>
          <w:lang w:val="ru-RU"/>
        </w:rPr>
        <w:t>с целью улучшить механизм функционирования системы РСТ.  В рекомендации, изложенной в</w:t>
      </w:r>
      <w:r w:rsidR="00A40401" w:rsidRPr="00970992">
        <w:rPr>
          <w:lang w:val="ru-RU"/>
        </w:rPr>
        <w:t xml:space="preserve"> </w:t>
      </w:r>
      <w:r w:rsidRPr="00F77682">
        <w:rPr>
          <w:lang w:val="ru-RU"/>
        </w:rPr>
        <w:t>пункте</w:t>
      </w:r>
      <w:r w:rsidR="00A40401">
        <w:rPr>
          <w:lang w:val="ru-RU"/>
        </w:rPr>
        <w:t> </w:t>
      </w:r>
      <w:r w:rsidRPr="00F77682">
        <w:rPr>
          <w:lang w:val="ru-RU"/>
        </w:rPr>
        <w:t>165(b), упоминается апробирование механизма, позволяющего экспертам</w:t>
      </w:r>
      <w:r w:rsidR="001E77AB">
        <w:rPr>
          <w:lang w:val="ru-RU"/>
        </w:rPr>
        <w:t xml:space="preserve"> М</w:t>
      </w:r>
      <w:r w:rsidRPr="00F77682">
        <w:rPr>
          <w:lang w:val="ru-RU"/>
        </w:rPr>
        <w:t>еждународных органов, дополняющим друг друга по своей специализации, объединять усилия при подготовке отчетов.</w:t>
      </w:r>
    </w:p>
    <w:p w14:paraId="3E23F252" w14:textId="77777777" w:rsidR="004E4CA5" w:rsidRPr="00970992" w:rsidRDefault="00895C62" w:rsidP="004E4CA5">
      <w:pPr>
        <w:pStyle w:val="ONUME"/>
        <w:rPr>
          <w:lang w:val="ru-RU"/>
        </w:rPr>
      </w:pPr>
      <w:r w:rsidRPr="00895C62">
        <w:rPr>
          <w:lang w:val="ru-RU"/>
        </w:rPr>
        <w:t>Руководствуясь этой целью, К</w:t>
      </w:r>
      <w:r>
        <w:t>IPO</w:t>
      </w:r>
      <w:r w:rsidRPr="00895C62">
        <w:rPr>
          <w:lang w:val="ru-RU"/>
        </w:rPr>
        <w:t xml:space="preserve">, ВПТЗ США и ЕПВ приступили к осуществлению двух пилотных проектов по совместному поиску и экспертизе по заявкам, поданным по процедуре </w:t>
      </w:r>
      <w:r w:rsidRPr="00895C62">
        <w:t>PCT</w:t>
      </w:r>
      <w:r w:rsidRPr="00895C62">
        <w:rPr>
          <w:lang w:val="ru-RU"/>
        </w:rPr>
        <w:t xml:space="preserve"> (СПиЭ) в 2010 и 2012</w:t>
      </w:r>
      <w:r w:rsidR="00F00416">
        <w:t> </w:t>
      </w:r>
      <w:r w:rsidR="00970992">
        <w:rPr>
          <w:lang w:val="ru-RU"/>
        </w:rPr>
        <w:t>годах</w:t>
      </w:r>
      <w:r w:rsidRPr="00895C62">
        <w:rPr>
          <w:lang w:val="ru-RU"/>
        </w:rPr>
        <w:t xml:space="preserve">.  Оба пилотных проекта завершились в целом весьма положительными выводами </w:t>
      </w:r>
      <w:r w:rsidR="00F00416">
        <w:rPr>
          <w:lang w:val="ru-RU"/>
        </w:rPr>
        <w:t xml:space="preserve">с точки зрения </w:t>
      </w:r>
      <w:r w:rsidRPr="00895C62">
        <w:rPr>
          <w:lang w:val="ru-RU"/>
        </w:rPr>
        <w:t xml:space="preserve">качества и эффективности этого </w:t>
      </w:r>
      <w:r w:rsidRPr="00895C62">
        <w:rPr>
          <w:lang w:val="ru-RU"/>
        </w:rPr>
        <w:lastRenderedPageBreak/>
        <w:t xml:space="preserve">механизма как для участвующих ведомств, так и для пользователей, чьи заявки обрабатывались </w:t>
      </w:r>
      <w:r w:rsidR="00F00416">
        <w:rPr>
          <w:lang w:val="ru-RU"/>
        </w:rPr>
        <w:t>в рамках совместной процедуры</w:t>
      </w:r>
      <w:r w:rsidRPr="00895C62">
        <w:rPr>
          <w:lang w:val="ru-RU"/>
        </w:rPr>
        <w:t xml:space="preserve"> (см. документы </w:t>
      </w:r>
      <w:r w:rsidRPr="00895C62">
        <w:t>PCT</w:t>
      </w:r>
      <w:r w:rsidRPr="00895C62">
        <w:rPr>
          <w:lang w:val="ru-RU"/>
        </w:rPr>
        <w:t>/</w:t>
      </w:r>
      <w:r w:rsidRPr="00895C62">
        <w:t>MIA</w:t>
      </w:r>
      <w:r w:rsidRPr="00895C62">
        <w:rPr>
          <w:lang w:val="ru-RU"/>
        </w:rPr>
        <w:t xml:space="preserve">/18/7, </w:t>
      </w:r>
      <w:r w:rsidRPr="00895C62">
        <w:t>PCT</w:t>
      </w:r>
      <w:r w:rsidRPr="00895C62">
        <w:rPr>
          <w:lang w:val="ru-RU"/>
        </w:rPr>
        <w:t>/</w:t>
      </w:r>
      <w:r w:rsidRPr="00895C62">
        <w:t>MIA</w:t>
      </w:r>
      <w:r w:rsidRPr="00895C62">
        <w:rPr>
          <w:lang w:val="ru-RU"/>
        </w:rPr>
        <w:t xml:space="preserve">/20/4 и </w:t>
      </w:r>
      <w:r w:rsidRPr="00895C62">
        <w:t>PCT</w:t>
      </w:r>
      <w:r w:rsidRPr="00895C62">
        <w:rPr>
          <w:lang w:val="ru-RU"/>
        </w:rPr>
        <w:t>/</w:t>
      </w:r>
      <w:r w:rsidRPr="00895C62">
        <w:t>MIA</w:t>
      </w:r>
      <w:r w:rsidRPr="00895C62">
        <w:rPr>
          <w:lang w:val="ru-RU"/>
        </w:rPr>
        <w:t>/24/3).</w:t>
      </w:r>
    </w:p>
    <w:p w14:paraId="0413FF19" w14:textId="77777777" w:rsidR="004E4CA5" w:rsidRDefault="00702340" w:rsidP="001C54C0">
      <w:pPr>
        <w:pStyle w:val="Heading1"/>
        <w:keepLines/>
      </w:pPr>
      <w:r>
        <w:rPr>
          <w:lang w:val="ru-RU"/>
        </w:rPr>
        <w:t>РАМОЧНЫЙ ДОКУМЕНТ</w:t>
      </w:r>
    </w:p>
    <w:p w14:paraId="0E2E0441" w14:textId="77777777" w:rsidR="004E4CA5" w:rsidRPr="00970992" w:rsidRDefault="00080B28" w:rsidP="001C54C0">
      <w:pPr>
        <w:pStyle w:val="ONUME"/>
        <w:keepNext/>
        <w:keepLines/>
        <w:rPr>
          <w:lang w:val="ru-RU"/>
        </w:rPr>
      </w:pPr>
      <w:r w:rsidRPr="00080B28">
        <w:rPr>
          <w:lang w:val="ru-RU"/>
        </w:rPr>
        <w:t>Второго июня 2016</w:t>
      </w:r>
      <w:r>
        <w:rPr>
          <w:lang w:val="ru-RU"/>
        </w:rPr>
        <w:t> </w:t>
      </w:r>
      <w:r w:rsidR="00970992">
        <w:rPr>
          <w:lang w:val="ru-RU"/>
        </w:rPr>
        <w:t>года</w:t>
      </w:r>
      <w:r w:rsidRPr="00080B28">
        <w:rPr>
          <w:lang w:val="ru-RU"/>
        </w:rPr>
        <w:t xml:space="preserve"> руководители ведомств группы IP5 одобрили «Рамочный документ о сотрудничестве</w:t>
      </w:r>
      <w:r w:rsidR="00903772">
        <w:rPr>
          <w:lang w:val="ru-RU"/>
        </w:rPr>
        <w:t xml:space="preserve"> ведомств группы </w:t>
      </w:r>
      <w:r w:rsidR="00903772">
        <w:t>IP</w:t>
      </w:r>
      <w:r w:rsidR="00903772" w:rsidRPr="00970992">
        <w:rPr>
          <w:lang w:val="ru-RU"/>
        </w:rPr>
        <w:t>5</w:t>
      </w:r>
      <w:r w:rsidRPr="00080B28">
        <w:rPr>
          <w:lang w:val="ru-RU"/>
        </w:rPr>
        <w:t xml:space="preserve"> в области совместного поиска и экспертизы по заявкам, поданным по процедуре РСТ», в котором содержатся исходные принципы и основные особенности третьего пилотного проекта.  За разработку проекта и контроль за его выполнением отвечает Группа по реализации пилотного проекта совместного поиска и экспертизы («Группа по СПиЭ»), созданная на основании этого документа</w:t>
      </w:r>
      <w:r w:rsidR="009D3FF2">
        <w:rPr>
          <w:lang w:val="ru-RU"/>
        </w:rPr>
        <w:t>.</w:t>
      </w:r>
    </w:p>
    <w:p w14:paraId="1665DE80" w14:textId="77777777" w:rsidR="001C54C0" w:rsidRPr="00970992" w:rsidRDefault="006A2023" w:rsidP="001C54C0">
      <w:pPr>
        <w:pStyle w:val="ONUME"/>
        <w:rPr>
          <w:lang w:val="ru-RU"/>
        </w:rPr>
      </w:pPr>
      <w:r w:rsidRPr="006A2023">
        <w:rPr>
          <w:lang w:val="ru-RU"/>
        </w:rPr>
        <w:t>Ниже перечислены некоторые основные особенности третьего пилотного проекта:</w:t>
      </w:r>
    </w:p>
    <w:p w14:paraId="5D158068" w14:textId="77777777" w:rsidR="004E4CA5" w:rsidRPr="00970992" w:rsidRDefault="00492BE0" w:rsidP="00492BE0">
      <w:pPr>
        <w:pStyle w:val="ListParagraph"/>
        <w:numPr>
          <w:ilvl w:val="0"/>
          <w:numId w:val="7"/>
        </w:numPr>
        <w:spacing w:after="220"/>
        <w:ind w:left="1080" w:firstLine="0"/>
        <w:rPr>
          <w:lang w:val="ru-RU"/>
        </w:rPr>
      </w:pPr>
      <w:r w:rsidRPr="00492BE0">
        <w:rPr>
          <w:lang w:val="ru-RU"/>
        </w:rPr>
        <w:t>подход, основанный на инициативе заявителя: заявки, обрабатываемые в ходе третьего пилотного проекта, о</w:t>
      </w:r>
      <w:r w:rsidR="00DF20BA">
        <w:rPr>
          <w:lang w:val="ru-RU"/>
        </w:rPr>
        <w:t>пределяются</w:t>
      </w:r>
      <w:r w:rsidRPr="00492BE0">
        <w:rPr>
          <w:lang w:val="ru-RU"/>
        </w:rPr>
        <w:t xml:space="preserve"> заявителями</w:t>
      </w:r>
      <w:r w:rsidR="004E4CA5" w:rsidRPr="00970992">
        <w:rPr>
          <w:lang w:val="ru-RU"/>
        </w:rPr>
        <w:t>;</w:t>
      </w:r>
    </w:p>
    <w:p w14:paraId="1CEC008E" w14:textId="77777777" w:rsidR="004E4CA5" w:rsidRPr="00970992" w:rsidRDefault="004E4CA5" w:rsidP="00492BE0">
      <w:pPr>
        <w:pStyle w:val="ListParagraph"/>
        <w:spacing w:after="220"/>
        <w:ind w:left="1080"/>
        <w:rPr>
          <w:lang w:val="ru-RU"/>
        </w:rPr>
      </w:pPr>
    </w:p>
    <w:p w14:paraId="24DE1B35" w14:textId="77777777" w:rsidR="004E4CA5" w:rsidRPr="00970992" w:rsidRDefault="008820AD" w:rsidP="00492BE0">
      <w:pPr>
        <w:pStyle w:val="ListParagraph"/>
        <w:numPr>
          <w:ilvl w:val="0"/>
          <w:numId w:val="7"/>
        </w:numPr>
        <w:spacing w:after="220"/>
        <w:ind w:left="1080" w:firstLine="0"/>
        <w:rPr>
          <w:lang w:val="ru-RU"/>
        </w:rPr>
      </w:pPr>
      <w:r w:rsidRPr="008820AD">
        <w:rPr>
          <w:lang w:val="ru-RU"/>
        </w:rPr>
        <w:t>сбалансированное распределение рабочей нагрузки:</w:t>
      </w:r>
      <w:r w:rsidR="00CC6F66">
        <w:rPr>
          <w:lang w:val="ru-RU"/>
        </w:rPr>
        <w:t xml:space="preserve"> все участвующие М</w:t>
      </w:r>
      <w:r w:rsidRPr="008820AD">
        <w:rPr>
          <w:lang w:val="ru-RU"/>
        </w:rPr>
        <w:t>еждународные органы вносят вклад в подготовку каждого итогового документа проекта СПиЭ; в течение двух лет каждое ведомство обработает приблизительно 100 международных заявок в качестве «главного Международного поискового органа» и приблизительно 400 международных заявок – в качестве «Международного поискового органа-партнера»</w:t>
      </w:r>
      <w:r w:rsidR="004E4CA5" w:rsidRPr="00970992">
        <w:rPr>
          <w:lang w:val="ru-RU"/>
        </w:rPr>
        <w:t>;</w:t>
      </w:r>
    </w:p>
    <w:p w14:paraId="77C68F00" w14:textId="77777777" w:rsidR="004E4CA5" w:rsidRPr="00970992" w:rsidRDefault="004E4CA5" w:rsidP="00492BE0">
      <w:pPr>
        <w:pStyle w:val="ListParagraph"/>
        <w:ind w:left="1080"/>
        <w:rPr>
          <w:lang w:val="ru-RU"/>
        </w:rPr>
      </w:pPr>
    </w:p>
    <w:p w14:paraId="1768EF89" w14:textId="77777777" w:rsidR="004E4CA5" w:rsidRPr="00970992" w:rsidRDefault="00D40022" w:rsidP="00492BE0">
      <w:pPr>
        <w:pStyle w:val="ListParagraph"/>
        <w:numPr>
          <w:ilvl w:val="0"/>
          <w:numId w:val="7"/>
        </w:numPr>
        <w:spacing w:after="220"/>
        <w:ind w:left="1080" w:firstLine="0"/>
        <w:rPr>
          <w:lang w:val="ru-RU"/>
        </w:rPr>
      </w:pPr>
      <w:r w:rsidRPr="00D40022">
        <w:rPr>
          <w:lang w:val="ru-RU"/>
        </w:rPr>
        <w:t>при обрабо</w:t>
      </w:r>
      <w:r>
        <w:rPr>
          <w:lang w:val="ru-RU"/>
        </w:rPr>
        <w:t>тке заявок РСТ все участвующие М</w:t>
      </w:r>
      <w:r w:rsidRPr="00D40022">
        <w:rPr>
          <w:lang w:val="ru-RU"/>
        </w:rPr>
        <w:t>еждународные органы применяют единый пакет стандартов качества и оперативных норм</w:t>
      </w:r>
      <w:r w:rsidR="004E4CA5" w:rsidRPr="00970992">
        <w:rPr>
          <w:lang w:val="ru-RU"/>
        </w:rPr>
        <w:t>;</w:t>
      </w:r>
    </w:p>
    <w:p w14:paraId="2FBA0A0D" w14:textId="77777777" w:rsidR="004E4CA5" w:rsidRPr="00970992" w:rsidRDefault="004E4CA5" w:rsidP="00492BE0">
      <w:pPr>
        <w:pStyle w:val="ListParagraph"/>
        <w:ind w:left="1080"/>
        <w:rPr>
          <w:lang w:val="ru-RU"/>
        </w:rPr>
      </w:pPr>
    </w:p>
    <w:p w14:paraId="0F205FCE" w14:textId="77777777" w:rsidR="004E4CA5" w:rsidRPr="00970992" w:rsidRDefault="00415BBE" w:rsidP="00492BE0">
      <w:pPr>
        <w:pStyle w:val="ListParagraph"/>
        <w:numPr>
          <w:ilvl w:val="0"/>
          <w:numId w:val="7"/>
        </w:numPr>
        <w:spacing w:after="220"/>
        <w:ind w:left="1080" w:firstLine="0"/>
        <w:rPr>
          <w:lang w:val="ru-RU"/>
        </w:rPr>
      </w:pPr>
      <w:r w:rsidRPr="00415BBE">
        <w:rPr>
          <w:lang w:val="ru-RU"/>
        </w:rPr>
        <w:t>использование «общего инструмента», т.е. инфраструктуры ИТ, позволяющей ведомствам обмениваться информацией в защищенн</w:t>
      </w:r>
      <w:r w:rsidR="00C94E68">
        <w:rPr>
          <w:lang w:val="ru-RU"/>
        </w:rPr>
        <w:t>ой среде</w:t>
      </w:r>
      <w:r w:rsidRPr="00415BBE">
        <w:rPr>
          <w:lang w:val="ru-RU"/>
        </w:rPr>
        <w:t xml:space="preserve"> и осуществлять автоматизированный сбор данных; и</w:t>
      </w:r>
    </w:p>
    <w:p w14:paraId="68081576" w14:textId="77777777" w:rsidR="004E4CA5" w:rsidRPr="00970992" w:rsidRDefault="004E4CA5" w:rsidP="00492BE0">
      <w:pPr>
        <w:pStyle w:val="ListParagraph"/>
        <w:ind w:left="1080"/>
        <w:rPr>
          <w:lang w:val="ru-RU"/>
        </w:rPr>
      </w:pPr>
    </w:p>
    <w:p w14:paraId="192C2F7A" w14:textId="77777777" w:rsidR="004E4CA5" w:rsidRPr="00970992" w:rsidRDefault="005F7728" w:rsidP="00492BE0">
      <w:pPr>
        <w:pStyle w:val="ListParagraph"/>
        <w:numPr>
          <w:ilvl w:val="0"/>
          <w:numId w:val="7"/>
        </w:numPr>
        <w:spacing w:after="220"/>
        <w:ind w:left="1080" w:firstLine="0"/>
        <w:rPr>
          <w:lang w:val="ru-RU"/>
        </w:rPr>
      </w:pPr>
      <w:r w:rsidRPr="005F7728">
        <w:rPr>
          <w:lang w:val="ru-RU"/>
        </w:rPr>
        <w:t>возможность для участвующих</w:t>
      </w:r>
      <w:r>
        <w:rPr>
          <w:lang w:val="ru-RU"/>
        </w:rPr>
        <w:t xml:space="preserve"> М</w:t>
      </w:r>
      <w:r w:rsidRPr="005F7728">
        <w:rPr>
          <w:lang w:val="ru-RU"/>
        </w:rPr>
        <w:t xml:space="preserve">еждународных органов также принимать с какого-то определенного момента времени в ходе пилотного проекта </w:t>
      </w:r>
      <w:r w:rsidR="00036CDD">
        <w:rPr>
          <w:lang w:val="ru-RU"/>
        </w:rPr>
        <w:t>заявки, поданные не только на английском языке</w:t>
      </w:r>
      <w:r w:rsidR="004E4CA5" w:rsidRPr="00970992">
        <w:rPr>
          <w:lang w:val="ru-RU"/>
        </w:rPr>
        <w:t>.</w:t>
      </w:r>
    </w:p>
    <w:p w14:paraId="4F262C78" w14:textId="529274B5" w:rsidR="004E4CA5" w:rsidRPr="00970992" w:rsidRDefault="003C2697" w:rsidP="004E4CA5">
      <w:pPr>
        <w:pStyle w:val="ONUME"/>
        <w:rPr>
          <w:lang w:val="ru-RU"/>
        </w:rPr>
      </w:pPr>
      <w:r w:rsidRPr="003C2697">
        <w:rPr>
          <w:lang w:val="ru-RU"/>
        </w:rPr>
        <w:t>В рамках этого пилотного проекта эксперт из ведомства, выступающего в качестве компетентного Международного поискового органа в соответствии с правилом</w:t>
      </w:r>
      <w:r w:rsidRPr="003C2697">
        <w:t> </w:t>
      </w:r>
      <w:r w:rsidRPr="003C2697">
        <w:rPr>
          <w:lang w:val="ru-RU"/>
        </w:rPr>
        <w:t>35 Инструкции к PCT в отношении той или иной международной заявки («главный эксперт»), проводи</w:t>
      </w:r>
      <w:r>
        <w:rPr>
          <w:lang w:val="ru-RU"/>
        </w:rPr>
        <w:t>л</w:t>
      </w:r>
      <w:r w:rsidRPr="003C2697">
        <w:rPr>
          <w:lang w:val="ru-RU"/>
        </w:rPr>
        <w:t xml:space="preserve"> поиск и экспертизу в том же порядке, как и в случае любой иной международной заявки, и </w:t>
      </w:r>
      <w:r w:rsidR="00980100">
        <w:rPr>
          <w:lang w:val="ru-RU"/>
        </w:rPr>
        <w:t>готовил</w:t>
      </w:r>
      <w:r w:rsidRPr="003C2697">
        <w:rPr>
          <w:lang w:val="ru-RU"/>
        </w:rPr>
        <w:t xml:space="preserve"> предварительный отчет о международном поиске и письменное сообщение.  Эти предварительные документы затем направля</w:t>
      </w:r>
      <w:r>
        <w:rPr>
          <w:lang w:val="ru-RU"/>
        </w:rPr>
        <w:t xml:space="preserve">лись </w:t>
      </w:r>
      <w:r w:rsidRPr="003C2697">
        <w:rPr>
          <w:lang w:val="ru-RU"/>
        </w:rPr>
        <w:t>экспертам-партнерам из других ведомств</w:t>
      </w:r>
      <w:r w:rsidR="000F5648">
        <w:rPr>
          <w:lang w:val="ru-RU"/>
        </w:rPr>
        <w:t>, участвующих</w:t>
      </w:r>
      <w:r w:rsidR="00125495">
        <w:rPr>
          <w:lang w:val="ru-RU"/>
        </w:rPr>
        <w:t xml:space="preserve"> в</w:t>
      </w:r>
      <w:r w:rsidRPr="003C2697">
        <w:rPr>
          <w:lang w:val="ru-RU"/>
        </w:rPr>
        <w:t xml:space="preserve"> качестве Международных поисковых органов.  Эксперты-партнеры </w:t>
      </w:r>
      <w:r w:rsidR="00851AEF">
        <w:rPr>
          <w:lang w:val="ru-RU"/>
        </w:rPr>
        <w:t xml:space="preserve">направляли </w:t>
      </w:r>
      <w:r w:rsidRPr="003C2697">
        <w:rPr>
          <w:lang w:val="ru-RU"/>
        </w:rPr>
        <w:t>главному эксперту сво</w:t>
      </w:r>
      <w:r w:rsidR="00851AEF">
        <w:rPr>
          <w:lang w:val="ru-RU"/>
        </w:rPr>
        <w:t>и соображения и замечания</w:t>
      </w:r>
      <w:r w:rsidRPr="003C2697">
        <w:rPr>
          <w:lang w:val="ru-RU"/>
        </w:rPr>
        <w:t xml:space="preserve"> с учетом предварительного отчета о международном поиске и письменного сообщения. </w:t>
      </w:r>
      <w:r w:rsidR="00851AEF">
        <w:rPr>
          <w:lang w:val="ru-RU"/>
        </w:rPr>
        <w:t xml:space="preserve"> </w:t>
      </w:r>
      <w:r w:rsidR="006245C7">
        <w:rPr>
          <w:lang w:val="ru-RU"/>
        </w:rPr>
        <w:t>П</w:t>
      </w:r>
      <w:r w:rsidRPr="003C2697">
        <w:rPr>
          <w:lang w:val="ru-RU"/>
        </w:rPr>
        <w:t>осле рассмотрения материалов, присланных экспертами-партнерами</w:t>
      </w:r>
      <w:r w:rsidR="006245C7">
        <w:rPr>
          <w:lang w:val="ru-RU"/>
        </w:rPr>
        <w:t>, главный эксперт готовил о</w:t>
      </w:r>
      <w:r w:rsidR="006245C7" w:rsidRPr="003C2697">
        <w:rPr>
          <w:lang w:val="ru-RU"/>
        </w:rPr>
        <w:t>кончательный отчет о международном поиске и письменное сообщение</w:t>
      </w:r>
      <w:r w:rsidR="006245C7">
        <w:rPr>
          <w:lang w:val="ru-RU"/>
        </w:rPr>
        <w:t>.</w:t>
      </w:r>
    </w:p>
    <w:p w14:paraId="0684C692" w14:textId="77777777" w:rsidR="004E4CA5" w:rsidRDefault="00ED350A" w:rsidP="004E4CA5">
      <w:pPr>
        <w:pStyle w:val="Heading1"/>
      </w:pPr>
      <w:r>
        <w:rPr>
          <w:lang w:val="ru-RU"/>
        </w:rPr>
        <w:t>ТЕКУЩЕЕ ПОЛОЖЕНИЕ ДЕЛ</w:t>
      </w:r>
    </w:p>
    <w:p w14:paraId="2EC293C0" w14:textId="77777777" w:rsidR="004E4CA5" w:rsidRPr="00970992" w:rsidRDefault="0047418E" w:rsidP="004E4CA5">
      <w:pPr>
        <w:pStyle w:val="ONUME"/>
        <w:rPr>
          <w:lang w:val="ru-RU"/>
        </w:rPr>
      </w:pPr>
      <w:r w:rsidRPr="0047418E">
        <w:rPr>
          <w:lang w:val="ru-RU"/>
        </w:rPr>
        <w:t xml:space="preserve">Пилотный проект </w:t>
      </w:r>
      <w:r>
        <w:rPr>
          <w:lang w:val="ru-RU"/>
        </w:rPr>
        <w:t>предусматривает</w:t>
      </w:r>
      <w:r w:rsidRPr="0047418E">
        <w:rPr>
          <w:lang w:val="ru-RU"/>
        </w:rPr>
        <w:t xml:space="preserve"> три этапа: подготовительный, рабочий и оценочный</w:t>
      </w:r>
      <w:r w:rsidR="008F2261">
        <w:rPr>
          <w:lang w:val="ru-RU"/>
        </w:rPr>
        <w:t>.</w:t>
      </w:r>
    </w:p>
    <w:p w14:paraId="79AAF5E0" w14:textId="77777777" w:rsidR="00970992" w:rsidRDefault="008676C5" w:rsidP="004E4CA5">
      <w:pPr>
        <w:pStyle w:val="ONUME"/>
        <w:rPr>
          <w:lang w:val="ru-RU"/>
        </w:rPr>
      </w:pPr>
      <w:r w:rsidRPr="008676C5">
        <w:rPr>
          <w:lang w:val="ru-RU"/>
        </w:rPr>
        <w:t xml:space="preserve">Рабочий этап, </w:t>
      </w:r>
      <w:r>
        <w:rPr>
          <w:lang w:val="ru-RU"/>
        </w:rPr>
        <w:t xml:space="preserve">посвященный </w:t>
      </w:r>
      <w:r w:rsidRPr="008676C5">
        <w:rPr>
          <w:lang w:val="ru-RU"/>
        </w:rPr>
        <w:t>обработк</w:t>
      </w:r>
      <w:r>
        <w:rPr>
          <w:lang w:val="ru-RU"/>
        </w:rPr>
        <w:t>е</w:t>
      </w:r>
      <w:r w:rsidRPr="008676C5">
        <w:rPr>
          <w:lang w:val="ru-RU"/>
        </w:rPr>
        <w:t xml:space="preserve"> заявок в рамках совместного механизма,</w:t>
      </w:r>
      <w:r>
        <w:rPr>
          <w:lang w:val="ru-RU"/>
        </w:rPr>
        <w:t xml:space="preserve"> про</w:t>
      </w:r>
      <w:r w:rsidR="00B75C68">
        <w:rPr>
          <w:lang w:val="ru-RU"/>
        </w:rPr>
        <w:t>шел</w:t>
      </w:r>
      <w:r>
        <w:rPr>
          <w:lang w:val="ru-RU"/>
        </w:rPr>
        <w:t xml:space="preserve"> гладко</w:t>
      </w:r>
      <w:r w:rsidRPr="008676C5">
        <w:rPr>
          <w:lang w:val="ru-RU"/>
        </w:rPr>
        <w:t xml:space="preserve"> с 1</w:t>
      </w:r>
      <w:r>
        <w:rPr>
          <w:lang w:val="ru-RU"/>
        </w:rPr>
        <w:t> </w:t>
      </w:r>
      <w:r w:rsidR="00970992">
        <w:rPr>
          <w:lang w:val="ru-RU"/>
        </w:rPr>
        <w:t>июля 2018 года</w:t>
      </w:r>
      <w:r w:rsidRPr="008676C5">
        <w:rPr>
          <w:lang w:val="ru-RU"/>
        </w:rPr>
        <w:t xml:space="preserve"> по </w:t>
      </w:r>
      <w:r>
        <w:rPr>
          <w:lang w:val="ru-RU"/>
        </w:rPr>
        <w:t>30 </w:t>
      </w:r>
      <w:r w:rsidRPr="008676C5">
        <w:rPr>
          <w:lang w:val="ru-RU"/>
        </w:rPr>
        <w:t>ию</w:t>
      </w:r>
      <w:r>
        <w:rPr>
          <w:lang w:val="ru-RU"/>
        </w:rPr>
        <w:t>н</w:t>
      </w:r>
      <w:r w:rsidR="00970992">
        <w:rPr>
          <w:lang w:val="ru-RU"/>
        </w:rPr>
        <w:t>я 2020 года</w:t>
      </w:r>
      <w:r w:rsidRPr="008676C5">
        <w:rPr>
          <w:lang w:val="ru-RU"/>
        </w:rPr>
        <w:t xml:space="preserve">, несмотря на организационные </w:t>
      </w:r>
      <w:r w:rsidRPr="008676C5">
        <w:rPr>
          <w:lang w:val="ru-RU"/>
        </w:rPr>
        <w:lastRenderedPageBreak/>
        <w:t>проблемы, которые возникли, в частности, в результате необходимости применения неавтоматизированных процедур для обработки файлов СПиЭ, особенно материалов, направляемых ведомствами-партнерами</w:t>
      </w:r>
      <w:r>
        <w:rPr>
          <w:lang w:val="ru-RU"/>
        </w:rPr>
        <w:t xml:space="preserve">. </w:t>
      </w:r>
      <w:r w:rsidRPr="008676C5">
        <w:rPr>
          <w:lang w:val="ru-RU"/>
        </w:rPr>
        <w:t xml:space="preserve"> ВПТЗ США и </w:t>
      </w:r>
      <w:r w:rsidR="00E9061E">
        <w:t>KIPO</w:t>
      </w:r>
      <w:r w:rsidRPr="008676C5">
        <w:rPr>
          <w:lang w:val="ru-RU"/>
        </w:rPr>
        <w:t xml:space="preserve"> достигли максимальной к</w:t>
      </w:r>
      <w:r w:rsidR="00970992">
        <w:rPr>
          <w:lang w:val="ru-RU"/>
        </w:rPr>
        <w:t>воты 100 заявок в январе 2020 года</w:t>
      </w:r>
      <w:r w:rsidRPr="008676C5">
        <w:rPr>
          <w:lang w:val="ru-RU"/>
        </w:rPr>
        <w:t>, ЕПВ – в апреле 2020 г</w:t>
      </w:r>
      <w:r w:rsidR="00970992">
        <w:rPr>
          <w:lang w:val="ru-RU"/>
        </w:rPr>
        <w:t>ода</w:t>
      </w:r>
      <w:r w:rsidRPr="008676C5">
        <w:rPr>
          <w:lang w:val="ru-RU"/>
        </w:rPr>
        <w:t xml:space="preserve">.  </w:t>
      </w:r>
      <w:r w:rsidR="00E9061E">
        <w:rPr>
          <w:lang w:val="ru-RU"/>
        </w:rPr>
        <w:t>Тридцатого</w:t>
      </w:r>
      <w:r w:rsidR="00970992">
        <w:rPr>
          <w:lang w:val="ru-RU"/>
        </w:rPr>
        <w:t xml:space="preserve"> июня 2020 года</w:t>
      </w:r>
      <w:r w:rsidRPr="008676C5">
        <w:rPr>
          <w:lang w:val="ru-RU"/>
        </w:rPr>
        <w:t xml:space="preserve"> ЯПВ и CNIPA прекратили принимать просьбы об участии в</w:t>
      </w:r>
      <w:r w:rsidR="00B75C68">
        <w:rPr>
          <w:lang w:val="ru-RU"/>
        </w:rPr>
        <w:t xml:space="preserve"> </w:t>
      </w:r>
      <w:r w:rsidRPr="008676C5">
        <w:rPr>
          <w:lang w:val="ru-RU"/>
        </w:rPr>
        <w:t xml:space="preserve">пилотном проекте. </w:t>
      </w:r>
      <w:r w:rsidR="00E9061E">
        <w:rPr>
          <w:lang w:val="ru-RU"/>
        </w:rPr>
        <w:t xml:space="preserve"> </w:t>
      </w:r>
      <w:r w:rsidR="009B7265">
        <w:rPr>
          <w:lang w:val="ru-RU"/>
        </w:rPr>
        <w:t xml:space="preserve">В рамках проекта были приняты и успешно обработаны заявки на всех шести официальных языках участвующих МПО.  </w:t>
      </w:r>
      <w:r w:rsidR="00B641AE">
        <w:rPr>
          <w:lang w:val="ru-RU"/>
        </w:rPr>
        <w:t xml:space="preserve">В ходе реализации пилотного проекта было принято в общей сложности 468 заявок; таким же было число отчетов о международном поиске, составленных в рамках совместного механизма.  </w:t>
      </w:r>
    </w:p>
    <w:p w14:paraId="2EA79D5E" w14:textId="77777777" w:rsidR="004E4CA5" w:rsidRPr="00970992" w:rsidRDefault="00B002A4" w:rsidP="004E4CA5">
      <w:pPr>
        <w:pStyle w:val="ONUME"/>
        <w:rPr>
          <w:lang w:val="ru-RU"/>
        </w:rPr>
      </w:pPr>
      <w:r>
        <w:rPr>
          <w:lang w:val="ru-RU"/>
        </w:rPr>
        <w:t xml:space="preserve">В следующей таблице кратко изложены итоги рабочего этапа </w:t>
      </w:r>
      <w:r w:rsidR="008676C5" w:rsidRPr="008676C5">
        <w:rPr>
          <w:lang w:val="ru-RU"/>
        </w:rPr>
        <w:t>проекта СПиЭ</w:t>
      </w:r>
      <w:bookmarkStart w:id="6" w:name="a"/>
      <w:bookmarkEnd w:id="6"/>
      <w:r>
        <w:rPr>
          <w:lang w:val="ru-RU"/>
        </w:rPr>
        <w:t>.</w:t>
      </w:r>
    </w:p>
    <w:tbl>
      <w:tblPr>
        <w:tblStyle w:val="TableGrid"/>
        <w:tblW w:w="93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Operational Results of the CS&amp;E Pilot Project"/>
        <w:tblDescription w:val="This table shows the number of applications accepted into the CS&amp;E Pilot, the number of reports established by each ISA, the receiving Offices where the applications were filed, and the languages and technological fields for these applications"/>
      </w:tblPr>
      <w:tblGrid>
        <w:gridCol w:w="1555"/>
        <w:gridCol w:w="1949"/>
        <w:gridCol w:w="1949"/>
        <w:gridCol w:w="1949"/>
        <w:gridCol w:w="1949"/>
      </w:tblGrid>
      <w:tr w:rsidR="001C54C0" w:rsidRPr="003A2BD7" w14:paraId="711DFC24" w14:textId="77777777" w:rsidTr="00232034">
        <w:trPr>
          <w:cantSplit/>
          <w:tblHeader/>
        </w:trPr>
        <w:tc>
          <w:tcPr>
            <w:tcW w:w="1555" w:type="dxa"/>
            <w:vAlign w:val="center"/>
          </w:tcPr>
          <w:p w14:paraId="6F4CF6E3" w14:textId="77777777" w:rsidR="001C54C0" w:rsidRPr="001C54C0" w:rsidRDefault="00B159E8" w:rsidP="00B159E8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Принятые заявки</w:t>
            </w:r>
          </w:p>
        </w:tc>
        <w:tc>
          <w:tcPr>
            <w:tcW w:w="1949" w:type="dxa"/>
            <w:vAlign w:val="center"/>
          </w:tcPr>
          <w:p w14:paraId="76A85733" w14:textId="77777777" w:rsidR="001C54C0" w:rsidRPr="00970992" w:rsidRDefault="004A34B8" w:rsidP="004A34B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Отчеты о поиске в рамках СПиЭ, составленные каждым МПО</w:t>
            </w:r>
          </w:p>
        </w:tc>
        <w:tc>
          <w:tcPr>
            <w:tcW w:w="1949" w:type="dxa"/>
          </w:tcPr>
          <w:p w14:paraId="33263FBB" w14:textId="77777777" w:rsidR="001C54C0" w:rsidRPr="001C54C0" w:rsidRDefault="00AB3489" w:rsidP="00AB3489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Получающие ведомства</w:t>
            </w:r>
          </w:p>
        </w:tc>
        <w:tc>
          <w:tcPr>
            <w:tcW w:w="1949" w:type="dxa"/>
          </w:tcPr>
          <w:p w14:paraId="5D67BAAE" w14:textId="77777777" w:rsidR="001C54C0" w:rsidRPr="001C54C0" w:rsidRDefault="005255A5" w:rsidP="005255A5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Языки</w:t>
            </w:r>
          </w:p>
        </w:tc>
        <w:tc>
          <w:tcPr>
            <w:tcW w:w="1949" w:type="dxa"/>
          </w:tcPr>
          <w:p w14:paraId="6F718591" w14:textId="77777777" w:rsidR="001C54C0" w:rsidRPr="001C54C0" w:rsidRDefault="00756469" w:rsidP="00756469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Области техники</w:t>
            </w:r>
          </w:p>
        </w:tc>
      </w:tr>
      <w:tr w:rsidR="001C54C0" w:rsidRPr="003A2BD7" w14:paraId="1D0627E9" w14:textId="77777777" w:rsidTr="00232034">
        <w:trPr>
          <w:cantSplit/>
        </w:trPr>
        <w:tc>
          <w:tcPr>
            <w:tcW w:w="1555" w:type="dxa"/>
            <w:vAlign w:val="center"/>
          </w:tcPr>
          <w:p w14:paraId="265EE3A5" w14:textId="77777777" w:rsidR="001C54C0" w:rsidRPr="003A2BD7" w:rsidRDefault="001C54C0" w:rsidP="00D566F5">
            <w:pPr>
              <w:jc w:val="center"/>
            </w:pPr>
            <w:r>
              <w:t>468</w:t>
            </w:r>
          </w:p>
        </w:tc>
        <w:tc>
          <w:tcPr>
            <w:tcW w:w="1949" w:type="dxa"/>
            <w:vAlign w:val="center"/>
          </w:tcPr>
          <w:p w14:paraId="21500071" w14:textId="77777777" w:rsidR="001C54C0" w:rsidRPr="00970992" w:rsidRDefault="00AC7882" w:rsidP="00D566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Китай</w:t>
            </w:r>
            <w:r w:rsidR="00B11CB6" w:rsidRPr="00970992">
              <w:rPr>
                <w:lang w:val="ru-RU"/>
              </w:rPr>
              <w:t>: 93</w:t>
            </w:r>
          </w:p>
          <w:p w14:paraId="152DBE2E" w14:textId="77777777" w:rsidR="001C54C0" w:rsidRPr="00970992" w:rsidRDefault="00AC7882" w:rsidP="00D566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Япония</w:t>
            </w:r>
            <w:r w:rsidR="001C54C0" w:rsidRPr="00970992">
              <w:rPr>
                <w:lang w:val="ru-RU"/>
              </w:rPr>
              <w:t>: 75</w:t>
            </w:r>
          </w:p>
          <w:p w14:paraId="16E596FF" w14:textId="77777777" w:rsidR="001C54C0" w:rsidRPr="00970992" w:rsidRDefault="00AC7882" w:rsidP="00D566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Корея</w:t>
            </w:r>
            <w:r w:rsidR="001C54C0" w:rsidRPr="00970992">
              <w:rPr>
                <w:lang w:val="ru-RU"/>
              </w:rPr>
              <w:t>: 100</w:t>
            </w:r>
          </w:p>
          <w:p w14:paraId="00DE7587" w14:textId="77777777" w:rsidR="001C54C0" w:rsidRPr="00970992" w:rsidRDefault="00AC7882" w:rsidP="00D566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США</w:t>
            </w:r>
            <w:r w:rsidR="001C54C0" w:rsidRPr="00970992">
              <w:rPr>
                <w:lang w:val="ru-RU"/>
              </w:rPr>
              <w:t>: 100</w:t>
            </w:r>
          </w:p>
          <w:p w14:paraId="714F7B0E" w14:textId="77777777" w:rsidR="001C54C0" w:rsidRPr="00970992" w:rsidRDefault="00AC7882" w:rsidP="00AC78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ЕПВ</w:t>
            </w:r>
            <w:r w:rsidR="001C54C0" w:rsidRPr="00970992">
              <w:rPr>
                <w:lang w:val="ru-RU"/>
              </w:rPr>
              <w:t>: 100</w:t>
            </w:r>
          </w:p>
        </w:tc>
        <w:tc>
          <w:tcPr>
            <w:tcW w:w="1949" w:type="dxa"/>
            <w:vAlign w:val="center"/>
          </w:tcPr>
          <w:p w14:paraId="1130BF14" w14:textId="77777777" w:rsidR="001C54C0" w:rsidRPr="00970992" w:rsidRDefault="00AC7882" w:rsidP="001C54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Китай</w:t>
            </w:r>
            <w:r w:rsidR="001C54C0" w:rsidRPr="00970992">
              <w:rPr>
                <w:lang w:val="ru-RU"/>
              </w:rPr>
              <w:t xml:space="preserve"> – 92</w:t>
            </w:r>
          </w:p>
          <w:p w14:paraId="161F0C01" w14:textId="77777777" w:rsidR="001C54C0" w:rsidRPr="00970992" w:rsidRDefault="00AC7882" w:rsidP="001C54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ЕПВ</w:t>
            </w:r>
            <w:r w:rsidR="001C54C0" w:rsidRPr="00970992">
              <w:rPr>
                <w:lang w:val="ru-RU"/>
              </w:rPr>
              <w:t xml:space="preserve"> – 32</w:t>
            </w:r>
          </w:p>
          <w:p w14:paraId="401C3C82" w14:textId="77777777" w:rsidR="001C54C0" w:rsidRPr="00970992" w:rsidRDefault="00AC7882" w:rsidP="001C54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МБ</w:t>
            </w:r>
            <w:r w:rsidR="001C54C0" w:rsidRPr="00970992">
              <w:rPr>
                <w:lang w:val="ru-RU"/>
              </w:rPr>
              <w:t xml:space="preserve"> – 42</w:t>
            </w:r>
          </w:p>
          <w:p w14:paraId="164A1F45" w14:textId="77777777" w:rsidR="001C54C0" w:rsidRPr="00970992" w:rsidRDefault="00AC7882" w:rsidP="001C54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Япония</w:t>
            </w:r>
            <w:r w:rsidR="001C54C0" w:rsidRPr="00970992">
              <w:rPr>
                <w:lang w:val="ru-RU"/>
              </w:rPr>
              <w:t xml:space="preserve"> – 60</w:t>
            </w:r>
          </w:p>
          <w:p w14:paraId="349E5DF4" w14:textId="77777777" w:rsidR="001C54C0" w:rsidRPr="00970992" w:rsidRDefault="00AC7882" w:rsidP="001C54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Корея</w:t>
            </w:r>
            <w:r w:rsidR="001C54C0" w:rsidRPr="00970992">
              <w:rPr>
                <w:lang w:val="ru-RU"/>
              </w:rPr>
              <w:t xml:space="preserve"> – 26</w:t>
            </w:r>
          </w:p>
          <w:p w14:paraId="3A8722D9" w14:textId="77777777" w:rsidR="001C54C0" w:rsidRDefault="00AC7882" w:rsidP="00AC7882">
            <w:pPr>
              <w:jc w:val="center"/>
            </w:pPr>
            <w:r>
              <w:rPr>
                <w:lang w:val="ru-RU"/>
              </w:rPr>
              <w:t>США</w:t>
            </w:r>
            <w:r w:rsidR="001C54C0">
              <w:t xml:space="preserve"> – 216</w:t>
            </w:r>
          </w:p>
        </w:tc>
        <w:tc>
          <w:tcPr>
            <w:tcW w:w="1949" w:type="dxa"/>
            <w:vAlign w:val="center"/>
          </w:tcPr>
          <w:p w14:paraId="6D50A410" w14:textId="77777777" w:rsidR="001C54C0" w:rsidRPr="005B686A" w:rsidRDefault="00606817" w:rsidP="001C54C0">
            <w:pPr>
              <w:jc w:val="center"/>
            </w:pPr>
            <w:r>
              <w:rPr>
                <w:lang w:val="ru-RU"/>
              </w:rPr>
              <w:t>немецкий</w:t>
            </w:r>
            <w:r w:rsidR="001C54C0" w:rsidRPr="005B686A">
              <w:t xml:space="preserve"> – 13</w:t>
            </w:r>
          </w:p>
          <w:p w14:paraId="49B2F3B8" w14:textId="77777777" w:rsidR="001C54C0" w:rsidRPr="005B686A" w:rsidRDefault="00606817" w:rsidP="001C54C0">
            <w:pPr>
              <w:jc w:val="center"/>
            </w:pPr>
            <w:r>
              <w:rPr>
                <w:lang w:val="ru-RU"/>
              </w:rPr>
              <w:t>английский</w:t>
            </w:r>
            <w:r w:rsidR="001C54C0" w:rsidRPr="005B686A">
              <w:t xml:space="preserve"> – 413</w:t>
            </w:r>
          </w:p>
          <w:p w14:paraId="713CC810" w14:textId="77777777" w:rsidR="001C54C0" w:rsidRPr="005B686A" w:rsidRDefault="00606817" w:rsidP="001C54C0">
            <w:pPr>
              <w:jc w:val="center"/>
            </w:pPr>
            <w:r>
              <w:rPr>
                <w:lang w:val="ru-RU"/>
              </w:rPr>
              <w:t>французский</w:t>
            </w:r>
            <w:r w:rsidR="001C54C0" w:rsidRPr="005B686A">
              <w:t xml:space="preserve"> – 2</w:t>
            </w:r>
          </w:p>
          <w:p w14:paraId="43D3EF12" w14:textId="77777777" w:rsidR="001C54C0" w:rsidRPr="005B686A" w:rsidRDefault="00606817" w:rsidP="001C54C0">
            <w:pPr>
              <w:jc w:val="center"/>
            </w:pPr>
            <w:r>
              <w:rPr>
                <w:lang w:val="ru-RU"/>
              </w:rPr>
              <w:t>японский</w:t>
            </w:r>
            <w:r w:rsidR="001C54C0" w:rsidRPr="005B686A">
              <w:t xml:space="preserve"> – 20</w:t>
            </w:r>
          </w:p>
          <w:p w14:paraId="348756B0" w14:textId="77777777" w:rsidR="001C54C0" w:rsidRPr="005B686A" w:rsidRDefault="00606817" w:rsidP="001C54C0">
            <w:pPr>
              <w:jc w:val="center"/>
            </w:pPr>
            <w:r>
              <w:rPr>
                <w:lang w:val="ru-RU"/>
              </w:rPr>
              <w:t>корейский</w:t>
            </w:r>
            <w:r w:rsidR="001C54C0" w:rsidRPr="005B686A">
              <w:t xml:space="preserve"> – 3</w:t>
            </w:r>
          </w:p>
          <w:p w14:paraId="47156CE9" w14:textId="77777777" w:rsidR="001C54C0" w:rsidRDefault="00606817" w:rsidP="00606817">
            <w:pPr>
              <w:jc w:val="center"/>
            </w:pPr>
            <w:r>
              <w:rPr>
                <w:lang w:val="ru-RU"/>
              </w:rPr>
              <w:t>китайский</w:t>
            </w:r>
            <w:r w:rsidR="001C54C0">
              <w:t xml:space="preserve"> – 17</w:t>
            </w:r>
          </w:p>
        </w:tc>
        <w:tc>
          <w:tcPr>
            <w:tcW w:w="1949" w:type="dxa"/>
            <w:vAlign w:val="center"/>
          </w:tcPr>
          <w:p w14:paraId="1C0011B8" w14:textId="77777777" w:rsidR="001C54C0" w:rsidRDefault="001C54C0" w:rsidP="001C54C0">
            <w:pPr>
              <w:jc w:val="center"/>
            </w:pPr>
            <w:r>
              <w:t>A – 87</w:t>
            </w:r>
          </w:p>
          <w:p w14:paraId="49B488F9" w14:textId="77777777" w:rsidR="001C54C0" w:rsidRDefault="001C54C0" w:rsidP="001C54C0">
            <w:pPr>
              <w:jc w:val="center"/>
            </w:pPr>
            <w:r>
              <w:t>B – 53</w:t>
            </w:r>
          </w:p>
          <w:p w14:paraId="2DF79D16" w14:textId="77777777" w:rsidR="001C54C0" w:rsidRDefault="001C54C0" w:rsidP="001C54C0">
            <w:pPr>
              <w:jc w:val="center"/>
            </w:pPr>
            <w:r>
              <w:t>C – 62</w:t>
            </w:r>
          </w:p>
          <w:p w14:paraId="0F522CA9" w14:textId="77777777" w:rsidR="001C54C0" w:rsidRDefault="001C54C0" w:rsidP="001C54C0">
            <w:pPr>
              <w:jc w:val="center"/>
            </w:pPr>
            <w:r>
              <w:t>D – 6</w:t>
            </w:r>
          </w:p>
          <w:p w14:paraId="5E8816CD" w14:textId="77777777" w:rsidR="001C54C0" w:rsidRDefault="001C54C0" w:rsidP="001C54C0">
            <w:pPr>
              <w:jc w:val="center"/>
            </w:pPr>
            <w:r>
              <w:t>E – 10</w:t>
            </w:r>
          </w:p>
          <w:p w14:paraId="25DF9449" w14:textId="77777777" w:rsidR="001C54C0" w:rsidRDefault="001C54C0" w:rsidP="001C54C0">
            <w:pPr>
              <w:jc w:val="center"/>
            </w:pPr>
            <w:r>
              <w:t>F – 14</w:t>
            </w:r>
          </w:p>
          <w:p w14:paraId="0D4877E2" w14:textId="77777777" w:rsidR="001C54C0" w:rsidRDefault="001C54C0" w:rsidP="001C54C0">
            <w:pPr>
              <w:jc w:val="center"/>
            </w:pPr>
            <w:r>
              <w:t>G – 145</w:t>
            </w:r>
          </w:p>
          <w:p w14:paraId="302BD7E5" w14:textId="77777777" w:rsidR="001C54C0" w:rsidRDefault="001C54C0" w:rsidP="001C54C0">
            <w:pPr>
              <w:jc w:val="center"/>
            </w:pPr>
            <w:r>
              <w:t>H – 91</w:t>
            </w:r>
          </w:p>
        </w:tc>
      </w:tr>
    </w:tbl>
    <w:p w14:paraId="1035E692" w14:textId="77777777" w:rsidR="004E4CA5" w:rsidRDefault="004E4CA5" w:rsidP="004E4CA5">
      <w:pPr>
        <w:spacing w:after="220"/>
      </w:pPr>
    </w:p>
    <w:p w14:paraId="7EDB291B" w14:textId="77777777" w:rsidR="00256150" w:rsidRDefault="0042788B" w:rsidP="00256150">
      <w:pPr>
        <w:pStyle w:val="ONUME"/>
        <w:rPr>
          <w:lang w:val="ru-RU"/>
        </w:rPr>
      </w:pPr>
      <w:r w:rsidRPr="0042788B">
        <w:rPr>
          <w:lang w:val="ru-RU"/>
        </w:rPr>
        <w:t>Первого июля 2020</w:t>
      </w:r>
      <w:r w:rsidRPr="0042788B">
        <w:t> </w:t>
      </w:r>
      <w:r w:rsidR="00970992">
        <w:rPr>
          <w:lang w:val="ru-RU"/>
        </w:rPr>
        <w:t>года</w:t>
      </w:r>
      <w:r w:rsidRPr="0042788B">
        <w:rPr>
          <w:lang w:val="ru-RU"/>
        </w:rPr>
        <w:t xml:space="preserve"> пилотный проект вступил в оценочный этап, в ходе которого все ведомства группы </w:t>
      </w:r>
      <w:r w:rsidRPr="0042788B">
        <w:t>IP</w:t>
      </w:r>
      <w:r w:rsidRPr="0042788B">
        <w:rPr>
          <w:lang w:val="ru-RU"/>
        </w:rPr>
        <w:t xml:space="preserve">5 оценивают </w:t>
      </w:r>
      <w:r w:rsidR="00970992">
        <w:rPr>
          <w:lang w:val="ru-RU"/>
        </w:rPr>
        <w:t xml:space="preserve">результаты, полученные в рамках международной фазы, а также </w:t>
      </w:r>
      <w:r w:rsidRPr="0042788B">
        <w:rPr>
          <w:lang w:val="ru-RU"/>
        </w:rPr>
        <w:t>переход</w:t>
      </w:r>
      <w:r>
        <w:rPr>
          <w:lang w:val="ru-RU"/>
        </w:rPr>
        <w:t xml:space="preserve"> совместно обработанных</w:t>
      </w:r>
      <w:r w:rsidRPr="0042788B">
        <w:rPr>
          <w:lang w:val="ru-RU"/>
        </w:rPr>
        <w:t xml:space="preserve"> международных заявок на соответствующ</w:t>
      </w:r>
      <w:r>
        <w:rPr>
          <w:lang w:val="ru-RU"/>
        </w:rPr>
        <w:t>ую</w:t>
      </w:r>
      <w:r w:rsidRPr="0042788B">
        <w:rPr>
          <w:lang w:val="ru-RU"/>
        </w:rPr>
        <w:t xml:space="preserve"> национальн</w:t>
      </w:r>
      <w:r>
        <w:rPr>
          <w:lang w:val="ru-RU"/>
        </w:rPr>
        <w:t>ую</w:t>
      </w:r>
      <w:r w:rsidRPr="0042788B">
        <w:rPr>
          <w:lang w:val="ru-RU"/>
        </w:rPr>
        <w:t xml:space="preserve"> или региональн</w:t>
      </w:r>
      <w:r>
        <w:rPr>
          <w:lang w:val="ru-RU"/>
        </w:rPr>
        <w:t>ую</w:t>
      </w:r>
      <w:r w:rsidRPr="0042788B">
        <w:rPr>
          <w:lang w:val="ru-RU"/>
        </w:rPr>
        <w:t xml:space="preserve"> фаз</w:t>
      </w:r>
      <w:r>
        <w:rPr>
          <w:lang w:val="ru-RU"/>
        </w:rPr>
        <w:t>у</w:t>
      </w:r>
      <w:r w:rsidRPr="0042788B">
        <w:rPr>
          <w:lang w:val="ru-RU"/>
        </w:rPr>
        <w:t xml:space="preserve"> и направляют </w:t>
      </w:r>
      <w:r w:rsidR="00256150">
        <w:rPr>
          <w:lang w:val="ru-RU"/>
        </w:rPr>
        <w:t xml:space="preserve">соответствующую </w:t>
      </w:r>
      <w:r w:rsidRPr="0042788B">
        <w:rPr>
          <w:lang w:val="ru-RU"/>
        </w:rPr>
        <w:t xml:space="preserve">информацию </w:t>
      </w:r>
      <w:r w:rsidR="00256150">
        <w:rPr>
          <w:lang w:val="ru-RU"/>
        </w:rPr>
        <w:t>на основе</w:t>
      </w:r>
      <w:r>
        <w:rPr>
          <w:lang w:val="ru-RU"/>
        </w:rPr>
        <w:t xml:space="preserve"> согласованного </w:t>
      </w:r>
      <w:r w:rsidRPr="0042788B">
        <w:rPr>
          <w:lang w:val="ru-RU"/>
        </w:rPr>
        <w:t>пакет</w:t>
      </w:r>
      <w:r>
        <w:rPr>
          <w:lang w:val="ru-RU"/>
        </w:rPr>
        <w:t>а</w:t>
      </w:r>
      <w:r w:rsidRPr="0042788B">
        <w:rPr>
          <w:lang w:val="ru-RU"/>
        </w:rPr>
        <w:t xml:space="preserve"> стандартов качества и оперативных норм.  </w:t>
      </w:r>
      <w:r w:rsidR="00256150" w:rsidRPr="00256150">
        <w:rPr>
          <w:lang w:val="ru-RU"/>
        </w:rPr>
        <w:t>В соответствии с собранными к настоящему времени в ходе международной фазы данными, по сравнению с предварительными ОМП, подготовленными основными МПО:</w:t>
      </w:r>
    </w:p>
    <w:p w14:paraId="38C4E83F" w14:textId="77777777" w:rsidR="00256150" w:rsidRPr="0009719F" w:rsidRDefault="0009719F" w:rsidP="0009719F">
      <w:pPr>
        <w:pStyle w:val="ONUME"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70 процентов </w:t>
      </w:r>
      <w:r w:rsidR="0071515B">
        <w:rPr>
          <w:lang w:val="ru-RU"/>
        </w:rPr>
        <w:t xml:space="preserve">окончательных </w:t>
      </w:r>
      <w:r>
        <w:rPr>
          <w:lang w:val="ru-RU"/>
        </w:rPr>
        <w:t>ОМП</w:t>
      </w:r>
      <w:r w:rsidRPr="0009719F">
        <w:rPr>
          <w:lang w:val="ru-RU"/>
        </w:rPr>
        <w:t xml:space="preserve">, составленных ведомствами группы </w:t>
      </w:r>
      <w:r w:rsidRPr="0009719F">
        <w:t>IP</w:t>
      </w:r>
      <w:r w:rsidRPr="0009719F">
        <w:rPr>
          <w:lang w:val="ru-RU"/>
        </w:rPr>
        <w:t>5 в рамках совместного механизма, содержали новые ссылки</w:t>
      </w:r>
      <w:r w:rsidR="00256150" w:rsidRPr="0009719F">
        <w:rPr>
          <w:lang w:val="ru-RU"/>
        </w:rPr>
        <w:t>;</w:t>
      </w:r>
    </w:p>
    <w:p w14:paraId="750E810A" w14:textId="77777777" w:rsidR="00256150" w:rsidRPr="00520300" w:rsidRDefault="00520300" w:rsidP="00520300">
      <w:pPr>
        <w:pStyle w:val="ONUME"/>
        <w:numPr>
          <w:ilvl w:val="0"/>
          <w:numId w:val="10"/>
        </w:numPr>
        <w:rPr>
          <w:lang w:val="ru-RU"/>
        </w:rPr>
      </w:pPr>
      <w:r w:rsidRPr="00520300">
        <w:rPr>
          <w:lang w:val="ru-RU"/>
        </w:rPr>
        <w:t xml:space="preserve">53 процентов </w:t>
      </w:r>
      <w:r w:rsidR="0071515B">
        <w:rPr>
          <w:lang w:val="ru-RU"/>
        </w:rPr>
        <w:t xml:space="preserve">окончательных </w:t>
      </w:r>
      <w:r>
        <w:rPr>
          <w:lang w:val="ru-RU"/>
        </w:rPr>
        <w:t>ОМП содержали дополнительные ссы</w:t>
      </w:r>
      <w:r w:rsidR="00B10B28">
        <w:rPr>
          <w:lang w:val="ru-RU"/>
        </w:rPr>
        <w:t>лки категорий</w:t>
      </w:r>
      <w:r w:rsidRPr="00520300">
        <w:rPr>
          <w:lang w:val="ru-RU"/>
        </w:rPr>
        <w:t xml:space="preserve"> </w:t>
      </w:r>
      <w:r w:rsidR="00B10B28">
        <w:rPr>
          <w:lang w:val="ru-RU"/>
        </w:rPr>
        <w:t>«</w:t>
      </w:r>
      <w:r w:rsidRPr="00520300">
        <w:t>X</w:t>
      </w:r>
      <w:r w:rsidR="00B10B28">
        <w:rPr>
          <w:lang w:val="ru-RU"/>
        </w:rPr>
        <w:t>», «</w:t>
      </w:r>
      <w:r w:rsidRPr="00520300">
        <w:t>Y</w:t>
      </w:r>
      <w:r w:rsidR="00B10B28">
        <w:rPr>
          <w:lang w:val="ru-RU"/>
        </w:rPr>
        <w:t>» или «</w:t>
      </w:r>
      <w:r w:rsidRPr="00520300">
        <w:t>E</w:t>
      </w:r>
      <w:r w:rsidR="00B10B28">
        <w:rPr>
          <w:lang w:val="ru-RU"/>
        </w:rPr>
        <w:t>»</w:t>
      </w:r>
      <w:r w:rsidR="00256150" w:rsidRPr="00520300">
        <w:rPr>
          <w:lang w:val="ru-RU"/>
        </w:rPr>
        <w:t>;</w:t>
      </w:r>
    </w:p>
    <w:p w14:paraId="487959C3" w14:textId="77777777" w:rsidR="00256150" w:rsidRPr="00520300" w:rsidRDefault="00520300" w:rsidP="00520300">
      <w:pPr>
        <w:pStyle w:val="ONUME"/>
        <w:numPr>
          <w:ilvl w:val="0"/>
          <w:numId w:val="10"/>
        </w:numPr>
        <w:rPr>
          <w:lang w:val="ru-RU"/>
        </w:rPr>
      </w:pPr>
      <w:r w:rsidRPr="00520300">
        <w:rPr>
          <w:lang w:val="ru-RU"/>
        </w:rPr>
        <w:t>среднее число ссылок увеличилось с 6,1 до 8,1 в окончательных ОМП</w:t>
      </w:r>
      <w:r w:rsidR="00256150" w:rsidRPr="00520300">
        <w:rPr>
          <w:lang w:val="ru-RU"/>
        </w:rPr>
        <w:t>;</w:t>
      </w:r>
    </w:p>
    <w:p w14:paraId="727574DD" w14:textId="77777777" w:rsidR="00256150" w:rsidRPr="00520300" w:rsidRDefault="00520300" w:rsidP="00520300">
      <w:pPr>
        <w:pStyle w:val="ONUME"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в </w:t>
      </w:r>
      <w:r w:rsidRPr="00520300">
        <w:rPr>
          <w:lang w:val="ru-RU"/>
        </w:rPr>
        <w:t>то время</w:t>
      </w:r>
      <w:r>
        <w:rPr>
          <w:lang w:val="ru-RU"/>
        </w:rPr>
        <w:t>,</w:t>
      </w:r>
      <w:r w:rsidRPr="00520300">
        <w:rPr>
          <w:lang w:val="ru-RU"/>
        </w:rPr>
        <w:t xml:space="preserve"> как 12,8 процента предварительных ОМП</w:t>
      </w:r>
      <w:r>
        <w:rPr>
          <w:lang w:val="ru-RU"/>
        </w:rPr>
        <w:t xml:space="preserve"> содержали </w:t>
      </w:r>
      <w:r w:rsidRPr="00520300">
        <w:rPr>
          <w:lang w:val="ru-RU"/>
        </w:rPr>
        <w:t xml:space="preserve">только ссылки категории </w:t>
      </w:r>
      <w:r w:rsidR="00B10B28">
        <w:rPr>
          <w:lang w:val="ru-RU"/>
        </w:rPr>
        <w:t>«</w:t>
      </w:r>
      <w:r w:rsidRPr="00520300">
        <w:rPr>
          <w:lang w:val="ru-RU"/>
        </w:rPr>
        <w:t>А</w:t>
      </w:r>
      <w:r w:rsidR="00B10B28">
        <w:rPr>
          <w:lang w:val="ru-RU"/>
        </w:rPr>
        <w:t>»</w:t>
      </w:r>
      <w:r w:rsidRPr="00520300">
        <w:rPr>
          <w:lang w:val="ru-RU"/>
        </w:rPr>
        <w:t>, в окончательны</w:t>
      </w:r>
      <w:r>
        <w:rPr>
          <w:lang w:val="ru-RU"/>
        </w:rPr>
        <w:t>х ОМП этот показатель сократился на 4 </w:t>
      </w:r>
      <w:r w:rsidRPr="00520300">
        <w:rPr>
          <w:lang w:val="ru-RU"/>
        </w:rPr>
        <w:t>процента</w:t>
      </w:r>
      <w:r w:rsidR="00256150" w:rsidRPr="00520300">
        <w:rPr>
          <w:lang w:val="ru-RU"/>
        </w:rPr>
        <w:t>.</w:t>
      </w:r>
    </w:p>
    <w:p w14:paraId="1F113920" w14:textId="77777777" w:rsidR="00520300" w:rsidRPr="00520300" w:rsidRDefault="00520300" w:rsidP="00520300">
      <w:pPr>
        <w:pStyle w:val="ONUME"/>
        <w:rPr>
          <w:lang w:val="ru-RU"/>
        </w:rPr>
      </w:pPr>
      <w:r w:rsidRPr="00520300">
        <w:rPr>
          <w:lang w:val="ru-RU"/>
        </w:rPr>
        <w:t xml:space="preserve">Сами по себе эти цифры, разумеется, следует воспринимать с осторожностью, поскольку само по себе добавление новых ссылок в ОМП не обязательно свидетельствует о повышении качества.  Большую ясность по этому вопросу может обеспечить оценка ряда других показателей. </w:t>
      </w:r>
    </w:p>
    <w:p w14:paraId="72C93765" w14:textId="77777777" w:rsidR="00556804" w:rsidRDefault="0042788B" w:rsidP="00532F66">
      <w:pPr>
        <w:pStyle w:val="ONUME"/>
        <w:rPr>
          <w:lang w:val="ru-RU"/>
        </w:rPr>
      </w:pPr>
      <w:r w:rsidRPr="0042788B">
        <w:rPr>
          <w:lang w:val="ru-RU"/>
        </w:rPr>
        <w:t>В</w:t>
      </w:r>
      <w:r w:rsidR="00256150">
        <w:rPr>
          <w:lang w:val="ru-RU"/>
        </w:rPr>
        <w:t xml:space="preserve"> 2021 году</w:t>
      </w:r>
      <w:r w:rsidR="00556804">
        <w:rPr>
          <w:lang w:val="ru-RU"/>
        </w:rPr>
        <w:t xml:space="preserve"> Международное бюро провело</w:t>
      </w:r>
      <w:r w:rsidR="0029557C">
        <w:rPr>
          <w:lang w:val="ru-RU"/>
        </w:rPr>
        <w:t xml:space="preserve"> опрос участников пилотного проекта, используя для этого вопросник, согласованный </w:t>
      </w:r>
      <w:r w:rsidRPr="0042788B">
        <w:rPr>
          <w:lang w:val="ru-RU"/>
        </w:rPr>
        <w:t>ведомств</w:t>
      </w:r>
      <w:r w:rsidR="005E2BDE">
        <w:rPr>
          <w:lang w:val="ru-RU"/>
        </w:rPr>
        <w:t>ами</w:t>
      </w:r>
      <w:r w:rsidRPr="0042788B">
        <w:rPr>
          <w:lang w:val="ru-RU"/>
        </w:rPr>
        <w:t xml:space="preserve"> группы </w:t>
      </w:r>
      <w:r w:rsidRPr="0042788B">
        <w:t>IP</w:t>
      </w:r>
      <w:r w:rsidRPr="0042788B">
        <w:rPr>
          <w:lang w:val="ru-RU"/>
        </w:rPr>
        <w:t>5</w:t>
      </w:r>
      <w:r w:rsidR="0029557C">
        <w:rPr>
          <w:lang w:val="ru-RU"/>
        </w:rPr>
        <w:t xml:space="preserve">. </w:t>
      </w:r>
      <w:r w:rsidR="00556804">
        <w:rPr>
          <w:lang w:val="ru-RU"/>
        </w:rPr>
        <w:t>Восемьдесят</w:t>
      </w:r>
      <w:r w:rsidR="00556804" w:rsidRPr="00556804">
        <w:rPr>
          <w:lang w:val="ru-RU"/>
        </w:rPr>
        <w:t xml:space="preserve"> </w:t>
      </w:r>
      <w:r w:rsidR="00556804">
        <w:rPr>
          <w:lang w:val="ru-RU"/>
        </w:rPr>
        <w:t>восемь</w:t>
      </w:r>
      <w:r w:rsidR="00556804" w:rsidRPr="00556804">
        <w:rPr>
          <w:lang w:val="ru-RU"/>
        </w:rPr>
        <w:t xml:space="preserve"> </w:t>
      </w:r>
      <w:r w:rsidR="00556804">
        <w:rPr>
          <w:lang w:val="ru-RU"/>
        </w:rPr>
        <w:t>процентов</w:t>
      </w:r>
      <w:r w:rsidR="00556804" w:rsidRPr="00556804">
        <w:rPr>
          <w:lang w:val="ru-RU"/>
        </w:rPr>
        <w:t xml:space="preserve"> </w:t>
      </w:r>
      <w:r w:rsidR="00556804">
        <w:rPr>
          <w:lang w:val="ru-RU"/>
        </w:rPr>
        <w:t>респондентов</w:t>
      </w:r>
      <w:r w:rsidR="00556804" w:rsidRPr="00556804">
        <w:rPr>
          <w:lang w:val="ru-RU"/>
        </w:rPr>
        <w:t xml:space="preserve"> </w:t>
      </w:r>
      <w:r w:rsidR="00556804">
        <w:rPr>
          <w:lang w:val="ru-RU"/>
        </w:rPr>
        <w:t>оценили</w:t>
      </w:r>
      <w:r w:rsidR="00556804" w:rsidRPr="00556804">
        <w:rPr>
          <w:lang w:val="ru-RU"/>
        </w:rPr>
        <w:t xml:space="preserve"> </w:t>
      </w:r>
      <w:r w:rsidR="00556804">
        <w:rPr>
          <w:lang w:val="ru-RU"/>
        </w:rPr>
        <w:t>степень</w:t>
      </w:r>
      <w:r w:rsidR="00556804" w:rsidRPr="00556804">
        <w:rPr>
          <w:lang w:val="ru-RU"/>
        </w:rPr>
        <w:t xml:space="preserve"> </w:t>
      </w:r>
      <w:r w:rsidR="00556804">
        <w:rPr>
          <w:lang w:val="ru-RU"/>
        </w:rPr>
        <w:t>полезности</w:t>
      </w:r>
      <w:r w:rsidR="00556804" w:rsidRPr="00556804">
        <w:rPr>
          <w:lang w:val="ru-RU"/>
        </w:rPr>
        <w:t xml:space="preserve"> </w:t>
      </w:r>
      <w:r w:rsidR="00556804">
        <w:rPr>
          <w:lang w:val="ru-RU"/>
        </w:rPr>
        <w:t>СПиЭ</w:t>
      </w:r>
      <w:r w:rsidR="00556804" w:rsidRPr="00556804">
        <w:rPr>
          <w:lang w:val="ru-RU"/>
        </w:rPr>
        <w:t xml:space="preserve"> </w:t>
      </w:r>
      <w:r w:rsidR="00556804">
        <w:rPr>
          <w:lang w:val="ru-RU"/>
        </w:rPr>
        <w:t>на уровне «полезны» или «весьма полезны», отмечая, что СПиЭ обеспечива</w:t>
      </w:r>
      <w:r w:rsidR="0071515B">
        <w:rPr>
          <w:lang w:val="ru-RU"/>
        </w:rPr>
        <w:t>ю</w:t>
      </w:r>
      <w:r w:rsidR="00556804">
        <w:rPr>
          <w:lang w:val="ru-RU"/>
        </w:rPr>
        <w:t xml:space="preserve">т большую правовую определенность при переходе на соответствующую национальную/региональную фазу.  </w:t>
      </w:r>
      <w:r w:rsidR="00532F66" w:rsidRPr="00532F66">
        <w:rPr>
          <w:lang w:val="ru-RU"/>
        </w:rPr>
        <w:lastRenderedPageBreak/>
        <w:t>Однако из числа респондентов, заявивших о своей готовности или неготовности уплатить пошлину за СПиЭ в размере совокупной суммы пошлин за международный поиск, взимаемых каждым ведомством группы IP5, выступающим в качестве МПО для соответствующего продукта, указавших, что, о</w:t>
      </w:r>
      <w:r w:rsidR="00532F66">
        <w:rPr>
          <w:lang w:val="ru-RU"/>
        </w:rPr>
        <w:t>ни, скорее всего, не будут гото</w:t>
      </w:r>
      <w:r w:rsidR="00532F66" w:rsidRPr="00532F66">
        <w:rPr>
          <w:lang w:val="ru-RU"/>
        </w:rPr>
        <w:t xml:space="preserve">вы уплатить такую пошлину, было в два раза больше, чем </w:t>
      </w:r>
      <w:r w:rsidR="00532F66">
        <w:rPr>
          <w:lang w:val="ru-RU"/>
        </w:rPr>
        <w:t>заявивших</w:t>
      </w:r>
      <w:r w:rsidR="00532F66" w:rsidRPr="00532F66">
        <w:rPr>
          <w:lang w:val="ru-RU"/>
        </w:rPr>
        <w:t xml:space="preserve"> о своей готовности уплатить</w:t>
      </w:r>
      <w:r w:rsidR="00532F66">
        <w:rPr>
          <w:lang w:val="ru-RU"/>
        </w:rPr>
        <w:t xml:space="preserve"> ее</w:t>
      </w:r>
      <w:r w:rsidR="00532F66" w:rsidRPr="00532F66">
        <w:rPr>
          <w:lang w:val="ru-RU"/>
        </w:rPr>
        <w:t>.  Важно также отметить, что многие заявки, обрабатываемые в рамках процедуры СПиЭ, все еще находятся в процессе рассмотрения на различных национальных/региональных фазах.</w:t>
      </w:r>
    </w:p>
    <w:p w14:paraId="2C5F156E" w14:textId="77777777" w:rsidR="00460DB2" w:rsidRPr="00460DB2" w:rsidRDefault="00532F66" w:rsidP="00460DB2">
      <w:pPr>
        <w:pStyle w:val="ONUME"/>
        <w:rPr>
          <w:lang w:val="ru-RU"/>
        </w:rPr>
      </w:pPr>
      <w:r>
        <w:rPr>
          <w:lang w:val="ru-RU"/>
        </w:rPr>
        <w:t>Участвующие</w:t>
      </w:r>
      <w:r w:rsidRPr="00460DB2">
        <w:rPr>
          <w:lang w:val="ru-RU"/>
        </w:rPr>
        <w:t xml:space="preserve"> </w:t>
      </w:r>
      <w:r>
        <w:rPr>
          <w:lang w:val="ru-RU"/>
        </w:rPr>
        <w:t>ведомства</w:t>
      </w:r>
      <w:r w:rsidRPr="00460DB2">
        <w:rPr>
          <w:lang w:val="ru-RU"/>
        </w:rPr>
        <w:t xml:space="preserve"> </w:t>
      </w:r>
      <w:r>
        <w:rPr>
          <w:lang w:val="ru-RU"/>
        </w:rPr>
        <w:t>могут</w:t>
      </w:r>
      <w:r w:rsidRPr="00460DB2">
        <w:rPr>
          <w:lang w:val="ru-RU"/>
        </w:rPr>
        <w:t xml:space="preserve"> </w:t>
      </w:r>
      <w:r w:rsidR="00460DB2">
        <w:rPr>
          <w:lang w:val="ru-RU"/>
        </w:rPr>
        <w:t>организовать сбор дополнительной обратной связи от пользователей и участников пилотного проекта</w:t>
      </w:r>
      <w:r w:rsidRPr="00460DB2">
        <w:rPr>
          <w:lang w:val="ru-RU"/>
        </w:rPr>
        <w:t xml:space="preserve">.  </w:t>
      </w:r>
      <w:r>
        <w:rPr>
          <w:lang w:val="ru-RU"/>
        </w:rPr>
        <w:t>В настоящее время Группа по СПиЭ также анализирует различные финансовые сценарии, позволяющие сохранить концепцию СПиЭ</w:t>
      </w:r>
      <w:r w:rsidRPr="00B10B28">
        <w:rPr>
          <w:lang w:val="ru-RU"/>
        </w:rPr>
        <w:t xml:space="preserve"> </w:t>
      </w:r>
      <w:r>
        <w:rPr>
          <w:lang w:val="ru-RU"/>
        </w:rPr>
        <w:t>в</w:t>
      </w:r>
      <w:r w:rsidRPr="00B10B28">
        <w:rPr>
          <w:lang w:val="ru-RU"/>
        </w:rPr>
        <w:t xml:space="preserve"> </w:t>
      </w:r>
      <w:r>
        <w:rPr>
          <w:lang w:val="ru-RU"/>
        </w:rPr>
        <w:t>системе</w:t>
      </w:r>
      <w:r w:rsidRPr="00B10B28">
        <w:rPr>
          <w:lang w:val="ru-RU"/>
        </w:rPr>
        <w:t xml:space="preserve"> </w:t>
      </w:r>
      <w:r>
        <w:rPr>
          <w:lang w:val="ru-RU"/>
        </w:rPr>
        <w:t>РСТ</w:t>
      </w:r>
      <w:r w:rsidRPr="00B10B28">
        <w:rPr>
          <w:lang w:val="ru-RU"/>
        </w:rPr>
        <w:t xml:space="preserve"> </w:t>
      </w:r>
      <w:r>
        <w:rPr>
          <w:lang w:val="ru-RU"/>
        </w:rPr>
        <w:t>в</w:t>
      </w:r>
      <w:r w:rsidRPr="00B10B28">
        <w:rPr>
          <w:lang w:val="ru-RU"/>
        </w:rPr>
        <w:t xml:space="preserve"> </w:t>
      </w:r>
      <w:r>
        <w:rPr>
          <w:lang w:val="ru-RU"/>
        </w:rPr>
        <w:t>долгосрочной</w:t>
      </w:r>
      <w:r w:rsidRPr="00B10B28">
        <w:rPr>
          <w:lang w:val="ru-RU"/>
        </w:rPr>
        <w:t xml:space="preserve"> </w:t>
      </w:r>
      <w:r>
        <w:rPr>
          <w:lang w:val="ru-RU"/>
        </w:rPr>
        <w:t>перспективе</w:t>
      </w:r>
      <w:r w:rsidRPr="00B10B28">
        <w:rPr>
          <w:lang w:val="ru-RU"/>
        </w:rPr>
        <w:t xml:space="preserve">.  </w:t>
      </w:r>
      <w:r w:rsidR="00460DB2">
        <w:rPr>
          <w:lang w:val="ru-RU"/>
        </w:rPr>
        <w:t xml:space="preserve">Впоследствии эта информация будет включена в итоговый отчет, который должен быть представлен руководителям ведомств группы </w:t>
      </w:r>
      <w:r w:rsidR="00460DB2" w:rsidRPr="004E4CA5">
        <w:t>IP</w:t>
      </w:r>
      <w:r w:rsidR="00460DB2" w:rsidRPr="00970992">
        <w:rPr>
          <w:lang w:val="ru-RU"/>
        </w:rPr>
        <w:t>5</w:t>
      </w:r>
      <w:r w:rsidR="00460DB2">
        <w:rPr>
          <w:lang w:val="ru-RU"/>
        </w:rPr>
        <w:t xml:space="preserve"> к моменту завершения пилотного проекта.  </w:t>
      </w:r>
      <w:r w:rsidR="00460DB2" w:rsidRPr="00460DB2">
        <w:rPr>
          <w:lang w:val="ru-RU"/>
        </w:rPr>
        <w:t>Представляется, что наиболее подходящим инструментом для использования участвующими МПО станет Служба перевода пошлин ВОИС, однако все еще рассматриваются различные варианты расчета суммы пошлины за СПиЭ.</w:t>
      </w:r>
    </w:p>
    <w:p w14:paraId="56C5DAA0" w14:textId="77777777" w:rsidR="00BC2060" w:rsidRDefault="00BC2060" w:rsidP="00FD544F">
      <w:pPr>
        <w:pStyle w:val="ONUME"/>
        <w:rPr>
          <w:lang w:val="ru-RU"/>
        </w:rPr>
      </w:pPr>
      <w:r>
        <w:rPr>
          <w:lang w:val="ru-RU"/>
        </w:rPr>
        <w:t xml:space="preserve">Изначально в соответствии с «Рамочным документом </w:t>
      </w:r>
      <w:r w:rsidR="00903772" w:rsidRPr="00903772">
        <w:rPr>
          <w:lang w:val="ru-RU"/>
        </w:rPr>
        <w:t xml:space="preserve">о сотрудничестве ведомств группы </w:t>
      </w:r>
      <w:r w:rsidR="00903772" w:rsidRPr="00903772">
        <w:t>IP</w:t>
      </w:r>
      <w:r w:rsidR="00903772" w:rsidRPr="00903772">
        <w:rPr>
          <w:lang w:val="ru-RU"/>
        </w:rPr>
        <w:t xml:space="preserve">5 в области совместного поиска и экспертизы по заявкам, поданным по процедуре РСТ» </w:t>
      </w:r>
      <w:r w:rsidR="00192544">
        <w:rPr>
          <w:lang w:val="ru-RU"/>
        </w:rPr>
        <w:t xml:space="preserve">срок </w:t>
      </w:r>
      <w:r w:rsidR="00903772" w:rsidRPr="00903772">
        <w:rPr>
          <w:lang w:val="ru-RU"/>
        </w:rPr>
        <w:t>сотрудничества должен</w:t>
      </w:r>
      <w:r w:rsidR="0071515B">
        <w:rPr>
          <w:lang w:val="ru-RU"/>
        </w:rPr>
        <w:t xml:space="preserve"> был</w:t>
      </w:r>
      <w:r w:rsidR="00903772" w:rsidRPr="00903772">
        <w:rPr>
          <w:lang w:val="ru-RU"/>
        </w:rPr>
        <w:t xml:space="preserve"> состав</w:t>
      </w:r>
      <w:r w:rsidR="00192544">
        <w:rPr>
          <w:lang w:val="ru-RU"/>
        </w:rPr>
        <w:t>ля</w:t>
      </w:r>
      <w:r>
        <w:rPr>
          <w:lang w:val="ru-RU"/>
        </w:rPr>
        <w:t xml:space="preserve">ть не более пяти лет, </w:t>
      </w:r>
      <w:r w:rsidRPr="00BC2060">
        <w:rPr>
          <w:lang w:val="ru-RU"/>
        </w:rPr>
        <w:t xml:space="preserve">т.е. </w:t>
      </w:r>
      <w:r>
        <w:rPr>
          <w:lang w:val="ru-RU"/>
        </w:rPr>
        <w:t>оценочный этап должен был</w:t>
      </w:r>
      <w:r w:rsidRPr="00BC2060">
        <w:rPr>
          <w:lang w:val="ru-RU"/>
        </w:rPr>
        <w:t xml:space="preserve"> завершит</w:t>
      </w:r>
      <w:r w:rsidR="0071515B">
        <w:rPr>
          <w:lang w:val="ru-RU"/>
        </w:rPr>
        <w:t>ь</w:t>
      </w:r>
      <w:r w:rsidRPr="00BC2060">
        <w:rPr>
          <w:lang w:val="ru-RU"/>
        </w:rPr>
        <w:t>ся в июне 2021 года.</w:t>
      </w:r>
      <w:r w:rsidR="00903772" w:rsidRPr="00903772">
        <w:rPr>
          <w:lang w:val="ru-RU"/>
        </w:rPr>
        <w:t xml:space="preserve">  </w:t>
      </w:r>
      <w:r w:rsidRPr="00BC2060">
        <w:rPr>
          <w:lang w:val="ru-RU"/>
        </w:rPr>
        <w:t xml:space="preserve">В 2020 году </w:t>
      </w:r>
      <w:r>
        <w:rPr>
          <w:lang w:val="ru-RU"/>
        </w:rPr>
        <w:t>руководителями</w:t>
      </w:r>
      <w:r w:rsidRPr="00BC2060">
        <w:rPr>
          <w:lang w:val="ru-RU"/>
        </w:rPr>
        <w:t xml:space="preserve"> ведомств группы IP5 было принято решение о продлении оценочного этапа на один год. </w:t>
      </w:r>
      <w:r>
        <w:rPr>
          <w:lang w:val="ru-RU"/>
        </w:rPr>
        <w:t xml:space="preserve"> </w:t>
      </w:r>
      <w:r w:rsidRPr="00BC2060">
        <w:rPr>
          <w:lang w:val="ru-RU"/>
        </w:rPr>
        <w:t>Однако из-за того, что в ходе 2021 года большинство заявок перешли на нац</w:t>
      </w:r>
      <w:r w:rsidR="0071515B">
        <w:rPr>
          <w:lang w:val="ru-RU"/>
        </w:rPr>
        <w:t xml:space="preserve">иональную/региональную фазу, </w:t>
      </w:r>
      <w:r w:rsidRPr="00BC2060">
        <w:rPr>
          <w:lang w:val="ru-RU"/>
        </w:rPr>
        <w:t>к июню 2022 года</w:t>
      </w:r>
      <w:r w:rsidR="0071515B">
        <w:rPr>
          <w:lang w:val="ru-RU"/>
        </w:rPr>
        <w:t xml:space="preserve"> </w:t>
      </w:r>
      <w:r w:rsidR="0071515B" w:rsidRPr="00BC2060">
        <w:rPr>
          <w:lang w:val="ru-RU"/>
        </w:rPr>
        <w:t>ведомствами IP5 не было принято окончательного решения</w:t>
      </w:r>
      <w:r w:rsidRPr="00BC2060">
        <w:rPr>
          <w:lang w:val="ru-RU"/>
        </w:rPr>
        <w:t xml:space="preserve"> по большинству файлов СПиЭ. По этой причине, основываясь на рекоменд</w:t>
      </w:r>
      <w:r w:rsidR="00665AF3">
        <w:rPr>
          <w:lang w:val="ru-RU"/>
        </w:rPr>
        <w:t>ации Группы</w:t>
      </w:r>
      <w:r w:rsidRPr="00BC2060">
        <w:rPr>
          <w:lang w:val="ru-RU"/>
        </w:rPr>
        <w:t xml:space="preserve"> по СПиЭ, руководители ведомств группы IP5 утвердили продление пилотного проекта еще на один год.</w:t>
      </w:r>
      <w:r w:rsidR="00FD544F">
        <w:rPr>
          <w:lang w:val="ru-RU"/>
        </w:rPr>
        <w:t xml:space="preserve">  </w:t>
      </w:r>
      <w:r w:rsidR="00FD544F" w:rsidRPr="00FD544F">
        <w:rPr>
          <w:lang w:val="ru-RU"/>
        </w:rPr>
        <w:t>Таким образом, пилотный проект завершится в июне 2023 года представлением руководителям ведомств IP5 окончательного отчета об оценке, касающегося проверки концепции и включающего рекомендации относительно внедрения новой концепции в систему РСТ с правовой, финансовой и оперативной точек зрения.</w:t>
      </w:r>
    </w:p>
    <w:p w14:paraId="7F6118C4" w14:textId="77777777" w:rsidR="004E4CA5" w:rsidRPr="00970992" w:rsidRDefault="00AF7A07" w:rsidP="004E4CA5">
      <w:pPr>
        <w:pStyle w:val="ONUME"/>
        <w:ind w:left="5533"/>
        <w:rPr>
          <w:i/>
          <w:lang w:val="ru-RU"/>
        </w:rPr>
      </w:pPr>
      <w:r w:rsidRPr="00AF7A07">
        <w:rPr>
          <w:i/>
          <w:lang w:val="ru-RU"/>
        </w:rPr>
        <w:t>Рабочей группе предлагается принять к сведению содержание настоящего документа.</w:t>
      </w:r>
    </w:p>
    <w:p w14:paraId="4B0025F1" w14:textId="77777777" w:rsidR="004E4CA5" w:rsidRDefault="004E4CA5" w:rsidP="004E4CA5">
      <w:pPr>
        <w:pStyle w:val="Endofdocument-Annex"/>
      </w:pPr>
      <w:r>
        <w:t>[</w:t>
      </w:r>
      <w:r w:rsidR="001242C4">
        <w:rPr>
          <w:lang w:val="ru-RU"/>
        </w:rPr>
        <w:t>Конец документа</w:t>
      </w:r>
      <w:r>
        <w:t>]</w:t>
      </w:r>
    </w:p>
    <w:p w14:paraId="5FBC6970" w14:textId="77777777" w:rsidR="001D4107" w:rsidRDefault="001D4107" w:rsidP="00F96831">
      <w:pPr>
        <w:spacing w:after="220"/>
      </w:pPr>
    </w:p>
    <w:sectPr w:rsidR="001D4107" w:rsidSect="003962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570BA" w14:textId="77777777" w:rsidR="003F4664" w:rsidRDefault="003F4664">
      <w:r>
        <w:separator/>
      </w:r>
    </w:p>
  </w:endnote>
  <w:endnote w:type="continuationSeparator" w:id="0">
    <w:p w14:paraId="2E62304A" w14:textId="77777777" w:rsidR="003F4664" w:rsidRDefault="003F4664" w:rsidP="003B38C1">
      <w:r>
        <w:separator/>
      </w:r>
    </w:p>
    <w:p w14:paraId="07E34620" w14:textId="77777777" w:rsidR="003F4664" w:rsidRPr="003B38C1" w:rsidRDefault="003F466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1263BF1" w14:textId="77777777" w:rsidR="003F4664" w:rsidRPr="003B38C1" w:rsidRDefault="003F466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8E34F" w14:textId="77777777" w:rsidR="00B16D60" w:rsidRDefault="00B16D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3F876" w14:textId="77777777" w:rsidR="00B16D60" w:rsidRDefault="00B16D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4A5CA" w14:textId="77777777" w:rsidR="00B16D60" w:rsidRDefault="00B16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FAEF0" w14:textId="77777777" w:rsidR="003F4664" w:rsidRDefault="003F4664">
      <w:r>
        <w:separator/>
      </w:r>
    </w:p>
  </w:footnote>
  <w:footnote w:type="continuationSeparator" w:id="0">
    <w:p w14:paraId="5D3661F9" w14:textId="77777777" w:rsidR="003F4664" w:rsidRDefault="003F4664" w:rsidP="008B60B2">
      <w:r>
        <w:separator/>
      </w:r>
    </w:p>
    <w:p w14:paraId="0A596640" w14:textId="77777777" w:rsidR="003F4664" w:rsidRPr="00ED77FB" w:rsidRDefault="003F466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D23F913" w14:textId="77777777" w:rsidR="003F4664" w:rsidRPr="00ED77FB" w:rsidRDefault="003F466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60CBE" w14:textId="77777777" w:rsidR="00396288" w:rsidRPr="00B25737" w:rsidRDefault="00396288" w:rsidP="00396288">
    <w:pPr>
      <w:jc w:val="right"/>
      <w:rPr>
        <w:caps/>
      </w:rPr>
    </w:pPr>
    <w:r>
      <w:rPr>
        <w:caps/>
      </w:rPr>
      <w:t>PCT/WG/1</w:t>
    </w:r>
    <w:r w:rsidR="00970992">
      <w:rPr>
        <w:caps/>
        <w:lang w:val="ru-RU"/>
      </w:rPr>
      <w:t>5</w:t>
    </w:r>
    <w:r w:rsidR="00970992">
      <w:rPr>
        <w:caps/>
      </w:rPr>
      <w:t>/8</w:t>
    </w:r>
  </w:p>
  <w:p w14:paraId="76D3947C" w14:textId="068864EE" w:rsidR="00396288" w:rsidRDefault="00895C62" w:rsidP="00396288">
    <w:pPr>
      <w:jc w:val="right"/>
    </w:pPr>
    <w:r>
      <w:rPr>
        <w:lang w:val="ru-RU"/>
      </w:rPr>
      <w:t xml:space="preserve">стр. </w:t>
    </w:r>
    <w:r w:rsidR="00396288">
      <w:fldChar w:fldCharType="begin"/>
    </w:r>
    <w:r w:rsidR="00396288">
      <w:instrText xml:space="preserve"> PAGE  \* MERGEFORMAT </w:instrText>
    </w:r>
    <w:r w:rsidR="00396288">
      <w:fldChar w:fldCharType="separate"/>
    </w:r>
    <w:r w:rsidR="00B1164D">
      <w:rPr>
        <w:noProof/>
      </w:rPr>
      <w:t>2</w:t>
    </w:r>
    <w:r w:rsidR="00396288">
      <w:fldChar w:fldCharType="end"/>
    </w:r>
  </w:p>
  <w:p w14:paraId="2DF4537B" w14:textId="77777777" w:rsidR="00396288" w:rsidRDefault="00396288" w:rsidP="003962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AC648" w14:textId="77777777" w:rsidR="00D07C78" w:rsidRPr="00B25737" w:rsidRDefault="003F4664" w:rsidP="00477D6B">
    <w:pPr>
      <w:jc w:val="right"/>
      <w:rPr>
        <w:caps/>
      </w:rPr>
    </w:pPr>
    <w:bookmarkStart w:id="7" w:name="Code2"/>
    <w:r>
      <w:rPr>
        <w:caps/>
      </w:rPr>
      <w:t>PCT/WG/1</w:t>
    </w:r>
    <w:r w:rsidR="00DB307B">
      <w:rPr>
        <w:caps/>
        <w:lang w:val="ru-RU"/>
      </w:rPr>
      <w:t>5</w:t>
    </w:r>
    <w:r w:rsidR="00DB307B">
      <w:rPr>
        <w:caps/>
      </w:rPr>
      <w:t>/8</w:t>
    </w:r>
  </w:p>
  <w:bookmarkEnd w:id="7"/>
  <w:p w14:paraId="1005AE06" w14:textId="7A423741" w:rsidR="00D07C78" w:rsidRDefault="00895C62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B1164D">
      <w:rPr>
        <w:noProof/>
      </w:rPr>
      <w:t>3</w:t>
    </w:r>
    <w:r w:rsidR="00D07C78">
      <w:fldChar w:fldCharType="end"/>
    </w:r>
  </w:p>
  <w:p w14:paraId="44F1C504" w14:textId="77777777" w:rsidR="00D07C78" w:rsidRDefault="00D07C78" w:rsidP="0023203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E39B8" w14:textId="77777777" w:rsidR="00B16D60" w:rsidRDefault="00B16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6A5247"/>
    <w:multiLevelType w:val="hybridMultilevel"/>
    <w:tmpl w:val="479A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1366FF"/>
    <w:multiLevelType w:val="hybridMultilevel"/>
    <w:tmpl w:val="00261B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84EC5"/>
    <w:multiLevelType w:val="hybridMultilevel"/>
    <w:tmpl w:val="2DCC45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64"/>
    <w:rsid w:val="0001568F"/>
    <w:rsid w:val="00036CDD"/>
    <w:rsid w:val="00043CAA"/>
    <w:rsid w:val="00056816"/>
    <w:rsid w:val="00075432"/>
    <w:rsid w:val="00080B28"/>
    <w:rsid w:val="000968ED"/>
    <w:rsid w:val="0009719F"/>
    <w:rsid w:val="000A3D97"/>
    <w:rsid w:val="000E6641"/>
    <w:rsid w:val="000F5648"/>
    <w:rsid w:val="000F5E56"/>
    <w:rsid w:val="001242C4"/>
    <w:rsid w:val="00125495"/>
    <w:rsid w:val="001362EE"/>
    <w:rsid w:val="00143299"/>
    <w:rsid w:val="001647D5"/>
    <w:rsid w:val="001832A6"/>
    <w:rsid w:val="00192544"/>
    <w:rsid w:val="001C54C0"/>
    <w:rsid w:val="001D4107"/>
    <w:rsid w:val="001E77AB"/>
    <w:rsid w:val="00203D24"/>
    <w:rsid w:val="0021217E"/>
    <w:rsid w:val="00213EB3"/>
    <w:rsid w:val="00232034"/>
    <w:rsid w:val="00233975"/>
    <w:rsid w:val="00243430"/>
    <w:rsid w:val="00256150"/>
    <w:rsid w:val="002634C4"/>
    <w:rsid w:val="002758BD"/>
    <w:rsid w:val="002928D3"/>
    <w:rsid w:val="00293C93"/>
    <w:rsid w:val="0029557C"/>
    <w:rsid w:val="002F0016"/>
    <w:rsid w:val="002F1FE6"/>
    <w:rsid w:val="002F4E68"/>
    <w:rsid w:val="00312F7F"/>
    <w:rsid w:val="00324F8A"/>
    <w:rsid w:val="00361450"/>
    <w:rsid w:val="003673CF"/>
    <w:rsid w:val="003845C1"/>
    <w:rsid w:val="00396288"/>
    <w:rsid w:val="003A6F89"/>
    <w:rsid w:val="003B38C1"/>
    <w:rsid w:val="003C2697"/>
    <w:rsid w:val="003C34E9"/>
    <w:rsid w:val="003D21B8"/>
    <w:rsid w:val="003F4664"/>
    <w:rsid w:val="004111C2"/>
    <w:rsid w:val="00415BBE"/>
    <w:rsid w:val="00423E3E"/>
    <w:rsid w:val="0042788B"/>
    <w:rsid w:val="00427AF4"/>
    <w:rsid w:val="00460DB2"/>
    <w:rsid w:val="004647DA"/>
    <w:rsid w:val="00474062"/>
    <w:rsid w:val="0047418E"/>
    <w:rsid w:val="00477D6B"/>
    <w:rsid w:val="00485FDD"/>
    <w:rsid w:val="00492BE0"/>
    <w:rsid w:val="004A0B35"/>
    <w:rsid w:val="004A34B8"/>
    <w:rsid w:val="004C48B9"/>
    <w:rsid w:val="004E4CA5"/>
    <w:rsid w:val="004E54C0"/>
    <w:rsid w:val="005019FF"/>
    <w:rsid w:val="00520300"/>
    <w:rsid w:val="005255A5"/>
    <w:rsid w:val="0053057A"/>
    <w:rsid w:val="00532F66"/>
    <w:rsid w:val="00547377"/>
    <w:rsid w:val="00556076"/>
    <w:rsid w:val="00556656"/>
    <w:rsid w:val="00556804"/>
    <w:rsid w:val="00560A29"/>
    <w:rsid w:val="005B686A"/>
    <w:rsid w:val="005C6649"/>
    <w:rsid w:val="005D65A0"/>
    <w:rsid w:val="005E2BDE"/>
    <w:rsid w:val="005F7728"/>
    <w:rsid w:val="00605827"/>
    <w:rsid w:val="00606817"/>
    <w:rsid w:val="006245C7"/>
    <w:rsid w:val="00646050"/>
    <w:rsid w:val="00665AF3"/>
    <w:rsid w:val="006713CA"/>
    <w:rsid w:val="00676C5C"/>
    <w:rsid w:val="006A2023"/>
    <w:rsid w:val="006E28A2"/>
    <w:rsid w:val="00702340"/>
    <w:rsid w:val="0071515B"/>
    <w:rsid w:val="00720EFD"/>
    <w:rsid w:val="00756469"/>
    <w:rsid w:val="007657B7"/>
    <w:rsid w:val="00793A7C"/>
    <w:rsid w:val="007A398A"/>
    <w:rsid w:val="007D1613"/>
    <w:rsid w:val="007E4C0E"/>
    <w:rsid w:val="00835B81"/>
    <w:rsid w:val="00836D7F"/>
    <w:rsid w:val="00851AEF"/>
    <w:rsid w:val="008676C5"/>
    <w:rsid w:val="00872F86"/>
    <w:rsid w:val="008820AD"/>
    <w:rsid w:val="00895C62"/>
    <w:rsid w:val="008A134B"/>
    <w:rsid w:val="008A75FD"/>
    <w:rsid w:val="008B2CC1"/>
    <w:rsid w:val="008B60B2"/>
    <w:rsid w:val="008C180E"/>
    <w:rsid w:val="008C42D0"/>
    <w:rsid w:val="008D0E8D"/>
    <w:rsid w:val="008F2261"/>
    <w:rsid w:val="00903772"/>
    <w:rsid w:val="0090731E"/>
    <w:rsid w:val="00916EE2"/>
    <w:rsid w:val="00966A22"/>
    <w:rsid w:val="0096722F"/>
    <w:rsid w:val="00970992"/>
    <w:rsid w:val="00980100"/>
    <w:rsid w:val="00980843"/>
    <w:rsid w:val="009B1EA5"/>
    <w:rsid w:val="009B7265"/>
    <w:rsid w:val="009C44E5"/>
    <w:rsid w:val="009D3FF2"/>
    <w:rsid w:val="009E2791"/>
    <w:rsid w:val="009E3F6F"/>
    <w:rsid w:val="009E47C6"/>
    <w:rsid w:val="009F499F"/>
    <w:rsid w:val="00A051B7"/>
    <w:rsid w:val="00A3200E"/>
    <w:rsid w:val="00A37342"/>
    <w:rsid w:val="00A40401"/>
    <w:rsid w:val="00A42DAF"/>
    <w:rsid w:val="00A45BD8"/>
    <w:rsid w:val="00A530AB"/>
    <w:rsid w:val="00A80A42"/>
    <w:rsid w:val="00A869B7"/>
    <w:rsid w:val="00AB3489"/>
    <w:rsid w:val="00AC205C"/>
    <w:rsid w:val="00AC7572"/>
    <w:rsid w:val="00AC7882"/>
    <w:rsid w:val="00AF0A6B"/>
    <w:rsid w:val="00AF7A07"/>
    <w:rsid w:val="00B002A4"/>
    <w:rsid w:val="00B05A69"/>
    <w:rsid w:val="00B1055E"/>
    <w:rsid w:val="00B10B28"/>
    <w:rsid w:val="00B1164D"/>
    <w:rsid w:val="00B11CB6"/>
    <w:rsid w:val="00B159E8"/>
    <w:rsid w:val="00B16D60"/>
    <w:rsid w:val="00B25737"/>
    <w:rsid w:val="00B53E5B"/>
    <w:rsid w:val="00B641AE"/>
    <w:rsid w:val="00B75281"/>
    <w:rsid w:val="00B75C68"/>
    <w:rsid w:val="00B86690"/>
    <w:rsid w:val="00B92F1F"/>
    <w:rsid w:val="00B9734B"/>
    <w:rsid w:val="00BA30E2"/>
    <w:rsid w:val="00BC2060"/>
    <w:rsid w:val="00BD3AB5"/>
    <w:rsid w:val="00C11BFE"/>
    <w:rsid w:val="00C5068F"/>
    <w:rsid w:val="00C86D74"/>
    <w:rsid w:val="00C94E68"/>
    <w:rsid w:val="00C9511A"/>
    <w:rsid w:val="00CC6F66"/>
    <w:rsid w:val="00CD04F1"/>
    <w:rsid w:val="00CF681A"/>
    <w:rsid w:val="00D07C78"/>
    <w:rsid w:val="00D40022"/>
    <w:rsid w:val="00D40840"/>
    <w:rsid w:val="00D45252"/>
    <w:rsid w:val="00D53DE9"/>
    <w:rsid w:val="00D54546"/>
    <w:rsid w:val="00D71B4D"/>
    <w:rsid w:val="00D93D55"/>
    <w:rsid w:val="00DB307B"/>
    <w:rsid w:val="00DC0637"/>
    <w:rsid w:val="00DC3017"/>
    <w:rsid w:val="00DD7B7F"/>
    <w:rsid w:val="00DF20BA"/>
    <w:rsid w:val="00E15015"/>
    <w:rsid w:val="00E2035B"/>
    <w:rsid w:val="00E24303"/>
    <w:rsid w:val="00E335FE"/>
    <w:rsid w:val="00E9061E"/>
    <w:rsid w:val="00EA7D6E"/>
    <w:rsid w:val="00EB2F76"/>
    <w:rsid w:val="00EC4E49"/>
    <w:rsid w:val="00ED350A"/>
    <w:rsid w:val="00ED77FB"/>
    <w:rsid w:val="00EE45FA"/>
    <w:rsid w:val="00F00416"/>
    <w:rsid w:val="00F043DE"/>
    <w:rsid w:val="00F1085F"/>
    <w:rsid w:val="00F66152"/>
    <w:rsid w:val="00F77682"/>
    <w:rsid w:val="00F874D6"/>
    <w:rsid w:val="00F9165B"/>
    <w:rsid w:val="00F96831"/>
    <w:rsid w:val="00FA1EFB"/>
    <w:rsid w:val="00FD544F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DB59F3E"/>
  <w15:docId w15:val="{C58FDB48-FF9B-45BE-916C-EB1E3F2A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4E4CA5"/>
    <w:pPr>
      <w:ind w:left="720"/>
      <w:contextualSpacing/>
    </w:pPr>
  </w:style>
  <w:style w:type="table" w:styleId="TableGrid">
    <w:name w:val="Table Grid"/>
    <w:basedOn w:val="TableNormal"/>
    <w:uiPriority w:val="59"/>
    <w:rsid w:val="004E4CA5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semiHidden/>
    <w:unhideWhenUsed/>
    <w:rsid w:val="00B16D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6D6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6D60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16D60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B16D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16D60"/>
    <w:rPr>
      <w:rFonts w:ascii="Segoe UI" w:eastAsia="SimSun" w:hAnsi="Segoe UI" w:cs="Segoe UI"/>
      <w:sz w:val="18"/>
      <w:szCs w:val="18"/>
      <w:lang w:val="en-US" w:eastAsia="zh-CN"/>
    </w:rPr>
  </w:style>
  <w:style w:type="paragraph" w:styleId="Revision">
    <w:name w:val="Revision"/>
    <w:hidden/>
    <w:uiPriority w:val="99"/>
    <w:semiHidden/>
    <w:rsid w:val="00125495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CEE72-D346-4CD5-BD56-AF84016B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8351</Characters>
  <Application>Microsoft Office Word</Application>
  <DocSecurity>0</DocSecurity>
  <Lines>184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PCT/WG/14/6</vt:lpstr>
    </vt:vector>
  </TitlesOfParts>
  <Company>WIPO</Company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PCT/WG/15/8</dc:title>
  <dc:subject>IP5 PCT Collaborative Search and Examination:  Status Report</dc:subject>
  <dc:creator>MARLOW Thomas</dc:creator>
  <cp:keywords>PUBLIC</cp:keywords>
  <cp:lastModifiedBy>MARLOW Thomas</cp:lastModifiedBy>
  <cp:revision>2</cp:revision>
  <cp:lastPrinted>2011-02-15T11:56:00Z</cp:lastPrinted>
  <dcterms:created xsi:type="dcterms:W3CDTF">2022-09-16T16:51:00Z</dcterms:created>
  <dcterms:modified xsi:type="dcterms:W3CDTF">2022-09-16T16:51:00Z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d904f211-2044-4da4-84f1-4daea73439a8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