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D4230" w14:textId="3632057E" w:rsidR="008B2CC1" w:rsidRPr="001A7279" w:rsidRDefault="003D1F4D" w:rsidP="00F11D94">
      <w:pPr>
        <w:spacing w:after="120"/>
        <w:jc w:val="right"/>
      </w:pPr>
      <w:r w:rsidRPr="0042194C">
        <w:rPr>
          <w:noProof/>
          <w:lang w:val="en-US"/>
        </w:rPr>
        <w:drawing>
          <wp:inline distT="0" distB="0" distL="0" distR="0" wp14:anchorId="58F6B11C" wp14:editId="0AF55BC9">
            <wp:extent cx="3246120" cy="1630680"/>
            <wp:effectExtent l="0" t="0" r="0" b="7620"/>
            <wp:docPr id="831981843" name="Picture 831981843" descr="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title="Эмблема ВОИС"/>
            <wp:cNvGraphicFramePr/>
            <a:graphic xmlns:a="http://schemas.openxmlformats.org/drawingml/2006/main">
              <a:graphicData uri="http://schemas.openxmlformats.org/drawingml/2006/picture">
                <pic:pic xmlns:pic="http://schemas.openxmlformats.org/drawingml/2006/picture">
                  <pic:nvPicPr>
                    <pic:cNvPr id="1" name="Picture 1" descr="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6120" cy="1630680"/>
                    </a:xfrm>
                    <a:prstGeom prst="rect">
                      <a:avLst/>
                    </a:prstGeom>
                    <a:noFill/>
                    <a:ln>
                      <a:noFill/>
                    </a:ln>
                  </pic:spPr>
                </pic:pic>
              </a:graphicData>
            </a:graphic>
          </wp:inline>
        </w:drawing>
      </w:r>
      <w:r w:rsidR="00873EE5">
        <w:rPr>
          <w:rFonts w:ascii="Arial Black" w:hAnsi="Arial Black"/>
          <w:caps/>
          <w:noProof/>
          <w:sz w:val="15"/>
        </w:rPr>
        <mc:AlternateContent>
          <mc:Choice Requires="wps">
            <w:drawing>
              <wp:inline distT="0" distB="0" distL="0" distR="0" wp14:anchorId="43730A86" wp14:editId="38097310">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4A9870E"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4A50EE93" w14:textId="7372D70D" w:rsidR="008B2CC1" w:rsidRPr="001A7279" w:rsidRDefault="00E90B8B" w:rsidP="001024FE">
      <w:pPr>
        <w:jc w:val="right"/>
        <w:rPr>
          <w:rFonts w:ascii="Arial Black" w:hAnsi="Arial Black"/>
          <w:caps/>
          <w:sz w:val="15"/>
          <w:szCs w:val="15"/>
        </w:rPr>
      </w:pPr>
      <w:r>
        <w:rPr>
          <w:rFonts w:ascii="Arial Black" w:hAnsi="Arial Black"/>
          <w:caps/>
          <w:sz w:val="15"/>
        </w:rPr>
        <w:t>PCT/WG/18/</w:t>
      </w:r>
      <w:bookmarkStart w:id="0" w:name="Code"/>
      <w:bookmarkEnd w:id="0"/>
      <w:r>
        <w:rPr>
          <w:rFonts w:ascii="Arial Black" w:hAnsi="Arial Black"/>
          <w:caps/>
          <w:sz w:val="15"/>
        </w:rPr>
        <w:t>3</w:t>
      </w:r>
    </w:p>
    <w:p w14:paraId="1DDD4DA7" w14:textId="77777777" w:rsidR="00CE65D4" w:rsidRPr="001A7279" w:rsidRDefault="00CE65D4" w:rsidP="00CE65D4">
      <w:pPr>
        <w:jc w:val="right"/>
        <w:rPr>
          <w:rFonts w:ascii="Arial Black" w:hAnsi="Arial Black"/>
          <w:caps/>
          <w:sz w:val="15"/>
          <w:szCs w:val="15"/>
        </w:rPr>
      </w:pPr>
      <w:r>
        <w:rPr>
          <w:rFonts w:ascii="Arial Black" w:hAnsi="Arial Black"/>
          <w:caps/>
          <w:sz w:val="15"/>
        </w:rPr>
        <w:t xml:space="preserve">ОРИГИНАЛ: </w:t>
      </w:r>
      <w:bookmarkStart w:id="1" w:name="Original"/>
      <w:r>
        <w:rPr>
          <w:rFonts w:ascii="Arial Black" w:hAnsi="Arial Black"/>
          <w:caps/>
          <w:sz w:val="15"/>
        </w:rPr>
        <w:t>АНГЛИЙСКИЙ</w:t>
      </w:r>
    </w:p>
    <w:bookmarkEnd w:id="1"/>
    <w:p w14:paraId="4DF8C7C0" w14:textId="17B0FDBE" w:rsidR="008B2CC1" w:rsidRPr="001A7279" w:rsidRDefault="00CE65D4" w:rsidP="00CE65D4">
      <w:pPr>
        <w:spacing w:after="1200"/>
        <w:jc w:val="right"/>
        <w:rPr>
          <w:rFonts w:ascii="Arial Black" w:hAnsi="Arial Black"/>
          <w:caps/>
          <w:sz w:val="15"/>
          <w:szCs w:val="15"/>
        </w:rPr>
      </w:pPr>
      <w:r>
        <w:rPr>
          <w:rFonts w:ascii="Arial Black" w:hAnsi="Arial Black"/>
          <w:caps/>
          <w:sz w:val="15"/>
        </w:rPr>
        <w:t xml:space="preserve">ДАТА: </w:t>
      </w:r>
      <w:bookmarkStart w:id="2" w:name="Date"/>
      <w:r>
        <w:rPr>
          <w:rFonts w:ascii="Arial Black" w:hAnsi="Arial Black"/>
          <w:caps/>
          <w:sz w:val="15"/>
        </w:rPr>
        <w:t>13 декабря 2024 года</w:t>
      </w:r>
    </w:p>
    <w:bookmarkEnd w:id="2"/>
    <w:p w14:paraId="5C13E08C" w14:textId="77777777" w:rsidR="008B2CC1" w:rsidRPr="001A7279" w:rsidRDefault="00E90B8B" w:rsidP="00FB3E54">
      <w:pPr>
        <w:spacing w:after="600"/>
        <w:rPr>
          <w:b/>
          <w:sz w:val="28"/>
          <w:szCs w:val="28"/>
        </w:rPr>
      </w:pPr>
      <w:r>
        <w:rPr>
          <w:b/>
          <w:sz w:val="28"/>
        </w:rPr>
        <w:t>Рабочая группа по Договору о патентной кооперации (PCT)</w:t>
      </w:r>
    </w:p>
    <w:p w14:paraId="019A45DC" w14:textId="77777777" w:rsidR="008B2CC1" w:rsidRPr="001A7279" w:rsidRDefault="00946221" w:rsidP="008B2CC1">
      <w:pPr>
        <w:rPr>
          <w:b/>
          <w:sz w:val="24"/>
          <w:szCs w:val="24"/>
        </w:rPr>
      </w:pPr>
      <w:r>
        <w:rPr>
          <w:b/>
          <w:sz w:val="24"/>
        </w:rPr>
        <w:t>Восемнадцатая сессия</w:t>
      </w:r>
    </w:p>
    <w:p w14:paraId="1676CB16" w14:textId="77777777" w:rsidR="008B2CC1" w:rsidRPr="001A7279" w:rsidRDefault="00E90B8B" w:rsidP="00CE65D4">
      <w:pPr>
        <w:spacing w:after="720"/>
      </w:pPr>
      <w:r>
        <w:rPr>
          <w:b/>
          <w:sz w:val="24"/>
        </w:rPr>
        <w:t>Женева, 18–20 февраля 2025 года</w:t>
      </w:r>
    </w:p>
    <w:p w14:paraId="6659CD61" w14:textId="77777777" w:rsidR="008B2CC1" w:rsidRPr="001A7279" w:rsidRDefault="00A55C88" w:rsidP="00CE65D4">
      <w:pPr>
        <w:spacing w:after="360"/>
        <w:rPr>
          <w:caps/>
          <w:sz w:val="24"/>
        </w:rPr>
      </w:pPr>
      <w:bookmarkStart w:id="3" w:name="TitleOfDoc"/>
      <w:r>
        <w:rPr>
          <w:caps/>
          <w:sz w:val="24"/>
        </w:rPr>
        <w:t>Исправление к правилу 26.3</w:t>
      </w:r>
      <w:r>
        <w:rPr>
          <w:i/>
          <w:caps/>
          <w:sz w:val="24"/>
        </w:rPr>
        <w:t>ter</w:t>
      </w:r>
    </w:p>
    <w:p w14:paraId="1E28E509" w14:textId="1FC58FFF" w:rsidR="008B2CC1" w:rsidRPr="001A7279" w:rsidRDefault="00A55C88" w:rsidP="00CE65D4">
      <w:pPr>
        <w:spacing w:after="960"/>
        <w:rPr>
          <w:i/>
        </w:rPr>
      </w:pPr>
      <w:bookmarkStart w:id="4" w:name="Prepared"/>
      <w:bookmarkEnd w:id="3"/>
      <w:r>
        <w:rPr>
          <w:i/>
        </w:rPr>
        <w:t>Документ подготовлен Международным бюро</w:t>
      </w:r>
    </w:p>
    <w:bookmarkEnd w:id="4"/>
    <w:p w14:paraId="3F2FFA72" w14:textId="1402FEFE" w:rsidR="002928D3" w:rsidRPr="001A7279" w:rsidRDefault="00A55C88" w:rsidP="00A55C88">
      <w:pPr>
        <w:pStyle w:val="Heading1"/>
      </w:pPr>
      <w:r>
        <w:t>Резюме</w:t>
      </w:r>
    </w:p>
    <w:p w14:paraId="75ADA26D" w14:textId="26024062" w:rsidR="00A55C88" w:rsidRPr="001A7279" w:rsidRDefault="00A55C88" w:rsidP="00C169C7">
      <w:pPr>
        <w:pStyle w:val="ONUME"/>
      </w:pPr>
      <w:r>
        <w:t>В настоящем документе предлагаются исправления к тексту правила 26.3</w:t>
      </w:r>
      <w:r>
        <w:rPr>
          <w:i/>
        </w:rPr>
        <w:t>ter</w:t>
      </w:r>
      <w:r>
        <w:t xml:space="preserve"> на французском языке.</w:t>
      </w:r>
    </w:p>
    <w:p w14:paraId="495EDF8C" w14:textId="3F6CB715" w:rsidR="00A55C88" w:rsidRPr="001A7279" w:rsidRDefault="00182562" w:rsidP="00A55C88">
      <w:pPr>
        <w:pStyle w:val="Heading1"/>
      </w:pPr>
      <w:r>
        <w:t>Справочная информация</w:t>
      </w:r>
    </w:p>
    <w:p w14:paraId="17FB6CBF" w14:textId="6EC97233" w:rsidR="00C169C7" w:rsidRDefault="00D87D66" w:rsidP="00C169C7">
      <w:pPr>
        <w:pStyle w:val="ONUME"/>
      </w:pPr>
      <w:r>
        <w:t>В июле 2023 года Ассамблея Союза РСТ («Ассамблея») приняла поправки к правилу 26.3</w:t>
      </w:r>
      <w:r>
        <w:rPr>
          <w:i/>
        </w:rPr>
        <w:t>ter</w:t>
      </w:r>
      <w:r>
        <w:t>, которые включали добавление подпункта (e), касающегося порядка действий в тех случаях, когда разные части международной заявки составлены на разных языках и все эти языки допускаются компетентным Получающим ведомством (см. пункт 2(a) и приложение I документа PCT/A/55/2, а также пункт 32 документа PCT/A/55/4).  Данные поправки вступили в силу 1 июля 2024 года.</w:t>
      </w:r>
    </w:p>
    <w:p w14:paraId="393AFBFC" w14:textId="52181860" w:rsidR="00A033EE" w:rsidRDefault="00551D85" w:rsidP="00C169C7">
      <w:pPr>
        <w:pStyle w:val="ONUME"/>
      </w:pPr>
      <w:r>
        <w:t>В июле 2024 года Ассамблея приняла дополнительную поправку к правилу 26.3</w:t>
      </w:r>
      <w:r>
        <w:rPr>
          <w:i/>
        </w:rPr>
        <w:t>ter</w:t>
      </w:r>
      <w:r>
        <w:t xml:space="preserve"> и ограничила сферу действия изложенных в подпункте (а) исключений из положения, согласно которому Получающее ведомство обязано предложить заявителю представить перевод реферата и надписей на чертежах на язык публикации данной международной заявки в тех случаях, когда реферат или надписи на чертежах представлены на другом языке, что позволит обеспечить публикацию соответствующей международной заявки на одном языке (см. пункт 2(с) и приложение III документа PCT/A/56/2, а также пункт 23 документа PCT/A/56/3).  Данная поправка вступит в силу с 1 июля 2025 года и будет применяться к любой международной заявке, дата международной подачи которой приходится на эту или более позднюю дату.  </w:t>
      </w:r>
    </w:p>
    <w:p w14:paraId="3B05B644" w14:textId="03E5D09D" w:rsidR="00A55C88" w:rsidRPr="001A7279" w:rsidRDefault="00A033EE" w:rsidP="00C169C7">
      <w:pPr>
        <w:pStyle w:val="ONUME"/>
      </w:pPr>
      <w:r>
        <w:lastRenderedPageBreak/>
        <w:t>С тех пор Международному бюро стало известно о двух неточностях в тексте правила 26.3</w:t>
      </w:r>
      <w:r>
        <w:rPr>
          <w:i/>
        </w:rPr>
        <w:t>ter</w:t>
      </w:r>
      <w:r>
        <w:t xml:space="preserve"> на французском языке.  В настоящем документе предлагаются исправления этих неточностей.</w:t>
      </w:r>
    </w:p>
    <w:p w14:paraId="687FEDF3" w14:textId="63D3DB4E" w:rsidR="000038EB" w:rsidRPr="001A7279" w:rsidRDefault="00B41117" w:rsidP="000038EB">
      <w:pPr>
        <w:pStyle w:val="Heading1"/>
      </w:pPr>
      <w:r>
        <w:t>Предлагаемые исправления</w:t>
      </w:r>
    </w:p>
    <w:p w14:paraId="2F6616AB" w14:textId="3E86EDAA" w:rsidR="008F26DD" w:rsidRPr="009D0D3E" w:rsidRDefault="0031394F" w:rsidP="000330B5">
      <w:pPr>
        <w:pStyle w:val="ONUME"/>
      </w:pPr>
      <w:r>
        <w:t>Текст</w:t>
      </w:r>
      <w:r w:rsidRPr="003D1F4D">
        <w:rPr>
          <w:lang w:val="fr-FR"/>
        </w:rPr>
        <w:t xml:space="preserve"> </w:t>
      </w:r>
      <w:r>
        <w:t>пункта</w:t>
      </w:r>
      <w:r w:rsidRPr="003D1F4D">
        <w:rPr>
          <w:lang w:val="fr-FR"/>
        </w:rPr>
        <w:t xml:space="preserve"> i) </w:t>
      </w:r>
      <w:r>
        <w:t>подпункта</w:t>
      </w:r>
      <w:r w:rsidRPr="003D1F4D">
        <w:rPr>
          <w:lang w:val="fr-FR"/>
        </w:rPr>
        <w:t xml:space="preserve"> a) </w:t>
      </w:r>
      <w:r>
        <w:t>правила</w:t>
      </w:r>
      <w:r w:rsidRPr="003D1F4D">
        <w:rPr>
          <w:lang w:val="fr-FR"/>
        </w:rPr>
        <w:t xml:space="preserve"> 26.3</w:t>
      </w:r>
      <w:r w:rsidRPr="003D1F4D">
        <w:rPr>
          <w:i/>
          <w:lang w:val="fr-FR"/>
        </w:rPr>
        <w:t>ter</w:t>
      </w:r>
      <w:r w:rsidRPr="003D1F4D">
        <w:rPr>
          <w:lang w:val="fr-FR"/>
        </w:rPr>
        <w:t xml:space="preserve"> </w:t>
      </w:r>
      <w:r>
        <w:t>на</w:t>
      </w:r>
      <w:r w:rsidRPr="003D1F4D">
        <w:rPr>
          <w:lang w:val="fr-FR"/>
        </w:rPr>
        <w:t xml:space="preserve"> </w:t>
      </w:r>
      <w:r>
        <w:t>французском</w:t>
      </w:r>
      <w:r w:rsidRPr="003D1F4D">
        <w:rPr>
          <w:lang w:val="fr-FR"/>
        </w:rPr>
        <w:t xml:space="preserve"> </w:t>
      </w:r>
      <w:r>
        <w:t>языке</w:t>
      </w:r>
      <w:r w:rsidRPr="003D1F4D">
        <w:rPr>
          <w:lang w:val="fr-FR"/>
        </w:rPr>
        <w:t xml:space="preserve"> </w:t>
      </w:r>
      <w:r>
        <w:t>гласит</w:t>
      </w:r>
      <w:r w:rsidRPr="003D1F4D">
        <w:rPr>
          <w:lang w:val="fr-FR"/>
        </w:rPr>
        <w:t xml:space="preserve">:  “si une traduction de la demande internationale est exigée en vertu de la règle 12.3.a) dans </w:t>
      </w:r>
      <w:r w:rsidRPr="003D1F4D">
        <w:rPr>
          <w:i/>
          <w:lang w:val="fr-FR"/>
        </w:rPr>
        <w:t>une</w:t>
      </w:r>
      <w:r w:rsidRPr="003D1F4D">
        <w:rPr>
          <w:lang w:val="fr-FR"/>
        </w:rPr>
        <w:t xml:space="preserve"> langue dans laquelle la demande internationale doit être publiée” (</w:t>
      </w:r>
      <w:r>
        <w:t>выделение</w:t>
      </w:r>
      <w:r w:rsidRPr="003D1F4D">
        <w:rPr>
          <w:lang w:val="fr-FR"/>
        </w:rPr>
        <w:t xml:space="preserve"> </w:t>
      </w:r>
      <w:r>
        <w:t>добавлено</w:t>
      </w:r>
      <w:r w:rsidRPr="003D1F4D">
        <w:rPr>
          <w:lang w:val="fr-FR"/>
        </w:rPr>
        <w:t xml:space="preserve"> </w:t>
      </w:r>
      <w:r>
        <w:t>составителем</w:t>
      </w:r>
      <w:r w:rsidRPr="003D1F4D">
        <w:rPr>
          <w:lang w:val="fr-FR"/>
        </w:rPr>
        <w:t xml:space="preserve"> </w:t>
      </w:r>
      <w:r>
        <w:t>документа</w:t>
      </w:r>
      <w:r w:rsidRPr="003D1F4D">
        <w:rPr>
          <w:lang w:val="fr-FR"/>
        </w:rPr>
        <w:t xml:space="preserve">).  </w:t>
      </w:r>
      <w:r>
        <w:t>Международное бюро предлагает внести исправление в текст и использовать вместо неопределенного артикля “une” определенный артикль “la”.  Это позволит согласовать текст пункта i) с текстом пункта ii) данного подпункта при упоминании языка, на котором будет опубликована международная заявка.</w:t>
      </w:r>
      <w:bookmarkStart w:id="5" w:name="_Ref184839242"/>
    </w:p>
    <w:p w14:paraId="57F75E0C" w14:textId="79FA3081" w:rsidR="00BC2FD6" w:rsidRPr="001A7279" w:rsidRDefault="008F26DD" w:rsidP="00BC2FD6">
      <w:pPr>
        <w:pStyle w:val="ONUME"/>
      </w:pPr>
      <w:bookmarkStart w:id="6" w:name="_Ref184839259"/>
      <w:bookmarkEnd w:id="5"/>
      <w:r>
        <w:t>Текст пункта i) подпункта e) правила 26.3</w:t>
      </w:r>
      <w:r>
        <w:rPr>
          <w:i/>
        </w:rPr>
        <w:t>ter</w:t>
      </w:r>
      <w:r>
        <w:t xml:space="preserve"> на французском языке гласит:  “une des langues </w:t>
      </w:r>
      <w:r>
        <w:rPr>
          <w:i/>
        </w:rPr>
        <w:t>indiquées</w:t>
      </w:r>
      <w:r>
        <w:t xml:space="preserve"> dans la description ou les revendications telles qu’elles ont été déposées” (выделение добавлено составителем документа).  Французское прилагательное “indiquées” является неверным; явное указание на то, что в описании или пунктах формулы изобретения используется конкретный язык, отсутствует.  Международное бюро предлагает внести исправление в текст и использовать прилагательное “utilisées” для указания какого-либо языка, который является частью описания или пунктов формулы изобретения в международной заявке в том виде, в котором она подана.</w:t>
      </w:r>
      <w:bookmarkEnd w:id="6"/>
    </w:p>
    <w:p w14:paraId="34C4BD7E" w14:textId="7409DC58" w:rsidR="00641922" w:rsidRPr="000330B5" w:rsidRDefault="00531B14">
      <w:pPr>
        <w:pStyle w:val="ONUME"/>
      </w:pPr>
      <w:r>
        <w:t xml:space="preserve">В приложении изложены предлагаемые исправления, указанные в пунктах </w:t>
      </w:r>
      <w:r>
        <w:fldChar w:fldCharType="begin"/>
      </w:r>
      <w:r>
        <w:instrText xml:space="preserve"> REF _Ref184839242 \r \h </w:instrText>
      </w:r>
      <w:r>
        <w:fldChar w:fldCharType="separate"/>
      </w:r>
      <w:r w:rsidR="00247E47">
        <w:t>5</w:t>
      </w:r>
      <w:r>
        <w:fldChar w:fldCharType="end"/>
      </w:r>
      <w:r>
        <w:t xml:space="preserve"> и </w:t>
      </w:r>
      <w:r>
        <w:fldChar w:fldCharType="begin"/>
      </w:r>
      <w:r>
        <w:instrText xml:space="preserve"> REF _Ref184839259 \r \h </w:instrText>
      </w:r>
      <w:r>
        <w:fldChar w:fldCharType="separate"/>
      </w:r>
      <w:r w:rsidR="00247E47">
        <w:t>6</w:t>
      </w:r>
      <w:r>
        <w:fldChar w:fldCharType="end"/>
      </w:r>
      <w:r>
        <w:t xml:space="preserve"> выше.</w:t>
      </w:r>
    </w:p>
    <w:p w14:paraId="49CD787A" w14:textId="081A953A" w:rsidR="00566069" w:rsidRPr="00566069" w:rsidRDefault="006A783B" w:rsidP="00566069">
      <w:pPr>
        <w:pStyle w:val="ONUME"/>
        <w:ind w:left="5533"/>
        <w:rPr>
          <w:i/>
        </w:rPr>
      </w:pPr>
      <w:r>
        <w:rPr>
          <w:i/>
        </w:rPr>
        <w:t>Рабочей группе предлагается рассмотреть предлагаемые исправления к тексту правила 26.3</w:t>
      </w:r>
      <w:r>
        <w:t>ter</w:t>
      </w:r>
      <w:r>
        <w:rPr>
          <w:i/>
        </w:rPr>
        <w:t xml:space="preserve"> на французском языке, изложенные в приложении к настоящему документу.</w:t>
      </w:r>
    </w:p>
    <w:p w14:paraId="41358B0A" w14:textId="7EDB93DB" w:rsidR="00ED38CB" w:rsidRPr="003D1F4D" w:rsidRDefault="00566069" w:rsidP="00566069">
      <w:pPr>
        <w:pStyle w:val="Endofdocument-Annex"/>
        <w:rPr>
          <w:lang w:val="fr-FR"/>
        </w:rPr>
        <w:sectPr w:rsidR="00ED38CB" w:rsidRPr="003D1F4D" w:rsidSect="00A55C88">
          <w:headerReference w:type="default" r:id="rId9"/>
          <w:endnotePr>
            <w:numFmt w:val="decimal"/>
          </w:endnotePr>
          <w:pgSz w:w="11907" w:h="16840" w:code="9"/>
          <w:pgMar w:top="567" w:right="1134" w:bottom="1418" w:left="1418" w:header="510" w:footer="1021" w:gutter="0"/>
          <w:cols w:space="720"/>
          <w:titlePg/>
          <w:docGrid w:linePitch="299"/>
        </w:sectPr>
      </w:pPr>
      <w:r w:rsidRPr="00247E47">
        <w:rPr>
          <w:lang w:val="fr-CH"/>
        </w:rPr>
        <w:br/>
      </w:r>
      <w:r w:rsidRPr="003D1F4D">
        <w:rPr>
          <w:lang w:val="fr-FR"/>
        </w:rPr>
        <w:t>[</w:t>
      </w:r>
      <w:r>
        <w:t>Приложение</w:t>
      </w:r>
      <w:r w:rsidRPr="003D1F4D">
        <w:rPr>
          <w:lang w:val="fr-FR"/>
        </w:rPr>
        <w:t xml:space="preserve"> </w:t>
      </w:r>
      <w:r>
        <w:t>следует</w:t>
      </w:r>
      <w:r w:rsidRPr="003D1F4D">
        <w:rPr>
          <w:lang w:val="fr-FR"/>
        </w:rPr>
        <w:t>]</w:t>
      </w:r>
    </w:p>
    <w:p w14:paraId="3E23C3F1" w14:textId="43A6F157" w:rsidR="00ED38CB" w:rsidRPr="003D1F4D" w:rsidRDefault="00ED38CB" w:rsidP="00ED38CB">
      <w:pPr>
        <w:jc w:val="center"/>
        <w:rPr>
          <w:lang w:val="fr-FR"/>
        </w:rPr>
      </w:pPr>
      <w:bookmarkStart w:id="8" w:name="_Toc114584490"/>
      <w:bookmarkStart w:id="9" w:name="_Toc114827706"/>
      <w:bookmarkStart w:id="10" w:name="_Toc157422236"/>
      <w:r w:rsidRPr="003D1F4D">
        <w:rPr>
          <w:lang w:val="fr-FR"/>
        </w:rPr>
        <w:lastRenderedPageBreak/>
        <w:t>PROPOSITIONS DE MODIFICATION DU RÈGLEMENT D’EXÉCUTION DU PCT</w:t>
      </w:r>
      <w:r w:rsidRPr="006211EE">
        <w:rPr>
          <w:rStyle w:val="FootnoteReference"/>
          <w:caps/>
          <w:lang w:val="fr-FR"/>
        </w:rPr>
        <w:footnoteReference w:id="2"/>
      </w:r>
    </w:p>
    <w:p w14:paraId="7D20CF10" w14:textId="77777777" w:rsidR="00ED38CB" w:rsidRPr="006211EE" w:rsidRDefault="00ED38CB" w:rsidP="00ED38CB">
      <w:pPr>
        <w:jc w:val="center"/>
        <w:rPr>
          <w:lang w:val="fr-FR"/>
        </w:rPr>
      </w:pPr>
    </w:p>
    <w:p w14:paraId="6EB482D5" w14:textId="77777777" w:rsidR="00ED38CB" w:rsidRPr="006211EE" w:rsidRDefault="00ED38CB" w:rsidP="00ED38CB">
      <w:pPr>
        <w:jc w:val="center"/>
        <w:rPr>
          <w:lang w:val="fr-FR"/>
        </w:rPr>
      </w:pPr>
    </w:p>
    <w:p w14:paraId="1E0C267C" w14:textId="77777777" w:rsidR="00ED38CB" w:rsidRPr="006211EE" w:rsidRDefault="00ED38CB" w:rsidP="00ED38CB">
      <w:pPr>
        <w:jc w:val="center"/>
      </w:pPr>
      <w:r>
        <w:t>TABLE DES MATIÈRES</w:t>
      </w:r>
    </w:p>
    <w:p w14:paraId="532D1553" w14:textId="77777777" w:rsidR="00ED38CB" w:rsidRPr="006211EE" w:rsidRDefault="00ED38CB" w:rsidP="00ED38CB">
      <w:pPr>
        <w:jc w:val="center"/>
        <w:rPr>
          <w:lang w:val="fr-FR"/>
        </w:rPr>
      </w:pPr>
    </w:p>
    <w:p w14:paraId="0397E66D" w14:textId="77777777" w:rsidR="00ED38CB" w:rsidRPr="006211EE" w:rsidRDefault="00ED38CB" w:rsidP="00ED38CB">
      <w:pPr>
        <w:jc w:val="center"/>
        <w:rPr>
          <w:lang w:val="fr-FR"/>
        </w:rPr>
      </w:pPr>
    </w:p>
    <w:p w14:paraId="756F8BD5" w14:textId="59416365" w:rsidR="00ED38CB" w:rsidRDefault="00ED38CB" w:rsidP="00ED38CB">
      <w:pPr>
        <w:pStyle w:val="TOC1"/>
        <w:tabs>
          <w:tab w:val="right" w:leader="dot" w:pos="9345"/>
        </w:tabs>
        <w:rPr>
          <w:noProof/>
        </w:rPr>
      </w:pPr>
      <w:r>
        <w:fldChar w:fldCharType="begin"/>
      </w:r>
      <w:r>
        <w:instrText xml:space="preserve"> TOC \h \z \t "Leg # Title;1;Leg SubRule #;2" </w:instrText>
      </w:r>
      <w:r>
        <w:fldChar w:fldCharType="separate"/>
      </w:r>
      <w:hyperlink w:anchor="_Toc157422236" w:history="1">
        <w:r w:rsidRPr="002B39B4">
          <w:rPr>
            <w:rStyle w:val="Hyperlink"/>
            <w:noProof/>
          </w:rPr>
          <w:t>Règle 26  Contrôle et correction de certains éléments de la demande internationale auprès de l</w:t>
        </w:r>
        <w:r w:rsidR="008748DD">
          <w:rPr>
            <w:rStyle w:val="Hyperlink"/>
            <w:noProof/>
          </w:rPr>
          <w:t>’</w:t>
        </w:r>
        <w:r w:rsidRPr="002B39B4">
          <w:rPr>
            <w:rStyle w:val="Hyperlink"/>
            <w:noProof/>
          </w:rPr>
          <w:t>office récepteur</w:t>
        </w:r>
        <w:r>
          <w:rPr>
            <w:noProof/>
            <w:webHidden/>
          </w:rPr>
          <w:tab/>
        </w:r>
        <w:r>
          <w:rPr>
            <w:noProof/>
            <w:webHidden/>
          </w:rPr>
          <w:fldChar w:fldCharType="begin"/>
        </w:r>
        <w:r>
          <w:rPr>
            <w:noProof/>
            <w:webHidden/>
          </w:rPr>
          <w:instrText xml:space="preserve"> PAGEREF _Toc157422236 \h </w:instrText>
        </w:r>
        <w:r>
          <w:rPr>
            <w:noProof/>
            <w:webHidden/>
          </w:rPr>
        </w:r>
        <w:r>
          <w:rPr>
            <w:noProof/>
            <w:webHidden/>
          </w:rPr>
          <w:fldChar w:fldCharType="separate"/>
        </w:r>
        <w:r w:rsidR="00247E47">
          <w:rPr>
            <w:noProof/>
            <w:webHidden/>
          </w:rPr>
          <w:t>1</w:t>
        </w:r>
        <w:r>
          <w:rPr>
            <w:noProof/>
            <w:webHidden/>
          </w:rPr>
          <w:fldChar w:fldCharType="end"/>
        </w:r>
      </w:hyperlink>
    </w:p>
    <w:p w14:paraId="535458F9" w14:textId="5C045DB3" w:rsidR="00ED38CB" w:rsidRDefault="00ED38CB" w:rsidP="00ED38CB">
      <w:pPr>
        <w:pStyle w:val="TOC2"/>
        <w:tabs>
          <w:tab w:val="right" w:leader="dot" w:pos="9345"/>
        </w:tabs>
        <w:rPr>
          <w:noProof/>
        </w:rPr>
      </w:pPr>
      <w:hyperlink w:anchor="_Toc157422237" w:history="1">
        <w:r w:rsidRPr="002B39B4">
          <w:rPr>
            <w:rStyle w:val="Hyperlink"/>
            <w:noProof/>
          </w:rPr>
          <w:t>26.1 à 26.3</w:t>
        </w:r>
        <w:r w:rsidRPr="002B39B4">
          <w:rPr>
            <w:rStyle w:val="Hyperlink"/>
            <w:i/>
            <w:noProof/>
          </w:rPr>
          <w:t>bis</w:t>
        </w:r>
        <w:r>
          <w:rPr>
            <w:rStyle w:val="Hyperlink"/>
            <w:i/>
            <w:noProof/>
          </w:rPr>
          <w:t>   </w:t>
        </w:r>
        <w:r w:rsidRPr="002B39B4">
          <w:rPr>
            <w:rStyle w:val="Hyperlink"/>
            <w:i/>
            <w:noProof/>
          </w:rPr>
          <w:t>[Sans changement]</w:t>
        </w:r>
        <w:r>
          <w:rPr>
            <w:noProof/>
            <w:webHidden/>
          </w:rPr>
          <w:tab/>
        </w:r>
        <w:r>
          <w:rPr>
            <w:noProof/>
            <w:webHidden/>
          </w:rPr>
          <w:fldChar w:fldCharType="begin"/>
        </w:r>
        <w:r>
          <w:rPr>
            <w:noProof/>
            <w:webHidden/>
          </w:rPr>
          <w:instrText xml:space="preserve"> PAGEREF _Toc157422237 \h </w:instrText>
        </w:r>
        <w:r>
          <w:rPr>
            <w:noProof/>
            <w:webHidden/>
          </w:rPr>
        </w:r>
        <w:r>
          <w:rPr>
            <w:noProof/>
            <w:webHidden/>
          </w:rPr>
          <w:fldChar w:fldCharType="separate"/>
        </w:r>
        <w:r w:rsidR="00247E47">
          <w:rPr>
            <w:noProof/>
            <w:webHidden/>
          </w:rPr>
          <w:t>2</w:t>
        </w:r>
        <w:r>
          <w:rPr>
            <w:noProof/>
            <w:webHidden/>
          </w:rPr>
          <w:fldChar w:fldCharType="end"/>
        </w:r>
      </w:hyperlink>
    </w:p>
    <w:p w14:paraId="65E62631" w14:textId="649D3342" w:rsidR="00ED38CB" w:rsidRDefault="00ED38CB" w:rsidP="00ED38CB">
      <w:pPr>
        <w:pStyle w:val="TOC2"/>
        <w:tabs>
          <w:tab w:val="right" w:leader="dot" w:pos="9345"/>
        </w:tabs>
        <w:rPr>
          <w:noProof/>
        </w:rPr>
      </w:pPr>
      <w:hyperlink w:anchor="_Toc157422238" w:history="1">
        <w:r w:rsidRPr="002B39B4">
          <w:rPr>
            <w:rStyle w:val="Hyperlink"/>
            <w:noProof/>
          </w:rPr>
          <w:t>26.3</w:t>
        </w:r>
        <w:r w:rsidRPr="002B39B4">
          <w:rPr>
            <w:rStyle w:val="Hyperlink"/>
            <w:i/>
            <w:noProof/>
          </w:rPr>
          <w:t>ter</w:t>
        </w:r>
        <w:r>
          <w:rPr>
            <w:rStyle w:val="Hyperlink"/>
            <w:i/>
            <w:noProof/>
          </w:rPr>
          <w:t>   </w:t>
        </w:r>
        <w:r w:rsidRPr="002B39B4">
          <w:rPr>
            <w:rStyle w:val="Hyperlink"/>
            <w:i/>
            <w:noProof/>
          </w:rPr>
          <w:t>Invitation à corriger des irrégularités en vertu de l</w:t>
        </w:r>
        <w:r w:rsidR="008748DD">
          <w:rPr>
            <w:rStyle w:val="Hyperlink"/>
            <w:i/>
            <w:noProof/>
          </w:rPr>
          <w:t>’</w:t>
        </w:r>
        <w:r w:rsidRPr="002B39B4">
          <w:rPr>
            <w:rStyle w:val="Hyperlink"/>
            <w:i/>
            <w:noProof/>
          </w:rPr>
          <w:t>article 3.4)i)</w:t>
        </w:r>
        <w:r>
          <w:rPr>
            <w:noProof/>
            <w:webHidden/>
          </w:rPr>
          <w:tab/>
        </w:r>
        <w:r>
          <w:rPr>
            <w:noProof/>
            <w:webHidden/>
          </w:rPr>
          <w:fldChar w:fldCharType="begin"/>
        </w:r>
        <w:r>
          <w:rPr>
            <w:noProof/>
            <w:webHidden/>
          </w:rPr>
          <w:instrText xml:space="preserve"> PAGEREF _Toc157422238 \h </w:instrText>
        </w:r>
        <w:r>
          <w:rPr>
            <w:noProof/>
            <w:webHidden/>
          </w:rPr>
        </w:r>
        <w:r>
          <w:rPr>
            <w:noProof/>
            <w:webHidden/>
          </w:rPr>
          <w:fldChar w:fldCharType="separate"/>
        </w:r>
        <w:r w:rsidR="00247E47">
          <w:rPr>
            <w:noProof/>
            <w:webHidden/>
          </w:rPr>
          <w:t>2</w:t>
        </w:r>
        <w:r>
          <w:rPr>
            <w:noProof/>
            <w:webHidden/>
          </w:rPr>
          <w:fldChar w:fldCharType="end"/>
        </w:r>
      </w:hyperlink>
    </w:p>
    <w:p w14:paraId="4954088E" w14:textId="77777777" w:rsidR="00ED38CB" w:rsidRPr="006211EE" w:rsidRDefault="00ED38CB" w:rsidP="00ED38CB">
      <w:r>
        <w:fldChar w:fldCharType="end"/>
      </w:r>
    </w:p>
    <w:p w14:paraId="37D918DC" w14:textId="1EC5C611" w:rsidR="00ED38CB" w:rsidRPr="003D1F4D" w:rsidRDefault="00ED38CB" w:rsidP="00ED38CB">
      <w:pPr>
        <w:pStyle w:val="LegTitle"/>
        <w:rPr>
          <w:lang w:val="fr-FR"/>
        </w:rPr>
      </w:pPr>
      <w:r w:rsidRPr="003D1F4D">
        <w:rPr>
          <w:lang w:val="fr-FR"/>
        </w:rPr>
        <w:t xml:space="preserve">Règle 26 </w:t>
      </w:r>
      <w:r w:rsidRPr="003D1F4D">
        <w:rPr>
          <w:lang w:val="fr-FR"/>
        </w:rPr>
        <w:br/>
      </w:r>
      <w:bookmarkEnd w:id="8"/>
      <w:r w:rsidRPr="003D1F4D">
        <w:rPr>
          <w:lang w:val="fr-FR"/>
        </w:rPr>
        <w:t>Contrôle et correction de certains éléments de la demande internationale auprès de l’office récepteur</w:t>
      </w:r>
      <w:bookmarkEnd w:id="9"/>
      <w:bookmarkEnd w:id="10"/>
    </w:p>
    <w:p w14:paraId="1E9B91A1" w14:textId="77777777" w:rsidR="00ED38CB" w:rsidRPr="003D1F4D" w:rsidRDefault="00ED38CB" w:rsidP="00ED38CB">
      <w:pPr>
        <w:pStyle w:val="LegSubRule"/>
        <w:keepLines w:val="0"/>
        <w:outlineLvl w:val="0"/>
        <w:rPr>
          <w:i/>
          <w:lang w:val="fr-FR"/>
        </w:rPr>
      </w:pPr>
      <w:bookmarkStart w:id="11" w:name="_Toc114827707"/>
      <w:bookmarkStart w:id="12" w:name="_Toc157422237"/>
      <w:r w:rsidRPr="003D1F4D">
        <w:rPr>
          <w:lang w:val="fr-FR"/>
        </w:rPr>
        <w:t>26.1 à 26.3</w:t>
      </w:r>
      <w:r w:rsidRPr="003D1F4D">
        <w:rPr>
          <w:i/>
          <w:lang w:val="fr-FR"/>
        </w:rPr>
        <w:t>bis   [Sans changement]</w:t>
      </w:r>
      <w:bookmarkEnd w:id="11"/>
      <w:bookmarkEnd w:id="12"/>
    </w:p>
    <w:p w14:paraId="512EA1EF" w14:textId="73C291CA" w:rsidR="00ED38CB" w:rsidRPr="003D1F4D" w:rsidRDefault="00ED38CB" w:rsidP="00ED38CB">
      <w:pPr>
        <w:pStyle w:val="LegSubRule"/>
        <w:rPr>
          <w:lang w:val="fr-FR"/>
        </w:rPr>
      </w:pPr>
      <w:bookmarkStart w:id="13" w:name="_Toc114827710"/>
      <w:bookmarkStart w:id="14" w:name="_Toc157422238"/>
      <w:r w:rsidRPr="003D1F4D">
        <w:rPr>
          <w:lang w:val="fr-FR"/>
        </w:rPr>
        <w:t>26.3</w:t>
      </w:r>
      <w:r w:rsidRPr="003D1F4D">
        <w:rPr>
          <w:i/>
          <w:lang w:val="fr-FR"/>
        </w:rPr>
        <w:t>ter</w:t>
      </w:r>
      <w:r w:rsidRPr="003D1F4D">
        <w:rPr>
          <w:lang w:val="fr-FR"/>
        </w:rPr>
        <w:t>   </w:t>
      </w:r>
      <w:r w:rsidRPr="003D1F4D">
        <w:rPr>
          <w:i/>
          <w:lang w:val="fr-FR"/>
        </w:rPr>
        <w:t>Invitation à corriger des irrégularités en vertu de l’article 3.4)i)</w:t>
      </w:r>
      <w:bookmarkEnd w:id="13"/>
      <w:bookmarkEnd w:id="14"/>
    </w:p>
    <w:p w14:paraId="05071C81" w14:textId="1A3ADC9D" w:rsidR="00ED38CB" w:rsidRPr="003D1F4D" w:rsidRDefault="00ED38CB" w:rsidP="00ED38CB">
      <w:pPr>
        <w:pStyle w:val="Lega"/>
        <w:tabs>
          <w:tab w:val="clear" w:pos="454"/>
          <w:tab w:val="left" w:pos="567"/>
        </w:tabs>
        <w:rPr>
          <w:rStyle w:val="Deletedtext"/>
          <w:strike w:val="0"/>
          <w:color w:val="auto"/>
          <w:lang w:val="fr-FR"/>
        </w:rPr>
      </w:pPr>
      <w:r w:rsidRPr="003D1F4D">
        <w:rPr>
          <w:rStyle w:val="Deletedtext"/>
          <w:strike w:val="0"/>
          <w:color w:val="auto"/>
          <w:lang w:val="fr-FR"/>
        </w:rPr>
        <w:t>a)</w:t>
      </w:r>
      <w:r w:rsidRPr="003D1F4D">
        <w:rPr>
          <w:rStyle w:val="Deletedtext"/>
          <w:strike w:val="0"/>
          <w:color w:val="auto"/>
          <w:lang w:val="fr-FR"/>
        </w:rPr>
        <w:tab/>
        <w:t>Lorsque l’abrégé ou tout texte contenu dans les dessins est déposé dans une langue qui est différente de celle, sous réserve des règles 12.1</w:t>
      </w:r>
      <w:r w:rsidRPr="003D1F4D">
        <w:rPr>
          <w:rStyle w:val="Deletedtext"/>
          <w:i/>
          <w:strike w:val="0"/>
          <w:color w:val="auto"/>
          <w:lang w:val="fr-FR"/>
        </w:rPr>
        <w:t>bis</w:t>
      </w:r>
      <w:r w:rsidRPr="003D1F4D">
        <w:rPr>
          <w:rStyle w:val="Deletedtext"/>
          <w:strike w:val="0"/>
          <w:color w:val="auto"/>
          <w:lang w:val="fr-FR"/>
        </w:rPr>
        <w:t xml:space="preserve"> et 26.3</w:t>
      </w:r>
      <w:r w:rsidRPr="003D1F4D">
        <w:rPr>
          <w:rStyle w:val="Deletedtext"/>
          <w:i/>
          <w:strike w:val="0"/>
          <w:color w:val="auto"/>
          <w:lang w:val="fr-FR"/>
        </w:rPr>
        <w:t>ter.</w:t>
      </w:r>
      <w:r w:rsidRPr="003D1F4D">
        <w:rPr>
          <w:rStyle w:val="Deletedtext"/>
          <w:strike w:val="0"/>
          <w:color w:val="auto"/>
          <w:lang w:val="fr-FR"/>
        </w:rPr>
        <w:t>e), de la description et des revendications, l’office récepteur, sauf</w:t>
      </w:r>
    </w:p>
    <w:p w14:paraId="7CDD29B2" w14:textId="77777777" w:rsidR="00ED38CB" w:rsidRPr="003D1F4D" w:rsidRDefault="00ED38CB" w:rsidP="00ED38CB">
      <w:pPr>
        <w:pStyle w:val="Lega"/>
        <w:tabs>
          <w:tab w:val="clear" w:pos="454"/>
          <w:tab w:val="left" w:pos="567"/>
          <w:tab w:val="left" w:pos="1134"/>
        </w:tabs>
        <w:rPr>
          <w:lang w:val="fr-FR"/>
        </w:rPr>
      </w:pPr>
      <w:r w:rsidRPr="003D1F4D">
        <w:rPr>
          <w:lang w:val="fr-FR"/>
        </w:rPr>
        <w:tab/>
        <w:t>i)</w:t>
      </w:r>
      <w:r w:rsidRPr="003D1F4D">
        <w:rPr>
          <w:lang w:val="fr-FR"/>
        </w:rPr>
        <w:tab/>
        <w:t xml:space="preserve">si une traduction de la demande internationale est exigée en vertu de la règle 12.3.a) dans </w:t>
      </w:r>
      <w:r w:rsidRPr="003D1F4D">
        <w:rPr>
          <w:rStyle w:val="Deletedtext"/>
          <w:color w:val="C00000"/>
          <w:lang w:val="fr-FR"/>
        </w:rPr>
        <w:t>une</w:t>
      </w:r>
      <w:r w:rsidRPr="003D1F4D">
        <w:rPr>
          <w:color w:val="0000FF"/>
          <w:lang w:val="fr-FR"/>
        </w:rPr>
        <w:t xml:space="preserve"> </w:t>
      </w:r>
      <w:r w:rsidRPr="003D1F4D">
        <w:rPr>
          <w:color w:val="0000FF"/>
          <w:u w:val="single"/>
          <w:lang w:val="fr-FR"/>
        </w:rPr>
        <w:t>la</w:t>
      </w:r>
      <w:r w:rsidRPr="003D1F4D">
        <w:rPr>
          <w:color w:val="0000FF"/>
          <w:lang w:val="fr-FR"/>
        </w:rPr>
        <w:t xml:space="preserve"> </w:t>
      </w:r>
      <w:r w:rsidRPr="003D1F4D">
        <w:rPr>
          <w:lang w:val="fr-FR"/>
        </w:rPr>
        <w:t>langue dans laquelle la demande internationale doit être publiée ou</w:t>
      </w:r>
    </w:p>
    <w:p w14:paraId="4B9591A4" w14:textId="084BE3FB" w:rsidR="00ED38CB" w:rsidRPr="003D1F4D" w:rsidRDefault="00ED38CB" w:rsidP="00ED38CB">
      <w:pPr>
        <w:pStyle w:val="Lega"/>
        <w:tabs>
          <w:tab w:val="clear" w:pos="454"/>
          <w:tab w:val="left" w:pos="567"/>
          <w:tab w:val="left" w:pos="1134"/>
        </w:tabs>
        <w:rPr>
          <w:lang w:val="fr-FR"/>
        </w:rPr>
      </w:pPr>
      <w:r w:rsidRPr="003D1F4D">
        <w:rPr>
          <w:lang w:val="fr-FR"/>
        </w:rPr>
        <w:tab/>
        <w:t>ii)</w:t>
      </w:r>
      <w:r w:rsidRPr="003D1F4D">
        <w:rPr>
          <w:lang w:val="fr-FR"/>
        </w:rPr>
        <w:tab/>
        <w:t>si l’abrégé ou le texte contenu dans les dessins est rédigé dans la langue dans laquelle la demande internationale doit être publiée,</w:t>
      </w:r>
    </w:p>
    <w:p w14:paraId="440123B5" w14:textId="5F04533F" w:rsidR="00ED38CB" w:rsidRPr="003D1F4D" w:rsidRDefault="00ED38CB" w:rsidP="00ED38CB">
      <w:pPr>
        <w:pStyle w:val="Lega"/>
        <w:rPr>
          <w:lang w:val="fr-FR"/>
        </w:rPr>
      </w:pPr>
      <w:r w:rsidRPr="003D1F4D">
        <w:rPr>
          <w:lang w:val="fr-FR"/>
        </w:rPr>
        <w:t>invite le déposant à remettre une traduction de l’abrégé ou du texte contenu dans les dessins dans la langue dans laquelle la demande internationale doit être publiée.  Les règles 26.1, 26.2, 26.3, 26.3</w:t>
      </w:r>
      <w:r w:rsidRPr="003D1F4D">
        <w:rPr>
          <w:i/>
          <w:lang w:val="fr-FR"/>
        </w:rPr>
        <w:t>bis</w:t>
      </w:r>
      <w:r w:rsidRPr="003D1F4D">
        <w:rPr>
          <w:lang w:val="fr-FR"/>
        </w:rPr>
        <w:t xml:space="preserve">, 26.5 et 29.1 s’appliquent </w:t>
      </w:r>
      <w:r w:rsidRPr="003D1F4D">
        <w:rPr>
          <w:i/>
          <w:lang w:val="fr-FR"/>
        </w:rPr>
        <w:t>mutatis mutandis</w:t>
      </w:r>
      <w:r w:rsidRPr="003D1F4D">
        <w:rPr>
          <w:lang w:val="fr-FR"/>
        </w:rPr>
        <w:t>.</w:t>
      </w:r>
    </w:p>
    <w:p w14:paraId="7AC3BC81" w14:textId="77777777" w:rsidR="00ED38CB" w:rsidRPr="003D1F4D" w:rsidRDefault="00ED38CB" w:rsidP="00ED38CB">
      <w:pPr>
        <w:pStyle w:val="Lega"/>
        <w:rPr>
          <w:rStyle w:val="Deletedtext"/>
          <w:strike w:val="0"/>
          <w:color w:val="auto"/>
          <w:lang w:val="fr-FR"/>
        </w:rPr>
      </w:pPr>
      <w:r w:rsidRPr="003D1F4D">
        <w:rPr>
          <w:rStyle w:val="Deletedtext"/>
          <w:strike w:val="0"/>
          <w:color w:val="auto"/>
          <w:lang w:val="fr-FR"/>
        </w:rPr>
        <w:t>b) à d)   </w:t>
      </w:r>
      <w:r w:rsidRPr="003D1F4D">
        <w:rPr>
          <w:rStyle w:val="Deletedtext"/>
          <w:i/>
          <w:strike w:val="0"/>
          <w:color w:val="auto"/>
          <w:lang w:val="fr-FR"/>
        </w:rPr>
        <w:t>[Sans changement]</w:t>
      </w:r>
    </w:p>
    <w:p w14:paraId="42239454" w14:textId="5E5217F2" w:rsidR="00ED38CB" w:rsidRPr="003D1F4D" w:rsidRDefault="00ED38CB" w:rsidP="00ED38CB">
      <w:pPr>
        <w:pStyle w:val="Lega"/>
        <w:rPr>
          <w:lang w:val="fr-FR"/>
        </w:rPr>
      </w:pPr>
      <w:r w:rsidRPr="003D1F4D">
        <w:rPr>
          <w:lang w:val="fr-FR"/>
        </w:rPr>
        <w:t>e)</w:t>
      </w:r>
      <w:r w:rsidRPr="003D1F4D">
        <w:rPr>
          <w:lang w:val="fr-FR"/>
        </w:rPr>
        <w:tab/>
        <w:t>Lorsque la description d’une demande internationale est déposée dans une langue différente de celle des revendications, ou lorsque certaines parties de la description ou certaines parties des revendications sont déposées dans une langue différente de celle du reste de cet élément, et dans la mesure où ces langues sont acceptées par l’office récepteur au titre de la règle 12.1.a), l’office récepteur invite le déposant, le cas échéant, à remettre, dans un délai d’un mois à compter de la date de réception de la demande internationale par l’office récepteur, une traduction de la description, des revendications ou de toute partie de celles</w:t>
      </w:r>
      <w:r w:rsidRPr="003D1F4D">
        <w:rPr>
          <w:rFonts w:ascii="Cambria Math" w:hAnsi="Cambria Math"/>
          <w:lang w:val="fr-FR"/>
        </w:rPr>
        <w:t>‑</w:t>
      </w:r>
      <w:r w:rsidRPr="003D1F4D">
        <w:rPr>
          <w:lang w:val="fr-FR"/>
        </w:rPr>
        <w:t>ci rédigée dans une seule langue qui remplit les conditions ci</w:t>
      </w:r>
      <w:r w:rsidRPr="003D1F4D">
        <w:rPr>
          <w:rFonts w:ascii="Cambria Math" w:hAnsi="Cambria Math"/>
          <w:lang w:val="fr-FR"/>
        </w:rPr>
        <w:t>‑</w:t>
      </w:r>
      <w:r w:rsidRPr="003D1F4D">
        <w:rPr>
          <w:lang w:val="fr-FR"/>
        </w:rPr>
        <w:t>après :</w:t>
      </w:r>
    </w:p>
    <w:p w14:paraId="69FE30E8" w14:textId="32918577" w:rsidR="00ED38CB" w:rsidRPr="003D1F4D" w:rsidRDefault="00ED38CB" w:rsidP="008748DD">
      <w:pPr>
        <w:pStyle w:val="Lega"/>
        <w:keepNext/>
        <w:rPr>
          <w:lang w:val="fr-FR"/>
        </w:rPr>
      </w:pPr>
      <w:r w:rsidRPr="003D1F4D">
        <w:rPr>
          <w:lang w:val="fr-FR"/>
        </w:rPr>
        <w:tab/>
        <w:t>i)</w:t>
      </w:r>
      <w:r w:rsidRPr="003D1F4D">
        <w:rPr>
          <w:lang w:val="fr-FR"/>
        </w:rPr>
        <w:tab/>
        <w:t xml:space="preserve">une des langues </w:t>
      </w:r>
      <w:r w:rsidRPr="003D1F4D">
        <w:rPr>
          <w:rStyle w:val="Deletedtext"/>
          <w:color w:val="C00000"/>
          <w:lang w:val="fr-FR"/>
        </w:rPr>
        <w:t>indiquées</w:t>
      </w:r>
      <w:r w:rsidRPr="003D1F4D">
        <w:rPr>
          <w:color w:val="0000FF"/>
          <w:lang w:val="fr-FR"/>
        </w:rPr>
        <w:t xml:space="preserve"> </w:t>
      </w:r>
      <w:r w:rsidRPr="003D1F4D">
        <w:rPr>
          <w:color w:val="0000FF"/>
          <w:u w:val="single"/>
          <w:lang w:val="fr-FR"/>
        </w:rPr>
        <w:t>utilisées</w:t>
      </w:r>
      <w:r w:rsidRPr="003D1F4D">
        <w:rPr>
          <w:lang w:val="fr-FR"/>
        </w:rPr>
        <w:t xml:space="preserve"> dans la description ou les revendications telles qu’elles ont été déposées;</w:t>
      </w:r>
    </w:p>
    <w:p w14:paraId="57A71EAE" w14:textId="214465DC" w:rsidR="00ED38CB" w:rsidRPr="003D1F4D" w:rsidRDefault="00ED38CB" w:rsidP="008748DD">
      <w:pPr>
        <w:pStyle w:val="Lega"/>
        <w:keepNext/>
        <w:rPr>
          <w:lang w:val="fr-FR"/>
        </w:rPr>
      </w:pPr>
      <w:r w:rsidRPr="003D1F4D">
        <w:rPr>
          <w:lang w:val="fr-FR"/>
        </w:rPr>
        <w:tab/>
        <w:t>ii)</w:t>
      </w:r>
      <w:r w:rsidRPr="003D1F4D">
        <w:rPr>
          <w:lang w:val="fr-FR"/>
        </w:rPr>
        <w:tab/>
        <w:t>une langue acceptée par l’administration chargée de la recherche internationale qui procédera à la recherche internationale;  et</w:t>
      </w:r>
    </w:p>
    <w:p w14:paraId="4150D05A" w14:textId="3E58D8B0" w:rsidR="00ED38CB" w:rsidRPr="003E4E2F" w:rsidRDefault="00ED38CB" w:rsidP="008748DD">
      <w:pPr>
        <w:pStyle w:val="Lega"/>
        <w:keepNext/>
        <w:rPr>
          <w:lang w:val="fr-CH"/>
        </w:rPr>
      </w:pPr>
      <w:r w:rsidRPr="003D1F4D">
        <w:rPr>
          <w:lang w:val="fr-FR"/>
        </w:rPr>
        <w:tab/>
        <w:t>iii)</w:t>
      </w:r>
      <w:r w:rsidRPr="003D1F4D">
        <w:rPr>
          <w:lang w:val="fr-FR"/>
        </w:rPr>
        <w:tab/>
        <w:t>la langue dans laquelle la demande internationale doit être publiée.</w:t>
      </w:r>
      <w:r w:rsidRPr="003D1F4D">
        <w:rPr>
          <w:lang w:val="fr-FR"/>
        </w:rPr>
        <w:br/>
      </w:r>
      <w:r w:rsidRPr="003D1F4D">
        <w:rPr>
          <w:lang w:val="fr-FR"/>
        </w:rPr>
        <w:br/>
      </w:r>
      <w:r w:rsidRPr="003E4E2F">
        <w:rPr>
          <w:lang w:val="fr-CH"/>
        </w:rPr>
        <w:t xml:space="preserve">La règle 12.3.c) à e) s’applique </w:t>
      </w:r>
      <w:r w:rsidRPr="003E4E2F">
        <w:rPr>
          <w:i/>
          <w:lang w:val="fr-CH"/>
        </w:rPr>
        <w:t>mutatis mutandis</w:t>
      </w:r>
      <w:r w:rsidRPr="003E4E2F">
        <w:rPr>
          <w:lang w:val="fr-CH"/>
        </w:rPr>
        <w:t>.</w:t>
      </w:r>
    </w:p>
    <w:p w14:paraId="5455F00D" w14:textId="36876AE4" w:rsidR="00ED38CB" w:rsidRPr="003E4E2F" w:rsidRDefault="00ED38CB" w:rsidP="00ED38CB">
      <w:pPr>
        <w:pStyle w:val="Endofdocument-Annex"/>
        <w:rPr>
          <w:lang w:val="fr-CH"/>
        </w:rPr>
      </w:pPr>
      <w:r w:rsidRPr="003E4E2F">
        <w:rPr>
          <w:lang w:val="fr-CH"/>
        </w:rPr>
        <w:t>[</w:t>
      </w:r>
      <w:r>
        <w:t>Конец</w:t>
      </w:r>
      <w:r w:rsidRPr="003E4E2F">
        <w:rPr>
          <w:lang w:val="fr-CH"/>
        </w:rPr>
        <w:t xml:space="preserve"> </w:t>
      </w:r>
      <w:r>
        <w:t>приложения</w:t>
      </w:r>
      <w:r w:rsidRPr="003E4E2F">
        <w:rPr>
          <w:lang w:val="fr-CH"/>
        </w:rPr>
        <w:t xml:space="preserve"> </w:t>
      </w:r>
      <w:r>
        <w:t>и</w:t>
      </w:r>
      <w:r w:rsidRPr="003E4E2F">
        <w:rPr>
          <w:lang w:val="fr-CH"/>
        </w:rPr>
        <w:t xml:space="preserve"> </w:t>
      </w:r>
      <w:r>
        <w:t>документа</w:t>
      </w:r>
      <w:r w:rsidRPr="003E4E2F">
        <w:rPr>
          <w:lang w:val="fr-CH"/>
        </w:rPr>
        <w:t>]</w:t>
      </w:r>
    </w:p>
    <w:p w14:paraId="7FE6F703" w14:textId="77777777" w:rsidR="00ED38CB" w:rsidRPr="00672268" w:rsidRDefault="00ED38CB" w:rsidP="00ED38CB">
      <w:pPr>
        <w:pStyle w:val="Lega"/>
        <w:rPr>
          <w:lang w:val="fr-CH"/>
        </w:rPr>
      </w:pPr>
    </w:p>
    <w:p w14:paraId="23B5358A" w14:textId="6D248089" w:rsidR="00AF0ABB" w:rsidRPr="00672268" w:rsidRDefault="00AF0ABB" w:rsidP="00AF0ABB">
      <w:pPr>
        <w:pStyle w:val="Endofdocument-Annex"/>
        <w:rPr>
          <w:lang w:val="fr-CH"/>
        </w:rPr>
      </w:pPr>
    </w:p>
    <w:sectPr w:rsidR="00AF0ABB" w:rsidRPr="00672268" w:rsidSect="000D3ED5">
      <w:headerReference w:type="default" r:id="rId10"/>
      <w:headerReference w:type="first" r:id="rId11"/>
      <w:pgSz w:w="11907" w:h="16840" w:code="9"/>
      <w:pgMar w:top="1417" w:right="1417" w:bottom="1417" w:left="1417"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EEA5B" w14:textId="77777777" w:rsidR="00A55C88" w:rsidRDefault="00A55C88">
      <w:r>
        <w:separator/>
      </w:r>
    </w:p>
  </w:endnote>
  <w:endnote w:type="continuationSeparator" w:id="0">
    <w:p w14:paraId="200C57F4" w14:textId="77777777" w:rsidR="00A55C88" w:rsidRDefault="00A55C88" w:rsidP="003B38C1">
      <w:r>
        <w:separator/>
      </w:r>
    </w:p>
    <w:p w14:paraId="1496E68A" w14:textId="77777777" w:rsidR="00A55C88" w:rsidRPr="003D1F4D" w:rsidRDefault="00A55C88" w:rsidP="003B38C1">
      <w:pPr>
        <w:spacing w:after="60"/>
        <w:rPr>
          <w:sz w:val="17"/>
          <w:lang w:val="en-US"/>
        </w:rPr>
      </w:pPr>
      <w:r w:rsidRPr="003D1F4D">
        <w:rPr>
          <w:sz w:val="17"/>
          <w:lang w:val="en-US"/>
        </w:rPr>
        <w:t>[Endnote continued from previous page]</w:t>
      </w:r>
    </w:p>
  </w:endnote>
  <w:endnote w:type="continuationNotice" w:id="1">
    <w:p w14:paraId="159FD49B" w14:textId="77777777" w:rsidR="00A55C88" w:rsidRPr="003D1F4D" w:rsidRDefault="00A55C88" w:rsidP="003B38C1">
      <w:pPr>
        <w:spacing w:before="60"/>
        <w:jc w:val="right"/>
        <w:rPr>
          <w:sz w:val="17"/>
          <w:szCs w:val="17"/>
          <w:lang w:val="en-US"/>
        </w:rPr>
      </w:pPr>
      <w:r w:rsidRPr="003D1F4D">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A50A8" w14:textId="77777777" w:rsidR="00A55C88" w:rsidRDefault="00A55C88">
      <w:r>
        <w:separator/>
      </w:r>
    </w:p>
  </w:footnote>
  <w:footnote w:type="continuationSeparator" w:id="0">
    <w:p w14:paraId="172AA981" w14:textId="77777777" w:rsidR="00A55C88" w:rsidRDefault="00A55C88" w:rsidP="008B60B2">
      <w:r>
        <w:separator/>
      </w:r>
    </w:p>
    <w:p w14:paraId="5AB5688B" w14:textId="77777777" w:rsidR="00A55C88" w:rsidRPr="003D1F4D" w:rsidRDefault="00A55C88" w:rsidP="008B60B2">
      <w:pPr>
        <w:spacing w:after="60"/>
        <w:rPr>
          <w:sz w:val="17"/>
          <w:szCs w:val="17"/>
          <w:lang w:val="en-US"/>
        </w:rPr>
      </w:pPr>
      <w:r w:rsidRPr="003D1F4D">
        <w:rPr>
          <w:sz w:val="17"/>
          <w:szCs w:val="17"/>
          <w:lang w:val="en-US"/>
        </w:rPr>
        <w:t>[Footnote continued from previous page]</w:t>
      </w:r>
    </w:p>
  </w:footnote>
  <w:footnote w:type="continuationNotice" w:id="1">
    <w:p w14:paraId="38C1A07A" w14:textId="77777777" w:rsidR="00A55C88" w:rsidRPr="003D1F4D" w:rsidRDefault="00A55C88" w:rsidP="008B60B2">
      <w:pPr>
        <w:spacing w:before="60"/>
        <w:jc w:val="right"/>
        <w:rPr>
          <w:sz w:val="17"/>
          <w:szCs w:val="17"/>
          <w:lang w:val="en-US"/>
        </w:rPr>
      </w:pPr>
      <w:r w:rsidRPr="003D1F4D">
        <w:rPr>
          <w:sz w:val="17"/>
          <w:szCs w:val="17"/>
          <w:lang w:val="en-US"/>
        </w:rPr>
        <w:t>[Footnote continued on next page]</w:t>
      </w:r>
    </w:p>
  </w:footnote>
  <w:footnote w:id="2">
    <w:p w14:paraId="5A9F3B8E" w14:textId="77777777" w:rsidR="00ED38CB" w:rsidRPr="006603FF" w:rsidRDefault="00ED38CB" w:rsidP="00ED38CB">
      <w:pPr>
        <w:pStyle w:val="FootnoteText"/>
      </w:pPr>
      <w:r>
        <w:rPr>
          <w:rStyle w:val="FootnoteReference"/>
        </w:rPr>
        <w:footnoteRef/>
      </w:r>
      <w:r>
        <w:t xml:space="preserve"> </w:t>
      </w:r>
      <w:r>
        <w:tab/>
        <w:t>Предлагаемые добавления и удаления выделены в тексте, соответственно, подчеркиванием и вычеркиванием.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8D1B8" w14:textId="1F720E45" w:rsidR="00EC4E49" w:rsidRDefault="00A55C88" w:rsidP="00477D6B">
    <w:pPr>
      <w:jc w:val="right"/>
    </w:pPr>
    <w:bookmarkStart w:id="7" w:name="Code2"/>
    <w:bookmarkEnd w:id="7"/>
    <w:r>
      <w:t>PCT/WG/18/3</w:t>
    </w:r>
  </w:p>
  <w:p w14:paraId="7CD26B83" w14:textId="77777777" w:rsidR="00EC4E49" w:rsidRDefault="00EC4E49" w:rsidP="00477D6B">
    <w:pPr>
      <w:jc w:val="right"/>
    </w:pPr>
    <w:r>
      <w:t xml:space="preserve">стр. </w:t>
    </w:r>
    <w:r>
      <w:fldChar w:fldCharType="begin"/>
    </w:r>
    <w:r>
      <w:instrText xml:space="preserve"> PAGE  \* MERGEFORMAT </w:instrText>
    </w:r>
    <w:r>
      <w:fldChar w:fldCharType="separate"/>
    </w:r>
    <w:r w:rsidR="00E671A6">
      <w:t>2</w:t>
    </w:r>
    <w:r>
      <w:fldChar w:fldCharType="end"/>
    </w:r>
  </w:p>
  <w:p w14:paraId="7D3D7C32" w14:textId="77777777" w:rsidR="00B50B99" w:rsidRDefault="00B50B99" w:rsidP="000330B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477D5" w14:textId="759A2BC7" w:rsidR="008360E4" w:rsidRPr="006603FF" w:rsidRDefault="008360E4" w:rsidP="00477D6B">
    <w:pPr>
      <w:jc w:val="right"/>
    </w:pPr>
    <w:r>
      <w:t>PCT/WG/18/3</w:t>
    </w:r>
  </w:p>
  <w:p w14:paraId="33FC3D50" w14:textId="368E72C5" w:rsidR="00531B14" w:rsidRPr="006603FF" w:rsidRDefault="008360E4" w:rsidP="00477D6B">
    <w:pPr>
      <w:jc w:val="right"/>
    </w:pPr>
    <w:r>
      <w:t>Приложение, стр.</w:t>
    </w:r>
    <w:r w:rsidR="000D3ED5">
      <w:fldChar w:fldCharType="begin"/>
    </w:r>
    <w:r w:rsidR="000D3ED5" w:rsidRPr="006603FF">
      <w:instrText xml:space="preserve"> PAGE   \* MERGEFORMAT </w:instrText>
    </w:r>
    <w:r w:rsidR="000D3ED5">
      <w:fldChar w:fldCharType="separate"/>
    </w:r>
    <w:r w:rsidR="000D3ED5" w:rsidRPr="006603FF">
      <w:t>1</w:t>
    </w:r>
    <w:r w:rsidR="000D3ED5">
      <w:fldChar w:fldCharType="end"/>
    </w:r>
  </w:p>
  <w:p w14:paraId="05AC7138" w14:textId="77777777" w:rsidR="008360E4" w:rsidRPr="006603FF" w:rsidRDefault="008360E4" w:rsidP="00531B14">
    <w:pPr>
      <w:jc w:val="right"/>
      <w:rPr>
        <w:lang w:val="fr-CH"/>
      </w:rPr>
    </w:pPr>
  </w:p>
  <w:p w14:paraId="43801EAD" w14:textId="77777777" w:rsidR="008360E4" w:rsidRPr="006603FF" w:rsidRDefault="008360E4" w:rsidP="00477D6B">
    <w:pPr>
      <w:jc w:val="right"/>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81059" w14:textId="51D8FF4C" w:rsidR="008360E4" w:rsidRDefault="00531B14" w:rsidP="00531B14">
    <w:pPr>
      <w:pStyle w:val="Header"/>
      <w:jc w:val="right"/>
    </w:pPr>
    <w:r>
      <w:t>PCT/WG/18/3</w:t>
    </w:r>
    <w:r>
      <w:br/>
      <w:t>ПРИЛОЖЕНИЕ</w:t>
    </w:r>
  </w:p>
  <w:p w14:paraId="7B399D94" w14:textId="77777777" w:rsidR="00531B14" w:rsidRDefault="00531B14" w:rsidP="000330B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24182BC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838653">
    <w:abstractNumId w:val="3"/>
  </w:num>
  <w:num w:numId="2" w16cid:durableId="1159539219">
    <w:abstractNumId w:val="5"/>
  </w:num>
  <w:num w:numId="3" w16cid:durableId="76558780">
    <w:abstractNumId w:val="0"/>
  </w:num>
  <w:num w:numId="4" w16cid:durableId="1331255219">
    <w:abstractNumId w:val="6"/>
  </w:num>
  <w:num w:numId="5" w16cid:durableId="1001860684">
    <w:abstractNumId w:val="2"/>
  </w:num>
  <w:num w:numId="6" w16cid:durableId="970937653">
    <w:abstractNumId w:val="4"/>
  </w:num>
  <w:num w:numId="7" w16cid:durableId="356195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C88"/>
    <w:rsid w:val="000038EB"/>
    <w:rsid w:val="0001647B"/>
    <w:rsid w:val="000330B5"/>
    <w:rsid w:val="00043CAA"/>
    <w:rsid w:val="00057490"/>
    <w:rsid w:val="00071CA9"/>
    <w:rsid w:val="00075432"/>
    <w:rsid w:val="000947C0"/>
    <w:rsid w:val="000968ED"/>
    <w:rsid w:val="000D07A2"/>
    <w:rsid w:val="000D3ED5"/>
    <w:rsid w:val="000F5E56"/>
    <w:rsid w:val="001024FE"/>
    <w:rsid w:val="001362EE"/>
    <w:rsid w:val="00142868"/>
    <w:rsid w:val="00182562"/>
    <w:rsid w:val="001832A6"/>
    <w:rsid w:val="001A7279"/>
    <w:rsid w:val="001C35AF"/>
    <w:rsid w:val="001C6808"/>
    <w:rsid w:val="001F19C2"/>
    <w:rsid w:val="002121FA"/>
    <w:rsid w:val="00247E47"/>
    <w:rsid w:val="002634C4"/>
    <w:rsid w:val="002928D3"/>
    <w:rsid w:val="0029703C"/>
    <w:rsid w:val="002A4AD5"/>
    <w:rsid w:val="002A64C6"/>
    <w:rsid w:val="002B0820"/>
    <w:rsid w:val="002F1FE6"/>
    <w:rsid w:val="002F2F90"/>
    <w:rsid w:val="002F4E68"/>
    <w:rsid w:val="00312F7F"/>
    <w:rsid w:val="0031394F"/>
    <w:rsid w:val="003228B7"/>
    <w:rsid w:val="00345D22"/>
    <w:rsid w:val="003508A3"/>
    <w:rsid w:val="003673CF"/>
    <w:rsid w:val="003845C1"/>
    <w:rsid w:val="003A174F"/>
    <w:rsid w:val="003A6F89"/>
    <w:rsid w:val="003B38C1"/>
    <w:rsid w:val="003D1F4D"/>
    <w:rsid w:val="003D352A"/>
    <w:rsid w:val="003E4E2F"/>
    <w:rsid w:val="003F4C9E"/>
    <w:rsid w:val="00423E3E"/>
    <w:rsid w:val="00427AF4"/>
    <w:rsid w:val="004400E2"/>
    <w:rsid w:val="00442C43"/>
    <w:rsid w:val="004525AA"/>
    <w:rsid w:val="00461632"/>
    <w:rsid w:val="004647DA"/>
    <w:rsid w:val="00474062"/>
    <w:rsid w:val="00477D6B"/>
    <w:rsid w:val="00497C1B"/>
    <w:rsid w:val="004C7DF2"/>
    <w:rsid w:val="004D39C4"/>
    <w:rsid w:val="004F0CD2"/>
    <w:rsid w:val="00504E90"/>
    <w:rsid w:val="0053057A"/>
    <w:rsid w:val="00531B14"/>
    <w:rsid w:val="00543927"/>
    <w:rsid w:val="00551D85"/>
    <w:rsid w:val="00560A29"/>
    <w:rsid w:val="00566069"/>
    <w:rsid w:val="00594D27"/>
    <w:rsid w:val="005B7F2E"/>
    <w:rsid w:val="005C5F05"/>
    <w:rsid w:val="00601760"/>
    <w:rsid w:val="00605827"/>
    <w:rsid w:val="00610DEA"/>
    <w:rsid w:val="00641922"/>
    <w:rsid w:val="00646050"/>
    <w:rsid w:val="006603FF"/>
    <w:rsid w:val="006713CA"/>
    <w:rsid w:val="00672268"/>
    <w:rsid w:val="00676C5C"/>
    <w:rsid w:val="00695558"/>
    <w:rsid w:val="006A783B"/>
    <w:rsid w:val="006D5E0F"/>
    <w:rsid w:val="006F6AF1"/>
    <w:rsid w:val="007058FB"/>
    <w:rsid w:val="00705E1C"/>
    <w:rsid w:val="00744C06"/>
    <w:rsid w:val="00755B51"/>
    <w:rsid w:val="007A1396"/>
    <w:rsid w:val="007B55F9"/>
    <w:rsid w:val="007B6A58"/>
    <w:rsid w:val="007C3BA2"/>
    <w:rsid w:val="007D1613"/>
    <w:rsid w:val="00815E15"/>
    <w:rsid w:val="00815EEA"/>
    <w:rsid w:val="008360E4"/>
    <w:rsid w:val="008737E8"/>
    <w:rsid w:val="00873EE5"/>
    <w:rsid w:val="008748DD"/>
    <w:rsid w:val="0088711D"/>
    <w:rsid w:val="008B2CC1"/>
    <w:rsid w:val="008B4B5E"/>
    <w:rsid w:val="008B60B2"/>
    <w:rsid w:val="008F26DD"/>
    <w:rsid w:val="008F6C14"/>
    <w:rsid w:val="0090731E"/>
    <w:rsid w:val="00916EE2"/>
    <w:rsid w:val="0094084D"/>
    <w:rsid w:val="00946221"/>
    <w:rsid w:val="00960BA1"/>
    <w:rsid w:val="00964C57"/>
    <w:rsid w:val="00966A22"/>
    <w:rsid w:val="0096722F"/>
    <w:rsid w:val="00977AAC"/>
    <w:rsid w:val="00980843"/>
    <w:rsid w:val="009D0D3E"/>
    <w:rsid w:val="009E2791"/>
    <w:rsid w:val="009E3F6F"/>
    <w:rsid w:val="009F3BF9"/>
    <w:rsid w:val="009F499F"/>
    <w:rsid w:val="00A033EE"/>
    <w:rsid w:val="00A26A28"/>
    <w:rsid w:val="00A42DAF"/>
    <w:rsid w:val="00A45BD8"/>
    <w:rsid w:val="00A55C88"/>
    <w:rsid w:val="00A778BF"/>
    <w:rsid w:val="00A85B8E"/>
    <w:rsid w:val="00AC205C"/>
    <w:rsid w:val="00AD14A6"/>
    <w:rsid w:val="00AF0ABB"/>
    <w:rsid w:val="00AF5C73"/>
    <w:rsid w:val="00AF5DD0"/>
    <w:rsid w:val="00B05A69"/>
    <w:rsid w:val="00B40598"/>
    <w:rsid w:val="00B41117"/>
    <w:rsid w:val="00B50B99"/>
    <w:rsid w:val="00B62CD9"/>
    <w:rsid w:val="00B9734B"/>
    <w:rsid w:val="00BC2FD6"/>
    <w:rsid w:val="00BF2415"/>
    <w:rsid w:val="00BF48DE"/>
    <w:rsid w:val="00C11BFE"/>
    <w:rsid w:val="00C169C7"/>
    <w:rsid w:val="00C423E9"/>
    <w:rsid w:val="00C47FC9"/>
    <w:rsid w:val="00C6734C"/>
    <w:rsid w:val="00C91AB4"/>
    <w:rsid w:val="00C94629"/>
    <w:rsid w:val="00C95728"/>
    <w:rsid w:val="00CE65D4"/>
    <w:rsid w:val="00D065A5"/>
    <w:rsid w:val="00D120E3"/>
    <w:rsid w:val="00D45252"/>
    <w:rsid w:val="00D71B4D"/>
    <w:rsid w:val="00D77004"/>
    <w:rsid w:val="00D87D66"/>
    <w:rsid w:val="00D93D55"/>
    <w:rsid w:val="00DB56DC"/>
    <w:rsid w:val="00E015C4"/>
    <w:rsid w:val="00E070BF"/>
    <w:rsid w:val="00E161A2"/>
    <w:rsid w:val="00E335FE"/>
    <w:rsid w:val="00E500E3"/>
    <w:rsid w:val="00E5021F"/>
    <w:rsid w:val="00E56F30"/>
    <w:rsid w:val="00E671A6"/>
    <w:rsid w:val="00E76C40"/>
    <w:rsid w:val="00E90B8B"/>
    <w:rsid w:val="00EA7EEE"/>
    <w:rsid w:val="00EC4E49"/>
    <w:rsid w:val="00ED38CB"/>
    <w:rsid w:val="00ED77FB"/>
    <w:rsid w:val="00EF4F55"/>
    <w:rsid w:val="00F021A6"/>
    <w:rsid w:val="00F11D94"/>
    <w:rsid w:val="00F458E0"/>
    <w:rsid w:val="00F66152"/>
    <w:rsid w:val="00F866B9"/>
    <w:rsid w:val="00F9200A"/>
    <w:rsid w:val="00FB3E54"/>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6D69FE"/>
  <w15:docId w15:val="{2B87233C-083F-478B-B118-A33A6ABC3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Bullet">
    <w:name w:val="List Bullet"/>
    <w:basedOn w:val="Normal"/>
    <w:unhideWhenUsed/>
    <w:rsid w:val="00B41117"/>
    <w:pPr>
      <w:numPr>
        <w:numId w:val="7"/>
      </w:numPr>
      <w:contextualSpacing/>
    </w:pPr>
  </w:style>
  <w:style w:type="paragraph" w:customStyle="1" w:styleId="LegTitle">
    <w:name w:val="Leg # Title"/>
    <w:basedOn w:val="Normal"/>
    <w:next w:val="Normal"/>
    <w:rsid w:val="00ED38CB"/>
    <w:pPr>
      <w:keepNext/>
      <w:keepLines/>
      <w:pageBreakBefore/>
      <w:spacing w:before="240" w:after="240" w:line="360" w:lineRule="auto"/>
      <w:jc w:val="center"/>
    </w:pPr>
    <w:rPr>
      <w:rFonts w:eastAsia="Times New Roman" w:cs="Times New Roman"/>
      <w:b/>
      <w:noProof/>
      <w:snapToGrid w:val="0"/>
      <w:lang w:eastAsia="en-US"/>
    </w:rPr>
  </w:style>
  <w:style w:type="paragraph" w:customStyle="1" w:styleId="LegSubRule">
    <w:name w:val="Leg SubRule #"/>
    <w:basedOn w:val="Normal"/>
    <w:rsid w:val="00ED38CB"/>
    <w:pPr>
      <w:keepNext/>
      <w:keepLines/>
      <w:tabs>
        <w:tab w:val="left" w:pos="510"/>
      </w:tabs>
      <w:spacing w:before="119" w:after="240" w:line="360" w:lineRule="auto"/>
      <w:ind w:left="533" w:hanging="533"/>
    </w:pPr>
    <w:rPr>
      <w:rFonts w:eastAsia="Times New Roman" w:cs="Times New Roman"/>
      <w:noProof/>
      <w:snapToGrid w:val="0"/>
      <w:lang w:eastAsia="en-US"/>
    </w:rPr>
  </w:style>
  <w:style w:type="paragraph" w:customStyle="1" w:styleId="Lega">
    <w:name w:val="Leg (a)"/>
    <w:basedOn w:val="Normal"/>
    <w:rsid w:val="00ED38CB"/>
    <w:pPr>
      <w:tabs>
        <w:tab w:val="left" w:pos="454"/>
      </w:tabs>
      <w:spacing w:before="119" w:after="240" w:line="360" w:lineRule="auto"/>
    </w:pPr>
    <w:rPr>
      <w:rFonts w:eastAsia="Times New Roman" w:cs="Times New Roman"/>
      <w:noProof/>
      <w:snapToGrid w:val="0"/>
      <w:lang w:eastAsia="en-US"/>
    </w:rPr>
  </w:style>
  <w:style w:type="character" w:customStyle="1" w:styleId="Deletedtext">
    <w:name w:val="Deleted text"/>
    <w:basedOn w:val="DefaultParagraphFont"/>
    <w:uiPriority w:val="1"/>
    <w:qFormat/>
    <w:rsid w:val="00ED38CB"/>
    <w:rPr>
      <w:strike/>
      <w:dstrike w:val="0"/>
      <w:color w:val="FF0000"/>
    </w:rPr>
  </w:style>
  <w:style w:type="character" w:styleId="Hyperlink">
    <w:name w:val="Hyperlink"/>
    <w:basedOn w:val="DefaultParagraphFont"/>
    <w:uiPriority w:val="99"/>
    <w:unhideWhenUsed/>
    <w:rsid w:val="00ED38CB"/>
    <w:rPr>
      <w:color w:val="0000FF" w:themeColor="hyperlink"/>
      <w:u w:val="single"/>
    </w:rPr>
  </w:style>
  <w:style w:type="character" w:styleId="FootnoteReference">
    <w:name w:val="footnote reference"/>
    <w:basedOn w:val="DefaultParagraphFont"/>
    <w:semiHidden/>
    <w:unhideWhenUsed/>
    <w:rsid w:val="00ED38CB"/>
    <w:rPr>
      <w:vertAlign w:val="superscript"/>
    </w:rPr>
  </w:style>
  <w:style w:type="paragraph" w:styleId="TOC1">
    <w:name w:val="toc 1"/>
    <w:basedOn w:val="Normal"/>
    <w:next w:val="Normal"/>
    <w:autoRedefine/>
    <w:uiPriority w:val="39"/>
    <w:unhideWhenUsed/>
    <w:rsid w:val="00ED38CB"/>
    <w:pPr>
      <w:spacing w:after="100"/>
    </w:pPr>
  </w:style>
  <w:style w:type="paragraph" w:styleId="TOC2">
    <w:name w:val="toc 2"/>
    <w:basedOn w:val="Normal"/>
    <w:next w:val="Normal"/>
    <w:autoRedefine/>
    <w:uiPriority w:val="39"/>
    <w:unhideWhenUsed/>
    <w:rsid w:val="00ED38CB"/>
    <w:pPr>
      <w:spacing w:after="100"/>
      <w:ind w:left="220"/>
    </w:pPr>
  </w:style>
  <w:style w:type="paragraph" w:styleId="Revision">
    <w:name w:val="Revision"/>
    <w:hidden/>
    <w:uiPriority w:val="99"/>
    <w:semiHidden/>
    <w:rsid w:val="00D87D66"/>
    <w:rPr>
      <w:rFonts w:ascii="Arial" w:eastAsia="SimSun" w:hAnsi="Arial" w:cs="Arial"/>
      <w:sz w:val="22"/>
      <w:lang w:eastAsia="zh-CN"/>
    </w:rPr>
  </w:style>
  <w:style w:type="paragraph" w:styleId="ListParagraph">
    <w:name w:val="List Paragraph"/>
    <w:basedOn w:val="Normal"/>
    <w:uiPriority w:val="34"/>
    <w:qFormat/>
    <w:rsid w:val="00531B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914056">
      <w:bodyDiv w:val="1"/>
      <w:marLeft w:val="0"/>
      <w:marRight w:val="0"/>
      <w:marTop w:val="0"/>
      <w:marBottom w:val="0"/>
      <w:divBdr>
        <w:top w:val="none" w:sz="0" w:space="0" w:color="auto"/>
        <w:left w:val="none" w:sz="0" w:space="0" w:color="auto"/>
        <w:bottom w:val="none" w:sz="0" w:space="0" w:color="auto"/>
        <w:right w:val="none" w:sz="0" w:space="0" w:color="auto"/>
      </w:divBdr>
    </w:div>
    <w:div w:id="1294942136">
      <w:bodyDiv w:val="1"/>
      <w:marLeft w:val="0"/>
      <w:marRight w:val="0"/>
      <w:marTop w:val="0"/>
      <w:marBottom w:val="0"/>
      <w:divBdr>
        <w:top w:val="none" w:sz="0" w:space="0" w:color="auto"/>
        <w:left w:val="none" w:sz="0" w:space="0" w:color="auto"/>
        <w:bottom w:val="none" w:sz="0" w:space="0" w:color="auto"/>
        <w:right w:val="none" w:sz="0" w:space="0" w:color="auto"/>
      </w:divBdr>
    </w:div>
    <w:div w:id="1546722623">
      <w:bodyDiv w:val="1"/>
      <w:marLeft w:val="0"/>
      <w:marRight w:val="0"/>
      <w:marTop w:val="0"/>
      <w:marBottom w:val="0"/>
      <w:divBdr>
        <w:top w:val="none" w:sz="0" w:space="0" w:color="auto"/>
        <w:left w:val="none" w:sz="0" w:space="0" w:color="auto"/>
        <w:bottom w:val="none" w:sz="0" w:space="0" w:color="auto"/>
        <w:right w:val="none" w:sz="0" w:space="0" w:color="auto"/>
      </w:divBdr>
    </w:div>
    <w:div w:id="207015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_WG_1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PCT_WG_18 (E)</Template>
  <TotalTime>1</TotalTime>
  <Pages>5</Pages>
  <Words>827</Words>
  <Characters>5225</Characters>
  <Application>Microsoft Office Word</Application>
  <DocSecurity>0</DocSecurity>
  <Lines>580</Lines>
  <Paragraphs>336</Paragraphs>
  <ScaleCrop>false</ScaleCrop>
  <HeadingPairs>
    <vt:vector size="2" baseType="variant">
      <vt:variant>
        <vt:lpstr>Title</vt:lpstr>
      </vt:variant>
      <vt:variant>
        <vt:i4>1</vt:i4>
      </vt:variant>
    </vt:vector>
  </HeadingPairs>
  <TitlesOfParts>
    <vt:vector size="1" baseType="lpstr">
      <vt:lpstr>Correction of Rule 26.3ter</vt:lpstr>
    </vt:vector>
  </TitlesOfParts>
  <Company>WIPO</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PCT/WG/18/3</dc:title>
  <dc:creator>BONNET Jérôme</dc:creator>
  <cp:keywords>FOR OFFICIAL USE ONLY</cp:keywords>
  <cp:lastModifiedBy>MARLOW Thomas</cp:lastModifiedBy>
  <cp:revision>3</cp:revision>
  <cp:lastPrinted>2024-12-10T13:23:00Z</cp:lastPrinted>
  <dcterms:created xsi:type="dcterms:W3CDTF">2024-12-18T11:59:00Z</dcterms:created>
  <dcterms:modified xsi:type="dcterms:W3CDTF">2024-12-18T15:48:00Z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