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A5DF8" w:rsidRPr="00EB0B4A" w:rsidTr="0036463F">
        <w:trPr>
          <w:trHeight w:val="1977"/>
        </w:trPr>
        <w:tc>
          <w:tcPr>
            <w:tcW w:w="4594" w:type="dxa"/>
            <w:tcBorders>
              <w:bottom w:val="single" w:sz="4" w:space="0" w:color="auto"/>
            </w:tcBorders>
            <w:tcMar>
              <w:bottom w:w="170" w:type="dxa"/>
            </w:tcMar>
          </w:tcPr>
          <w:p w:rsidR="00DA5DF8" w:rsidRPr="00EB0B4A" w:rsidRDefault="00DA5DF8" w:rsidP="0036463F">
            <w:pPr>
              <w:rPr>
                <w:sz w:val="24"/>
              </w:rPr>
            </w:pPr>
            <w:r w:rsidRPr="00EB0B4A">
              <w:rPr>
                <w:noProof/>
              </w:rPr>
              <w:drawing>
                <wp:anchor distT="0" distB="0" distL="114300" distR="114300" simplePos="0" relativeHeight="251659264" behindDoc="1" locked="0" layoutInCell="0" allowOverlap="1" wp14:anchorId="0E46A5B4" wp14:editId="474FABE1">
                  <wp:simplePos x="0" y="0"/>
                  <wp:positionH relativeFrom="page">
                    <wp:posOffset>3834130</wp:posOffset>
                  </wp:positionH>
                  <wp:positionV relativeFrom="margin">
                    <wp:posOffset>0</wp:posOffset>
                  </wp:positionV>
                  <wp:extent cx="866775" cy="1323975"/>
                  <wp:effectExtent l="0" t="0" r="9525" b="9525"/>
                  <wp:wrapNone/>
                  <wp:docPr id="6" name="图片 1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anchor>
              </w:drawing>
            </w:r>
          </w:p>
        </w:tc>
        <w:tc>
          <w:tcPr>
            <w:tcW w:w="4337" w:type="dxa"/>
            <w:tcBorders>
              <w:bottom w:val="single" w:sz="4" w:space="0" w:color="auto"/>
            </w:tcBorders>
            <w:tcMar>
              <w:left w:w="0" w:type="dxa"/>
              <w:bottom w:w="170" w:type="dxa"/>
              <w:right w:w="0" w:type="dxa"/>
            </w:tcMar>
          </w:tcPr>
          <w:p w:rsidR="00DA5DF8" w:rsidRPr="00EB0B4A" w:rsidRDefault="00DA5DF8" w:rsidP="0036463F">
            <w:pPr>
              <w:rPr>
                <w:sz w:val="24"/>
              </w:rPr>
            </w:pPr>
          </w:p>
        </w:tc>
        <w:tc>
          <w:tcPr>
            <w:tcW w:w="425" w:type="dxa"/>
            <w:tcBorders>
              <w:bottom w:val="single" w:sz="4" w:space="0" w:color="auto"/>
            </w:tcBorders>
            <w:tcMar>
              <w:bottom w:w="170" w:type="dxa"/>
            </w:tcMar>
          </w:tcPr>
          <w:p w:rsidR="00DA5DF8" w:rsidRPr="00EB0B4A" w:rsidRDefault="00DA5DF8" w:rsidP="0036463F">
            <w:pPr>
              <w:jc w:val="right"/>
              <w:rPr>
                <w:sz w:val="24"/>
              </w:rPr>
            </w:pPr>
            <w:r w:rsidRPr="00EB0B4A">
              <w:rPr>
                <w:b/>
                <w:sz w:val="40"/>
                <w:szCs w:val="40"/>
              </w:rPr>
              <w:t>C</w:t>
            </w:r>
          </w:p>
        </w:tc>
      </w:tr>
      <w:tr w:rsidR="00DA5DF8" w:rsidRPr="00EB0B4A" w:rsidTr="0036463F">
        <w:trPr>
          <w:trHeight w:hRule="exact" w:val="340"/>
        </w:trPr>
        <w:tc>
          <w:tcPr>
            <w:tcW w:w="9356" w:type="dxa"/>
            <w:gridSpan w:val="3"/>
            <w:tcBorders>
              <w:top w:val="single" w:sz="4" w:space="0" w:color="auto"/>
            </w:tcBorders>
            <w:tcMar>
              <w:top w:w="170" w:type="dxa"/>
              <w:left w:w="0" w:type="dxa"/>
              <w:right w:w="0" w:type="dxa"/>
            </w:tcMar>
            <w:vAlign w:val="bottom"/>
          </w:tcPr>
          <w:p w:rsidR="00DA5DF8" w:rsidRPr="00EB0B4A" w:rsidRDefault="00DA5DF8" w:rsidP="00C67BC3">
            <w:pPr>
              <w:jc w:val="right"/>
              <w:rPr>
                <w:rFonts w:ascii="Arial Black" w:hAnsi="Arial Black"/>
                <w:caps/>
                <w:sz w:val="15"/>
              </w:rPr>
            </w:pPr>
            <w:r w:rsidRPr="00EB0B4A">
              <w:rPr>
                <w:rFonts w:ascii="Arial Black" w:hAnsi="Arial Black"/>
                <w:caps/>
                <w:sz w:val="15"/>
              </w:rPr>
              <w:t>PCT/CTC/</w:t>
            </w:r>
            <w:r>
              <w:rPr>
                <w:rFonts w:ascii="Arial Black" w:hAnsi="Arial Black" w:hint="eastAsia"/>
                <w:caps/>
                <w:sz w:val="15"/>
              </w:rPr>
              <w:t>30</w:t>
            </w:r>
            <w:r w:rsidRPr="00EB0B4A">
              <w:rPr>
                <w:rFonts w:ascii="Arial Black" w:hAnsi="Arial Black" w:hint="eastAsia"/>
                <w:caps/>
                <w:sz w:val="15"/>
              </w:rPr>
              <w:t>/</w:t>
            </w:r>
            <w:bookmarkStart w:id="0" w:name="Code"/>
            <w:bookmarkEnd w:id="0"/>
            <w:r>
              <w:rPr>
                <w:rFonts w:ascii="Arial Black" w:hAnsi="Arial Black" w:hint="eastAsia"/>
                <w:caps/>
                <w:sz w:val="15"/>
              </w:rPr>
              <w:t>26</w:t>
            </w:r>
          </w:p>
        </w:tc>
      </w:tr>
      <w:tr w:rsidR="00DA5DF8" w:rsidRPr="00EB0B4A" w:rsidTr="0036463F">
        <w:trPr>
          <w:trHeight w:hRule="exact" w:val="170"/>
        </w:trPr>
        <w:tc>
          <w:tcPr>
            <w:tcW w:w="9356" w:type="dxa"/>
            <w:gridSpan w:val="3"/>
            <w:noWrap/>
            <w:tcMar>
              <w:left w:w="0" w:type="dxa"/>
              <w:right w:w="0" w:type="dxa"/>
            </w:tcMar>
            <w:vAlign w:val="bottom"/>
          </w:tcPr>
          <w:p w:rsidR="00DA5DF8" w:rsidRPr="00EB0B4A" w:rsidRDefault="00DA5DF8" w:rsidP="0036463F">
            <w:pPr>
              <w:jc w:val="right"/>
              <w:rPr>
                <w:rFonts w:eastAsia="SimHei"/>
                <w:b/>
                <w:caps/>
                <w:sz w:val="15"/>
                <w:szCs w:val="15"/>
              </w:rPr>
            </w:pPr>
            <w:r w:rsidRPr="00EB0B4A">
              <w:rPr>
                <w:rFonts w:eastAsia="SimHei"/>
                <w:b/>
                <w:sz w:val="15"/>
                <w:szCs w:val="15"/>
              </w:rPr>
              <w:t>原</w:t>
            </w:r>
            <w:r w:rsidRPr="00EB0B4A">
              <w:rPr>
                <w:rFonts w:eastAsia="SimHei"/>
                <w:b/>
                <w:sz w:val="15"/>
                <w:szCs w:val="15"/>
                <w:lang w:val="pt-BR"/>
              </w:rPr>
              <w:t xml:space="preserve"> </w:t>
            </w:r>
            <w:r w:rsidRPr="00EB0B4A">
              <w:rPr>
                <w:rFonts w:eastAsia="SimHei"/>
                <w:b/>
                <w:sz w:val="15"/>
                <w:szCs w:val="15"/>
              </w:rPr>
              <w:t>文</w:t>
            </w:r>
            <w:r w:rsidRPr="00EB0B4A">
              <w:rPr>
                <w:rFonts w:eastAsia="SimHei"/>
                <w:b/>
                <w:sz w:val="15"/>
                <w:szCs w:val="15"/>
                <w:lang w:val="pt-BR"/>
              </w:rPr>
              <w:t>：</w:t>
            </w:r>
            <w:bookmarkStart w:id="1" w:name="Original"/>
            <w:bookmarkEnd w:id="1"/>
            <w:r w:rsidRPr="00EB0B4A">
              <w:rPr>
                <w:rFonts w:eastAsia="SimHei"/>
                <w:b/>
                <w:sz w:val="15"/>
                <w:szCs w:val="15"/>
              </w:rPr>
              <w:t>英文</w:t>
            </w:r>
          </w:p>
        </w:tc>
      </w:tr>
      <w:tr w:rsidR="00DA5DF8" w:rsidRPr="00EB0B4A" w:rsidTr="0036463F">
        <w:trPr>
          <w:trHeight w:hRule="exact" w:val="198"/>
        </w:trPr>
        <w:tc>
          <w:tcPr>
            <w:tcW w:w="9356" w:type="dxa"/>
            <w:gridSpan w:val="3"/>
            <w:tcMar>
              <w:left w:w="0" w:type="dxa"/>
              <w:right w:w="0" w:type="dxa"/>
            </w:tcMar>
            <w:vAlign w:val="bottom"/>
          </w:tcPr>
          <w:p w:rsidR="00DA5DF8" w:rsidRPr="00EB0B4A" w:rsidRDefault="00DA5DF8" w:rsidP="00DA5DF8">
            <w:pPr>
              <w:jc w:val="right"/>
              <w:rPr>
                <w:rFonts w:eastAsia="Times New Roman"/>
                <w:b/>
                <w:caps/>
                <w:sz w:val="15"/>
                <w:szCs w:val="15"/>
              </w:rPr>
            </w:pPr>
            <w:r w:rsidRPr="00EB0B4A">
              <w:rPr>
                <w:rFonts w:eastAsia="SimHei" w:cs="SimSun" w:hint="eastAsia"/>
                <w:b/>
                <w:sz w:val="15"/>
                <w:szCs w:val="15"/>
              </w:rPr>
              <w:t>日</w:t>
            </w:r>
            <w:r w:rsidRPr="00EB0B4A">
              <w:rPr>
                <w:rFonts w:eastAsia="SimHei"/>
                <w:b/>
                <w:sz w:val="15"/>
                <w:szCs w:val="15"/>
                <w:lang w:val="pt-BR"/>
              </w:rPr>
              <w:t xml:space="preserve"> </w:t>
            </w:r>
            <w:r w:rsidRPr="00EB0B4A">
              <w:rPr>
                <w:rFonts w:eastAsia="SimHei" w:cs="SimSun" w:hint="eastAsia"/>
                <w:b/>
                <w:sz w:val="15"/>
                <w:szCs w:val="15"/>
              </w:rPr>
              <w:t>期</w:t>
            </w:r>
            <w:r w:rsidRPr="00EB0B4A">
              <w:rPr>
                <w:rFonts w:eastAsia="SimHei" w:cs="SimSun" w:hint="eastAsia"/>
                <w:b/>
                <w:sz w:val="15"/>
                <w:szCs w:val="15"/>
                <w:lang w:val="pt-BR"/>
              </w:rPr>
              <w:t>：</w:t>
            </w:r>
            <w:bookmarkStart w:id="2" w:name="Date"/>
            <w:bookmarkEnd w:id="2"/>
            <w:r w:rsidRPr="00EB0B4A">
              <w:rPr>
                <w:rFonts w:ascii="Arial Black" w:hAnsi="Arial Black"/>
                <w:caps/>
                <w:sz w:val="15"/>
              </w:rPr>
              <w:t>201</w:t>
            </w:r>
            <w:r>
              <w:rPr>
                <w:rFonts w:ascii="Arial Black" w:hAnsi="Arial Black" w:hint="eastAsia"/>
                <w:caps/>
                <w:sz w:val="15"/>
              </w:rPr>
              <w:t>7</w:t>
            </w:r>
            <w:r w:rsidRPr="00EB0B4A">
              <w:rPr>
                <w:rFonts w:eastAsia="SimHei" w:cs="SimSun" w:hint="eastAsia"/>
                <w:b/>
                <w:sz w:val="15"/>
                <w:szCs w:val="15"/>
              </w:rPr>
              <w:t>年</w:t>
            </w:r>
            <w:r>
              <w:rPr>
                <w:rFonts w:ascii="Arial Black" w:hAnsi="Arial Black" w:hint="eastAsia"/>
                <w:caps/>
                <w:sz w:val="15"/>
              </w:rPr>
              <w:t>5</w:t>
            </w:r>
            <w:r w:rsidRPr="00EB0B4A">
              <w:rPr>
                <w:rFonts w:eastAsia="SimHei" w:cs="SimSun" w:hint="eastAsia"/>
                <w:b/>
                <w:sz w:val="15"/>
                <w:szCs w:val="15"/>
              </w:rPr>
              <w:t>月</w:t>
            </w:r>
            <w:r>
              <w:rPr>
                <w:rFonts w:ascii="Arial Black" w:hAnsi="Arial Black" w:hint="eastAsia"/>
                <w:caps/>
                <w:sz w:val="15"/>
              </w:rPr>
              <w:t>11</w:t>
            </w:r>
            <w:r w:rsidRPr="00EB0B4A">
              <w:rPr>
                <w:rFonts w:eastAsia="SimHei" w:cs="SimSun" w:hint="eastAsia"/>
                <w:b/>
                <w:sz w:val="15"/>
                <w:szCs w:val="15"/>
              </w:rPr>
              <w:t>日</w:t>
            </w:r>
            <w:r w:rsidRPr="00EB0B4A">
              <w:rPr>
                <w:rFonts w:eastAsia="Times New Roman"/>
                <w:b/>
                <w:caps/>
                <w:sz w:val="15"/>
                <w:szCs w:val="15"/>
              </w:rPr>
              <w:t xml:space="preserve">  </w:t>
            </w:r>
          </w:p>
        </w:tc>
      </w:tr>
    </w:tbl>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rFonts w:ascii="SimHei" w:eastAsia="SimHei" w:hAnsi="SimHei" w:cs="Times New Roman"/>
          <w:sz w:val="28"/>
          <w:szCs w:val="24"/>
        </w:rPr>
      </w:pPr>
      <w:r w:rsidRPr="00EB0B4A">
        <w:rPr>
          <w:rFonts w:ascii="SimHei" w:eastAsia="SimHei" w:hAnsi="SimHei" w:cs="Times New Roman" w:hint="eastAsia"/>
          <w:sz w:val="28"/>
          <w:szCs w:val="24"/>
        </w:rPr>
        <w:t>专利合作条约</w:t>
      </w:r>
      <w:r>
        <w:rPr>
          <w:rFonts w:ascii="SimHei" w:eastAsia="SimHei" w:hAnsi="SimHei" w:cs="Times New Roman" w:hint="eastAsia"/>
          <w:sz w:val="28"/>
          <w:szCs w:val="24"/>
        </w:rPr>
        <w:t>（</w:t>
      </w:r>
      <w:r w:rsidRPr="00EB0B4A">
        <w:rPr>
          <w:rFonts w:ascii="SimHei" w:eastAsia="SimHei" w:hAnsi="SimHei" w:cs="Times New Roman"/>
          <w:sz w:val="28"/>
          <w:szCs w:val="24"/>
        </w:rPr>
        <w:t>PCT</w:t>
      </w:r>
      <w:r>
        <w:rPr>
          <w:rFonts w:ascii="SimHei" w:eastAsia="SimHei" w:hAnsi="SimHei" w:cs="Times New Roman" w:hint="eastAsia"/>
          <w:sz w:val="28"/>
          <w:szCs w:val="24"/>
        </w:rPr>
        <w:t>）</w:t>
      </w:r>
      <w:r w:rsidRPr="00EB0B4A">
        <w:rPr>
          <w:rFonts w:ascii="SimHei" w:eastAsia="SimHei" w:hAnsi="SimHei" w:cs="Times New Roman"/>
          <w:sz w:val="28"/>
          <w:szCs w:val="24"/>
        </w:rPr>
        <w:br/>
      </w:r>
      <w:r w:rsidRPr="00EB0B4A">
        <w:rPr>
          <w:rFonts w:ascii="SimHei" w:eastAsia="SimHei" w:hAnsi="SimHei" w:cs="Times New Roman" w:hint="eastAsia"/>
          <w:sz w:val="28"/>
          <w:szCs w:val="24"/>
        </w:rPr>
        <w:t>技术合作委员会</w:t>
      </w: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autoSpaceDE w:val="0"/>
        <w:autoSpaceDN w:val="0"/>
        <w:textAlignment w:val="bottom"/>
        <w:rPr>
          <w:rFonts w:ascii="KaiTi" w:eastAsia="KaiTi"/>
          <w:b/>
          <w:sz w:val="24"/>
          <w:szCs w:val="24"/>
        </w:rPr>
      </w:pPr>
      <w:r w:rsidRPr="00EB0B4A">
        <w:rPr>
          <w:rFonts w:ascii="KaiTi" w:eastAsia="KaiTi" w:hint="eastAsia"/>
          <w:b/>
          <w:sz w:val="24"/>
          <w:szCs w:val="24"/>
        </w:rPr>
        <w:t>第</w:t>
      </w:r>
      <w:r>
        <w:rPr>
          <w:rFonts w:ascii="KaiTi" w:eastAsia="KaiTi" w:hint="eastAsia"/>
          <w:b/>
          <w:sz w:val="24"/>
          <w:szCs w:val="24"/>
        </w:rPr>
        <w:t>三</w:t>
      </w:r>
      <w:r w:rsidRPr="00EB0B4A">
        <w:rPr>
          <w:rFonts w:ascii="KaiTi" w:eastAsia="KaiTi" w:hint="eastAsia"/>
          <w:b/>
          <w:sz w:val="24"/>
          <w:szCs w:val="24"/>
        </w:rPr>
        <w:t>十届会议</w:t>
      </w:r>
    </w:p>
    <w:p w:rsidR="00DA5DF8" w:rsidRPr="00EB0B4A" w:rsidRDefault="00DA5DF8" w:rsidP="00DA5DF8">
      <w:pPr>
        <w:rPr>
          <w:rFonts w:ascii="KaiTi" w:eastAsia="KaiTi" w:hAnsi="SimSun"/>
          <w:b/>
          <w:sz w:val="24"/>
          <w:szCs w:val="24"/>
        </w:rPr>
      </w:pPr>
      <w:r w:rsidRPr="00EB0B4A">
        <w:rPr>
          <w:rFonts w:ascii="KaiTi" w:eastAsia="KaiTi" w:hAnsi="Times New Roman" w:cs="Times New Roman"/>
          <w:sz w:val="24"/>
          <w:szCs w:val="24"/>
        </w:rPr>
        <w:t>201</w:t>
      </w:r>
      <w:r>
        <w:rPr>
          <w:rFonts w:ascii="KaiTi" w:eastAsia="KaiTi" w:hAnsi="Times New Roman" w:cs="Times New Roman" w:hint="eastAsia"/>
          <w:sz w:val="24"/>
          <w:szCs w:val="24"/>
        </w:rPr>
        <w:t>7</w:t>
      </w:r>
      <w:r w:rsidRPr="00EB0B4A">
        <w:rPr>
          <w:rFonts w:ascii="KaiTi" w:eastAsia="KaiTi" w:hAnsi="SimSun" w:hint="eastAsia"/>
          <w:b/>
          <w:sz w:val="24"/>
          <w:szCs w:val="24"/>
        </w:rPr>
        <w:t>年</w:t>
      </w:r>
      <w:r w:rsidRPr="00EB0B4A">
        <w:rPr>
          <w:rFonts w:ascii="KaiTi" w:eastAsia="KaiTi" w:hAnsi="Times New Roman" w:cs="Times New Roman" w:hint="eastAsia"/>
          <w:sz w:val="24"/>
          <w:szCs w:val="24"/>
        </w:rPr>
        <w:t>5</w:t>
      </w:r>
      <w:r w:rsidRPr="00EB0B4A">
        <w:rPr>
          <w:rFonts w:ascii="KaiTi" w:eastAsia="KaiTi" w:hAnsi="SimSun" w:hint="eastAsia"/>
          <w:b/>
          <w:sz w:val="24"/>
          <w:szCs w:val="24"/>
        </w:rPr>
        <w:t>月</w:t>
      </w:r>
      <w:r>
        <w:rPr>
          <w:rFonts w:ascii="KaiTi" w:eastAsia="KaiTi" w:hAnsi="Times New Roman" w:cs="Times New Roman" w:hint="eastAsia"/>
          <w:sz w:val="24"/>
          <w:szCs w:val="24"/>
        </w:rPr>
        <w:t>8</w:t>
      </w:r>
      <w:r w:rsidRPr="00EB0B4A">
        <w:rPr>
          <w:rFonts w:ascii="KaiTi" w:eastAsia="KaiTi" w:hAnsi="SimSun" w:hint="eastAsia"/>
          <w:b/>
          <w:sz w:val="24"/>
          <w:szCs w:val="24"/>
        </w:rPr>
        <w:t>日至</w:t>
      </w:r>
      <w:r>
        <w:rPr>
          <w:rFonts w:ascii="KaiTi" w:eastAsia="KaiTi" w:hAnsi="Times New Roman" w:cs="Times New Roman" w:hint="eastAsia"/>
          <w:sz w:val="24"/>
          <w:szCs w:val="24"/>
        </w:rPr>
        <w:t>12</w:t>
      </w:r>
      <w:r w:rsidRPr="00EB0B4A">
        <w:rPr>
          <w:rFonts w:ascii="KaiTi" w:eastAsia="KaiTi" w:hAnsi="SimSun" w:hint="eastAsia"/>
          <w:b/>
          <w:sz w:val="24"/>
          <w:szCs w:val="24"/>
        </w:rPr>
        <w:t>日，日内瓦</w:t>
      </w:r>
    </w:p>
    <w:p w:rsidR="00DA5DF8" w:rsidRPr="00EB0B4A" w:rsidRDefault="00DA5DF8" w:rsidP="00DA5DF8">
      <w:pPr>
        <w:rPr>
          <w:szCs w:val="22"/>
        </w:rPr>
      </w:pPr>
    </w:p>
    <w:p w:rsidR="00DA5DF8" w:rsidRPr="00EB0B4A" w:rsidRDefault="00DA5DF8" w:rsidP="00DA5DF8">
      <w:pPr>
        <w:rPr>
          <w:szCs w:val="22"/>
        </w:rPr>
      </w:pPr>
    </w:p>
    <w:p w:rsidR="00DA5DF8" w:rsidRPr="00EB0B4A" w:rsidRDefault="00DA5DF8" w:rsidP="00DA5DF8">
      <w:pPr>
        <w:rPr>
          <w:szCs w:val="22"/>
        </w:rPr>
      </w:pPr>
    </w:p>
    <w:p w:rsidR="00DA5DF8" w:rsidRDefault="00DA5DF8" w:rsidP="00DA5DF8">
      <w:pPr>
        <w:rPr>
          <w:rFonts w:ascii="KaiTi" w:eastAsia="KaiTi" w:hAnsi="KaiTi"/>
          <w:sz w:val="24"/>
          <w:szCs w:val="32"/>
        </w:rPr>
      </w:pPr>
      <w:bookmarkStart w:id="3" w:name="TitleOfDoc"/>
      <w:bookmarkEnd w:id="3"/>
      <w:r w:rsidRPr="00DA5DF8">
        <w:rPr>
          <w:rFonts w:ascii="KaiTi" w:eastAsia="KaiTi" w:hAnsi="KaiTi" w:hint="eastAsia"/>
          <w:sz w:val="24"/>
          <w:szCs w:val="32"/>
        </w:rPr>
        <w:t>主席总结</w:t>
      </w:r>
    </w:p>
    <w:p w:rsidR="00DA5DF8" w:rsidRPr="00572563" w:rsidRDefault="00DA5DF8" w:rsidP="00DA5DF8"/>
    <w:p w:rsidR="00DA5DF8" w:rsidRPr="00D771BF" w:rsidRDefault="00DA5DF8" w:rsidP="00DA5DF8">
      <w:pPr>
        <w:autoSpaceDE w:val="0"/>
        <w:autoSpaceDN w:val="0"/>
        <w:textAlignment w:val="bottom"/>
        <w:rPr>
          <w:rFonts w:ascii="KaiTi" w:eastAsia="KaiTi" w:hAnsi="KaiTi"/>
          <w:sz w:val="21"/>
          <w:szCs w:val="24"/>
        </w:rPr>
      </w:pPr>
      <w:bookmarkStart w:id="4" w:name="Prepared"/>
      <w:bookmarkEnd w:id="4"/>
    </w:p>
    <w:p w:rsidR="00DA5DF8" w:rsidRDefault="00DA5DF8" w:rsidP="00DA5DF8"/>
    <w:p w:rsidR="00DA5DF8" w:rsidRDefault="00DA5DF8" w:rsidP="00DA5DF8"/>
    <w:p w:rsidR="00DA5DF8" w:rsidRDefault="00DA5DF8" w:rsidP="00DA5DF8"/>
    <w:p w:rsidR="00DA5DF8" w:rsidRDefault="00DA5DF8" w:rsidP="00DA5DF8"/>
    <w:p w:rsidR="002928D3" w:rsidRPr="00DA5DF8" w:rsidRDefault="000358C9"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0083418C" w:rsidRPr="00DA5DF8">
        <w:rPr>
          <w:rFonts w:ascii="SimHei" w:eastAsia="SimHei" w:hAnsi="SimHei"/>
          <w:b w:val="0"/>
          <w:sz w:val="21"/>
        </w:rPr>
        <w:t>1</w:t>
      </w:r>
      <w:r w:rsidR="00DA5DF8" w:rsidRPr="00DA5DF8">
        <w:rPr>
          <w:rFonts w:ascii="SimHei" w:eastAsia="SimHei" w:hAnsi="SimHei" w:hint="eastAsia"/>
          <w:b w:val="0"/>
          <w:sz w:val="21"/>
        </w:rPr>
        <w:t>项</w:t>
      </w:r>
      <w:r w:rsidR="0083418C" w:rsidRPr="00DA5DF8">
        <w:rPr>
          <w:rFonts w:ascii="SimHei" w:eastAsia="SimHei" w:hAnsi="SimHei"/>
          <w:b w:val="0"/>
          <w:sz w:val="21"/>
        </w:rPr>
        <w:t>：会议开幕</w:t>
      </w:r>
    </w:p>
    <w:p w:rsidR="0083418C" w:rsidRPr="00DA5DF8" w:rsidRDefault="0083418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副总干事约翰</w:t>
      </w:r>
      <w:r w:rsidR="000358C9" w:rsidRPr="00DA5DF8">
        <w:rPr>
          <w:rFonts w:ascii="SimSun" w:hAnsi="SimSun" w:hint="eastAsia"/>
          <w:sz w:val="21"/>
        </w:rPr>
        <w:t>·</w:t>
      </w:r>
      <w:r w:rsidRPr="00DA5DF8">
        <w:rPr>
          <w:rFonts w:ascii="SimSun" w:hAnsi="SimSun"/>
          <w:sz w:val="21"/>
        </w:rPr>
        <w:t>桑德奇先生代表总干事宣布会议开幕，并对与会人员表示欢迎。</w:t>
      </w:r>
      <w:r w:rsidR="00DA5DF8" w:rsidRPr="00DA5DF8">
        <w:rPr>
          <w:rFonts w:ascii="SimSun" w:hAnsi="SimSun" w:hint="eastAsia"/>
          <w:sz w:val="21"/>
        </w:rPr>
        <w:t>迈克尔</w:t>
      </w:r>
      <w:r w:rsidR="00DA5DF8">
        <w:rPr>
          <w:rFonts w:ascii="SimSun" w:hAnsi="SimSun" w:hint="eastAsia"/>
          <w:sz w:val="21"/>
        </w:rPr>
        <w:t>·</w:t>
      </w:r>
      <w:r w:rsidR="00DA5DF8" w:rsidRPr="00DA5DF8">
        <w:rPr>
          <w:rFonts w:ascii="SimSun" w:hAnsi="SimSun" w:hint="eastAsia"/>
          <w:sz w:val="21"/>
        </w:rPr>
        <w:t>理查森</w:t>
      </w:r>
      <w:r w:rsidRPr="00DA5DF8">
        <w:rPr>
          <w:rFonts w:ascii="SimSun" w:hAnsi="SimSun"/>
          <w:sz w:val="21"/>
        </w:rPr>
        <w:t>先生（WIPO）担任委员会秘书。</w:t>
      </w:r>
    </w:p>
    <w:p w:rsidR="0083418C" w:rsidRPr="00DA5DF8" w:rsidRDefault="00904748"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0083418C" w:rsidRPr="00DA5DF8">
        <w:rPr>
          <w:rFonts w:ascii="SimHei" w:eastAsia="SimHei" w:hAnsi="SimHei"/>
          <w:b w:val="0"/>
          <w:sz w:val="21"/>
        </w:rPr>
        <w:t>2</w:t>
      </w:r>
      <w:r w:rsidR="00DA5DF8" w:rsidRPr="00DA5DF8">
        <w:rPr>
          <w:rFonts w:ascii="SimHei" w:eastAsia="SimHei" w:hAnsi="SimHei" w:hint="eastAsia"/>
          <w:b w:val="0"/>
          <w:sz w:val="21"/>
        </w:rPr>
        <w:t>项</w:t>
      </w:r>
      <w:r w:rsidR="0083418C" w:rsidRPr="00DA5DF8">
        <w:rPr>
          <w:rFonts w:ascii="SimHei" w:eastAsia="SimHei" w:hAnsi="SimHei"/>
          <w:b w:val="0"/>
          <w:sz w:val="21"/>
        </w:rPr>
        <w:t>：选举主席和两名副主席</w:t>
      </w:r>
    </w:p>
    <w:p w:rsidR="006B4D04" w:rsidRPr="00DA5DF8" w:rsidRDefault="004C5D58" w:rsidP="00DA5DF8">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委员会</w:t>
      </w:r>
      <w:r w:rsidR="006B4D04" w:rsidRPr="00DA5DF8">
        <w:rPr>
          <w:rFonts w:ascii="SimSun" w:hAnsi="SimSun"/>
          <w:sz w:val="21"/>
        </w:rPr>
        <w:t>一致选举</w:t>
      </w:r>
      <w:r w:rsidR="00DA5DF8" w:rsidRPr="00DA5DF8">
        <w:rPr>
          <w:rFonts w:ascii="SimSun" w:hAnsi="SimSun" w:hint="eastAsia"/>
          <w:sz w:val="21"/>
        </w:rPr>
        <w:t>马可西米利亚诺·圣克鲁斯</w:t>
      </w:r>
      <w:r w:rsidR="006B4D04" w:rsidRPr="00DA5DF8">
        <w:rPr>
          <w:rFonts w:ascii="SimSun" w:hAnsi="SimSun"/>
          <w:sz w:val="21"/>
        </w:rPr>
        <w:t>先生（智利）担任会议主席，选举</w:t>
      </w:r>
      <w:r w:rsidR="00DA5DF8" w:rsidRPr="00DA5DF8">
        <w:rPr>
          <w:rFonts w:ascii="SimSun" w:hAnsi="SimSun" w:hint="eastAsia"/>
          <w:sz w:val="21"/>
        </w:rPr>
        <w:t>维克托·波尔泰利</w:t>
      </w:r>
      <w:r w:rsidR="00DA5DF8">
        <w:rPr>
          <w:rFonts w:ascii="SimSun" w:hAnsi="SimSun" w:hint="eastAsia"/>
          <w:sz w:val="21"/>
        </w:rPr>
        <w:t>先生</w:t>
      </w:r>
      <w:r w:rsidR="006B4D04" w:rsidRPr="00DA5DF8">
        <w:rPr>
          <w:rFonts w:ascii="SimSun" w:hAnsi="SimSun"/>
          <w:sz w:val="21"/>
        </w:rPr>
        <w:t>（澳大利亚）担任副主席。未提名第二副主席人选。</w:t>
      </w:r>
    </w:p>
    <w:p w:rsidR="0083418C" w:rsidRPr="00DA5DF8" w:rsidRDefault="0083418C"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3</w:t>
      </w:r>
      <w:r w:rsidR="00DA5DF8" w:rsidRPr="00DA5DF8">
        <w:rPr>
          <w:rFonts w:ascii="SimHei" w:eastAsia="SimHei" w:hAnsi="SimHei" w:hint="eastAsia"/>
          <w:b w:val="0"/>
          <w:sz w:val="21"/>
        </w:rPr>
        <w:t>项</w:t>
      </w:r>
      <w:r w:rsidRPr="00DA5DF8">
        <w:rPr>
          <w:rFonts w:ascii="SimHei" w:eastAsia="SimHei" w:hAnsi="SimHei"/>
          <w:b w:val="0"/>
          <w:sz w:val="21"/>
        </w:rPr>
        <w:t>：通过议程</w:t>
      </w:r>
    </w:p>
    <w:p w:rsidR="0083418C" w:rsidRPr="00DA5DF8" w:rsidRDefault="0083418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委员会通过了文件</w:t>
      </w:r>
      <w:r w:rsidR="00C605FE" w:rsidRPr="00DA5DF8">
        <w:rPr>
          <w:rFonts w:ascii="SimSun" w:hAnsi="SimSun"/>
          <w:sz w:val="21"/>
        </w:rPr>
        <w:t>PCT/CTC/30/1</w:t>
      </w:r>
      <w:r w:rsidR="00B664B3">
        <w:rPr>
          <w:rFonts w:ascii="SimSun" w:hAnsi="SimSun" w:hint="eastAsia"/>
          <w:sz w:val="21"/>
        </w:rPr>
        <w:t xml:space="preserve"> </w:t>
      </w:r>
      <w:r w:rsidRPr="00DA5DF8">
        <w:rPr>
          <w:rFonts w:ascii="SimSun" w:hAnsi="SimSun"/>
          <w:sz w:val="21"/>
        </w:rPr>
        <w:t>Prov.2中所拟议的议程。</w:t>
      </w:r>
    </w:p>
    <w:p w:rsidR="0083418C" w:rsidRPr="00DA5DF8" w:rsidRDefault="0083418C"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4</w:t>
      </w:r>
      <w:r w:rsidR="00DA5DF8" w:rsidRPr="00DA5DF8">
        <w:rPr>
          <w:rFonts w:ascii="SimHei" w:eastAsia="SimHei" w:hAnsi="SimHei" w:hint="eastAsia"/>
          <w:b w:val="0"/>
          <w:sz w:val="21"/>
        </w:rPr>
        <w:t>项</w:t>
      </w:r>
      <w:r w:rsidR="00AE0A9F" w:rsidRPr="00DA5DF8">
        <w:rPr>
          <w:rFonts w:ascii="SimHei" w:eastAsia="SimHei" w:hAnsi="SimHei"/>
          <w:b w:val="0"/>
          <w:sz w:val="21"/>
        </w:rPr>
        <w:t>：就</w:t>
      </w:r>
      <w:r w:rsidR="00885B22" w:rsidRPr="00DA5DF8">
        <w:rPr>
          <w:rFonts w:ascii="SimHei" w:eastAsia="SimHei" w:hAnsi="SimHei" w:hint="eastAsia"/>
          <w:b w:val="0"/>
          <w:sz w:val="21"/>
        </w:rPr>
        <w:t>拟</w:t>
      </w:r>
      <w:r w:rsidR="00885B22" w:rsidRPr="00DA5DF8">
        <w:rPr>
          <w:rFonts w:ascii="SimHei" w:eastAsia="SimHei" w:hAnsi="SimHei"/>
          <w:b w:val="0"/>
          <w:sz w:val="21"/>
        </w:rPr>
        <w:t>指定菲律宾知识产权局</w:t>
      </w:r>
      <w:r w:rsidR="00DA5DF8" w:rsidRPr="00DA5DF8">
        <w:rPr>
          <w:rFonts w:ascii="SimHei" w:eastAsia="SimHei" w:hAnsi="SimHei" w:hint="eastAsia"/>
          <w:b w:val="0"/>
          <w:sz w:val="21"/>
        </w:rPr>
        <w:t>担任</w:t>
      </w:r>
      <w:r w:rsidRPr="00DA5DF8">
        <w:rPr>
          <w:rFonts w:ascii="SimHei" w:eastAsia="SimHei" w:hAnsi="SimHei"/>
          <w:b w:val="0"/>
          <w:sz w:val="21"/>
        </w:rPr>
        <w:t>PCT国际检索和初步审查单位向PCT联盟</w:t>
      </w:r>
      <w:r w:rsidR="00885B22" w:rsidRPr="00DA5DF8">
        <w:rPr>
          <w:rFonts w:ascii="SimHei" w:eastAsia="SimHei" w:hAnsi="SimHei"/>
          <w:b w:val="0"/>
          <w:sz w:val="21"/>
        </w:rPr>
        <w:t>大会</w:t>
      </w:r>
      <w:r w:rsidR="00885B22" w:rsidRPr="00DA5DF8">
        <w:rPr>
          <w:rFonts w:ascii="SimHei" w:eastAsia="SimHei" w:hAnsi="SimHei" w:hint="eastAsia"/>
          <w:b w:val="0"/>
          <w:sz w:val="21"/>
        </w:rPr>
        <w:t>提</w:t>
      </w:r>
      <w:r w:rsidR="00DA5DF8" w:rsidRPr="00DA5DF8">
        <w:rPr>
          <w:rFonts w:ascii="SimHei" w:eastAsia="SimHei" w:hAnsi="SimHei" w:hint="eastAsia"/>
          <w:b w:val="0"/>
          <w:sz w:val="21"/>
        </w:rPr>
        <w:t>供咨询意见</w:t>
      </w:r>
    </w:p>
    <w:p w:rsidR="0083418C" w:rsidRPr="00DA5DF8" w:rsidRDefault="0083418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讨论依据文件PCT/CTC/30/2 Rev.进行。</w:t>
      </w:r>
    </w:p>
    <w:p w:rsidR="00BB395C" w:rsidRPr="00DA5DF8" w:rsidRDefault="0083418C"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菲律宾代表团介绍了指定菲律宾知识产权局</w:t>
      </w:r>
      <w:r w:rsidR="00885B22" w:rsidRPr="00DA5DF8">
        <w:rPr>
          <w:rFonts w:ascii="SimSun" w:hAnsi="SimSun" w:hint="eastAsia"/>
          <w:sz w:val="21"/>
        </w:rPr>
        <w:t>（</w:t>
      </w:r>
      <w:r w:rsidRPr="00DA5DF8">
        <w:rPr>
          <w:rFonts w:ascii="SimSun" w:hAnsi="SimSun"/>
          <w:sz w:val="21"/>
        </w:rPr>
        <w:t>IPOPHL</w:t>
      </w:r>
      <w:r w:rsidR="00885B22" w:rsidRPr="00DA5DF8">
        <w:rPr>
          <w:rFonts w:ascii="SimSun" w:hAnsi="SimSun" w:hint="eastAsia"/>
          <w:sz w:val="21"/>
        </w:rPr>
        <w:t>）</w:t>
      </w:r>
      <w:r w:rsidRPr="00DA5DF8">
        <w:rPr>
          <w:rFonts w:ascii="SimSun" w:hAnsi="SimSun"/>
          <w:sz w:val="21"/>
        </w:rPr>
        <w:t>为PCT国际检索和初步审查单位的请</w:t>
      </w:r>
      <w:r w:rsidR="000035C3">
        <w:rPr>
          <w:rFonts w:ascii="SimSun" w:hAnsi="SimSun"/>
          <w:sz w:val="21"/>
        </w:rPr>
        <w:t>‍</w:t>
      </w:r>
      <w:r w:rsidRPr="00DA5DF8">
        <w:rPr>
          <w:rFonts w:ascii="SimSun" w:hAnsi="SimSun"/>
          <w:sz w:val="21"/>
        </w:rPr>
        <w:t>求。</w:t>
      </w:r>
    </w:p>
    <w:p w:rsidR="0083418C" w:rsidRDefault="00BB395C" w:rsidP="00DA5DF8">
      <w:pPr>
        <w:pStyle w:val="ONUME"/>
        <w:tabs>
          <w:tab w:val="clear" w:pos="567"/>
        </w:tabs>
        <w:overflowPunct w:val="0"/>
        <w:spacing w:afterLines="50" w:after="120" w:line="340" w:lineRule="atLeast"/>
        <w:jc w:val="both"/>
        <w:rPr>
          <w:rFonts w:ascii="SimSun" w:hAnsi="SimSun" w:hint="eastAsia"/>
          <w:sz w:val="21"/>
        </w:rPr>
      </w:pPr>
      <w:r w:rsidRPr="00DA5DF8">
        <w:rPr>
          <w:rFonts w:ascii="SimSun" w:hAnsi="SimSun"/>
          <w:sz w:val="21"/>
        </w:rPr>
        <w:lastRenderedPageBreak/>
        <w:t>澳大利亚</w:t>
      </w:r>
      <w:r w:rsidR="00EC3AE1" w:rsidRPr="00DA5DF8">
        <w:rPr>
          <w:rFonts w:ascii="SimSun" w:hAnsi="SimSun"/>
          <w:sz w:val="21"/>
        </w:rPr>
        <w:t>代表团</w:t>
      </w:r>
      <w:r w:rsidRPr="00DA5DF8">
        <w:rPr>
          <w:rFonts w:ascii="SimSun" w:hAnsi="SimSun"/>
          <w:sz w:val="21"/>
        </w:rPr>
        <w:t>和日本代表团分别介绍了澳大利亚知识产权局和日本特许厅的评估报告，</w:t>
      </w:r>
      <w:r w:rsidR="00EC3AE1">
        <w:rPr>
          <w:rFonts w:ascii="SimSun" w:hAnsi="SimSun" w:hint="eastAsia"/>
          <w:sz w:val="21"/>
        </w:rPr>
        <w:t>这些</w:t>
      </w:r>
      <w:r w:rsidR="004046CA" w:rsidRPr="00DA5DF8">
        <w:rPr>
          <w:rFonts w:ascii="SimSun" w:hAnsi="SimSun" w:hint="eastAsia"/>
          <w:sz w:val="21"/>
        </w:rPr>
        <w:t>报告</w:t>
      </w:r>
      <w:r w:rsidRPr="00DA5DF8">
        <w:rPr>
          <w:rFonts w:ascii="SimSun" w:hAnsi="SimSun"/>
          <w:sz w:val="21"/>
        </w:rPr>
        <w:t>载于文件PCT/CTC/30/2附件的附录</w:t>
      </w:r>
      <w:r w:rsidR="00EC3AE1">
        <w:rPr>
          <w:rFonts w:ascii="SimSun" w:hAnsi="SimSun" w:hint="eastAsia"/>
          <w:sz w:val="21"/>
        </w:rPr>
        <w:t>二</w:t>
      </w:r>
      <w:r w:rsidRPr="00DA5DF8">
        <w:rPr>
          <w:rFonts w:ascii="SimSun" w:hAnsi="SimSun"/>
          <w:sz w:val="21"/>
        </w:rPr>
        <w:t>和</w:t>
      </w:r>
      <w:r w:rsidR="00EC3AE1">
        <w:rPr>
          <w:rFonts w:ascii="SimSun" w:hAnsi="SimSun" w:hint="eastAsia"/>
          <w:sz w:val="21"/>
        </w:rPr>
        <w:t>三</w:t>
      </w:r>
      <w:r w:rsidR="004046CA" w:rsidRPr="00DA5DF8">
        <w:rPr>
          <w:rFonts w:ascii="SimSun" w:hAnsi="SimSun"/>
          <w:sz w:val="21"/>
        </w:rPr>
        <w:t>，</w:t>
      </w:r>
      <w:r w:rsidR="00A43F27" w:rsidRPr="00DA5DF8">
        <w:rPr>
          <w:rFonts w:ascii="SimSun" w:hAnsi="SimSun" w:hint="eastAsia"/>
          <w:sz w:val="21"/>
        </w:rPr>
        <w:t>是</w:t>
      </w:r>
      <w:r w:rsidR="004046CA" w:rsidRPr="00DA5DF8">
        <w:rPr>
          <w:rFonts w:ascii="SimSun" w:hAnsi="SimSun" w:hint="eastAsia"/>
          <w:sz w:val="21"/>
        </w:rPr>
        <w:t>依据</w:t>
      </w:r>
      <w:r w:rsidRPr="00DA5DF8">
        <w:rPr>
          <w:rFonts w:ascii="SimSun" w:hAnsi="SimSun"/>
          <w:sz w:val="21"/>
        </w:rPr>
        <w:t>2014年PCT大会通过的谅解中的建议，</w:t>
      </w:r>
      <w:r w:rsidR="004046CA" w:rsidRPr="00DA5DF8">
        <w:rPr>
          <w:rFonts w:ascii="SimSun" w:hAnsi="SimSun" w:hint="eastAsia"/>
          <w:sz w:val="21"/>
        </w:rPr>
        <w:t>“</w:t>
      </w:r>
      <w:r w:rsidRPr="00DA5DF8">
        <w:rPr>
          <w:rFonts w:ascii="SimSun" w:hAnsi="SimSun"/>
          <w:sz w:val="21"/>
        </w:rPr>
        <w:t>获得一个或多个现有国际单位的协助，以在提交申请前帮助评估其满足标准的程度</w:t>
      </w:r>
      <w:r w:rsidR="004046CA" w:rsidRPr="00DA5DF8">
        <w:rPr>
          <w:rFonts w:ascii="SimSun" w:hAnsi="SimSun" w:hint="eastAsia"/>
          <w:sz w:val="21"/>
        </w:rPr>
        <w:t>”</w:t>
      </w:r>
      <w:r w:rsidR="002164F6" w:rsidRPr="00DA5DF8">
        <w:rPr>
          <w:rFonts w:ascii="SimSun" w:hAnsi="SimSun" w:hint="eastAsia"/>
          <w:sz w:val="21"/>
        </w:rPr>
        <w:t>撰写</w:t>
      </w:r>
      <w:r w:rsidR="00A43F27" w:rsidRPr="00DA5DF8">
        <w:rPr>
          <w:rFonts w:ascii="SimSun" w:hAnsi="SimSun" w:hint="eastAsia"/>
          <w:sz w:val="21"/>
        </w:rPr>
        <w:t>的</w:t>
      </w:r>
      <w:r w:rsidRPr="00DA5DF8">
        <w:rPr>
          <w:rFonts w:ascii="SimSun" w:hAnsi="SimSun"/>
          <w:sz w:val="21"/>
        </w:rPr>
        <w:t>。</w:t>
      </w:r>
    </w:p>
    <w:p w:rsidR="00C67BC3" w:rsidRPr="000035C3" w:rsidRDefault="00C67BC3" w:rsidP="000035C3">
      <w:pPr>
        <w:pStyle w:val="ONUME"/>
        <w:tabs>
          <w:tab w:val="clear" w:pos="567"/>
        </w:tabs>
        <w:overflowPunct w:val="0"/>
        <w:spacing w:afterLines="50" w:after="120" w:line="340" w:lineRule="atLeast"/>
        <w:jc w:val="both"/>
        <w:rPr>
          <w:rFonts w:ascii="SimSun" w:hAnsi="SimSun"/>
          <w:sz w:val="21"/>
        </w:rPr>
      </w:pPr>
      <w:r w:rsidRPr="000035C3">
        <w:rPr>
          <w:rFonts w:ascii="SimSun" w:hAnsi="SimSun" w:hint="eastAsia"/>
          <w:sz w:val="21"/>
        </w:rPr>
        <w:t>欧洲专利局（欧专局）代表团确认，欧专局已就</w:t>
      </w:r>
      <w:r w:rsidRPr="000035C3">
        <w:rPr>
          <w:rFonts w:ascii="SimSun" w:hAnsi="SimSun"/>
          <w:sz w:val="21"/>
        </w:rPr>
        <w:t>IPOPHL</w:t>
      </w:r>
      <w:r w:rsidRPr="000035C3">
        <w:rPr>
          <w:rFonts w:ascii="SimSun" w:hAnsi="SimSun" w:hint="eastAsia"/>
          <w:sz w:val="21"/>
        </w:rPr>
        <w:t>取得</w:t>
      </w:r>
      <w:proofErr w:type="spellStart"/>
      <w:r w:rsidRPr="00C67BC3">
        <w:rPr>
          <w:rFonts w:ascii="SimSun" w:hAnsi="SimSun"/>
          <w:sz w:val="21"/>
        </w:rPr>
        <w:t>EPOQUENet</w:t>
      </w:r>
      <w:proofErr w:type="spellEnd"/>
      <w:r>
        <w:rPr>
          <w:rFonts w:ascii="SimSun" w:hAnsi="SimSun" w:hint="eastAsia"/>
          <w:sz w:val="21"/>
        </w:rPr>
        <w:t>访问权与该局进行了讨论。对</w:t>
      </w:r>
      <w:proofErr w:type="spellStart"/>
      <w:r w:rsidRPr="000035C3">
        <w:rPr>
          <w:rFonts w:ascii="SimSun" w:hAnsi="SimSun"/>
          <w:sz w:val="21"/>
        </w:rPr>
        <w:t>EPOQUENet</w:t>
      </w:r>
      <w:proofErr w:type="spellEnd"/>
      <w:r w:rsidRPr="000035C3">
        <w:rPr>
          <w:rFonts w:ascii="SimSun" w:hAnsi="SimSun" w:hint="eastAsia"/>
          <w:sz w:val="21"/>
        </w:rPr>
        <w:t>的访问权已于2017年5月3日授予，今后几</w:t>
      </w:r>
      <w:r w:rsidR="000035C3">
        <w:rPr>
          <w:rFonts w:ascii="SimSun" w:hAnsi="SimSun" w:hint="eastAsia"/>
          <w:sz w:val="21"/>
        </w:rPr>
        <w:t>个</w:t>
      </w:r>
      <w:r w:rsidRPr="000035C3">
        <w:rPr>
          <w:rFonts w:ascii="SimSun" w:hAnsi="SimSun" w:hint="eastAsia"/>
          <w:sz w:val="21"/>
        </w:rPr>
        <w:t>月将进行培训。代表团还澄清，它已同意在今后几个月内实施一项专利审查高速路（PPH）协议。</w:t>
      </w:r>
    </w:p>
    <w:p w:rsidR="0083418C" w:rsidRPr="00DA5DF8" w:rsidRDefault="0083418C"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委员会一致同意向PCT联盟大会建议指定菲律宾知识产权局为PCT国际检索和初步审查单</w:t>
      </w:r>
      <w:r w:rsidR="000035C3">
        <w:rPr>
          <w:rFonts w:ascii="SimSun" w:hAnsi="SimSun"/>
          <w:sz w:val="21"/>
        </w:rPr>
        <w:t>‍</w:t>
      </w:r>
      <w:bookmarkStart w:id="5" w:name="_GoBack"/>
      <w:bookmarkEnd w:id="5"/>
      <w:r w:rsidRPr="00DA5DF8">
        <w:rPr>
          <w:rFonts w:ascii="SimSun" w:hAnsi="SimSun"/>
          <w:sz w:val="21"/>
        </w:rPr>
        <w:t>位。</w:t>
      </w:r>
    </w:p>
    <w:p w:rsidR="00BC09D8" w:rsidRPr="00DA5DF8" w:rsidRDefault="00BC09D8"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5</w:t>
      </w:r>
      <w:r w:rsidR="00DA5DF8" w:rsidRPr="00DA5DF8">
        <w:rPr>
          <w:rFonts w:ascii="SimHei" w:eastAsia="SimHei" w:hAnsi="SimHei" w:hint="eastAsia"/>
          <w:b w:val="0"/>
          <w:sz w:val="21"/>
        </w:rPr>
        <w:t>项</w:t>
      </w:r>
      <w:r w:rsidR="00E80A9D" w:rsidRPr="00DA5DF8">
        <w:rPr>
          <w:rFonts w:ascii="SimHei" w:eastAsia="SimHei" w:hAnsi="SimHei"/>
          <w:b w:val="0"/>
          <w:sz w:val="21"/>
        </w:rPr>
        <w:t>：</w:t>
      </w:r>
      <w:r w:rsidR="00DA5DF8" w:rsidRPr="00DA5DF8">
        <w:rPr>
          <w:rFonts w:ascii="SimHei" w:eastAsia="SimHei" w:hAnsi="SimHei" w:hint="eastAsia"/>
          <w:b w:val="0"/>
          <w:sz w:val="21"/>
        </w:rPr>
        <w:t>就拟延长PCT国际检索和初步审查单位的指定向PCT联盟大会提出意见</w:t>
      </w:r>
    </w:p>
    <w:p w:rsidR="00BC09D8" w:rsidRPr="00DA5DF8" w:rsidRDefault="00BC09D8"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讨论依据文件PCT/CTC/30/3至24进行。</w:t>
      </w:r>
    </w:p>
    <w:p w:rsidR="00BC09D8" w:rsidRPr="00DA5DF8" w:rsidRDefault="00BC09D8"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委员会一致同意向PCT联盟大会建议</w:t>
      </w:r>
      <w:r w:rsidR="00C23B09" w:rsidRPr="00DA5DF8">
        <w:rPr>
          <w:rFonts w:ascii="SimSun" w:hAnsi="SimSun" w:hint="eastAsia"/>
          <w:sz w:val="21"/>
        </w:rPr>
        <w:t>，</w:t>
      </w:r>
      <w:r w:rsidRPr="00DA5DF8">
        <w:rPr>
          <w:rFonts w:ascii="SimSun" w:hAnsi="SimSun"/>
          <w:sz w:val="21"/>
        </w:rPr>
        <w:t>延长对目前所有国家主管局和政府间组织作为PCT</w:t>
      </w:r>
      <w:r w:rsidR="002164F6" w:rsidRPr="00DA5DF8">
        <w:rPr>
          <w:rFonts w:ascii="SimSun" w:hAnsi="SimSun"/>
          <w:sz w:val="21"/>
        </w:rPr>
        <w:t>国际检索</w:t>
      </w:r>
      <w:r w:rsidRPr="00DA5DF8">
        <w:rPr>
          <w:rFonts w:ascii="SimSun" w:hAnsi="SimSun"/>
          <w:sz w:val="21"/>
        </w:rPr>
        <w:t>和初步审查单位的指定。</w:t>
      </w:r>
    </w:p>
    <w:p w:rsidR="00633AFE" w:rsidRPr="00DA5DF8" w:rsidRDefault="00C23B09"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w:t>
      </w:r>
      <w:r w:rsidR="00DA5DF8" w:rsidRPr="00DA5DF8">
        <w:rPr>
          <w:rFonts w:ascii="SimHei" w:eastAsia="SimHei" w:hAnsi="SimHei" w:hint="eastAsia"/>
          <w:b w:val="0"/>
          <w:sz w:val="21"/>
        </w:rPr>
        <w:t>第</w:t>
      </w:r>
      <w:r w:rsidRPr="00DA5DF8">
        <w:rPr>
          <w:rFonts w:ascii="SimHei" w:eastAsia="SimHei" w:hAnsi="SimHei"/>
          <w:b w:val="0"/>
          <w:sz w:val="21"/>
        </w:rPr>
        <w:t>6</w:t>
      </w:r>
      <w:r w:rsidR="00DA5DF8" w:rsidRPr="00DA5DF8">
        <w:rPr>
          <w:rFonts w:ascii="SimHei" w:eastAsia="SimHei" w:hAnsi="SimHei" w:hint="eastAsia"/>
          <w:b w:val="0"/>
          <w:sz w:val="21"/>
        </w:rPr>
        <w:t>项</w:t>
      </w:r>
      <w:r w:rsidR="00347E84" w:rsidRPr="00DA5DF8">
        <w:rPr>
          <w:rFonts w:ascii="SimHei" w:eastAsia="SimHei" w:hAnsi="SimHei"/>
          <w:b w:val="0"/>
          <w:sz w:val="21"/>
        </w:rPr>
        <w:t>：</w:t>
      </w:r>
      <w:r w:rsidR="00DA5DF8" w:rsidRPr="00DA5DF8">
        <w:rPr>
          <w:rFonts w:ascii="SimHei" w:eastAsia="SimHei" w:hAnsi="SimHei" w:hint="eastAsia"/>
          <w:b w:val="0"/>
          <w:sz w:val="21"/>
        </w:rPr>
        <w:t>主管局和国际局关于主管</w:t>
      </w:r>
      <w:proofErr w:type="gramStart"/>
      <w:r w:rsidR="00DA5DF8" w:rsidRPr="00DA5DF8">
        <w:rPr>
          <w:rFonts w:ascii="SimHei" w:eastAsia="SimHei" w:hAnsi="SimHei" w:hint="eastAsia"/>
          <w:b w:val="0"/>
          <w:sz w:val="21"/>
        </w:rPr>
        <w:t>局担任</w:t>
      </w:r>
      <w:proofErr w:type="gramEnd"/>
      <w:r w:rsidR="00DA5DF8" w:rsidRPr="00DA5DF8">
        <w:rPr>
          <w:rFonts w:ascii="SimHei" w:eastAsia="SimHei" w:hAnsi="SimHei" w:hint="eastAsia"/>
          <w:b w:val="0"/>
          <w:sz w:val="21"/>
        </w:rPr>
        <w:t>国际检索和初步审查单位的协议范本</w:t>
      </w:r>
    </w:p>
    <w:p w:rsidR="00633AFE" w:rsidRPr="00DA5DF8" w:rsidRDefault="00633AFE"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讨论依据文件PCT/CTC/30/25进行。</w:t>
      </w:r>
    </w:p>
    <w:p w:rsidR="00633AFE" w:rsidRPr="00DA5DF8" w:rsidRDefault="00633AFE"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委员会批准了载于文件PCT/CTC/30/25</w:t>
      </w:r>
      <w:r w:rsidR="00C97F54" w:rsidRPr="00DA5DF8">
        <w:rPr>
          <w:rFonts w:ascii="SimSun" w:hAnsi="SimSun"/>
          <w:sz w:val="21"/>
        </w:rPr>
        <w:t>附件的</w:t>
      </w:r>
      <w:r w:rsidR="0015752D" w:rsidRPr="00DA5DF8">
        <w:rPr>
          <w:rFonts w:ascii="SimSun" w:hAnsi="SimSun"/>
          <w:sz w:val="21"/>
        </w:rPr>
        <w:t>协议</w:t>
      </w:r>
      <w:r w:rsidR="00C97F54" w:rsidRPr="00DA5DF8">
        <w:rPr>
          <w:rFonts w:ascii="SimSun" w:hAnsi="SimSun" w:hint="eastAsia"/>
          <w:sz w:val="21"/>
        </w:rPr>
        <w:t>范本</w:t>
      </w:r>
      <w:r w:rsidR="002164F6" w:rsidRPr="00DA5DF8">
        <w:rPr>
          <w:rFonts w:ascii="SimSun" w:hAnsi="SimSun"/>
          <w:sz w:val="21"/>
        </w:rPr>
        <w:t>修订草案，</w:t>
      </w:r>
      <w:r w:rsidR="00C97F54" w:rsidRPr="00DA5DF8">
        <w:rPr>
          <w:rFonts w:ascii="SimSun" w:hAnsi="SimSun" w:hint="eastAsia"/>
          <w:sz w:val="21"/>
        </w:rPr>
        <w:t>该范本</w:t>
      </w:r>
      <w:r w:rsidR="007505EF" w:rsidRPr="00DA5DF8">
        <w:rPr>
          <w:rFonts w:ascii="SimSun" w:hAnsi="SimSun" w:hint="eastAsia"/>
          <w:sz w:val="21"/>
        </w:rPr>
        <w:t>将</w:t>
      </w:r>
      <w:r w:rsidRPr="00DA5DF8">
        <w:rPr>
          <w:rFonts w:ascii="SimSun" w:hAnsi="SimSun"/>
          <w:sz w:val="21"/>
        </w:rPr>
        <w:t>被用作依据第16条第(3)款和第32条第(3)</w:t>
      </w:r>
      <w:r w:rsidR="00EC3AE1" w:rsidRPr="00DA5DF8">
        <w:rPr>
          <w:rFonts w:ascii="SimSun" w:hAnsi="SimSun"/>
          <w:sz w:val="21"/>
        </w:rPr>
        <w:t>款</w:t>
      </w:r>
      <w:r w:rsidR="002164F6" w:rsidRPr="00DA5DF8">
        <w:rPr>
          <w:rFonts w:ascii="SimSun" w:hAnsi="SimSun" w:hint="eastAsia"/>
          <w:sz w:val="21"/>
        </w:rPr>
        <w:t>编写</w:t>
      </w:r>
      <w:r w:rsidR="00C97F54" w:rsidRPr="00DA5DF8">
        <w:rPr>
          <w:rFonts w:ascii="SimSun" w:hAnsi="SimSun"/>
          <w:sz w:val="21"/>
        </w:rPr>
        <w:t>有关主管局或组织</w:t>
      </w:r>
      <w:r w:rsidR="00C97F54" w:rsidRPr="00DA5DF8">
        <w:rPr>
          <w:rFonts w:ascii="SimSun" w:hAnsi="SimSun" w:hint="eastAsia"/>
          <w:sz w:val="21"/>
        </w:rPr>
        <w:t>担任</w:t>
      </w:r>
      <w:r w:rsidR="002164F6" w:rsidRPr="00DA5DF8">
        <w:rPr>
          <w:rFonts w:ascii="SimSun" w:hAnsi="SimSun"/>
          <w:sz w:val="21"/>
        </w:rPr>
        <w:t>国际检索</w:t>
      </w:r>
      <w:r w:rsidR="002164F6" w:rsidRPr="00DA5DF8">
        <w:rPr>
          <w:rFonts w:ascii="SimSun" w:hAnsi="SimSun" w:hint="eastAsia"/>
          <w:sz w:val="21"/>
        </w:rPr>
        <w:t>单位</w:t>
      </w:r>
      <w:r w:rsidRPr="00DA5DF8">
        <w:rPr>
          <w:rFonts w:ascii="SimSun" w:hAnsi="SimSun"/>
          <w:sz w:val="21"/>
        </w:rPr>
        <w:t>和国际初步审查单位</w:t>
      </w:r>
      <w:r w:rsidR="002164F6" w:rsidRPr="00DA5DF8">
        <w:rPr>
          <w:rFonts w:ascii="SimSun" w:hAnsi="SimSun" w:hint="eastAsia"/>
          <w:sz w:val="21"/>
        </w:rPr>
        <w:t>的</w:t>
      </w:r>
      <w:r w:rsidR="00C97F54" w:rsidRPr="00DA5DF8">
        <w:rPr>
          <w:rFonts w:ascii="SimSun" w:hAnsi="SimSun" w:hint="eastAsia"/>
          <w:sz w:val="21"/>
        </w:rPr>
        <w:t>单独</w:t>
      </w:r>
      <w:r w:rsidR="002164F6" w:rsidRPr="00DA5DF8">
        <w:rPr>
          <w:rFonts w:ascii="SimSun" w:hAnsi="SimSun" w:hint="eastAsia"/>
          <w:sz w:val="21"/>
        </w:rPr>
        <w:t>协议</w:t>
      </w:r>
      <w:r w:rsidR="007505EF" w:rsidRPr="00DA5DF8">
        <w:rPr>
          <w:rFonts w:ascii="SimSun" w:hAnsi="SimSun" w:hint="eastAsia"/>
          <w:sz w:val="21"/>
        </w:rPr>
        <w:t>的基础，于2018年1月1日生效。</w:t>
      </w:r>
    </w:p>
    <w:p w:rsidR="00347E84" w:rsidRPr="00DA5DF8" w:rsidRDefault="00347E84"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议程第7项：主席总结</w:t>
      </w:r>
    </w:p>
    <w:p w:rsidR="00347E84" w:rsidRPr="00DA5DF8" w:rsidRDefault="00347E84" w:rsidP="00DA5DF8">
      <w:pPr>
        <w:pStyle w:val="ONUME"/>
        <w:tabs>
          <w:tab w:val="clear" w:pos="567"/>
        </w:tabs>
        <w:overflowPunct w:val="0"/>
        <w:spacing w:afterLines="50" w:after="120" w:line="340" w:lineRule="atLeast"/>
        <w:ind w:left="567"/>
        <w:jc w:val="both"/>
        <w:rPr>
          <w:rFonts w:ascii="SimSun" w:hAnsi="SimSun"/>
          <w:sz w:val="21"/>
        </w:rPr>
      </w:pPr>
      <w:r w:rsidRPr="00DA5DF8">
        <w:rPr>
          <w:rFonts w:ascii="SimSun" w:hAnsi="SimSun"/>
          <w:sz w:val="21"/>
        </w:rPr>
        <w:t>委员会注意到，</w:t>
      </w:r>
      <w:proofErr w:type="gramStart"/>
      <w:r w:rsidRPr="00DA5DF8">
        <w:rPr>
          <w:rFonts w:ascii="SimSun" w:hAnsi="SimSun"/>
          <w:sz w:val="21"/>
        </w:rPr>
        <w:t>本总结</w:t>
      </w:r>
      <w:proofErr w:type="gramEnd"/>
      <w:r w:rsidRPr="00DA5DF8">
        <w:rPr>
          <w:rFonts w:ascii="SimSun" w:hAnsi="SimSun"/>
          <w:sz w:val="21"/>
        </w:rPr>
        <w:t>是在主席的职责下撰写的，并同意向PCT联盟大会提供该总结，作为议程</w:t>
      </w:r>
      <w:r w:rsidR="00EC3AE1">
        <w:rPr>
          <w:rFonts w:ascii="SimSun" w:hAnsi="SimSun" w:hint="eastAsia"/>
          <w:sz w:val="21"/>
        </w:rPr>
        <w:t>第</w:t>
      </w:r>
      <w:r w:rsidRPr="00DA5DF8">
        <w:rPr>
          <w:rFonts w:ascii="SimSun" w:hAnsi="SimSun"/>
          <w:sz w:val="21"/>
        </w:rPr>
        <w:t>4</w:t>
      </w:r>
      <w:r w:rsidR="00EC3AE1">
        <w:rPr>
          <w:rFonts w:ascii="SimSun" w:hAnsi="SimSun" w:hint="eastAsia"/>
          <w:sz w:val="21"/>
        </w:rPr>
        <w:t>项</w:t>
      </w:r>
      <w:r w:rsidRPr="00DA5DF8">
        <w:rPr>
          <w:rFonts w:ascii="SimSun" w:hAnsi="SimSun"/>
          <w:sz w:val="21"/>
        </w:rPr>
        <w:t>和</w:t>
      </w:r>
      <w:r w:rsidR="00EC3AE1">
        <w:rPr>
          <w:rFonts w:ascii="SimSun" w:hAnsi="SimSun" w:hint="eastAsia"/>
          <w:sz w:val="21"/>
        </w:rPr>
        <w:t>第</w:t>
      </w:r>
      <w:r w:rsidRPr="00DA5DF8">
        <w:rPr>
          <w:rFonts w:ascii="SimSun" w:hAnsi="SimSun"/>
          <w:sz w:val="21"/>
        </w:rPr>
        <w:t>5</w:t>
      </w:r>
      <w:r w:rsidR="00EC3AE1">
        <w:rPr>
          <w:rFonts w:ascii="SimSun" w:hAnsi="SimSun" w:hint="eastAsia"/>
          <w:sz w:val="21"/>
        </w:rPr>
        <w:t>项</w:t>
      </w:r>
      <w:r w:rsidR="00FB3F05" w:rsidRPr="00DA5DF8">
        <w:rPr>
          <w:rFonts w:ascii="SimSun" w:hAnsi="SimSun"/>
          <w:sz w:val="21"/>
        </w:rPr>
        <w:t>下所提</w:t>
      </w:r>
      <w:r w:rsidR="00EC3AE1">
        <w:rPr>
          <w:rFonts w:ascii="SimSun" w:hAnsi="SimSun" w:hint="eastAsia"/>
          <w:sz w:val="21"/>
        </w:rPr>
        <w:t>意见</w:t>
      </w:r>
      <w:r w:rsidRPr="00DA5DF8">
        <w:rPr>
          <w:rFonts w:ascii="SimSun" w:hAnsi="SimSun"/>
          <w:sz w:val="21"/>
        </w:rPr>
        <w:t>的记录。</w:t>
      </w:r>
    </w:p>
    <w:p w:rsidR="00347E84" w:rsidRPr="00DA5DF8" w:rsidRDefault="00347E84" w:rsidP="00DA5DF8">
      <w:pPr>
        <w:pStyle w:val="1"/>
        <w:overflowPunct w:val="0"/>
        <w:spacing w:beforeLines="100" w:before="240" w:afterLines="50" w:after="120" w:line="340" w:lineRule="atLeast"/>
        <w:rPr>
          <w:rFonts w:ascii="SimHei" w:eastAsia="SimHei" w:hAnsi="SimHei"/>
          <w:b w:val="0"/>
          <w:sz w:val="21"/>
        </w:rPr>
      </w:pPr>
      <w:r w:rsidRPr="00DA5DF8">
        <w:rPr>
          <w:rFonts w:ascii="SimHei" w:eastAsia="SimHei" w:hAnsi="SimHei"/>
          <w:b w:val="0"/>
          <w:sz w:val="21"/>
        </w:rPr>
        <w:t>议程第8项：会议闭幕</w:t>
      </w:r>
    </w:p>
    <w:p w:rsidR="00347E84" w:rsidRPr="00DA5DF8" w:rsidRDefault="00347E84" w:rsidP="00DA5DF8">
      <w:pPr>
        <w:pStyle w:val="ONUME"/>
        <w:tabs>
          <w:tab w:val="clear" w:pos="567"/>
        </w:tabs>
        <w:overflowPunct w:val="0"/>
        <w:spacing w:afterLines="50" w:after="120" w:line="340" w:lineRule="atLeast"/>
        <w:jc w:val="both"/>
        <w:rPr>
          <w:rFonts w:ascii="SimSun" w:hAnsi="SimSun"/>
          <w:sz w:val="21"/>
        </w:rPr>
      </w:pPr>
      <w:r w:rsidRPr="00DA5DF8">
        <w:rPr>
          <w:rFonts w:ascii="SimSun" w:hAnsi="SimSun"/>
          <w:sz w:val="21"/>
        </w:rPr>
        <w:t>主席于2017年5月11日宣布会议闭幕。</w:t>
      </w:r>
    </w:p>
    <w:p w:rsidR="00EC3AE1" w:rsidRDefault="00EC3AE1" w:rsidP="00EC3AE1">
      <w:pPr>
        <w:pStyle w:val="Endofdocument-Annex"/>
        <w:overflowPunct w:val="0"/>
        <w:spacing w:afterLines="50" w:after="120" w:line="340" w:lineRule="atLeast"/>
        <w:rPr>
          <w:rFonts w:ascii="KaiTi" w:eastAsia="KaiTi" w:hAnsi="KaiTi"/>
          <w:sz w:val="21"/>
        </w:rPr>
      </w:pPr>
    </w:p>
    <w:p w:rsidR="00347E84" w:rsidRPr="00EC3AE1" w:rsidRDefault="00347E84" w:rsidP="00EC3AE1">
      <w:pPr>
        <w:pStyle w:val="Endofdocument-Annex"/>
        <w:overflowPunct w:val="0"/>
        <w:spacing w:afterLines="50" w:after="120" w:line="340" w:lineRule="atLeast"/>
        <w:rPr>
          <w:rFonts w:ascii="KaiTi" w:eastAsia="KaiTi" w:hAnsi="KaiTi"/>
          <w:sz w:val="21"/>
        </w:rPr>
      </w:pPr>
      <w:r w:rsidRPr="00EC3AE1">
        <w:rPr>
          <w:rFonts w:ascii="KaiTi" w:eastAsia="KaiTi" w:hAnsi="KaiTi"/>
          <w:sz w:val="21"/>
        </w:rPr>
        <w:t>[文件完]</w:t>
      </w:r>
    </w:p>
    <w:sectPr w:rsidR="00347E84" w:rsidRPr="00EC3AE1" w:rsidSect="00DA5DF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60" w:rsidRDefault="00DB5960">
      <w:r>
        <w:separator/>
      </w:r>
    </w:p>
  </w:endnote>
  <w:endnote w:type="continuationSeparator" w:id="0">
    <w:p w:rsidR="00DB5960" w:rsidRDefault="00DB5960" w:rsidP="003B38C1">
      <w:r>
        <w:separator/>
      </w:r>
    </w:p>
    <w:p w:rsidR="00DB5960" w:rsidRPr="003B38C1" w:rsidRDefault="00DB5960" w:rsidP="003B38C1">
      <w:pPr>
        <w:spacing w:after="60"/>
        <w:rPr>
          <w:sz w:val="17"/>
        </w:rPr>
      </w:pPr>
      <w:r>
        <w:rPr>
          <w:sz w:val="17"/>
        </w:rPr>
        <w:t xml:space="preserve">C   </w:t>
      </w:r>
      <w:r>
        <w:rPr>
          <w:sz w:val="17"/>
        </w:rPr>
        <w:t>原</w:t>
      </w:r>
      <w:r>
        <w:rPr>
          <w:sz w:val="17"/>
        </w:rPr>
        <w:t xml:space="preserve"> </w:t>
      </w:r>
      <w:r>
        <w:rPr>
          <w:sz w:val="17"/>
        </w:rPr>
        <w:t>文：英文</w:t>
      </w:r>
    </w:p>
  </w:endnote>
  <w:endnote w:type="continuationNotice" w:id="1">
    <w:p w:rsidR="00DB5960" w:rsidRPr="003B38C1" w:rsidRDefault="00DB5960" w:rsidP="003B38C1">
      <w:pPr>
        <w:spacing w:before="60"/>
        <w:jc w:val="right"/>
        <w:rPr>
          <w:sz w:val="17"/>
          <w:szCs w:val="17"/>
        </w:rPr>
      </w:pPr>
      <w:r w:rsidRPr="003B38C1">
        <w:rPr>
          <w:sz w:val="17"/>
          <w:szCs w:val="17"/>
        </w:rPr>
        <w:t>[</w:t>
      </w:r>
      <w:r w:rsidRPr="003B38C1">
        <w:rPr>
          <w:sz w:val="17"/>
          <w:szCs w:val="17"/>
        </w:rPr>
        <w:t>后接附件</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60" w:rsidRDefault="00DB5960">
      <w:r>
        <w:separator/>
      </w:r>
    </w:p>
  </w:footnote>
  <w:footnote w:type="continuationSeparator" w:id="0">
    <w:p w:rsidR="00DB5960" w:rsidRDefault="00DB5960" w:rsidP="008B60B2">
      <w:r>
        <w:separator/>
      </w:r>
    </w:p>
    <w:p w:rsidR="00DB5960" w:rsidRPr="00ED77FB" w:rsidRDefault="00DB5960" w:rsidP="008B60B2">
      <w:pPr>
        <w:spacing w:after="60"/>
        <w:rPr>
          <w:sz w:val="17"/>
          <w:szCs w:val="17"/>
        </w:rPr>
      </w:pPr>
      <w:r w:rsidRPr="00ED77FB">
        <w:rPr>
          <w:sz w:val="17"/>
          <w:szCs w:val="17"/>
        </w:rPr>
        <w:t xml:space="preserve">***  </w:t>
      </w:r>
      <w:r w:rsidRPr="00ED77FB">
        <w:rPr>
          <w:sz w:val="17"/>
          <w:szCs w:val="17"/>
        </w:rPr>
        <w:t>即续展基本费的</w:t>
      </w:r>
      <w:r w:rsidRPr="00ED77FB">
        <w:rPr>
          <w:sz w:val="17"/>
          <w:szCs w:val="17"/>
        </w:rPr>
        <w:t>50%</w:t>
      </w:r>
      <w:r w:rsidRPr="00ED77FB">
        <w:rPr>
          <w:sz w:val="17"/>
          <w:szCs w:val="17"/>
        </w:rPr>
        <w:t>。</w:t>
      </w:r>
    </w:p>
  </w:footnote>
  <w:footnote w:type="continuationNotice" w:id="1">
    <w:p w:rsidR="00DB5960" w:rsidRPr="00ED77FB" w:rsidRDefault="00DB596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A5DF8" w:rsidRDefault="000B7084" w:rsidP="00477D6B">
    <w:pPr>
      <w:jc w:val="right"/>
      <w:rPr>
        <w:rFonts w:ascii="SimSun" w:hAnsi="SimSun"/>
        <w:sz w:val="21"/>
      </w:rPr>
    </w:pPr>
    <w:bookmarkStart w:id="6" w:name="Code2"/>
    <w:bookmarkEnd w:id="6"/>
    <w:r w:rsidRPr="00DA5DF8">
      <w:rPr>
        <w:rFonts w:ascii="SimSun" w:hAnsi="SimSun"/>
        <w:sz w:val="21"/>
      </w:rPr>
      <w:t>PCT/CTC/30/26</w:t>
    </w:r>
  </w:p>
  <w:p w:rsidR="00EC4E49" w:rsidRPr="00DA5DF8" w:rsidRDefault="00EC3AE1" w:rsidP="00477D6B">
    <w:pPr>
      <w:jc w:val="right"/>
      <w:rPr>
        <w:rFonts w:ascii="SimSun" w:hAnsi="SimSun"/>
        <w:sz w:val="21"/>
      </w:rPr>
    </w:pPr>
    <w:r>
      <w:rPr>
        <w:rFonts w:ascii="SimSun" w:hAnsi="SimSun" w:hint="eastAsia"/>
        <w:sz w:val="21"/>
      </w:rPr>
      <w:t>第</w:t>
    </w:r>
    <w:r w:rsidR="00751603" w:rsidRPr="00DA5DF8">
      <w:rPr>
        <w:rFonts w:ascii="SimSun" w:hAnsi="SimSun"/>
        <w:sz w:val="21"/>
      </w:rPr>
      <w:fldChar w:fldCharType="begin"/>
    </w:r>
    <w:r w:rsidR="00751603" w:rsidRPr="00DA5DF8">
      <w:rPr>
        <w:rFonts w:ascii="SimSun" w:hAnsi="SimSun"/>
        <w:sz w:val="21"/>
      </w:rPr>
      <w:instrText xml:space="preserve"> PAGE  \* MERGEFORMAT </w:instrText>
    </w:r>
    <w:r w:rsidR="00751603" w:rsidRPr="00DA5DF8">
      <w:rPr>
        <w:rFonts w:ascii="SimSun" w:hAnsi="SimSun"/>
        <w:sz w:val="21"/>
      </w:rPr>
      <w:fldChar w:fldCharType="separate"/>
    </w:r>
    <w:r w:rsidR="000035C3">
      <w:rPr>
        <w:rFonts w:ascii="SimSun" w:hAnsi="SimSun"/>
        <w:noProof/>
        <w:sz w:val="21"/>
      </w:rPr>
      <w:t>2</w:t>
    </w:r>
    <w:r w:rsidR="00751603" w:rsidRPr="00DA5DF8">
      <w:rPr>
        <w:rFonts w:ascii="SimSun" w:hAnsi="SimSun"/>
        <w:noProof/>
        <w:sz w:val="21"/>
      </w:rPr>
      <w:fldChar w:fldCharType="end"/>
    </w:r>
    <w:r>
      <w:rPr>
        <w:rFonts w:ascii="SimSun" w:hAnsi="SimSun" w:hint="eastAsia"/>
        <w:noProof/>
        <w:sz w:val="21"/>
      </w:rPr>
      <w:t>页</w:t>
    </w:r>
  </w:p>
  <w:p w:rsidR="00EC4E49" w:rsidRPr="00DA5DF8"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84"/>
    <w:rsid w:val="000035C3"/>
    <w:rsid w:val="000358C9"/>
    <w:rsid w:val="00043CAA"/>
    <w:rsid w:val="00075432"/>
    <w:rsid w:val="000968ED"/>
    <w:rsid w:val="000B7084"/>
    <w:rsid w:val="000F5E56"/>
    <w:rsid w:val="001362EE"/>
    <w:rsid w:val="0015752D"/>
    <w:rsid w:val="001832A6"/>
    <w:rsid w:val="001F0111"/>
    <w:rsid w:val="0021217E"/>
    <w:rsid w:val="002164F6"/>
    <w:rsid w:val="002634C4"/>
    <w:rsid w:val="002928D3"/>
    <w:rsid w:val="00297BEE"/>
    <w:rsid w:val="002A44CA"/>
    <w:rsid w:val="002F1FE6"/>
    <w:rsid w:val="002F4E68"/>
    <w:rsid w:val="00312F7F"/>
    <w:rsid w:val="00347E84"/>
    <w:rsid w:val="00355135"/>
    <w:rsid w:val="00361450"/>
    <w:rsid w:val="003673CF"/>
    <w:rsid w:val="003845C1"/>
    <w:rsid w:val="003A6F89"/>
    <w:rsid w:val="003B38C1"/>
    <w:rsid w:val="003C3023"/>
    <w:rsid w:val="003D74D3"/>
    <w:rsid w:val="004046CA"/>
    <w:rsid w:val="00423E3E"/>
    <w:rsid w:val="00427AF4"/>
    <w:rsid w:val="00427FDC"/>
    <w:rsid w:val="004647DA"/>
    <w:rsid w:val="00474062"/>
    <w:rsid w:val="00477D6B"/>
    <w:rsid w:val="004C5D58"/>
    <w:rsid w:val="005019FF"/>
    <w:rsid w:val="0053057A"/>
    <w:rsid w:val="00560A29"/>
    <w:rsid w:val="005B2FBF"/>
    <w:rsid w:val="005C6649"/>
    <w:rsid w:val="00605827"/>
    <w:rsid w:val="00633AFE"/>
    <w:rsid w:val="00646050"/>
    <w:rsid w:val="006713CA"/>
    <w:rsid w:val="00676C5C"/>
    <w:rsid w:val="00685D28"/>
    <w:rsid w:val="006B4D04"/>
    <w:rsid w:val="007505EF"/>
    <w:rsid w:val="00751603"/>
    <w:rsid w:val="00760934"/>
    <w:rsid w:val="007D1613"/>
    <w:rsid w:val="007E4C0E"/>
    <w:rsid w:val="0083418C"/>
    <w:rsid w:val="00885B22"/>
    <w:rsid w:val="008B2CC1"/>
    <w:rsid w:val="008B60B2"/>
    <w:rsid w:val="008C264E"/>
    <w:rsid w:val="008C7AC2"/>
    <w:rsid w:val="00904748"/>
    <w:rsid w:val="0090579C"/>
    <w:rsid w:val="0090731E"/>
    <w:rsid w:val="00916EE2"/>
    <w:rsid w:val="00966A22"/>
    <w:rsid w:val="0096722F"/>
    <w:rsid w:val="00980843"/>
    <w:rsid w:val="009844DC"/>
    <w:rsid w:val="009A51D2"/>
    <w:rsid w:val="009A74BA"/>
    <w:rsid w:val="009D3D60"/>
    <w:rsid w:val="009E2791"/>
    <w:rsid w:val="009E3F6F"/>
    <w:rsid w:val="009F35E2"/>
    <w:rsid w:val="009F499F"/>
    <w:rsid w:val="00A42DAF"/>
    <w:rsid w:val="00A43F27"/>
    <w:rsid w:val="00A45BD8"/>
    <w:rsid w:val="00A869B7"/>
    <w:rsid w:val="00A87335"/>
    <w:rsid w:val="00AC205C"/>
    <w:rsid w:val="00AE0A9F"/>
    <w:rsid w:val="00AF0A6B"/>
    <w:rsid w:val="00B05A69"/>
    <w:rsid w:val="00B30C10"/>
    <w:rsid w:val="00B664B3"/>
    <w:rsid w:val="00B9734B"/>
    <w:rsid w:val="00BA30E2"/>
    <w:rsid w:val="00BB395C"/>
    <w:rsid w:val="00BC09D8"/>
    <w:rsid w:val="00BD078D"/>
    <w:rsid w:val="00C065D8"/>
    <w:rsid w:val="00C11BFE"/>
    <w:rsid w:val="00C23B09"/>
    <w:rsid w:val="00C33E76"/>
    <w:rsid w:val="00C5068F"/>
    <w:rsid w:val="00C605FE"/>
    <w:rsid w:val="00C63BB9"/>
    <w:rsid w:val="00C67BC3"/>
    <w:rsid w:val="00C97F54"/>
    <w:rsid w:val="00CC2338"/>
    <w:rsid w:val="00CD04F1"/>
    <w:rsid w:val="00D45252"/>
    <w:rsid w:val="00D71B4D"/>
    <w:rsid w:val="00D93D55"/>
    <w:rsid w:val="00DA5DF8"/>
    <w:rsid w:val="00DB5960"/>
    <w:rsid w:val="00E15015"/>
    <w:rsid w:val="00E335FE"/>
    <w:rsid w:val="00E80A9D"/>
    <w:rsid w:val="00EA2CB1"/>
    <w:rsid w:val="00EC3AE1"/>
    <w:rsid w:val="00EC4E49"/>
    <w:rsid w:val="00ED77FB"/>
    <w:rsid w:val="00EE45FA"/>
    <w:rsid w:val="00F66152"/>
    <w:rsid w:val="00FB3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B4D04"/>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B7084"/>
    <w:rPr>
      <w:rFonts w:ascii="Tahoma" w:hAnsi="Tahoma" w:cs="Tahoma"/>
      <w:sz w:val="16"/>
      <w:szCs w:val="16"/>
    </w:rPr>
  </w:style>
  <w:style w:type="character" w:customStyle="1" w:styleId="Char">
    <w:name w:val="批注框文本 Char"/>
    <w:basedOn w:val="a1"/>
    <w:link w:val="ad"/>
    <w:rsid w:val="000B708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B4D04"/>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B7084"/>
    <w:rPr>
      <w:rFonts w:ascii="Tahoma" w:hAnsi="Tahoma" w:cs="Tahoma"/>
      <w:sz w:val="16"/>
      <w:szCs w:val="16"/>
    </w:rPr>
  </w:style>
  <w:style w:type="character" w:customStyle="1" w:styleId="Char">
    <w:name w:val="批注框文本 Char"/>
    <w:basedOn w:val="a1"/>
    <w:link w:val="ad"/>
    <w:rsid w:val="000B708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CTC 30 (E)</Template>
  <TotalTime>12</TotalTime>
  <Pages>2</Pages>
  <Words>487</Words>
  <Characters>663</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PCT/CTC/30/26 Prov.</vt:lpstr>
    </vt:vector>
  </TitlesOfParts>
  <Company>WIPO</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PCT/CTC/30/26</dc:title>
  <dc:subject>主席总结</dc:subject>
  <dc:creator/>
  <cp:lastModifiedBy>MA Weihai</cp:lastModifiedBy>
  <cp:revision>3</cp:revision>
  <cp:lastPrinted>2011-02-15T11:56:00Z</cp:lastPrinted>
  <dcterms:created xsi:type="dcterms:W3CDTF">2017-05-24T12:20:00Z</dcterms:created>
  <dcterms:modified xsi:type="dcterms:W3CDTF">2017-05-24T12:32:00Z</dcterms:modified>
</cp:coreProperties>
</file>