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D56A55" w:rsidRPr="00D56A55" w:rsidTr="007F2970">
        <w:trPr>
          <w:trHeight w:val="1977"/>
        </w:trPr>
        <w:tc>
          <w:tcPr>
            <w:tcW w:w="4594" w:type="dxa"/>
            <w:tcBorders>
              <w:bottom w:val="single" w:sz="4" w:space="0" w:color="auto"/>
            </w:tcBorders>
            <w:tcMar>
              <w:bottom w:w="170" w:type="dxa"/>
            </w:tcMar>
          </w:tcPr>
          <w:p w:rsidR="00D56A55" w:rsidRPr="00D56A55" w:rsidRDefault="00D56A55" w:rsidP="00D56A55">
            <w:r w:rsidRPr="00D56A55">
              <w:rPr>
                <w:rFonts w:hint="eastAsia"/>
                <w:noProof/>
              </w:rPr>
              <w:drawing>
                <wp:anchor distT="0" distB="0" distL="114300" distR="114300" simplePos="0" relativeHeight="251659264" behindDoc="1" locked="0" layoutInCell="0" allowOverlap="1" wp14:anchorId="03549441" wp14:editId="5EC83AEF">
                  <wp:simplePos x="0" y="0"/>
                  <wp:positionH relativeFrom="page">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56A55" w:rsidRPr="00D56A55" w:rsidRDefault="00D56A55" w:rsidP="00D56A55"/>
        </w:tc>
        <w:tc>
          <w:tcPr>
            <w:tcW w:w="425" w:type="dxa"/>
            <w:tcBorders>
              <w:bottom w:val="single" w:sz="4" w:space="0" w:color="auto"/>
            </w:tcBorders>
            <w:tcMar>
              <w:left w:w="0" w:type="dxa"/>
              <w:right w:w="0" w:type="dxa"/>
            </w:tcMar>
          </w:tcPr>
          <w:p w:rsidR="00D56A55" w:rsidRPr="00D56A55" w:rsidRDefault="00D56A55" w:rsidP="00D56A55">
            <w:pPr>
              <w:jc w:val="right"/>
            </w:pPr>
            <w:r w:rsidRPr="00D56A55">
              <w:rPr>
                <w:rFonts w:hint="eastAsia"/>
                <w:b/>
                <w:sz w:val="40"/>
                <w:szCs w:val="40"/>
              </w:rPr>
              <w:t>C</w:t>
            </w:r>
          </w:p>
        </w:tc>
      </w:tr>
      <w:tr w:rsidR="00D56A55" w:rsidRPr="00D56A55" w:rsidTr="007F2970">
        <w:trPr>
          <w:trHeight w:hRule="exact" w:val="340"/>
        </w:trPr>
        <w:tc>
          <w:tcPr>
            <w:tcW w:w="9356" w:type="dxa"/>
            <w:gridSpan w:val="3"/>
            <w:tcBorders>
              <w:top w:val="single" w:sz="4" w:space="0" w:color="auto"/>
            </w:tcBorders>
            <w:tcMar>
              <w:top w:w="170" w:type="dxa"/>
              <w:left w:w="0" w:type="dxa"/>
              <w:right w:w="0" w:type="dxa"/>
            </w:tcMar>
            <w:vAlign w:val="bottom"/>
          </w:tcPr>
          <w:p w:rsidR="00D56A55" w:rsidRPr="00D56A55" w:rsidRDefault="00D56A55" w:rsidP="00D56A55">
            <w:pPr>
              <w:jc w:val="right"/>
              <w:rPr>
                <w:rFonts w:ascii="Arial Black" w:hAnsi="Arial Black"/>
                <w:caps/>
                <w:sz w:val="15"/>
              </w:rPr>
            </w:pPr>
            <w:r w:rsidRPr="00D56A55">
              <w:rPr>
                <w:rFonts w:ascii="Arial Black" w:hAnsi="Arial Black" w:hint="eastAsia"/>
                <w:caps/>
                <w:sz w:val="15"/>
              </w:rPr>
              <w:t>pct/wg/1</w:t>
            </w:r>
            <w:r w:rsidRPr="00D56A55">
              <w:rPr>
                <w:rFonts w:ascii="Arial Black" w:hAnsi="Arial Black"/>
                <w:caps/>
                <w:sz w:val="15"/>
              </w:rPr>
              <w:t>2</w:t>
            </w:r>
            <w:r w:rsidRPr="00D56A55">
              <w:rPr>
                <w:rFonts w:ascii="Arial Black" w:hAnsi="Arial Black" w:hint="eastAsia"/>
                <w:caps/>
                <w:sz w:val="15"/>
              </w:rPr>
              <w:t>/</w:t>
            </w:r>
            <w:bookmarkStart w:id="0" w:name="Code"/>
            <w:bookmarkEnd w:id="0"/>
            <w:r>
              <w:rPr>
                <w:rFonts w:ascii="Arial Black" w:hAnsi="Arial Black" w:hint="eastAsia"/>
                <w:caps/>
                <w:sz w:val="15"/>
              </w:rPr>
              <w:t>1</w:t>
            </w:r>
            <w:r w:rsidRPr="00D56A55">
              <w:rPr>
                <w:rFonts w:ascii="Arial Black" w:hAnsi="Arial Black" w:hint="eastAsia"/>
                <w:caps/>
                <w:sz w:val="15"/>
              </w:rPr>
              <w:t>6</w:t>
            </w:r>
          </w:p>
        </w:tc>
      </w:tr>
      <w:tr w:rsidR="00D56A55" w:rsidRPr="00D56A55" w:rsidTr="007F2970">
        <w:trPr>
          <w:trHeight w:hRule="exact" w:val="170"/>
        </w:trPr>
        <w:tc>
          <w:tcPr>
            <w:tcW w:w="9356" w:type="dxa"/>
            <w:gridSpan w:val="3"/>
            <w:noWrap/>
            <w:tcMar>
              <w:left w:w="0" w:type="dxa"/>
              <w:right w:w="0" w:type="dxa"/>
            </w:tcMar>
            <w:vAlign w:val="bottom"/>
          </w:tcPr>
          <w:p w:rsidR="00D56A55" w:rsidRPr="00D56A55" w:rsidRDefault="00D56A55" w:rsidP="00D56A55">
            <w:pPr>
              <w:jc w:val="right"/>
              <w:rPr>
                <w:rFonts w:ascii="Arial Black" w:hAnsi="Arial Black"/>
                <w:b/>
                <w:caps/>
                <w:sz w:val="15"/>
                <w:szCs w:val="15"/>
              </w:rPr>
            </w:pPr>
            <w:r w:rsidRPr="00D56A55">
              <w:rPr>
                <w:rFonts w:eastAsia="SimHei" w:hint="eastAsia"/>
                <w:b/>
                <w:sz w:val="15"/>
                <w:szCs w:val="15"/>
              </w:rPr>
              <w:t>原</w:t>
            </w:r>
            <w:r w:rsidRPr="00D56A55">
              <w:rPr>
                <w:rFonts w:eastAsia="SimHei" w:hint="eastAsia"/>
                <w:b/>
                <w:sz w:val="15"/>
                <w:szCs w:val="15"/>
                <w:lang w:val="pt-BR"/>
              </w:rPr>
              <w:t xml:space="preserve"> </w:t>
            </w:r>
            <w:r w:rsidRPr="00D56A55">
              <w:rPr>
                <w:rFonts w:eastAsia="SimHei" w:hint="eastAsia"/>
                <w:b/>
                <w:sz w:val="15"/>
                <w:szCs w:val="15"/>
              </w:rPr>
              <w:t>文</w:t>
            </w:r>
            <w:r w:rsidRPr="00D56A55">
              <w:rPr>
                <w:rFonts w:eastAsia="SimHei" w:hint="eastAsia"/>
                <w:b/>
                <w:sz w:val="15"/>
                <w:szCs w:val="15"/>
                <w:lang w:val="pt-BR"/>
              </w:rPr>
              <w:t>：</w:t>
            </w:r>
            <w:bookmarkStart w:id="1" w:name="Original"/>
            <w:bookmarkEnd w:id="1"/>
            <w:r w:rsidRPr="00D56A55">
              <w:rPr>
                <w:rFonts w:eastAsia="SimHei" w:hint="eastAsia"/>
                <w:b/>
                <w:sz w:val="15"/>
                <w:szCs w:val="15"/>
                <w:lang w:val="pt-BR"/>
              </w:rPr>
              <w:t>英文</w:t>
            </w:r>
          </w:p>
        </w:tc>
      </w:tr>
      <w:tr w:rsidR="00D56A55" w:rsidRPr="00D56A55" w:rsidTr="007F2970">
        <w:trPr>
          <w:trHeight w:hRule="exact" w:val="198"/>
        </w:trPr>
        <w:tc>
          <w:tcPr>
            <w:tcW w:w="9356" w:type="dxa"/>
            <w:gridSpan w:val="3"/>
            <w:tcMar>
              <w:left w:w="0" w:type="dxa"/>
              <w:right w:w="0" w:type="dxa"/>
            </w:tcMar>
            <w:vAlign w:val="bottom"/>
          </w:tcPr>
          <w:p w:rsidR="00D56A55" w:rsidRPr="00D56A55" w:rsidRDefault="00D56A55" w:rsidP="00D56A55">
            <w:pPr>
              <w:jc w:val="right"/>
              <w:rPr>
                <w:rFonts w:ascii="Arial Black" w:eastAsia="SimHei" w:hAnsi="Arial Black"/>
                <w:b/>
                <w:sz w:val="15"/>
                <w:szCs w:val="15"/>
                <w:lang w:val="pt-BR"/>
              </w:rPr>
            </w:pPr>
            <w:r w:rsidRPr="00D56A55">
              <w:rPr>
                <w:rFonts w:eastAsia="SimHei" w:hint="eastAsia"/>
                <w:b/>
                <w:sz w:val="15"/>
                <w:szCs w:val="15"/>
              </w:rPr>
              <w:t>日</w:t>
            </w:r>
            <w:r w:rsidRPr="00D56A55">
              <w:rPr>
                <w:rFonts w:eastAsia="SimHei" w:hint="eastAsia"/>
                <w:b/>
                <w:sz w:val="15"/>
                <w:szCs w:val="15"/>
              </w:rPr>
              <w:t xml:space="preserve"> </w:t>
            </w:r>
            <w:r w:rsidRPr="00D56A55">
              <w:rPr>
                <w:rFonts w:eastAsia="SimHei" w:hint="eastAsia"/>
                <w:b/>
                <w:sz w:val="15"/>
                <w:szCs w:val="15"/>
              </w:rPr>
              <w:t>期：</w:t>
            </w:r>
            <w:bookmarkStart w:id="2" w:name="Date"/>
            <w:bookmarkEnd w:id="2"/>
            <w:r w:rsidRPr="00D56A55">
              <w:rPr>
                <w:rFonts w:ascii="Arial Black" w:eastAsia="SimHei" w:hAnsi="Arial Black" w:hint="eastAsia"/>
                <w:b/>
                <w:sz w:val="15"/>
                <w:szCs w:val="15"/>
                <w:lang w:val="pt-BR"/>
              </w:rPr>
              <w:t>201</w:t>
            </w:r>
            <w:r w:rsidRPr="00D56A55">
              <w:rPr>
                <w:rFonts w:ascii="Arial Black" w:eastAsia="SimHei" w:hAnsi="Arial Black"/>
                <w:b/>
                <w:sz w:val="15"/>
                <w:szCs w:val="15"/>
                <w:lang w:val="pt-BR"/>
              </w:rPr>
              <w:t>9</w:t>
            </w:r>
            <w:r w:rsidRPr="00D56A55">
              <w:rPr>
                <w:rFonts w:eastAsia="SimHei" w:hint="eastAsia"/>
                <w:b/>
                <w:sz w:val="15"/>
                <w:szCs w:val="15"/>
              </w:rPr>
              <w:t>年</w:t>
            </w:r>
            <w:r w:rsidRPr="00D56A55">
              <w:rPr>
                <w:rFonts w:ascii="Arial Black" w:eastAsia="SimHei" w:hAnsi="Arial Black" w:hint="eastAsia"/>
                <w:b/>
                <w:sz w:val="15"/>
                <w:szCs w:val="15"/>
                <w:lang w:val="pt-BR"/>
              </w:rPr>
              <w:t>5</w:t>
            </w:r>
            <w:r w:rsidRPr="00D56A55">
              <w:rPr>
                <w:rFonts w:eastAsia="SimHei" w:hint="eastAsia"/>
                <w:b/>
                <w:sz w:val="15"/>
                <w:szCs w:val="15"/>
              </w:rPr>
              <w:t>月</w:t>
            </w:r>
            <w:r w:rsidRPr="00D56A55">
              <w:rPr>
                <w:rFonts w:ascii="Arial Black" w:eastAsia="SimHei" w:hAnsi="Arial Black" w:hint="eastAsia"/>
                <w:b/>
                <w:sz w:val="15"/>
                <w:szCs w:val="15"/>
                <w:lang w:val="pt-BR"/>
              </w:rPr>
              <w:t>1</w:t>
            </w:r>
            <w:r>
              <w:rPr>
                <w:rFonts w:ascii="Arial Black" w:eastAsia="SimHei" w:hAnsi="Arial Black" w:hint="eastAsia"/>
                <w:b/>
                <w:sz w:val="15"/>
                <w:szCs w:val="15"/>
                <w:lang w:val="pt-BR"/>
              </w:rPr>
              <w:t>4</w:t>
            </w:r>
            <w:r w:rsidRPr="00D56A55">
              <w:rPr>
                <w:rFonts w:eastAsia="SimHei" w:hint="eastAsia"/>
                <w:b/>
                <w:sz w:val="15"/>
                <w:szCs w:val="15"/>
              </w:rPr>
              <w:t>日</w:t>
            </w:r>
            <w:r w:rsidRPr="00D56A55">
              <w:rPr>
                <w:rFonts w:ascii="Arial Black" w:eastAsia="SimHei" w:hAnsi="Arial Black" w:hint="eastAsia"/>
                <w:b/>
                <w:sz w:val="15"/>
                <w:szCs w:val="15"/>
                <w:lang w:val="pt-BR"/>
              </w:rPr>
              <w:t xml:space="preserve">  </w:t>
            </w:r>
          </w:p>
        </w:tc>
      </w:tr>
    </w:tbl>
    <w:p w:rsidR="00D56A55" w:rsidRPr="00D56A55" w:rsidRDefault="00D56A55" w:rsidP="00D56A55"/>
    <w:p w:rsidR="00D56A55" w:rsidRPr="00D56A55" w:rsidRDefault="00D56A55" w:rsidP="00D56A55"/>
    <w:p w:rsidR="00D56A55" w:rsidRPr="00D56A55" w:rsidRDefault="00D56A55" w:rsidP="00D56A55"/>
    <w:p w:rsidR="00D56A55" w:rsidRPr="00D56A55" w:rsidRDefault="00D56A55" w:rsidP="00D56A55"/>
    <w:p w:rsidR="00D56A55" w:rsidRPr="00D56A55" w:rsidRDefault="00D56A55" w:rsidP="00D56A55"/>
    <w:p w:rsidR="00D56A55" w:rsidRPr="00D56A55" w:rsidRDefault="00D56A55" w:rsidP="00D56A55">
      <w:pPr>
        <w:rPr>
          <w:rFonts w:ascii="SimHei" w:eastAsia="SimHei"/>
          <w:sz w:val="28"/>
          <w:szCs w:val="28"/>
        </w:rPr>
      </w:pPr>
      <w:r w:rsidRPr="00D56A55">
        <w:rPr>
          <w:rFonts w:ascii="SimHei" w:eastAsia="SimHei" w:hint="eastAsia"/>
          <w:sz w:val="28"/>
          <w:szCs w:val="28"/>
        </w:rPr>
        <w:t>专利合作条约（PCT）</w:t>
      </w:r>
    </w:p>
    <w:p w:rsidR="00D56A55" w:rsidRPr="00D56A55" w:rsidRDefault="00D56A55" w:rsidP="00D56A55">
      <w:pPr>
        <w:rPr>
          <w:rFonts w:ascii="SimHei" w:eastAsia="SimHei"/>
          <w:sz w:val="28"/>
          <w:szCs w:val="28"/>
        </w:rPr>
      </w:pPr>
      <w:r w:rsidRPr="00D56A55">
        <w:rPr>
          <w:rFonts w:ascii="SimHei" w:eastAsia="SimHei" w:hint="eastAsia"/>
          <w:sz w:val="28"/>
          <w:szCs w:val="28"/>
        </w:rPr>
        <w:t>工作组</w:t>
      </w:r>
    </w:p>
    <w:p w:rsidR="00D56A55" w:rsidRPr="00D56A55" w:rsidRDefault="00D56A55" w:rsidP="00D56A55"/>
    <w:p w:rsidR="00D56A55" w:rsidRPr="00D56A55" w:rsidRDefault="00D56A55" w:rsidP="00D56A55"/>
    <w:p w:rsidR="00D56A55" w:rsidRPr="00D56A55" w:rsidRDefault="00D56A55" w:rsidP="00D56A55">
      <w:pPr>
        <w:textAlignment w:val="bottom"/>
        <w:rPr>
          <w:rFonts w:ascii="KaiTi" w:eastAsia="KaiTi"/>
          <w:b/>
          <w:sz w:val="24"/>
          <w:szCs w:val="24"/>
        </w:rPr>
      </w:pPr>
      <w:r w:rsidRPr="00D56A55">
        <w:rPr>
          <w:rFonts w:ascii="KaiTi" w:eastAsia="KaiTi" w:hint="eastAsia"/>
          <w:b/>
          <w:sz w:val="24"/>
          <w:szCs w:val="24"/>
        </w:rPr>
        <w:t>第十二届会议</w:t>
      </w:r>
    </w:p>
    <w:p w:rsidR="00D56A55" w:rsidRPr="00D56A55" w:rsidRDefault="00D56A55" w:rsidP="00D56A55">
      <w:pPr>
        <w:rPr>
          <w:b/>
          <w:sz w:val="24"/>
          <w:szCs w:val="24"/>
        </w:rPr>
      </w:pPr>
      <w:r w:rsidRPr="00D56A55">
        <w:rPr>
          <w:rFonts w:ascii="KaiTi" w:eastAsia="KaiTi" w:hAnsi="KaiTi" w:hint="eastAsia"/>
          <w:sz w:val="24"/>
          <w:szCs w:val="24"/>
        </w:rPr>
        <w:t>2019</w:t>
      </w:r>
      <w:r w:rsidRPr="00D56A55">
        <w:rPr>
          <w:rFonts w:ascii="KaiTi" w:eastAsia="KaiTi" w:hAnsi="KaiTi" w:hint="eastAsia"/>
          <w:b/>
          <w:sz w:val="24"/>
          <w:szCs w:val="24"/>
        </w:rPr>
        <w:t>年</w:t>
      </w:r>
      <w:r w:rsidRPr="00D56A55">
        <w:rPr>
          <w:rFonts w:ascii="KaiTi" w:eastAsia="KaiTi" w:hAnsi="KaiTi" w:hint="eastAsia"/>
          <w:sz w:val="24"/>
          <w:szCs w:val="24"/>
        </w:rPr>
        <w:t>6</w:t>
      </w:r>
      <w:r w:rsidRPr="00D56A55">
        <w:rPr>
          <w:rFonts w:ascii="KaiTi" w:eastAsia="KaiTi" w:hAnsi="KaiTi" w:hint="eastAsia"/>
          <w:b/>
          <w:sz w:val="24"/>
          <w:szCs w:val="24"/>
        </w:rPr>
        <w:t>月</w:t>
      </w:r>
      <w:r w:rsidRPr="00D56A55">
        <w:rPr>
          <w:rFonts w:ascii="KaiTi" w:eastAsia="KaiTi" w:hAnsi="KaiTi" w:hint="eastAsia"/>
          <w:sz w:val="24"/>
          <w:szCs w:val="24"/>
        </w:rPr>
        <w:t>11</w:t>
      </w:r>
      <w:r w:rsidRPr="00D56A55">
        <w:rPr>
          <w:rFonts w:ascii="KaiTi" w:eastAsia="KaiTi" w:hAnsi="KaiTi" w:hint="eastAsia"/>
          <w:b/>
          <w:sz w:val="24"/>
          <w:szCs w:val="24"/>
        </w:rPr>
        <w:t>日至</w:t>
      </w:r>
      <w:r w:rsidRPr="00D56A55">
        <w:rPr>
          <w:rFonts w:ascii="KaiTi" w:eastAsia="KaiTi" w:hAnsi="KaiTi" w:hint="eastAsia"/>
          <w:sz w:val="24"/>
          <w:szCs w:val="24"/>
        </w:rPr>
        <w:t>14</w:t>
      </w:r>
      <w:r w:rsidRPr="00D56A55">
        <w:rPr>
          <w:rFonts w:ascii="KaiTi" w:eastAsia="KaiTi" w:hAnsi="KaiTi" w:hint="eastAsia"/>
          <w:b/>
          <w:sz w:val="24"/>
          <w:szCs w:val="24"/>
        </w:rPr>
        <w:t>日，日内瓦</w:t>
      </w:r>
    </w:p>
    <w:p w:rsidR="00D56A55" w:rsidRPr="00D56A55" w:rsidRDefault="00D56A55" w:rsidP="00D56A55"/>
    <w:p w:rsidR="00D56A55" w:rsidRPr="00D56A55" w:rsidRDefault="00D56A55" w:rsidP="00D56A55"/>
    <w:p w:rsidR="00D56A55" w:rsidRPr="00D56A55" w:rsidRDefault="00D56A55" w:rsidP="00D56A55"/>
    <w:p w:rsidR="00D56A55" w:rsidRPr="00D56A55" w:rsidRDefault="00D56A55" w:rsidP="00D56A55">
      <w:pPr>
        <w:rPr>
          <w:rFonts w:ascii="KaiTi" w:eastAsia="KaiTi" w:hAnsi="KaiTi"/>
          <w:sz w:val="24"/>
          <w:szCs w:val="32"/>
        </w:rPr>
      </w:pPr>
      <w:bookmarkStart w:id="3" w:name="TitleOfDoc"/>
      <w:bookmarkEnd w:id="3"/>
      <w:r w:rsidRPr="00D56A55">
        <w:rPr>
          <w:rFonts w:ascii="KaiTi" w:eastAsia="KaiTi" w:hAnsi="KaiTi" w:hint="eastAsia"/>
          <w:sz w:val="24"/>
          <w:szCs w:val="32"/>
        </w:rPr>
        <w:t>PCT最低限度文献：现状报告</w:t>
      </w:r>
    </w:p>
    <w:p w:rsidR="00D56A55" w:rsidRPr="00D56A55" w:rsidRDefault="00D56A55" w:rsidP="00D56A55"/>
    <w:p w:rsidR="00D56A55" w:rsidRPr="00D56A55" w:rsidRDefault="00D56A55" w:rsidP="00D56A55">
      <w:pPr>
        <w:rPr>
          <w:rFonts w:ascii="KaiTi" w:eastAsia="KaiTi" w:hAnsi="KaiTi"/>
          <w:sz w:val="21"/>
          <w:szCs w:val="21"/>
        </w:rPr>
      </w:pPr>
      <w:bookmarkStart w:id="4" w:name="Prepared"/>
      <w:bookmarkEnd w:id="4"/>
      <w:r w:rsidRPr="00D56A55">
        <w:rPr>
          <w:rFonts w:ascii="KaiTi" w:eastAsia="KaiTi" w:hAnsi="KaiTi" w:hint="eastAsia"/>
          <w:sz w:val="21"/>
          <w:szCs w:val="21"/>
        </w:rPr>
        <w:t>欧洲专利局编拟的文件</w:t>
      </w:r>
    </w:p>
    <w:p w:rsidR="00D56A55" w:rsidRPr="00D56A55" w:rsidRDefault="00D56A55" w:rsidP="00D56A55"/>
    <w:p w:rsidR="00D56A55" w:rsidRPr="00D56A55" w:rsidRDefault="00D56A55" w:rsidP="00D56A55"/>
    <w:p w:rsidR="00D56A55" w:rsidRPr="00D56A55" w:rsidRDefault="00D56A55" w:rsidP="00D56A55"/>
    <w:p w:rsidR="00D56A55" w:rsidRPr="00D56A55" w:rsidRDefault="00D56A55" w:rsidP="00D56A55"/>
    <w:p w:rsidR="008C5A0C" w:rsidRDefault="00423C69" w:rsidP="00D56A55">
      <w:pPr>
        <w:pStyle w:val="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概</w:t>
      </w:r>
      <w:r w:rsidR="003E5CEF">
        <w:rPr>
          <w:rFonts w:ascii="SimHei" w:eastAsia="SimHei" w:hAnsi="SimHei" w:hint="eastAsia"/>
          <w:b w:val="0"/>
          <w:sz w:val="21"/>
          <w:szCs w:val="21"/>
        </w:rPr>
        <w:t xml:space="preserve">　</w:t>
      </w:r>
      <w:r>
        <w:rPr>
          <w:rFonts w:ascii="SimHei" w:eastAsia="SimHei" w:hAnsi="SimHei" w:hint="eastAsia"/>
          <w:b w:val="0"/>
          <w:sz w:val="21"/>
          <w:szCs w:val="21"/>
        </w:rPr>
        <w:t>述</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bookmarkStart w:id="5" w:name="_GoBack"/>
      <w:r>
        <w:rPr>
          <w:rFonts w:ascii="SimSun" w:hAnsi="SimSun" w:hint="eastAsia"/>
          <w:sz w:val="21"/>
          <w:szCs w:val="21"/>
        </w:rPr>
        <w:t>本文件报告了PCT最低限度文献任务组（“任务组”）201</w:t>
      </w:r>
      <w:r>
        <w:rPr>
          <w:rFonts w:ascii="SimSun" w:hAnsi="SimSun"/>
          <w:sz w:val="21"/>
          <w:szCs w:val="21"/>
        </w:rPr>
        <w:t>8</w:t>
      </w:r>
      <w:r>
        <w:rPr>
          <w:rFonts w:ascii="SimSun" w:hAnsi="SimSun" w:hint="eastAsia"/>
          <w:sz w:val="21"/>
          <w:szCs w:val="21"/>
        </w:rPr>
        <w:t>年至201</w:t>
      </w:r>
      <w:r>
        <w:rPr>
          <w:rFonts w:ascii="SimSun" w:hAnsi="SimSun"/>
          <w:sz w:val="21"/>
          <w:szCs w:val="21"/>
        </w:rPr>
        <w:t>9</w:t>
      </w:r>
      <w:r>
        <w:rPr>
          <w:rFonts w:ascii="SimSun" w:hAnsi="SimSun" w:hint="eastAsia"/>
          <w:sz w:val="21"/>
          <w:szCs w:val="21"/>
        </w:rPr>
        <w:t>年开展的活动及其在201</w:t>
      </w:r>
      <w:r>
        <w:rPr>
          <w:rFonts w:ascii="SimSun" w:hAnsi="SimSun"/>
          <w:sz w:val="21"/>
          <w:szCs w:val="21"/>
        </w:rPr>
        <w:t>9</w:t>
      </w:r>
      <w:r>
        <w:rPr>
          <w:rFonts w:ascii="SimSun" w:hAnsi="SimSun" w:hint="eastAsia"/>
          <w:sz w:val="21"/>
          <w:szCs w:val="21"/>
        </w:rPr>
        <w:t>年至2</w:t>
      </w:r>
      <w:r>
        <w:rPr>
          <w:rFonts w:ascii="SimSun" w:hAnsi="SimSun"/>
          <w:sz w:val="21"/>
          <w:szCs w:val="21"/>
        </w:rPr>
        <w:t>020</w:t>
      </w:r>
      <w:r>
        <w:rPr>
          <w:rFonts w:ascii="SimSun" w:hAnsi="SimSun" w:hint="eastAsia"/>
          <w:sz w:val="21"/>
          <w:szCs w:val="21"/>
        </w:rPr>
        <w:t>年的工作任务。</w:t>
      </w:r>
    </w:p>
    <w:bookmarkEnd w:id="5"/>
    <w:p w:rsidR="008C5A0C" w:rsidRDefault="00423C69" w:rsidP="00D56A55">
      <w:pPr>
        <w:pStyle w:val="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背</w:t>
      </w:r>
      <w:r w:rsidR="003E5CEF">
        <w:rPr>
          <w:rFonts w:ascii="SimHei" w:eastAsia="SimHei" w:hAnsi="SimHei" w:hint="eastAsia"/>
          <w:b w:val="0"/>
          <w:sz w:val="21"/>
          <w:szCs w:val="21"/>
        </w:rPr>
        <w:t xml:space="preserve">　</w:t>
      </w:r>
      <w:r>
        <w:rPr>
          <w:rFonts w:ascii="SimHei" w:eastAsia="SimHei" w:hAnsi="SimHei" w:hint="eastAsia"/>
          <w:b w:val="0"/>
          <w:sz w:val="21"/>
          <w:szCs w:val="21"/>
        </w:rPr>
        <w:t>景</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2016年1月，国际单位会议（MIA）就重新启动任务组的工作取得了协商一致，国际局邀请由国际检索单位中的一个取代其担任组长。MIA邀请任务组依据文件PCT/MIA/23/5重新恢复工作（见文件PCT/MIA/23/14第63段），并且“如文件PCT/MIA/12/6所述，重新开始就在PCT最低限度文献中新增包括传统知识数据库在内的数据库进行讨论”（见文件PCT/MIA/23/14的85(a段）。MIA还在印度提出把印度传统知识数字库（TKDL）纳入PCT最低限度文献这一请求后（见文件PCT/MIA/23/10），邀请印度专利局“向任务组提交一份详细的工作文件，包括经过修订的访问协议草案，提出关于将印度传统知识数字库纳入PCT最低限度文献的提案，兼顾之前在会议上、在任务组和IGC进行的讨论，以及在MIA本届会议上进行的讨论”（见文件PCT/MIA/23/14的85(b)段）。最后，MIA邀请国际局“在未来数月与印度专利局紧密合作，酌情通过非正式磋商和PCT通函等书面交流的方式使该问题取得进展，从而确保为将在2017年MIA下届会议上进行的讨论做出适当准备”（见文件PCT/MIA/23/14的85(c)段）。</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lastRenderedPageBreak/>
        <w:t>2016年2月，欧洲专利局（</w:t>
      </w:r>
      <w:r w:rsidR="003E5CEF">
        <w:rPr>
          <w:rFonts w:ascii="SimSun" w:hAnsi="SimSun"/>
          <w:sz w:val="21"/>
          <w:szCs w:val="21"/>
        </w:rPr>
        <w:t>欧专局</w:t>
      </w:r>
      <w:r>
        <w:rPr>
          <w:rFonts w:ascii="SimSun" w:hAnsi="SimSun" w:hint="eastAsia"/>
          <w:sz w:val="21"/>
          <w:szCs w:val="21"/>
        </w:rPr>
        <w:t>）对国际局的邀请做出了正面答复，同意根据MIA做出的授权，领导任务组</w:t>
      </w:r>
      <w:r>
        <w:rPr>
          <w:rFonts w:ascii="SimSun" w:hAnsi="SimSun"/>
          <w:sz w:val="21"/>
          <w:szCs w:val="21"/>
        </w:rPr>
        <w:t>（</w:t>
      </w:r>
      <w:r>
        <w:rPr>
          <w:rFonts w:ascii="SimSun" w:hAnsi="SimSun" w:hint="eastAsia"/>
          <w:sz w:val="21"/>
          <w:szCs w:val="21"/>
        </w:rPr>
        <w:t>文件</w:t>
      </w:r>
      <w:r>
        <w:rPr>
          <w:rFonts w:ascii="SimSun" w:hAnsi="SimSun"/>
          <w:sz w:val="21"/>
          <w:szCs w:val="21"/>
        </w:rPr>
        <w:t>PCT/MIA/23/14)</w:t>
      </w:r>
      <w:r>
        <w:rPr>
          <w:rFonts w:ascii="SimSun" w:hAnsi="SimSun" w:hint="eastAsia"/>
          <w:sz w:val="21"/>
          <w:szCs w:val="21"/>
        </w:rPr>
        <w:t>。</w:t>
      </w:r>
    </w:p>
    <w:p w:rsidR="008C5A0C" w:rsidRDefault="00423C69" w:rsidP="00D56A55">
      <w:pPr>
        <w:pStyle w:val="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议定的目标</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自2005年以来，任务组的总体目标始终是对与维护和修订属于PCT最低限度文献的专利和非专利文献集清单有关的所有因素进行审查，以及</w:t>
      </w:r>
      <w:proofErr w:type="gramStart"/>
      <w:r>
        <w:rPr>
          <w:rFonts w:ascii="SimSun" w:hAnsi="SimSun" w:hint="eastAsia"/>
          <w:sz w:val="21"/>
          <w:szCs w:val="21"/>
        </w:rPr>
        <w:t>就纸件</w:t>
      </w:r>
      <w:proofErr w:type="gramEnd"/>
      <w:r>
        <w:rPr>
          <w:rFonts w:ascii="SimSun" w:hAnsi="SimSun" w:hint="eastAsia"/>
          <w:sz w:val="21"/>
          <w:szCs w:val="21"/>
        </w:rPr>
        <w:t>和电子格式的专利和非专利文献</w:t>
      </w:r>
      <w:proofErr w:type="gramStart"/>
      <w:r>
        <w:rPr>
          <w:rFonts w:ascii="SimSun" w:hAnsi="SimSun" w:hint="eastAsia"/>
          <w:sz w:val="21"/>
          <w:szCs w:val="21"/>
        </w:rPr>
        <w:t>集必须</w:t>
      </w:r>
      <w:proofErr w:type="gramEnd"/>
      <w:r>
        <w:rPr>
          <w:rFonts w:ascii="SimSun" w:hAnsi="SimSun" w:hint="eastAsia"/>
          <w:sz w:val="21"/>
          <w:szCs w:val="21"/>
        </w:rPr>
        <w:t>符合的客观条件提出建议，只有符合条件的</w:t>
      </w:r>
      <w:proofErr w:type="gramStart"/>
      <w:r>
        <w:rPr>
          <w:rFonts w:ascii="SimSun" w:hAnsi="SimSun" w:hint="eastAsia"/>
          <w:sz w:val="21"/>
          <w:szCs w:val="21"/>
        </w:rPr>
        <w:t>文献集才会</w:t>
      </w:r>
      <w:proofErr w:type="gramEnd"/>
      <w:r>
        <w:rPr>
          <w:rFonts w:ascii="SimSun" w:hAnsi="SimSun" w:hint="eastAsia"/>
          <w:sz w:val="21"/>
          <w:szCs w:val="21"/>
        </w:rPr>
        <w:t>被考虑纳入</w:t>
      </w:r>
      <w:proofErr w:type="spellStart"/>
      <w:r>
        <w:rPr>
          <w:rFonts w:ascii="SimSun" w:hAnsi="SimSun" w:hint="eastAsia"/>
          <w:sz w:val="21"/>
          <w:szCs w:val="21"/>
        </w:rPr>
        <w:t>PCT</w:t>
      </w:r>
      <w:proofErr w:type="spellEnd"/>
      <w:r>
        <w:rPr>
          <w:rFonts w:ascii="SimSun" w:hAnsi="SimSun" w:hint="eastAsia"/>
          <w:sz w:val="21"/>
          <w:szCs w:val="21"/>
        </w:rPr>
        <w:t>最低限度文献。</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bookmarkStart w:id="6" w:name="_Ref511818599"/>
      <w:r>
        <w:rPr>
          <w:rFonts w:ascii="SimSun" w:hAnsi="SimSun" w:hint="eastAsia"/>
          <w:sz w:val="21"/>
          <w:szCs w:val="21"/>
        </w:rPr>
        <w:t>如PCT工作组在2016年5月所述，任务组被给予如下任务授权（见文件PCT/WG/9/22第9段）：</w:t>
      </w:r>
      <w:bookmarkEnd w:id="6"/>
    </w:p>
    <w:p w:rsidR="008C5A0C" w:rsidRPr="00D56A55" w:rsidRDefault="00423C69" w:rsidP="00F83E57">
      <w:pPr>
        <w:pStyle w:val="ONUME"/>
        <w:numPr>
          <w:ilvl w:val="1"/>
          <w:numId w:val="2"/>
        </w:numPr>
        <w:tabs>
          <w:tab w:val="clear" w:pos="567"/>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澄清现有PCT最低限度文献的范围，这是由于考虑到《产权组织工业产权信息和文献手册》已过时，最近一次修订专利文献的定义和范围是在2001年11月，最近一次</w:t>
      </w:r>
      <w:proofErr w:type="gramStart"/>
      <w:r>
        <w:rPr>
          <w:rFonts w:ascii="SimSun" w:hAnsi="SimSun" w:hint="eastAsia"/>
          <w:sz w:val="21"/>
          <w:szCs w:val="21"/>
        </w:rPr>
        <w:t>修订非</w:t>
      </w:r>
      <w:proofErr w:type="gramEnd"/>
      <w:r>
        <w:rPr>
          <w:rFonts w:ascii="SimSun" w:hAnsi="SimSun" w:hint="eastAsia"/>
          <w:sz w:val="21"/>
          <w:szCs w:val="21"/>
        </w:rPr>
        <w:t>专利文献的定义和范围是在2010年2月。</w:t>
      </w:r>
    </w:p>
    <w:p w:rsidR="008C5A0C" w:rsidRPr="00D56A55" w:rsidRDefault="00423C69" w:rsidP="00F83E57">
      <w:pPr>
        <w:pStyle w:val="ONUME"/>
        <w:numPr>
          <w:ilvl w:val="1"/>
          <w:numId w:val="2"/>
        </w:numPr>
        <w:tabs>
          <w:tab w:val="clear" w:pos="567"/>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提出建议，拟定对于国家局来说合理并可遵照的标准，以便其国家文献集被纳入PCT最低限度文献，并允许国际单位和数据库提供方以及时可靠的方式便利地装载必要信息。对于实用新型是否也应作为最低限度文献一部分的问题也应当进行审查。</w:t>
      </w:r>
    </w:p>
    <w:p w:rsidR="008C5A0C" w:rsidRPr="00D56A55" w:rsidRDefault="00423C69" w:rsidP="00F83E57">
      <w:pPr>
        <w:pStyle w:val="ONUME"/>
        <w:numPr>
          <w:ilvl w:val="1"/>
          <w:numId w:val="2"/>
        </w:numPr>
        <w:tabs>
          <w:tab w:val="clear" w:pos="567"/>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就应在所有属于PCT最低限度文献清单的专利文献集中提供的专利数据提出建议，以明确界定专利数据的组成部分（如著录项目数据、摘要、全文、传真图像、分类数据），以及提出这些数据必须满足的质量和传送标准的建议，以便改进可检索性，并为专利局和商业数据库提供商之间的数据交换提供便利。</w:t>
      </w:r>
    </w:p>
    <w:p w:rsidR="008C5A0C" w:rsidRPr="00D56A55" w:rsidRDefault="00423C69" w:rsidP="00F83E57">
      <w:pPr>
        <w:pStyle w:val="ONUME"/>
        <w:numPr>
          <w:ilvl w:val="1"/>
          <w:numId w:val="2"/>
        </w:numPr>
        <w:tabs>
          <w:tab w:val="clear" w:pos="567"/>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制定专利文献集成为PCT最低限度文献一部分所需满足的标准，并确定单位应纳入和检索的以不同语言提供的文件或相比其他专利文件包含等同技术公开的文件的范围。</w:t>
      </w:r>
    </w:p>
    <w:p w:rsidR="008C5A0C" w:rsidRPr="00D56A55" w:rsidRDefault="00423C69" w:rsidP="00F83E57">
      <w:pPr>
        <w:pStyle w:val="ONUME"/>
        <w:numPr>
          <w:ilvl w:val="1"/>
          <w:numId w:val="2"/>
        </w:numPr>
        <w:tabs>
          <w:tab w:val="clear" w:pos="567"/>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更好地提供专利文件中的技术信息，即文件的技术和语言范围，以及所载信息的可检索性。这将进一步改进国际检索的质量，确保第三</w:t>
      </w:r>
      <w:proofErr w:type="gramStart"/>
      <w:r>
        <w:rPr>
          <w:rFonts w:ascii="SimSun" w:hAnsi="SimSun" w:hint="eastAsia"/>
          <w:sz w:val="21"/>
          <w:szCs w:val="21"/>
        </w:rPr>
        <w:t>方更好</w:t>
      </w:r>
      <w:proofErr w:type="gramEnd"/>
      <w:r>
        <w:rPr>
          <w:rFonts w:ascii="SimSun" w:hAnsi="SimSun" w:hint="eastAsia"/>
          <w:sz w:val="21"/>
          <w:szCs w:val="21"/>
        </w:rPr>
        <w:t>地获取专利信息。</w:t>
      </w:r>
    </w:p>
    <w:p w:rsidR="008C5A0C" w:rsidRPr="00D56A55" w:rsidRDefault="00423C69" w:rsidP="00F83E57">
      <w:pPr>
        <w:pStyle w:val="ONUME"/>
        <w:numPr>
          <w:ilvl w:val="1"/>
          <w:numId w:val="2"/>
        </w:numPr>
        <w:tabs>
          <w:tab w:val="clear" w:pos="567"/>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提出建议，审查和保留PCT最低限度文献非专利文献部分的机制，兼顾包括以下各项在内的因素：</w:t>
      </w:r>
    </w:p>
    <w:p w:rsidR="008C5A0C" w:rsidRPr="00D56A55" w:rsidRDefault="00423C69">
      <w:pPr>
        <w:pStyle w:val="ONUME"/>
        <w:numPr>
          <w:ilvl w:val="2"/>
          <w:numId w:val="2"/>
        </w:numPr>
        <w:rPr>
          <w:rFonts w:ascii="SimSun" w:hAnsi="SimSun"/>
          <w:sz w:val="21"/>
          <w:szCs w:val="21"/>
        </w:rPr>
      </w:pPr>
      <w:r>
        <w:rPr>
          <w:rFonts w:ascii="SimSun" w:hAnsi="SimSun" w:hint="eastAsia"/>
          <w:sz w:val="21"/>
          <w:szCs w:val="21"/>
        </w:rPr>
        <w:t>可操作的期刊查询，包括其电子形式的可用性；</w:t>
      </w:r>
    </w:p>
    <w:p w:rsidR="008C5A0C" w:rsidRPr="00D56A55" w:rsidRDefault="00423C69">
      <w:pPr>
        <w:pStyle w:val="ONUME"/>
        <w:numPr>
          <w:ilvl w:val="2"/>
          <w:numId w:val="2"/>
        </w:numPr>
        <w:rPr>
          <w:rFonts w:ascii="SimSun" w:hAnsi="SimSun"/>
          <w:sz w:val="21"/>
          <w:szCs w:val="21"/>
        </w:rPr>
      </w:pPr>
      <w:r>
        <w:rPr>
          <w:rFonts w:ascii="SimSun" w:hAnsi="SimSun" w:hint="eastAsia"/>
          <w:sz w:val="21"/>
          <w:szCs w:val="21"/>
        </w:rPr>
        <w:t>期刊所涵盖的技术领域范围；</w:t>
      </w:r>
    </w:p>
    <w:p w:rsidR="008C5A0C" w:rsidRPr="00D56A55" w:rsidRDefault="00423C69">
      <w:pPr>
        <w:pStyle w:val="ONUME"/>
        <w:numPr>
          <w:ilvl w:val="2"/>
          <w:numId w:val="2"/>
        </w:numPr>
        <w:rPr>
          <w:rFonts w:ascii="SimSun" w:hAnsi="SimSun"/>
          <w:sz w:val="21"/>
          <w:szCs w:val="21"/>
        </w:rPr>
      </w:pPr>
      <w:r>
        <w:rPr>
          <w:rFonts w:ascii="SimSun" w:hAnsi="SimSun" w:hint="eastAsia"/>
          <w:sz w:val="21"/>
          <w:szCs w:val="21"/>
        </w:rPr>
        <w:t>适用于期刊的查询条件，包括费用和文本可检索性。</w:t>
      </w:r>
    </w:p>
    <w:p w:rsidR="008C5A0C" w:rsidRPr="00D56A55" w:rsidRDefault="00423C69" w:rsidP="00F83E57">
      <w:pPr>
        <w:pStyle w:val="ONUME"/>
        <w:numPr>
          <w:ilvl w:val="1"/>
          <w:numId w:val="2"/>
        </w:numPr>
        <w:tabs>
          <w:tab w:val="clear" w:pos="567"/>
          <w:tab w:val="clear" w:pos="1134"/>
        </w:tabs>
        <w:overflowPunct w:val="0"/>
        <w:spacing w:afterLines="50" w:after="120" w:line="340" w:lineRule="atLeast"/>
        <w:jc w:val="both"/>
        <w:rPr>
          <w:rFonts w:ascii="SimSun" w:hAnsi="SimSun"/>
          <w:sz w:val="21"/>
          <w:szCs w:val="21"/>
        </w:rPr>
      </w:pPr>
      <w:r>
        <w:rPr>
          <w:rFonts w:ascii="SimSun" w:hAnsi="SimSun" w:hint="eastAsia"/>
          <w:sz w:val="21"/>
          <w:szCs w:val="21"/>
        </w:rPr>
        <w:t>就在PCT最低限度文献中纳入非专利文献的标准，尤其是基于传统知识的现有技术被纳入的条件提出建议。任务组还应在收到经印度主管部门修改的有关在PCT最低限度文献中纳入传统知识数字库的详细提案后与其进行合作。</w:t>
      </w:r>
    </w:p>
    <w:p w:rsidR="008C5A0C" w:rsidRDefault="00423C69" w:rsidP="00D56A55">
      <w:pPr>
        <w:pStyle w:val="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议定的方法和工作计划</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任务组通过维基进行讨论。作为任务组组长，欧洲专利局准备并提交讨论文件供其他任务组成员审议，以及通过一系列“讨论回合”对讨论进行协调。欧洲专利局还规定评论意见的截止期限，并对活动进行界定，以便任务组的具体提案被提交给MIA和PCT工作组的未来会议。</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lastRenderedPageBreak/>
        <w:t>2016年12月，欧洲专利局在维基上发布了有关PCT最低限度文献任务组预计在2017年至2018年所开展活动的高级别意见书（见文件PCT/MIA/24/4附件）。在这份意见书中，由于上文第5段所列的七项目标之间的相互关联性，为了确保效率，欧洲专利局提议在任务组处理这些目标时，对其中若干目标作如下分组处理：</w:t>
      </w:r>
    </w:p>
    <w:p w:rsidR="008C5A0C" w:rsidRPr="00D56A55" w:rsidRDefault="00423C69" w:rsidP="00F83E57">
      <w:pPr>
        <w:pStyle w:val="ONUME"/>
        <w:numPr>
          <w:ilvl w:val="0"/>
          <w:numId w:val="4"/>
        </w:numPr>
        <w:tabs>
          <w:tab w:val="clear" w:pos="567"/>
        </w:tabs>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目标A：针对目前PCT最低限度文献的专利文献和非专利文献部分，编订最新的详细目</w:t>
      </w:r>
      <w:r>
        <w:rPr>
          <w:rFonts w:ascii="SimSun" w:hAnsi="SimSun"/>
          <w:sz w:val="21"/>
          <w:szCs w:val="21"/>
        </w:rPr>
        <w:t>‍</w:t>
      </w:r>
      <w:r>
        <w:rPr>
          <w:rFonts w:ascii="SimSun" w:hAnsi="SimSun" w:hint="eastAsia"/>
          <w:sz w:val="21"/>
          <w:szCs w:val="21"/>
        </w:rPr>
        <w:t>录。</w:t>
      </w:r>
    </w:p>
    <w:p w:rsidR="008C5A0C" w:rsidRPr="00D56A55" w:rsidRDefault="00423C69" w:rsidP="00F83E57">
      <w:pPr>
        <w:pStyle w:val="ONUME"/>
        <w:numPr>
          <w:ilvl w:val="0"/>
          <w:numId w:val="4"/>
        </w:numPr>
        <w:tabs>
          <w:tab w:val="clear" w:pos="567"/>
        </w:tabs>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目标B：就国家专利集纳入PCT最低限度文献的条件和标准提出建议。</w:t>
      </w:r>
    </w:p>
    <w:p w:rsidR="008C5A0C" w:rsidRPr="00D56A55" w:rsidRDefault="00423C69" w:rsidP="00F83E57">
      <w:pPr>
        <w:pStyle w:val="ONUME"/>
        <w:numPr>
          <w:ilvl w:val="0"/>
          <w:numId w:val="4"/>
        </w:numPr>
        <w:tabs>
          <w:tab w:val="clear" w:pos="567"/>
        </w:tabs>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目标C：明确规定应纳入属于PCT最低限度文献的专利集的专利数据著录项目和文本部分，并就此提出提案。</w:t>
      </w:r>
    </w:p>
    <w:p w:rsidR="008C5A0C" w:rsidRPr="00D56A55" w:rsidRDefault="00423C69" w:rsidP="00F83E57">
      <w:pPr>
        <w:pStyle w:val="ONUME"/>
        <w:numPr>
          <w:ilvl w:val="0"/>
          <w:numId w:val="4"/>
        </w:numPr>
        <w:tabs>
          <w:tab w:val="clear" w:pos="567"/>
        </w:tabs>
        <w:overflowPunct w:val="0"/>
        <w:spacing w:afterLines="50" w:after="120" w:line="340" w:lineRule="atLeast"/>
        <w:ind w:left="567" w:firstLine="0"/>
        <w:jc w:val="both"/>
        <w:rPr>
          <w:rFonts w:ascii="SimSun" w:hAnsi="SimSun"/>
          <w:sz w:val="21"/>
          <w:szCs w:val="21"/>
        </w:rPr>
      </w:pPr>
      <w:r>
        <w:rPr>
          <w:rFonts w:ascii="SimSun" w:hAnsi="SimSun" w:hint="eastAsia"/>
          <w:sz w:val="21"/>
          <w:szCs w:val="21"/>
        </w:rPr>
        <w:t>目标D：就审查、纳入和</w:t>
      </w:r>
      <w:proofErr w:type="gramStart"/>
      <w:r>
        <w:rPr>
          <w:rFonts w:ascii="SimSun" w:hAnsi="SimSun" w:hint="eastAsia"/>
          <w:sz w:val="21"/>
          <w:szCs w:val="21"/>
        </w:rPr>
        <w:t>维护非</w:t>
      </w:r>
      <w:proofErr w:type="gramEnd"/>
      <w:r>
        <w:rPr>
          <w:rFonts w:ascii="SimSun" w:hAnsi="SimSun" w:hint="eastAsia"/>
          <w:sz w:val="21"/>
          <w:szCs w:val="21"/>
        </w:rPr>
        <w:t>专利文献和基于传统知识的现有技术的条件和标准提出建议，并在之后根据届时已建立的标准，对印度主管部门有关传统知识数字库（TKDL）的经修改提案进行评估。</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在上述意见书中，欧洲专利局提议自己牵头有关目标A、B和C的讨论，邀请任务组成员之一牵头有关目标D的讨论。</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欧洲专利局提议的工作计划得到了任务组成员和MIA的支持（文件PCT/MIA/24/15）。美国专利商标局（美国专商局）提出愿意牵头第4项目标，MIA对此表示非常赞赏（见文件PCT/MIA/24/15第71段和第72段）。</w:t>
      </w:r>
    </w:p>
    <w:p w:rsidR="008C5A0C" w:rsidRDefault="00423C69" w:rsidP="00D56A55">
      <w:pPr>
        <w:pStyle w:val="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现</w:t>
      </w:r>
      <w:r w:rsidR="003E5CEF">
        <w:rPr>
          <w:rFonts w:ascii="SimHei" w:eastAsia="SimHei" w:hAnsi="SimHei" w:hint="eastAsia"/>
          <w:b w:val="0"/>
          <w:sz w:val="21"/>
          <w:szCs w:val="21"/>
        </w:rPr>
        <w:t xml:space="preserve">　</w:t>
      </w:r>
      <w:r>
        <w:rPr>
          <w:rFonts w:ascii="SimHei" w:eastAsia="SimHei" w:hAnsi="SimHei" w:hint="eastAsia"/>
          <w:b w:val="0"/>
          <w:sz w:val="21"/>
          <w:szCs w:val="21"/>
        </w:rPr>
        <w:t>状</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关于目标A的讨论始于2017年4月，重点在于修订属于PCT最低限度文献的专利和非专利文献出版物清单。现已对这两份清单进行了广泛审查、修改和扩展，使其内容得到了更新，遵循了细则34.1的规定。</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在任务组成员积极参与和</w:t>
      </w:r>
      <w:proofErr w:type="gramStart"/>
      <w:r>
        <w:rPr>
          <w:rFonts w:ascii="SimSun" w:hAnsi="SimSun" w:hint="eastAsia"/>
          <w:sz w:val="21"/>
          <w:szCs w:val="21"/>
        </w:rPr>
        <w:t>作出</w:t>
      </w:r>
      <w:proofErr w:type="gramEnd"/>
      <w:r>
        <w:rPr>
          <w:rFonts w:ascii="SimSun" w:hAnsi="SimSun" w:hint="eastAsia"/>
          <w:sz w:val="21"/>
          <w:szCs w:val="21"/>
        </w:rPr>
        <w:t>贡献之后，当前PCT最低限度文献的最新目录于2017年最后一个季度由欧洲专利局最终确定，任务组成员将其视为基准，可以在此基础上</w:t>
      </w:r>
      <w:proofErr w:type="gramStart"/>
      <w:r>
        <w:rPr>
          <w:rFonts w:ascii="SimSun" w:hAnsi="SimSun" w:hint="eastAsia"/>
          <w:sz w:val="21"/>
          <w:szCs w:val="21"/>
        </w:rPr>
        <w:t>作出</w:t>
      </w:r>
      <w:proofErr w:type="gramEnd"/>
      <w:r>
        <w:rPr>
          <w:rFonts w:ascii="SimSun" w:hAnsi="SimSun" w:hint="eastAsia"/>
          <w:sz w:val="21"/>
          <w:szCs w:val="21"/>
        </w:rPr>
        <w:t>进一步改进，由此实现目标A。所述最新目录很快会在产权组织网站上公布。</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sz w:val="21"/>
          <w:szCs w:val="21"/>
        </w:rPr>
        <w:t>2018</w:t>
      </w:r>
      <w:r w:rsidRPr="00D56A55">
        <w:rPr>
          <w:rFonts w:ascii="SimSun" w:hAnsi="SimSun" w:hint="eastAsia"/>
          <w:sz w:val="21"/>
          <w:szCs w:val="21"/>
        </w:rPr>
        <w:t>年，任务组开始通过在维基上的一系列讨论就目标B、C和</w:t>
      </w:r>
      <w:r w:rsidRPr="00D56A55">
        <w:rPr>
          <w:rFonts w:ascii="SimSun" w:hAnsi="SimSun"/>
          <w:sz w:val="21"/>
          <w:szCs w:val="21"/>
        </w:rPr>
        <w:t>D</w:t>
      </w:r>
      <w:r w:rsidRPr="00D56A55">
        <w:rPr>
          <w:rFonts w:ascii="SimSun" w:hAnsi="SimSun" w:hint="eastAsia"/>
          <w:sz w:val="21"/>
          <w:szCs w:val="21"/>
        </w:rPr>
        <w:t>开展工作。目标B和C在主要原则方面取得了较大进展。</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关于目标B，讨论侧重于处理以下两个主要问题：</w:t>
      </w:r>
    </w:p>
    <w:p w:rsidR="008C5A0C" w:rsidRPr="00D56A55" w:rsidRDefault="00423C69" w:rsidP="00F83E57">
      <w:pPr>
        <w:pStyle w:val="ONUME"/>
        <w:numPr>
          <w:ilvl w:val="1"/>
          <w:numId w:val="2"/>
        </w:numPr>
        <w:tabs>
          <w:tab w:val="clear" w:pos="567"/>
          <w:tab w:val="clear" w:pos="1134"/>
        </w:tabs>
        <w:spacing w:afterLines="50" w:after="120" w:line="340" w:lineRule="atLeast"/>
        <w:jc w:val="both"/>
        <w:rPr>
          <w:rFonts w:ascii="SimSun" w:hAnsi="SimSun"/>
          <w:sz w:val="21"/>
          <w:szCs w:val="21"/>
        </w:rPr>
      </w:pPr>
      <w:r w:rsidRPr="00D56A55">
        <w:rPr>
          <w:rFonts w:ascii="SimSun" w:hAnsi="SimSun" w:hint="eastAsia"/>
          <w:sz w:val="21"/>
          <w:szCs w:val="21"/>
        </w:rPr>
        <w:t>第一个问题是关于目前载于细则3</w:t>
      </w:r>
      <w:r w:rsidRPr="00D56A55">
        <w:rPr>
          <w:rFonts w:ascii="SimSun" w:hAnsi="SimSun"/>
          <w:sz w:val="21"/>
          <w:szCs w:val="21"/>
        </w:rPr>
        <w:t>4.1</w:t>
      </w:r>
      <w:r w:rsidRPr="00D56A55">
        <w:rPr>
          <w:rFonts w:ascii="SimSun" w:hAnsi="SimSun" w:hint="eastAsia"/>
          <w:sz w:val="21"/>
          <w:szCs w:val="21"/>
        </w:rPr>
        <w:t>的基于语言的标准，该标准造成了以下情况：</w:t>
      </w:r>
    </w:p>
    <w:p w:rsidR="008C5A0C" w:rsidRPr="00D56A55" w:rsidRDefault="00423C69" w:rsidP="00F83E57">
      <w:pPr>
        <w:pStyle w:val="ONUME"/>
        <w:numPr>
          <w:ilvl w:val="0"/>
          <w:numId w:val="5"/>
        </w:numPr>
        <w:tabs>
          <w:tab w:val="clear" w:pos="567"/>
        </w:tabs>
        <w:overflowPunct w:val="0"/>
        <w:spacing w:afterLines="50" w:after="120" w:line="340" w:lineRule="atLeast"/>
        <w:ind w:left="1134" w:firstLine="0"/>
        <w:jc w:val="both"/>
        <w:rPr>
          <w:rFonts w:ascii="SimSun" w:hAnsi="SimSun"/>
          <w:sz w:val="21"/>
          <w:szCs w:val="21"/>
        </w:rPr>
      </w:pPr>
      <w:r w:rsidRPr="00D56A55">
        <w:rPr>
          <w:rFonts w:ascii="SimSun" w:hAnsi="SimSun" w:hint="eastAsia"/>
          <w:sz w:val="21"/>
          <w:szCs w:val="21"/>
        </w:rPr>
        <w:t>一些国际检索单位的国家专利文献集不属于PCT最低限度文献；</w:t>
      </w:r>
    </w:p>
    <w:p w:rsidR="008C5A0C" w:rsidRPr="00D56A55" w:rsidRDefault="00423C69" w:rsidP="00F83E57">
      <w:pPr>
        <w:pStyle w:val="ONUME"/>
        <w:numPr>
          <w:ilvl w:val="0"/>
          <w:numId w:val="5"/>
        </w:numPr>
        <w:tabs>
          <w:tab w:val="clear" w:pos="567"/>
        </w:tabs>
        <w:overflowPunct w:val="0"/>
        <w:spacing w:afterLines="50" w:after="120" w:line="340" w:lineRule="atLeast"/>
        <w:ind w:left="1134" w:firstLine="0"/>
        <w:jc w:val="both"/>
        <w:rPr>
          <w:rFonts w:ascii="SimSun" w:hAnsi="SimSun"/>
          <w:sz w:val="21"/>
          <w:szCs w:val="21"/>
        </w:rPr>
      </w:pPr>
      <w:r w:rsidRPr="00D56A55">
        <w:rPr>
          <w:rFonts w:ascii="SimSun" w:hAnsi="SimSun" w:hint="eastAsia"/>
          <w:sz w:val="21"/>
          <w:szCs w:val="21"/>
        </w:rPr>
        <w:t>PCT最低限度文献的内容取决于国际检索单位的官方语言和英文摘要的可用性而有所不同；</w:t>
      </w:r>
    </w:p>
    <w:p w:rsidR="008C5A0C" w:rsidRPr="00D56A55" w:rsidRDefault="00423C69" w:rsidP="00F83E57">
      <w:pPr>
        <w:pStyle w:val="ONUME"/>
        <w:numPr>
          <w:ilvl w:val="0"/>
          <w:numId w:val="5"/>
        </w:numPr>
        <w:tabs>
          <w:tab w:val="clear" w:pos="567"/>
        </w:tabs>
        <w:overflowPunct w:val="0"/>
        <w:spacing w:afterLines="50" w:after="120" w:line="340" w:lineRule="atLeast"/>
        <w:ind w:left="1134" w:firstLine="0"/>
        <w:jc w:val="both"/>
        <w:rPr>
          <w:rFonts w:ascii="SimSun" w:hAnsi="SimSun"/>
          <w:sz w:val="21"/>
          <w:szCs w:val="21"/>
        </w:rPr>
      </w:pPr>
      <w:r w:rsidRPr="00D56A55">
        <w:rPr>
          <w:rFonts w:ascii="SimSun" w:hAnsi="SimSun" w:hint="eastAsia"/>
          <w:sz w:val="21"/>
          <w:szCs w:val="21"/>
        </w:rPr>
        <w:t>PCT最低限度文献的专利文献部分仅限于以有限几种语言公布的专利文件。</w:t>
      </w:r>
    </w:p>
    <w:p w:rsidR="008C5A0C" w:rsidRPr="00D56A55" w:rsidRDefault="00423C69" w:rsidP="00F83E57">
      <w:pPr>
        <w:pStyle w:val="ONUME"/>
        <w:numPr>
          <w:ilvl w:val="1"/>
          <w:numId w:val="2"/>
        </w:numPr>
        <w:tabs>
          <w:tab w:val="clear" w:pos="567"/>
          <w:tab w:val="clear" w:pos="1134"/>
        </w:tabs>
        <w:spacing w:afterLines="50" w:after="120" w:line="340" w:lineRule="atLeast"/>
        <w:jc w:val="both"/>
        <w:rPr>
          <w:rFonts w:ascii="SimSun" w:hAnsi="SimSun"/>
          <w:sz w:val="21"/>
          <w:szCs w:val="21"/>
        </w:rPr>
      </w:pPr>
      <w:r>
        <w:rPr>
          <w:rFonts w:ascii="SimSun" w:hAnsi="SimSun" w:hint="eastAsia"/>
          <w:sz w:val="21"/>
          <w:szCs w:val="21"/>
        </w:rPr>
        <w:t>第二个问题涉及实用新型。细则34.1目前</w:t>
      </w:r>
      <w:proofErr w:type="gramStart"/>
      <w:r>
        <w:rPr>
          <w:rFonts w:ascii="SimSun" w:hAnsi="SimSun" w:hint="eastAsia"/>
          <w:sz w:val="21"/>
          <w:szCs w:val="21"/>
        </w:rPr>
        <w:t>仅明确</w:t>
      </w:r>
      <w:proofErr w:type="gramEnd"/>
      <w:r>
        <w:rPr>
          <w:rFonts w:ascii="SimSun" w:hAnsi="SimSun" w:hint="eastAsia"/>
          <w:sz w:val="21"/>
          <w:szCs w:val="21"/>
        </w:rPr>
        <w:t>提到法国的实用新型属于PCT最低限度文献，因此遗漏了可作为相关现有技术重要来源的其他一些重要的实用新型文献集。</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lastRenderedPageBreak/>
        <w:t>关于目标C，讨论侧重于审查单位文档标准ST.37能否用于帮助描述属于PCT最低限度文献的那些专利和实用新型集的内容。</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关于目标D，讨论由美国专利商标局牵头开展，它编订了一份针对PCT国际单位（</w:t>
      </w:r>
      <w:r w:rsidRPr="00D56A55">
        <w:rPr>
          <w:rFonts w:ascii="SimSun" w:hAnsi="SimSun"/>
          <w:sz w:val="21"/>
          <w:szCs w:val="21"/>
        </w:rPr>
        <w:t>ISA/IPEA</w:t>
      </w:r>
      <w:r w:rsidRPr="00D56A55">
        <w:rPr>
          <w:rFonts w:ascii="SimSun" w:hAnsi="SimSun" w:hint="eastAsia"/>
          <w:sz w:val="21"/>
          <w:szCs w:val="21"/>
        </w:rPr>
        <w:t>）的调查问卷，询问它们在其现有技术检索过程中对于非专利文献和基于传统知识的现有技术来源及数据库的使用情况。该调查问卷还涉及</w:t>
      </w:r>
      <w:proofErr w:type="gramStart"/>
      <w:r w:rsidRPr="00D56A55">
        <w:rPr>
          <w:rFonts w:ascii="SimSun" w:hAnsi="SimSun" w:hint="eastAsia"/>
          <w:sz w:val="21"/>
          <w:szCs w:val="21"/>
        </w:rPr>
        <w:t>更新非</w:t>
      </w:r>
      <w:proofErr w:type="gramEnd"/>
      <w:r w:rsidRPr="00D56A55">
        <w:rPr>
          <w:rFonts w:ascii="SimSun" w:hAnsi="SimSun" w:hint="eastAsia"/>
          <w:sz w:val="21"/>
          <w:szCs w:val="21"/>
        </w:rPr>
        <w:t>专利文献和传统知识信息及数据库以及在PCT最低限度文献清单中新增上述内容、国际单位可使用此类数据库的要求、使用这些数据库可能出现的问题以及关于潜在保密性要求和其他使用这些数据库所附带要求的问题。国际局于2</w:t>
      </w:r>
      <w:r w:rsidRPr="00D56A55">
        <w:rPr>
          <w:rFonts w:ascii="SimSun" w:hAnsi="SimSun"/>
          <w:sz w:val="21"/>
          <w:szCs w:val="21"/>
        </w:rPr>
        <w:t>018</w:t>
      </w:r>
      <w:r w:rsidRPr="00D56A55">
        <w:rPr>
          <w:rFonts w:ascii="SimSun" w:hAnsi="SimSun" w:hint="eastAsia"/>
          <w:sz w:val="21"/>
          <w:szCs w:val="21"/>
        </w:rPr>
        <w:t>年7月9日在通函</w:t>
      </w:r>
      <w:r w:rsidRPr="00D56A55">
        <w:rPr>
          <w:rFonts w:ascii="SimSun" w:hAnsi="SimSun"/>
          <w:sz w:val="21"/>
          <w:szCs w:val="21"/>
        </w:rPr>
        <w:t>C.PCT 1544</w:t>
      </w:r>
      <w:r w:rsidRPr="00D56A55">
        <w:rPr>
          <w:rFonts w:ascii="SimSun" w:hAnsi="SimSun" w:hint="eastAsia"/>
          <w:sz w:val="21"/>
          <w:szCs w:val="21"/>
        </w:rPr>
        <w:t>中向国际检索和初审单位发送了该调查问卷。</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在MIA第二十六届会议（2</w:t>
      </w:r>
      <w:r w:rsidRPr="00D56A55">
        <w:rPr>
          <w:rFonts w:ascii="SimSun" w:hAnsi="SimSun"/>
          <w:sz w:val="21"/>
          <w:szCs w:val="21"/>
        </w:rPr>
        <w:t>019</w:t>
      </w:r>
      <w:r w:rsidRPr="00D56A55">
        <w:rPr>
          <w:rFonts w:ascii="SimSun" w:hAnsi="SimSun" w:hint="eastAsia"/>
          <w:sz w:val="21"/>
          <w:szCs w:val="21"/>
        </w:rPr>
        <w:t>年2月1</w:t>
      </w:r>
      <w:r w:rsidRPr="00D56A55">
        <w:rPr>
          <w:rFonts w:ascii="SimSun" w:hAnsi="SimSun"/>
          <w:sz w:val="21"/>
          <w:szCs w:val="21"/>
        </w:rPr>
        <w:t>3</w:t>
      </w:r>
      <w:r w:rsidRPr="00D56A55">
        <w:rPr>
          <w:rFonts w:ascii="SimSun" w:hAnsi="SimSun" w:hint="eastAsia"/>
          <w:sz w:val="21"/>
          <w:szCs w:val="21"/>
        </w:rPr>
        <w:t>日至1</w:t>
      </w:r>
      <w:r w:rsidRPr="00D56A55">
        <w:rPr>
          <w:rFonts w:ascii="SimSun" w:hAnsi="SimSun"/>
          <w:sz w:val="21"/>
          <w:szCs w:val="21"/>
        </w:rPr>
        <w:t>4</w:t>
      </w:r>
      <w:r w:rsidRPr="00D56A55">
        <w:rPr>
          <w:rFonts w:ascii="SimSun" w:hAnsi="SimSun" w:hint="eastAsia"/>
          <w:sz w:val="21"/>
          <w:szCs w:val="21"/>
        </w:rPr>
        <w:t>日）上，欧洲专利局介绍了任务组的现状报告（文件</w:t>
      </w:r>
      <w:r w:rsidRPr="00D56A55">
        <w:rPr>
          <w:rFonts w:ascii="SimSun" w:hAnsi="SimSun"/>
          <w:sz w:val="21"/>
          <w:szCs w:val="21"/>
        </w:rPr>
        <w:t>PCT/MIA/26/8</w:t>
      </w:r>
      <w:r w:rsidRPr="00D56A55">
        <w:rPr>
          <w:rFonts w:ascii="SimSun" w:hAnsi="SimSun" w:hint="eastAsia"/>
          <w:sz w:val="21"/>
          <w:szCs w:val="21"/>
        </w:rPr>
        <w:t>）以及可从关于目标B和C的第一轮讨论中得到的结论。</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关于在目标B项下处理的基于语言的标准方面的第一个问题，</w:t>
      </w:r>
      <w:proofErr w:type="gramStart"/>
      <w:r w:rsidRPr="00D56A55">
        <w:rPr>
          <w:rFonts w:ascii="SimSun" w:hAnsi="SimSun" w:hint="eastAsia"/>
          <w:sz w:val="21"/>
          <w:szCs w:val="21"/>
        </w:rPr>
        <w:t>欧专局</w:t>
      </w:r>
      <w:proofErr w:type="gramEnd"/>
      <w:r w:rsidRPr="00D56A55">
        <w:rPr>
          <w:rFonts w:ascii="SimSun" w:hAnsi="SimSun" w:hint="eastAsia"/>
          <w:sz w:val="21"/>
          <w:szCs w:val="21"/>
        </w:rPr>
        <w:t>报告说，从第一轮讨论中可得到的结论是，在未来修订细则3</w:t>
      </w:r>
      <w:r w:rsidRPr="00D56A55">
        <w:rPr>
          <w:rFonts w:ascii="SimSun" w:hAnsi="SimSun"/>
          <w:sz w:val="21"/>
          <w:szCs w:val="21"/>
        </w:rPr>
        <w:t>4.1</w:t>
      </w:r>
      <w:r w:rsidRPr="00D56A55">
        <w:rPr>
          <w:rFonts w:ascii="SimSun" w:hAnsi="SimSun" w:hint="eastAsia"/>
          <w:sz w:val="21"/>
          <w:szCs w:val="21"/>
        </w:rPr>
        <w:t>的框架内，应至少实现以下四项目标（文件</w:t>
      </w:r>
      <w:r w:rsidRPr="00D56A55">
        <w:rPr>
          <w:rFonts w:ascii="SimSun" w:hAnsi="SimSun"/>
          <w:sz w:val="21"/>
          <w:szCs w:val="21"/>
        </w:rPr>
        <w:t>PCT/MIA/26/8</w:t>
      </w:r>
      <w:r w:rsidRPr="00D56A55">
        <w:rPr>
          <w:rFonts w:ascii="SimSun" w:hAnsi="SimSun" w:hint="eastAsia"/>
          <w:sz w:val="21"/>
          <w:szCs w:val="21"/>
        </w:rPr>
        <w:t>第1</w:t>
      </w:r>
      <w:r w:rsidRPr="00D56A55">
        <w:rPr>
          <w:rFonts w:ascii="SimSun" w:hAnsi="SimSun"/>
          <w:sz w:val="21"/>
          <w:szCs w:val="21"/>
        </w:rPr>
        <w:t>6</w:t>
      </w:r>
      <w:r w:rsidRPr="00D56A55">
        <w:rPr>
          <w:rFonts w:ascii="SimSun" w:hAnsi="SimSun" w:hint="eastAsia"/>
          <w:sz w:val="21"/>
          <w:szCs w:val="21"/>
        </w:rPr>
        <w:t>段）：</w:t>
      </w:r>
    </w:p>
    <w:p w:rsidR="008C5A0C" w:rsidRPr="00D56A55" w:rsidRDefault="00423C69" w:rsidP="00F83E57">
      <w:pPr>
        <w:pStyle w:val="ONUME"/>
        <w:numPr>
          <w:ilvl w:val="0"/>
          <w:numId w:val="6"/>
        </w:numPr>
        <w:tabs>
          <w:tab w:val="clear" w:pos="567"/>
        </w:tabs>
        <w:overflowPunct w:val="0"/>
        <w:spacing w:afterLines="50" w:after="120" w:line="340" w:lineRule="atLeast"/>
        <w:ind w:left="567" w:firstLine="0"/>
        <w:jc w:val="both"/>
        <w:rPr>
          <w:rFonts w:ascii="SimSun" w:hAnsi="SimSun"/>
          <w:sz w:val="21"/>
          <w:szCs w:val="21"/>
        </w:rPr>
      </w:pPr>
      <w:r w:rsidRPr="00D56A55">
        <w:rPr>
          <w:rFonts w:ascii="SimSun" w:hAnsi="SimSun" w:hint="eastAsia"/>
          <w:sz w:val="21"/>
          <w:szCs w:val="21"/>
        </w:rPr>
        <w:t>确保PCT最低限度文献包含所有国际检索单位的专利集，不考虑国际检索单位的官方语言，并把该条作为国际检索单位需要满足的要求（通过修订细则3</w:t>
      </w:r>
      <w:r w:rsidRPr="00D56A55">
        <w:rPr>
          <w:rFonts w:ascii="SimSun" w:hAnsi="SimSun"/>
          <w:sz w:val="21"/>
          <w:szCs w:val="21"/>
        </w:rPr>
        <w:t>6</w:t>
      </w:r>
      <w:r w:rsidRPr="00D56A55">
        <w:rPr>
          <w:rFonts w:ascii="SimSun" w:hAnsi="SimSun" w:hint="eastAsia"/>
          <w:sz w:val="21"/>
          <w:szCs w:val="21"/>
        </w:rPr>
        <w:t>）；</w:t>
      </w:r>
    </w:p>
    <w:p w:rsidR="008C5A0C" w:rsidRPr="00D56A55" w:rsidRDefault="00423C69" w:rsidP="00F83E57">
      <w:pPr>
        <w:pStyle w:val="ONUME"/>
        <w:numPr>
          <w:ilvl w:val="0"/>
          <w:numId w:val="6"/>
        </w:numPr>
        <w:tabs>
          <w:tab w:val="clear" w:pos="567"/>
        </w:tabs>
        <w:overflowPunct w:val="0"/>
        <w:spacing w:afterLines="50" w:after="120" w:line="340" w:lineRule="atLeast"/>
        <w:ind w:left="567" w:firstLine="0"/>
        <w:jc w:val="both"/>
        <w:rPr>
          <w:rFonts w:ascii="SimSun" w:hAnsi="SimSun"/>
          <w:sz w:val="21"/>
          <w:szCs w:val="21"/>
        </w:rPr>
      </w:pPr>
      <w:r w:rsidRPr="00D56A55">
        <w:rPr>
          <w:rFonts w:ascii="SimSun" w:hAnsi="SimSun" w:hint="eastAsia"/>
          <w:sz w:val="21"/>
          <w:szCs w:val="21"/>
        </w:rPr>
        <w:t>放松细则3</w:t>
      </w:r>
      <w:r w:rsidRPr="00D56A55">
        <w:rPr>
          <w:rFonts w:ascii="SimSun" w:hAnsi="SimSun"/>
          <w:sz w:val="21"/>
          <w:szCs w:val="21"/>
        </w:rPr>
        <w:t>4.1</w:t>
      </w:r>
      <w:r w:rsidRPr="00D56A55">
        <w:rPr>
          <w:rFonts w:ascii="SimSun" w:hAnsi="SimSun" w:hint="eastAsia"/>
          <w:sz w:val="21"/>
          <w:szCs w:val="21"/>
        </w:rPr>
        <w:t>中基于语言的标准，使其不仅仅以语言标准一项为依据排除任何专利局的文献集（即删去目前载于细则</w:t>
      </w:r>
      <w:r w:rsidRPr="00D56A55">
        <w:rPr>
          <w:rFonts w:ascii="SimSun" w:hAnsi="SimSun"/>
          <w:sz w:val="21"/>
          <w:szCs w:val="21"/>
        </w:rPr>
        <w:t>34.1(c)(vi)</w:t>
      </w:r>
      <w:r w:rsidRPr="00D56A55">
        <w:rPr>
          <w:rFonts w:ascii="SimSun" w:hAnsi="SimSun" w:hint="eastAsia"/>
          <w:sz w:val="21"/>
          <w:szCs w:val="21"/>
        </w:rPr>
        <w:t>的对于英文、法文、德文和西班牙的提及）；</w:t>
      </w:r>
    </w:p>
    <w:p w:rsidR="008C5A0C" w:rsidRPr="00D56A55" w:rsidRDefault="00423C69" w:rsidP="00F83E57">
      <w:pPr>
        <w:pStyle w:val="ONUME"/>
        <w:numPr>
          <w:ilvl w:val="0"/>
          <w:numId w:val="6"/>
        </w:numPr>
        <w:tabs>
          <w:tab w:val="clear" w:pos="567"/>
        </w:tabs>
        <w:overflowPunct w:val="0"/>
        <w:spacing w:afterLines="50" w:after="120" w:line="340" w:lineRule="atLeast"/>
        <w:ind w:left="567" w:firstLine="0"/>
        <w:jc w:val="both"/>
        <w:rPr>
          <w:rFonts w:ascii="SimSun" w:hAnsi="SimSun"/>
          <w:sz w:val="21"/>
          <w:szCs w:val="21"/>
        </w:rPr>
      </w:pPr>
      <w:r w:rsidRPr="00D56A55">
        <w:rPr>
          <w:rFonts w:ascii="SimSun" w:hAnsi="SimSun" w:hint="eastAsia"/>
          <w:sz w:val="21"/>
          <w:szCs w:val="21"/>
        </w:rPr>
        <w:t>确保属于PCT最低限度文献的任何专利集（无论是来自国际检索单位还是其他专利局）都为免费提供，并符合将在接下来讨论的框架内确立的技术和可得性要求（包括但不限于在目标C中所处理的内容）；及</w:t>
      </w:r>
    </w:p>
    <w:p w:rsidR="008C5A0C" w:rsidRPr="00D56A55" w:rsidRDefault="00423C69" w:rsidP="00F83E57">
      <w:pPr>
        <w:pStyle w:val="ONUME"/>
        <w:numPr>
          <w:ilvl w:val="0"/>
          <w:numId w:val="6"/>
        </w:numPr>
        <w:tabs>
          <w:tab w:val="clear" w:pos="567"/>
        </w:tabs>
        <w:overflowPunct w:val="0"/>
        <w:spacing w:afterLines="50" w:after="120" w:line="340" w:lineRule="atLeast"/>
        <w:ind w:left="567" w:firstLine="0"/>
        <w:jc w:val="both"/>
        <w:rPr>
          <w:rFonts w:ascii="SimSun" w:hAnsi="SimSun"/>
          <w:sz w:val="21"/>
          <w:szCs w:val="21"/>
        </w:rPr>
      </w:pPr>
      <w:r w:rsidRPr="00D56A55">
        <w:rPr>
          <w:rFonts w:ascii="SimSun" w:hAnsi="SimSun" w:hint="eastAsia"/>
          <w:sz w:val="21"/>
          <w:szCs w:val="21"/>
        </w:rPr>
        <w:t>在PCT最低限度文献中纳入在其他任何国家首次提交并于1</w:t>
      </w:r>
      <w:r w:rsidRPr="00D56A55">
        <w:rPr>
          <w:rFonts w:ascii="SimSun" w:hAnsi="SimSun"/>
          <w:sz w:val="21"/>
          <w:szCs w:val="21"/>
        </w:rPr>
        <w:t>920</w:t>
      </w:r>
      <w:r w:rsidRPr="00D56A55">
        <w:rPr>
          <w:rFonts w:ascii="SimSun" w:hAnsi="SimSun" w:hint="eastAsia"/>
          <w:sz w:val="21"/>
          <w:szCs w:val="21"/>
        </w:rPr>
        <w:t>年后公布的申请，以及通常在公布六个月后提供的相应英文摘要和所提供的原文全文。</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关于在目标B项下处理的实用新型方面的第二个问题，欧洲专利局报告说，从第一轮讨论中可得到的结论是，在未来修订细则3</w:t>
      </w:r>
      <w:r w:rsidRPr="00D56A55">
        <w:rPr>
          <w:rFonts w:ascii="SimSun" w:hAnsi="SimSun"/>
          <w:sz w:val="21"/>
          <w:szCs w:val="21"/>
        </w:rPr>
        <w:t>4.1</w:t>
      </w:r>
      <w:r w:rsidRPr="00D56A55">
        <w:rPr>
          <w:rFonts w:ascii="SimSun" w:hAnsi="SimSun" w:hint="eastAsia"/>
          <w:sz w:val="21"/>
          <w:szCs w:val="21"/>
        </w:rPr>
        <w:t>的框架内，应至少实现以下目标（文件</w:t>
      </w:r>
      <w:r w:rsidRPr="00D56A55">
        <w:rPr>
          <w:rFonts w:ascii="SimSun" w:hAnsi="SimSun"/>
          <w:sz w:val="21"/>
          <w:szCs w:val="21"/>
        </w:rPr>
        <w:t>PCT/MIA/26/8</w:t>
      </w:r>
      <w:r w:rsidRPr="00D56A55">
        <w:rPr>
          <w:rFonts w:ascii="SimSun" w:hAnsi="SimSun" w:hint="eastAsia"/>
          <w:sz w:val="21"/>
          <w:szCs w:val="21"/>
        </w:rPr>
        <w:t>第1</w:t>
      </w:r>
      <w:r w:rsidRPr="00D56A55">
        <w:rPr>
          <w:rFonts w:ascii="SimSun" w:hAnsi="SimSun"/>
          <w:sz w:val="21"/>
          <w:szCs w:val="21"/>
        </w:rPr>
        <w:t>7</w:t>
      </w:r>
      <w:r w:rsidRPr="00D56A55">
        <w:rPr>
          <w:rFonts w:ascii="SimSun" w:hAnsi="SimSun" w:hint="eastAsia"/>
          <w:sz w:val="21"/>
          <w:szCs w:val="21"/>
        </w:rPr>
        <w:t>段）：</w:t>
      </w:r>
    </w:p>
    <w:p w:rsidR="008C5A0C" w:rsidRPr="00D56A55" w:rsidRDefault="00423C69" w:rsidP="00F83E57">
      <w:pPr>
        <w:pStyle w:val="ONUME"/>
        <w:numPr>
          <w:ilvl w:val="0"/>
          <w:numId w:val="6"/>
        </w:numPr>
        <w:tabs>
          <w:tab w:val="clear" w:pos="567"/>
        </w:tabs>
        <w:overflowPunct w:val="0"/>
        <w:spacing w:afterLines="50" w:after="120" w:line="340" w:lineRule="atLeast"/>
        <w:ind w:left="567" w:firstLine="0"/>
        <w:jc w:val="both"/>
        <w:rPr>
          <w:rFonts w:ascii="SimSun" w:hAnsi="SimSun"/>
          <w:sz w:val="21"/>
          <w:szCs w:val="21"/>
        </w:rPr>
      </w:pPr>
      <w:r w:rsidRPr="00D56A55">
        <w:rPr>
          <w:rFonts w:ascii="SimSun" w:hAnsi="SimSun" w:hint="eastAsia"/>
          <w:sz w:val="21"/>
          <w:szCs w:val="21"/>
        </w:rPr>
        <w:t>扩充PCT最低限度文献，使其包含更多实用新型集，即在把实用新型集纳入PCT最低限度文献时适用与专利集将要适用的条件和要求相同的条件和要求（如基于语言的标准、技术要求、国际检索单位在PCT最低限度文献中纳入其实用新型集（如适用）的义务）。</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关于目标C，欧洲专利局报告说，从第一轮讨论中可得到的结论是，各方普遍同意为目标C的目的使用单位文档标准ST</w:t>
      </w:r>
      <w:r w:rsidRPr="00D56A55">
        <w:rPr>
          <w:rFonts w:ascii="SimSun" w:hAnsi="SimSun"/>
          <w:sz w:val="21"/>
          <w:szCs w:val="21"/>
        </w:rPr>
        <w:t>.37</w:t>
      </w:r>
      <w:r w:rsidRPr="00D56A55">
        <w:rPr>
          <w:rFonts w:ascii="SimSun" w:hAnsi="SimSun" w:hint="eastAsia"/>
          <w:sz w:val="21"/>
          <w:szCs w:val="21"/>
        </w:rPr>
        <w:t>，但需对具体内容进行进一步讨论。为此建议在接下来关于目标C讨论的框架内所确立的技术标准不直接纳入细则3</w:t>
      </w:r>
      <w:r w:rsidRPr="00D56A55">
        <w:rPr>
          <w:rFonts w:ascii="SimSun" w:hAnsi="SimSun"/>
          <w:sz w:val="21"/>
          <w:szCs w:val="21"/>
        </w:rPr>
        <w:t>4.1</w:t>
      </w:r>
      <w:r w:rsidRPr="00D56A55">
        <w:rPr>
          <w:rFonts w:ascii="SimSun" w:hAnsi="SimSun" w:hint="eastAsia"/>
          <w:sz w:val="21"/>
          <w:szCs w:val="21"/>
        </w:rPr>
        <w:t>，而是纳入细则3</w:t>
      </w:r>
      <w:r w:rsidRPr="00D56A55">
        <w:rPr>
          <w:rFonts w:ascii="SimSun" w:hAnsi="SimSun"/>
          <w:sz w:val="21"/>
          <w:szCs w:val="21"/>
        </w:rPr>
        <w:t>4.1</w:t>
      </w:r>
      <w:r w:rsidRPr="00D56A55">
        <w:rPr>
          <w:rFonts w:ascii="SimSun" w:hAnsi="SimSun" w:hint="eastAsia"/>
          <w:sz w:val="21"/>
          <w:szCs w:val="21"/>
        </w:rPr>
        <w:t>应援引的PCT行政规程（的一个附件）（文件</w:t>
      </w:r>
      <w:r w:rsidRPr="00D56A55">
        <w:rPr>
          <w:rFonts w:ascii="SimSun" w:hAnsi="SimSun"/>
          <w:sz w:val="21"/>
          <w:szCs w:val="21"/>
        </w:rPr>
        <w:t>PCT/MIA/26/8</w:t>
      </w:r>
      <w:r w:rsidRPr="00D56A55">
        <w:rPr>
          <w:rFonts w:ascii="SimSun" w:hAnsi="SimSun" w:hint="eastAsia"/>
          <w:sz w:val="21"/>
          <w:szCs w:val="21"/>
        </w:rPr>
        <w:t>第2</w:t>
      </w:r>
      <w:r w:rsidRPr="00D56A55">
        <w:rPr>
          <w:rFonts w:ascii="SimSun" w:hAnsi="SimSun"/>
          <w:sz w:val="21"/>
          <w:szCs w:val="21"/>
        </w:rPr>
        <w:t>0</w:t>
      </w:r>
      <w:r w:rsidRPr="00D56A55">
        <w:rPr>
          <w:rFonts w:ascii="SimSun" w:hAnsi="SimSun" w:hint="eastAsia"/>
          <w:sz w:val="21"/>
          <w:szCs w:val="21"/>
        </w:rPr>
        <w:t>段）。</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关于目标D，美国专利商标局介绍了对于通函</w:t>
      </w:r>
      <w:r w:rsidRPr="00D56A55">
        <w:rPr>
          <w:rFonts w:ascii="SimSun" w:hAnsi="SimSun"/>
          <w:sz w:val="21"/>
          <w:szCs w:val="21"/>
        </w:rPr>
        <w:t>C.PCT 1544</w:t>
      </w:r>
      <w:r w:rsidRPr="00D56A55">
        <w:rPr>
          <w:rFonts w:ascii="SimSun" w:hAnsi="SimSun" w:hint="eastAsia"/>
          <w:sz w:val="21"/>
          <w:szCs w:val="21"/>
        </w:rPr>
        <w:t>所</w:t>
      </w:r>
      <w:proofErr w:type="gramStart"/>
      <w:r w:rsidRPr="00D56A55">
        <w:rPr>
          <w:rFonts w:ascii="SimSun" w:hAnsi="SimSun" w:hint="eastAsia"/>
          <w:sz w:val="21"/>
          <w:szCs w:val="21"/>
        </w:rPr>
        <w:t>载调查</w:t>
      </w:r>
      <w:proofErr w:type="gramEnd"/>
      <w:r w:rsidRPr="00D56A55">
        <w:rPr>
          <w:rFonts w:ascii="SimSun" w:hAnsi="SimSun" w:hint="eastAsia"/>
          <w:sz w:val="21"/>
          <w:szCs w:val="21"/>
        </w:rPr>
        <w:t>问卷的答复的一些初步评论意见（见文件</w:t>
      </w:r>
      <w:r w:rsidRPr="00D56A55">
        <w:rPr>
          <w:rFonts w:ascii="SimSun" w:hAnsi="SimSun"/>
          <w:sz w:val="21"/>
          <w:szCs w:val="21"/>
        </w:rPr>
        <w:t>PCT/MIA/26/8</w:t>
      </w:r>
      <w:r w:rsidRPr="00D56A55">
        <w:rPr>
          <w:rFonts w:ascii="SimSun" w:hAnsi="SimSun" w:hint="eastAsia"/>
          <w:sz w:val="21"/>
          <w:szCs w:val="21"/>
        </w:rPr>
        <w:t>附件四）。</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在这届MIA会议上，各单位对在所有领域取得的进展表示欢迎，讨论了任务组的上述现状报告（文件</w:t>
      </w:r>
      <w:r w:rsidRPr="00D56A55">
        <w:rPr>
          <w:rFonts w:ascii="SimSun" w:hAnsi="SimSun"/>
          <w:sz w:val="21"/>
          <w:szCs w:val="21"/>
        </w:rPr>
        <w:t>PCT/MIA/26/8</w:t>
      </w:r>
      <w:r w:rsidRPr="00D56A55">
        <w:rPr>
          <w:rFonts w:ascii="SimSun" w:hAnsi="SimSun" w:hint="eastAsia"/>
          <w:sz w:val="21"/>
          <w:szCs w:val="21"/>
        </w:rPr>
        <w:t>），并就有关目标B、C和D的问题发表了若干评论意见（见文件</w:t>
      </w:r>
      <w:r w:rsidRPr="00D56A55">
        <w:rPr>
          <w:rFonts w:ascii="SimSun" w:hAnsi="SimSun"/>
          <w:sz w:val="21"/>
          <w:szCs w:val="21"/>
        </w:rPr>
        <w:t>PCT/MIA/26/13</w:t>
      </w:r>
      <w:r w:rsidRPr="00D56A55">
        <w:rPr>
          <w:rFonts w:ascii="SimSun" w:hAnsi="SimSun" w:hint="eastAsia"/>
          <w:sz w:val="21"/>
          <w:szCs w:val="21"/>
        </w:rPr>
        <w:t>第7</w:t>
      </w:r>
      <w:r w:rsidRPr="00D56A55">
        <w:rPr>
          <w:rFonts w:ascii="SimSun" w:hAnsi="SimSun"/>
          <w:sz w:val="21"/>
          <w:szCs w:val="21"/>
        </w:rPr>
        <w:t>4</w:t>
      </w:r>
      <w:r w:rsidRPr="00D56A55">
        <w:rPr>
          <w:rFonts w:ascii="SimSun" w:hAnsi="SimSun" w:hint="eastAsia"/>
          <w:sz w:val="21"/>
          <w:szCs w:val="21"/>
        </w:rPr>
        <w:t>段至第8</w:t>
      </w:r>
      <w:r w:rsidRPr="00D56A55">
        <w:rPr>
          <w:rFonts w:ascii="SimSun" w:hAnsi="SimSun"/>
          <w:sz w:val="21"/>
          <w:szCs w:val="21"/>
        </w:rPr>
        <w:t>3</w:t>
      </w:r>
      <w:r w:rsidRPr="00D56A55">
        <w:rPr>
          <w:rFonts w:ascii="SimSun" w:hAnsi="SimSun" w:hint="eastAsia"/>
          <w:sz w:val="21"/>
          <w:szCs w:val="21"/>
        </w:rPr>
        <w:t>段，转录于文件</w:t>
      </w:r>
      <w:r w:rsidRPr="00D56A55">
        <w:rPr>
          <w:rFonts w:ascii="SimSun" w:hAnsi="SimSun"/>
          <w:sz w:val="21"/>
          <w:szCs w:val="21"/>
        </w:rPr>
        <w:t>PCT/WG/12/2</w:t>
      </w:r>
      <w:r w:rsidRPr="00D56A55">
        <w:rPr>
          <w:rFonts w:ascii="SimSun" w:hAnsi="SimSun" w:hint="eastAsia"/>
          <w:sz w:val="21"/>
          <w:szCs w:val="21"/>
        </w:rPr>
        <w:t>附件）。欧洲专利局指出要注意的是目标B和C中未决</w:t>
      </w:r>
      <w:r w:rsidRPr="00D56A55">
        <w:rPr>
          <w:rFonts w:ascii="SimSun" w:hAnsi="SimSun" w:hint="eastAsia"/>
          <w:sz w:val="21"/>
          <w:szCs w:val="21"/>
        </w:rPr>
        <w:lastRenderedPageBreak/>
        <w:t>的具体问题十分复杂，通过电子论坛最终解决这些问题可能是一个漫长而艰难的过程，因此它建议召开一次任务组实体会议，使专家能够面对面进行交流（文件</w:t>
      </w:r>
      <w:r w:rsidRPr="00D56A55">
        <w:rPr>
          <w:rFonts w:ascii="SimSun" w:hAnsi="SimSun"/>
          <w:sz w:val="21"/>
          <w:szCs w:val="21"/>
        </w:rPr>
        <w:t>PCT/MIA/26/13</w:t>
      </w:r>
      <w:r w:rsidRPr="00D56A55">
        <w:rPr>
          <w:rFonts w:ascii="SimSun" w:hAnsi="SimSun" w:hint="eastAsia"/>
          <w:sz w:val="21"/>
          <w:szCs w:val="21"/>
        </w:rPr>
        <w:t>第7</w:t>
      </w:r>
      <w:r w:rsidRPr="00D56A55">
        <w:rPr>
          <w:rFonts w:ascii="SimSun" w:hAnsi="SimSun"/>
          <w:sz w:val="21"/>
          <w:szCs w:val="21"/>
        </w:rPr>
        <w:t>5</w:t>
      </w:r>
      <w:r w:rsidRPr="00D56A55">
        <w:rPr>
          <w:rFonts w:ascii="SimSun" w:hAnsi="SimSun" w:hint="eastAsia"/>
          <w:sz w:val="21"/>
          <w:szCs w:val="21"/>
        </w:rPr>
        <w:t>段）。</w:t>
      </w:r>
    </w:p>
    <w:p w:rsidR="008C5A0C" w:rsidRPr="00D56A55" w:rsidRDefault="00423C69" w:rsidP="00F83E57">
      <w:pPr>
        <w:pStyle w:val="ONUME"/>
        <w:tabs>
          <w:tab w:val="clear" w:pos="567"/>
        </w:tabs>
        <w:overflowPunct w:val="0"/>
        <w:spacing w:afterLines="50" w:after="120" w:line="340" w:lineRule="atLeast"/>
        <w:jc w:val="both"/>
        <w:rPr>
          <w:rFonts w:ascii="SimSun" w:hAnsi="SimSun"/>
          <w:sz w:val="21"/>
          <w:szCs w:val="21"/>
        </w:rPr>
      </w:pPr>
      <w:r w:rsidRPr="00D56A55">
        <w:rPr>
          <w:rFonts w:ascii="SimSun" w:hAnsi="SimSun" w:hint="eastAsia"/>
          <w:sz w:val="21"/>
          <w:szCs w:val="21"/>
        </w:rPr>
        <w:t>根据欧洲专利局的上述建议，已安排召开一次任务组实体会议，尤其旨在尽早取得进展，以最终敲定在PCT最低限度文献中纳入国家专利集以及纳入专利数据著录和文本部分的条件和标准。会议将于2</w:t>
      </w:r>
      <w:r w:rsidRPr="00D56A55">
        <w:rPr>
          <w:rFonts w:ascii="SimSun" w:hAnsi="SimSun"/>
          <w:sz w:val="21"/>
          <w:szCs w:val="21"/>
        </w:rPr>
        <w:t>019</w:t>
      </w:r>
      <w:r w:rsidRPr="00D56A55">
        <w:rPr>
          <w:rFonts w:ascii="SimSun" w:hAnsi="SimSun" w:hint="eastAsia"/>
          <w:sz w:val="21"/>
          <w:szCs w:val="21"/>
        </w:rPr>
        <w:t>年5月2</w:t>
      </w:r>
      <w:r w:rsidRPr="00D56A55">
        <w:rPr>
          <w:rFonts w:ascii="SimSun" w:hAnsi="SimSun"/>
          <w:sz w:val="21"/>
          <w:szCs w:val="21"/>
        </w:rPr>
        <w:t>1</w:t>
      </w:r>
      <w:r w:rsidRPr="00D56A55">
        <w:rPr>
          <w:rFonts w:ascii="SimSun" w:hAnsi="SimSun" w:hint="eastAsia"/>
          <w:sz w:val="21"/>
          <w:szCs w:val="21"/>
        </w:rPr>
        <w:t>日和2</w:t>
      </w:r>
      <w:r w:rsidRPr="00D56A55">
        <w:rPr>
          <w:rFonts w:ascii="SimSun" w:hAnsi="SimSun"/>
          <w:sz w:val="21"/>
          <w:szCs w:val="21"/>
        </w:rPr>
        <w:t>2</w:t>
      </w:r>
      <w:r w:rsidRPr="00D56A55">
        <w:rPr>
          <w:rFonts w:ascii="SimSun" w:hAnsi="SimSun" w:hint="eastAsia"/>
          <w:sz w:val="21"/>
          <w:szCs w:val="21"/>
        </w:rPr>
        <w:t>日在慕尼黑欧洲专利局总部举行。希望任务组经过此次会议的讨论在2</w:t>
      </w:r>
      <w:r w:rsidRPr="00D56A55">
        <w:rPr>
          <w:rFonts w:ascii="SimSun" w:hAnsi="SimSun"/>
          <w:sz w:val="21"/>
          <w:szCs w:val="21"/>
        </w:rPr>
        <w:t>020</w:t>
      </w:r>
      <w:r w:rsidRPr="00D56A55">
        <w:rPr>
          <w:rFonts w:ascii="SimSun" w:hAnsi="SimSun" w:hint="eastAsia"/>
          <w:sz w:val="21"/>
          <w:szCs w:val="21"/>
        </w:rPr>
        <w:t>年初期向PCT</w:t>
      </w:r>
      <w:r w:rsidRPr="00D56A55">
        <w:rPr>
          <w:rFonts w:ascii="SimSun" w:hAnsi="SimSun"/>
          <w:sz w:val="21"/>
          <w:szCs w:val="21"/>
        </w:rPr>
        <w:t>/MIA</w:t>
      </w:r>
      <w:r w:rsidRPr="00D56A55">
        <w:rPr>
          <w:rFonts w:ascii="SimSun" w:hAnsi="SimSun" w:hint="eastAsia"/>
          <w:sz w:val="21"/>
          <w:szCs w:val="21"/>
        </w:rPr>
        <w:t>提交各项具体建议。借此次实体会议的机会还可对目标D进行进一步讨论。欧洲专利局将在本届会议上口头报告在该会议中取得的进展。</w:t>
      </w:r>
    </w:p>
    <w:p w:rsidR="008C5A0C" w:rsidRDefault="00423C69" w:rsidP="00F83E57">
      <w:pPr>
        <w:pStyle w:val="ONUME"/>
        <w:tabs>
          <w:tab w:val="clear" w:pos="567"/>
        </w:tabs>
        <w:spacing w:afterLines="50" w:after="120" w:line="340" w:lineRule="atLeast"/>
        <w:ind w:left="5534"/>
        <w:rPr>
          <w:rFonts w:ascii="楷体" w:eastAsia="楷体" w:hAnsi="楷体"/>
          <w:sz w:val="21"/>
          <w:szCs w:val="21"/>
        </w:rPr>
      </w:pPr>
      <w:r>
        <w:rPr>
          <w:rFonts w:ascii="楷体" w:eastAsia="楷体" w:hAnsi="楷体" w:hint="eastAsia"/>
          <w:sz w:val="21"/>
          <w:szCs w:val="21"/>
        </w:rPr>
        <w:t>请工作组注意本文件的内容。</w:t>
      </w:r>
    </w:p>
    <w:p w:rsidR="00F83E57" w:rsidRDefault="00F83E57" w:rsidP="00F83E57">
      <w:pPr>
        <w:pStyle w:val="Endofdocument-Annex"/>
        <w:spacing w:afterLines="50" w:after="120" w:line="340" w:lineRule="atLeast"/>
        <w:rPr>
          <w:rFonts w:ascii="KaiTi" w:eastAsia="KaiTi" w:hAnsi="KaiTi"/>
          <w:sz w:val="21"/>
          <w:szCs w:val="21"/>
        </w:rPr>
      </w:pPr>
    </w:p>
    <w:p w:rsidR="008C5A0C" w:rsidRPr="00F83E57" w:rsidRDefault="00423C69" w:rsidP="00F83E57">
      <w:pPr>
        <w:pStyle w:val="Endofdocument-Annex"/>
        <w:spacing w:afterLines="50" w:after="120" w:line="340" w:lineRule="atLeast"/>
        <w:rPr>
          <w:rFonts w:ascii="KaiTi" w:eastAsia="KaiTi" w:hAnsi="KaiTi"/>
          <w:sz w:val="21"/>
          <w:szCs w:val="21"/>
        </w:rPr>
      </w:pPr>
      <w:r w:rsidRPr="00F83E57">
        <w:rPr>
          <w:rFonts w:ascii="KaiTi" w:eastAsia="KaiTi" w:hAnsi="KaiTi"/>
          <w:sz w:val="21"/>
          <w:szCs w:val="21"/>
        </w:rPr>
        <w:t>[</w:t>
      </w:r>
      <w:r w:rsidRPr="00F83E57">
        <w:rPr>
          <w:rFonts w:ascii="KaiTi" w:eastAsia="KaiTi" w:hAnsi="KaiTi" w:hint="eastAsia"/>
          <w:sz w:val="21"/>
          <w:szCs w:val="21"/>
        </w:rPr>
        <w:t>文件完</w:t>
      </w:r>
      <w:r w:rsidRPr="00F83E57">
        <w:rPr>
          <w:rFonts w:ascii="KaiTi" w:eastAsia="KaiTi" w:hAnsi="KaiTi"/>
          <w:sz w:val="21"/>
          <w:szCs w:val="21"/>
        </w:rPr>
        <w:t>]</w:t>
      </w:r>
    </w:p>
    <w:sectPr w:rsidR="008C5A0C" w:rsidRPr="00F83E57">
      <w:headerReference w:type="default" r:id="rId9"/>
      <w:endnotePr>
        <w:numFmt w:val="decimal"/>
      </w:endnotePr>
      <w:pgSz w:w="11907" w:h="16840"/>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227" w:rsidRDefault="00423C69">
      <w:r>
        <w:separator/>
      </w:r>
    </w:p>
  </w:endnote>
  <w:endnote w:type="continuationSeparator" w:id="0">
    <w:p w:rsidR="004F7227" w:rsidRDefault="0042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STKaiti"/>
    <w:panose1 w:val="02010609060101010101"/>
    <w:charset w:val="86"/>
    <w:family w:val="modern"/>
    <w:pitch w:val="fixed"/>
    <w:sig w:usb0="800002BF" w:usb1="38CF7CFA" w:usb2="00000016" w:usb3="00000000" w:csb0="00040001" w:csb1="00000000"/>
  </w:font>
  <w:font w:name="楷体">
    <w:altName w:val="KaiTi"/>
    <w:charset w:val="86"/>
    <w:family w:val="modern"/>
    <w:pitch w:val="default"/>
    <w:sig w:usb0="00000000" w:usb1="0000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SimSun"/>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227" w:rsidRDefault="00423C69">
      <w:r>
        <w:separator/>
      </w:r>
    </w:p>
  </w:footnote>
  <w:footnote w:type="continuationSeparator" w:id="0">
    <w:p w:rsidR="004F7227" w:rsidRDefault="00423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0C" w:rsidRPr="00D56A55" w:rsidRDefault="00423C69">
    <w:pPr>
      <w:jc w:val="right"/>
      <w:rPr>
        <w:rFonts w:ascii="SimSun" w:hAnsi="SimSun"/>
        <w:sz w:val="21"/>
      </w:rPr>
    </w:pPr>
    <w:bookmarkStart w:id="7" w:name="Code2"/>
    <w:bookmarkEnd w:id="7"/>
    <w:r w:rsidRPr="00D56A55">
      <w:rPr>
        <w:rFonts w:ascii="SimSun" w:hAnsi="SimSun"/>
        <w:sz w:val="21"/>
      </w:rPr>
      <w:t>PCT/WG/12/16</w:t>
    </w:r>
  </w:p>
  <w:p w:rsidR="008C5A0C" w:rsidRPr="00D56A55" w:rsidRDefault="003E5CEF">
    <w:pPr>
      <w:jc w:val="right"/>
      <w:rPr>
        <w:rFonts w:ascii="SimSun" w:hAnsi="SimSun"/>
        <w:sz w:val="21"/>
      </w:rPr>
    </w:pPr>
    <w:r>
      <w:rPr>
        <w:rFonts w:ascii="SimSun" w:hAnsi="SimSun" w:hint="eastAsia"/>
        <w:sz w:val="21"/>
      </w:rPr>
      <w:t>第</w:t>
    </w:r>
    <w:r w:rsidR="00423C69" w:rsidRPr="00D56A55">
      <w:rPr>
        <w:rFonts w:ascii="SimSun" w:hAnsi="SimSun"/>
        <w:sz w:val="21"/>
      </w:rPr>
      <w:fldChar w:fldCharType="begin"/>
    </w:r>
    <w:r w:rsidR="00423C69" w:rsidRPr="00D56A55">
      <w:rPr>
        <w:rFonts w:ascii="SimSun" w:hAnsi="SimSun"/>
        <w:sz w:val="21"/>
      </w:rPr>
      <w:instrText xml:space="preserve"> PAGE  \* MERGEFORMAT </w:instrText>
    </w:r>
    <w:r w:rsidR="00423C69" w:rsidRPr="00D56A55">
      <w:rPr>
        <w:rFonts w:ascii="SimSun" w:hAnsi="SimSun"/>
        <w:sz w:val="21"/>
      </w:rPr>
      <w:fldChar w:fldCharType="separate"/>
    </w:r>
    <w:r w:rsidR="00407FE1">
      <w:rPr>
        <w:rFonts w:ascii="SimSun" w:hAnsi="SimSun"/>
        <w:noProof/>
        <w:sz w:val="21"/>
      </w:rPr>
      <w:t>2</w:t>
    </w:r>
    <w:r w:rsidR="00423C69" w:rsidRPr="00D56A55">
      <w:rPr>
        <w:rFonts w:ascii="SimSun" w:hAnsi="SimSun"/>
        <w:sz w:val="21"/>
      </w:rPr>
      <w:fldChar w:fldCharType="end"/>
    </w:r>
    <w:r>
      <w:rPr>
        <w:rFonts w:ascii="SimSun" w:hAnsi="SimSun" w:hint="eastAsia"/>
        <w:sz w:val="21"/>
      </w:rPr>
      <w:t>页</w:t>
    </w:r>
  </w:p>
  <w:p w:rsidR="008C5A0C" w:rsidRPr="00D56A55" w:rsidRDefault="008C5A0C">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15:restartNumberingAfterBreak="0">
    <w:nsid w:val="164E5225"/>
    <w:multiLevelType w:val="multilevel"/>
    <w:tmpl w:val="164E52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991D5D"/>
    <w:multiLevelType w:val="multilevel"/>
    <w:tmpl w:val="1A991D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4" w15:restartNumberingAfterBreak="0">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1847D4"/>
    <w:multiLevelType w:val="multilevel"/>
    <w:tmpl w:val="51184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FB2788"/>
    <w:multiLevelType w:val="multilevel"/>
    <w:tmpl w:val="77FB27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6"/>
  </w:num>
  <w:num w:numId="6">
    <w:abstractNumId w:val="2"/>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568"/>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0C"/>
    <w:rsid w:val="003E5CEF"/>
    <w:rsid w:val="00407FE1"/>
    <w:rsid w:val="00423C69"/>
    <w:rsid w:val="004C4269"/>
    <w:rsid w:val="004F7227"/>
    <w:rsid w:val="008C5A0C"/>
    <w:rsid w:val="00D56A55"/>
    <w:rsid w:val="00F83E5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07184CA-164E-4B12-A9F1-7FF56830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semiHidden="1"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qFormat="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semiHidden/>
    <w:qFormat/>
    <w:pPr>
      <w:numPr>
        <w:numId w:val="1"/>
      </w:numPr>
    </w:pPr>
  </w:style>
  <w:style w:type="paragraph" w:styleId="a4">
    <w:name w:val="caption"/>
    <w:basedOn w:val="a0"/>
    <w:next w:val="a0"/>
    <w:qFormat/>
    <w:rPr>
      <w:b/>
      <w:bCs/>
      <w:sz w:val="18"/>
    </w:rPr>
  </w:style>
  <w:style w:type="paragraph" w:styleId="a5">
    <w:name w:val="annotation text"/>
    <w:basedOn w:val="a0"/>
    <w:semiHidden/>
    <w:qFormat/>
    <w:rPr>
      <w:sz w:val="18"/>
    </w:rPr>
  </w:style>
  <w:style w:type="paragraph" w:styleId="a6">
    <w:name w:val="Salutation"/>
    <w:basedOn w:val="a0"/>
    <w:next w:val="a0"/>
    <w:semiHidden/>
    <w:qFormat/>
  </w:style>
  <w:style w:type="paragraph" w:styleId="a7">
    <w:name w:val="Body Text"/>
    <w:basedOn w:val="a0"/>
    <w:qFormat/>
    <w:pPr>
      <w:spacing w:after="220"/>
    </w:pPr>
  </w:style>
  <w:style w:type="paragraph" w:styleId="a8">
    <w:name w:val="endnote text"/>
    <w:basedOn w:val="a0"/>
    <w:semiHidden/>
    <w:qFormat/>
    <w:rPr>
      <w:sz w:val="18"/>
    </w:rPr>
  </w:style>
  <w:style w:type="paragraph" w:styleId="a9">
    <w:name w:val="Balloon Text"/>
    <w:basedOn w:val="a0"/>
    <w:link w:val="aa"/>
    <w:qFormat/>
    <w:rPr>
      <w:rFonts w:ascii="Tahoma" w:hAnsi="Tahoma" w:cs="Tahoma"/>
      <w:sz w:val="16"/>
      <w:szCs w:val="16"/>
    </w:rPr>
  </w:style>
  <w:style w:type="paragraph" w:styleId="ab">
    <w:name w:val="footer"/>
    <w:basedOn w:val="a0"/>
    <w:semiHidden/>
    <w:qFormat/>
    <w:pPr>
      <w:tabs>
        <w:tab w:val="center" w:pos="4320"/>
        <w:tab w:val="right" w:pos="8640"/>
      </w:tabs>
    </w:pPr>
  </w:style>
  <w:style w:type="paragraph" w:styleId="ac">
    <w:name w:val="header"/>
    <w:basedOn w:val="a0"/>
    <w:semiHidden/>
    <w:qFormat/>
    <w:pPr>
      <w:tabs>
        <w:tab w:val="center" w:pos="4536"/>
        <w:tab w:val="right" w:pos="9072"/>
      </w:tabs>
    </w:pPr>
  </w:style>
  <w:style w:type="paragraph" w:styleId="ad">
    <w:name w:val="Signature"/>
    <w:basedOn w:val="a0"/>
    <w:semiHidden/>
    <w:qFormat/>
    <w:pPr>
      <w:ind w:left="5250"/>
    </w:pPr>
  </w:style>
  <w:style w:type="paragraph" w:styleId="ae">
    <w:name w:val="footnote text"/>
    <w:basedOn w:val="a0"/>
    <w:semiHidden/>
    <w:qFormat/>
    <w:rPr>
      <w:sz w:val="18"/>
    </w:rPr>
  </w:style>
  <w:style w:type="paragraph" w:customStyle="1" w:styleId="Endofdocument-Annex">
    <w:name w:val="[End of document - Annex]"/>
    <w:basedOn w:val="a0"/>
    <w:qFormat/>
    <w:pPr>
      <w:ind w:left="5534"/>
    </w:pPr>
  </w:style>
  <w:style w:type="paragraph" w:customStyle="1" w:styleId="ONUME">
    <w:name w:val="ONUM E"/>
    <w:basedOn w:val="a7"/>
    <w:qFormat/>
    <w:pPr>
      <w:numPr>
        <w:numId w:val="2"/>
      </w:numPr>
    </w:pPr>
  </w:style>
  <w:style w:type="paragraph" w:customStyle="1" w:styleId="ONUMFS">
    <w:name w:val="ONUM FS"/>
    <w:basedOn w:val="a7"/>
    <w:qFormat/>
    <w:pPr>
      <w:numPr>
        <w:numId w:val="3"/>
      </w:numPr>
    </w:pPr>
  </w:style>
  <w:style w:type="character" w:customStyle="1" w:styleId="aa">
    <w:name w:val="批注框文本 字符"/>
    <w:basedOn w:val="a1"/>
    <w:link w:val="a9"/>
    <w:qFormat/>
    <w:rPr>
      <w:rFonts w:ascii="Tahoma" w:eastAsia="SimSun" w:hAnsi="Tahoma" w:cs="Tahoma"/>
      <w:sz w:val="16"/>
      <w:szCs w:val="16"/>
      <w:lang w:val="en-US" w:eastAsia="zh-CN"/>
    </w:rPr>
  </w:style>
  <w:style w:type="paragraph" w:customStyle="1" w:styleId="10">
    <w:name w:val="列出段落1"/>
    <w:basedOn w:val="a0"/>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682</Words>
  <Characters>3894</Characters>
  <Application>Microsoft Office Word</Application>
  <DocSecurity>0</DocSecurity>
  <Lines>32</Lines>
  <Paragraphs>9</Paragraphs>
  <ScaleCrop>false</ScaleCrop>
  <Company>WIPO</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PCT/WG/12/16</dc:title>
  <dc:subject>PCT最低限度文献：现状报告</dc:subject>
  <dc:creator>WIPO</dc:creator>
  <cp:keywords>PCT最低限度文献：现状报告</cp:keywords>
  <cp:lastModifiedBy>SONG Qiao</cp:lastModifiedBy>
  <cp:revision>57</cp:revision>
  <cp:lastPrinted>2019-05-28T14:10:00Z</cp:lastPrinted>
  <dcterms:created xsi:type="dcterms:W3CDTF">2019-05-20T11:48:00Z</dcterms:created>
  <dcterms:modified xsi:type="dcterms:W3CDTF">2019-05-28T14:22:00Z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KSOProductBuildVer">
    <vt:lpwstr>2052-9.5.0</vt:lpwstr>
  </property>
</Properties>
</file>