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2B16BA" w:rsidRPr="00705A12" w:rsidTr="000F4BE8">
        <w:trPr>
          <w:trHeight w:val="1977"/>
        </w:trPr>
        <w:tc>
          <w:tcPr>
            <w:tcW w:w="4594" w:type="dxa"/>
            <w:tcBorders>
              <w:bottom w:val="single" w:sz="4" w:space="0" w:color="auto"/>
            </w:tcBorders>
            <w:tcMar>
              <w:bottom w:w="170" w:type="dxa"/>
            </w:tcMar>
          </w:tcPr>
          <w:p w:rsidR="002B16BA" w:rsidRPr="00705A12" w:rsidRDefault="002B16BA" w:rsidP="000F4BE8">
            <w:bookmarkStart w:id="0" w:name="_GoBack"/>
            <w:bookmarkEnd w:id="0"/>
            <w:r w:rsidRPr="00705A12">
              <w:rPr>
                <w:rFonts w:hint="eastAsia"/>
                <w:noProof/>
                <w:lang w:val="en-GB" w:eastAsia="en-GB"/>
              </w:rPr>
              <w:drawing>
                <wp:anchor distT="0" distB="0" distL="114300" distR="114300" simplePos="0" relativeHeight="251659264" behindDoc="1" locked="0" layoutInCell="0" allowOverlap="1" wp14:anchorId="5708BE7F" wp14:editId="0580FC0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16BA" w:rsidRPr="00705A12" w:rsidRDefault="002B16BA" w:rsidP="000F4BE8"/>
        </w:tc>
        <w:tc>
          <w:tcPr>
            <w:tcW w:w="425" w:type="dxa"/>
            <w:tcBorders>
              <w:bottom w:val="single" w:sz="4" w:space="0" w:color="auto"/>
            </w:tcBorders>
            <w:tcMar>
              <w:left w:w="0" w:type="dxa"/>
              <w:right w:w="0" w:type="dxa"/>
            </w:tcMar>
          </w:tcPr>
          <w:p w:rsidR="002B16BA" w:rsidRPr="00705A12" w:rsidRDefault="002B16BA" w:rsidP="000F4BE8">
            <w:pPr>
              <w:jc w:val="right"/>
            </w:pPr>
            <w:r w:rsidRPr="00705A12">
              <w:rPr>
                <w:rFonts w:hint="eastAsia"/>
                <w:b/>
                <w:sz w:val="40"/>
                <w:szCs w:val="40"/>
              </w:rPr>
              <w:t>C</w:t>
            </w:r>
          </w:p>
        </w:tc>
      </w:tr>
      <w:tr w:rsidR="002B16BA" w:rsidRPr="00705A12" w:rsidTr="000F4BE8">
        <w:trPr>
          <w:trHeight w:hRule="exact" w:val="340"/>
        </w:trPr>
        <w:tc>
          <w:tcPr>
            <w:tcW w:w="9356" w:type="dxa"/>
            <w:gridSpan w:val="3"/>
            <w:tcBorders>
              <w:top w:val="single" w:sz="4" w:space="0" w:color="auto"/>
            </w:tcBorders>
            <w:tcMar>
              <w:top w:w="170" w:type="dxa"/>
              <w:left w:w="0" w:type="dxa"/>
              <w:right w:w="0" w:type="dxa"/>
            </w:tcMar>
            <w:vAlign w:val="bottom"/>
          </w:tcPr>
          <w:p w:rsidR="002B16BA" w:rsidRPr="00705A12" w:rsidRDefault="002B16BA" w:rsidP="000F4BE8">
            <w:pPr>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7</w:t>
            </w:r>
          </w:p>
        </w:tc>
      </w:tr>
      <w:tr w:rsidR="002B16BA" w:rsidRPr="00705A12" w:rsidTr="000F4BE8">
        <w:trPr>
          <w:trHeight w:hRule="exact" w:val="170"/>
        </w:trPr>
        <w:tc>
          <w:tcPr>
            <w:tcW w:w="9356" w:type="dxa"/>
            <w:gridSpan w:val="3"/>
            <w:noWrap/>
            <w:tcMar>
              <w:left w:w="0" w:type="dxa"/>
              <w:right w:w="0" w:type="dxa"/>
            </w:tcMar>
            <w:vAlign w:val="bottom"/>
          </w:tcPr>
          <w:p w:rsidR="002B16BA" w:rsidRPr="00705A12" w:rsidRDefault="002B16BA" w:rsidP="000F4BE8">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2B16BA" w:rsidRPr="00705A12" w:rsidTr="000F4BE8">
        <w:trPr>
          <w:trHeight w:hRule="exact" w:val="198"/>
        </w:trPr>
        <w:tc>
          <w:tcPr>
            <w:tcW w:w="9356" w:type="dxa"/>
            <w:gridSpan w:val="3"/>
            <w:tcMar>
              <w:left w:w="0" w:type="dxa"/>
              <w:right w:w="0" w:type="dxa"/>
            </w:tcMar>
            <w:vAlign w:val="bottom"/>
          </w:tcPr>
          <w:p w:rsidR="002B16BA" w:rsidRPr="00705A12" w:rsidRDefault="002B16BA" w:rsidP="000F4BE8">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25</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B16BA" w:rsidRPr="00705A12" w:rsidRDefault="002B16BA" w:rsidP="002B16BA">
      <w:pPr>
        <w:rPr>
          <w:rFonts w:ascii="SimHei" w:eastAsia="SimHei"/>
          <w:sz w:val="28"/>
          <w:szCs w:val="28"/>
        </w:rPr>
      </w:pPr>
      <w:r w:rsidRPr="00705A12">
        <w:rPr>
          <w:rFonts w:ascii="SimHei" w:eastAsia="SimHei" w:hint="eastAsia"/>
          <w:sz w:val="28"/>
          <w:szCs w:val="28"/>
        </w:rPr>
        <w:t>专利合作条约（PCT）</w:t>
      </w:r>
    </w:p>
    <w:p w:rsidR="002B16BA" w:rsidRPr="00705A12" w:rsidRDefault="002B16BA" w:rsidP="002B16BA">
      <w:pPr>
        <w:rPr>
          <w:rFonts w:ascii="SimHei" w:eastAsia="SimHei"/>
          <w:sz w:val="28"/>
          <w:szCs w:val="28"/>
        </w:rPr>
      </w:pPr>
      <w:r w:rsidRPr="00705A12">
        <w:rPr>
          <w:rFonts w:ascii="SimHei" w:eastAsia="SimHei" w:hint="eastAsia"/>
          <w:sz w:val="28"/>
          <w:szCs w:val="28"/>
        </w:rPr>
        <w:t>工作组</w:t>
      </w:r>
    </w:p>
    <w:p w:rsidR="002B16BA" w:rsidRPr="00705A12" w:rsidRDefault="002B16BA" w:rsidP="002B16BA"/>
    <w:p w:rsidR="002B16BA" w:rsidRPr="00705A12" w:rsidRDefault="002B16BA" w:rsidP="002B16BA"/>
    <w:p w:rsidR="002B16BA" w:rsidRPr="00705A12" w:rsidRDefault="002B16BA" w:rsidP="002B16BA">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rsidR="002B16BA" w:rsidRPr="00705A12" w:rsidRDefault="002B16BA" w:rsidP="002B16BA">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8B2CC1" w:rsidRDefault="008B2CC1" w:rsidP="008B2CC1"/>
    <w:p w:rsidR="008B2CC1" w:rsidRPr="00F20FEC" w:rsidRDefault="002A6FD5" w:rsidP="008B2CC1">
      <w:pPr>
        <w:rPr>
          <w:rFonts w:ascii="KaiTi" w:eastAsia="KaiTi" w:hAnsi="KaiTi"/>
          <w:caps/>
          <w:sz w:val="24"/>
        </w:rPr>
      </w:pPr>
      <w:bookmarkStart w:id="4" w:name="TitleOfDoc"/>
      <w:bookmarkEnd w:id="4"/>
      <w:r w:rsidRPr="00F20FEC">
        <w:rPr>
          <w:rFonts w:ascii="KaiTi" w:eastAsia="KaiTi" w:hAnsi="KaiTi" w:hint="eastAsia"/>
          <w:caps/>
          <w:sz w:val="24"/>
        </w:rPr>
        <w:t>与联合国安全理事会制裁有关的国际申请</w:t>
      </w:r>
    </w:p>
    <w:p w:rsidR="008B2CC1" w:rsidRPr="008B2CC1" w:rsidRDefault="008B2CC1" w:rsidP="008B2CC1"/>
    <w:p w:rsidR="002B16BA" w:rsidRPr="008B2CC1" w:rsidRDefault="002B16BA" w:rsidP="002B16BA">
      <w:pPr>
        <w:rPr>
          <w:i/>
        </w:rPr>
      </w:pPr>
      <w:bookmarkStart w:id="5" w:name="Prepared"/>
      <w:bookmarkEnd w:id="5"/>
      <w:r w:rsidRPr="00333CD9">
        <w:rPr>
          <w:rFonts w:ascii="KaiTi" w:eastAsia="KaiTi" w:hAnsi="KaiTi" w:hint="eastAsia"/>
          <w:sz w:val="21"/>
          <w:szCs w:val="21"/>
        </w:rPr>
        <w:t>国际局编拟的文件</w:t>
      </w:r>
    </w:p>
    <w:p w:rsidR="008B2CC1" w:rsidRPr="008B2CC1" w:rsidRDefault="008B2CC1" w:rsidP="008B2CC1">
      <w:pPr>
        <w:rPr>
          <w:i/>
        </w:rPr>
      </w:pPr>
    </w:p>
    <w:p w:rsidR="00AC205C" w:rsidRDefault="00AC205C"/>
    <w:p w:rsidR="000F5E56" w:rsidRDefault="000F5E56"/>
    <w:p w:rsidR="002928D3" w:rsidRDefault="002928D3"/>
    <w:p w:rsidR="00510CE2" w:rsidRPr="00F20FEC" w:rsidRDefault="002B16BA" w:rsidP="00F20FEC">
      <w:pPr>
        <w:pStyle w:val="Heading1"/>
        <w:overflowPunct w:val="0"/>
        <w:spacing w:beforeLines="100" w:afterLines="50" w:after="120" w:line="340" w:lineRule="atLeast"/>
        <w:jc w:val="both"/>
        <w:rPr>
          <w:rFonts w:ascii="SimHei" w:eastAsia="SimHei" w:hAnsi="SimHei"/>
          <w:b w:val="0"/>
          <w:sz w:val="21"/>
          <w:szCs w:val="21"/>
        </w:rPr>
      </w:pPr>
      <w:r w:rsidRPr="00F20FEC">
        <w:rPr>
          <w:rFonts w:ascii="SimHei" w:eastAsia="SimHei" w:hAnsi="SimHei" w:hint="eastAsia"/>
          <w:b w:val="0"/>
          <w:sz w:val="21"/>
          <w:szCs w:val="21"/>
        </w:rPr>
        <w:t>对制裁的监测</w:t>
      </w:r>
    </w:p>
    <w:p w:rsidR="002928D3" w:rsidRPr="00F70B7E" w:rsidRDefault="002B16BA" w:rsidP="00F20FEC">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在2018年6月举行的PCT工作组第十一届会议上，国际局</w:t>
      </w:r>
      <w:r w:rsidR="00B63963" w:rsidRPr="00F70B7E">
        <w:rPr>
          <w:rFonts w:ascii="SimSun" w:hAnsi="SimSun" w:hint="eastAsia"/>
          <w:sz w:val="21"/>
          <w:szCs w:val="21"/>
        </w:rPr>
        <w:t>概述了为</w:t>
      </w:r>
      <w:r w:rsidR="008B7269">
        <w:rPr>
          <w:rFonts w:ascii="SimSun" w:hAnsi="SimSun" w:hint="eastAsia"/>
          <w:sz w:val="21"/>
          <w:szCs w:val="21"/>
        </w:rPr>
        <w:t>遵守</w:t>
      </w:r>
      <w:r w:rsidR="00B63963" w:rsidRPr="00F70B7E">
        <w:rPr>
          <w:rFonts w:ascii="SimSun" w:hAnsi="SimSun" w:hint="eastAsia"/>
          <w:sz w:val="21"/>
          <w:szCs w:val="21"/>
        </w:rPr>
        <w:t>联合国安理会</w:t>
      </w:r>
      <w:r w:rsidR="00F87E22">
        <w:rPr>
          <w:rFonts w:ascii="SimSun" w:hAnsi="SimSun" w:hint="eastAsia"/>
          <w:sz w:val="21"/>
          <w:szCs w:val="21"/>
        </w:rPr>
        <w:t>实施的各项</w:t>
      </w:r>
      <w:r w:rsidR="00B63963" w:rsidRPr="00F70B7E">
        <w:rPr>
          <w:rFonts w:ascii="SimSun" w:hAnsi="SimSun" w:hint="eastAsia"/>
          <w:sz w:val="21"/>
          <w:szCs w:val="21"/>
        </w:rPr>
        <w:t>制裁所采取的措施（见文件</w:t>
      </w:r>
      <w:r w:rsidR="00B63963" w:rsidRPr="00F70B7E">
        <w:rPr>
          <w:rFonts w:ascii="SimSun" w:hAnsi="SimSun"/>
          <w:sz w:val="21"/>
          <w:szCs w:val="21"/>
        </w:rPr>
        <w:t>PCT/WG/11/14</w:t>
      </w:r>
      <w:r w:rsidR="00B63963" w:rsidRPr="00F70B7E">
        <w:rPr>
          <w:rFonts w:ascii="SimSun" w:hAnsi="SimSun" w:hint="eastAsia"/>
          <w:sz w:val="21"/>
          <w:szCs w:val="21"/>
        </w:rPr>
        <w:t>和文件</w:t>
      </w:r>
      <w:r w:rsidR="00B63963" w:rsidRPr="00F70B7E">
        <w:rPr>
          <w:rFonts w:ascii="SimSun" w:hAnsi="SimSun"/>
          <w:sz w:val="21"/>
          <w:szCs w:val="21"/>
        </w:rPr>
        <w:t>PCT/WG/11/26</w:t>
      </w:r>
      <w:r w:rsidR="00B63963" w:rsidRPr="00F70B7E">
        <w:rPr>
          <w:rFonts w:ascii="SimSun" w:hAnsi="SimSun" w:hint="eastAsia"/>
          <w:sz w:val="21"/>
          <w:szCs w:val="21"/>
        </w:rPr>
        <w:t>第40段至第43段）。</w:t>
      </w:r>
    </w:p>
    <w:p w:rsidR="00510CE2" w:rsidRPr="00F70B7E" w:rsidRDefault="00D77B09" w:rsidP="00F20FEC">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除</w:t>
      </w:r>
      <w:r w:rsidR="00B63963" w:rsidRPr="00F70B7E">
        <w:rPr>
          <w:rFonts w:ascii="SimSun" w:hAnsi="SimSun" w:hint="eastAsia"/>
          <w:sz w:val="21"/>
          <w:szCs w:val="21"/>
        </w:rPr>
        <w:t>其他外，主席总结称</w:t>
      </w:r>
      <w:r w:rsidR="00016BA2" w:rsidRPr="00F70B7E">
        <w:rPr>
          <w:rFonts w:ascii="SimSun" w:hAnsi="SimSun" w:hint="eastAsia"/>
          <w:sz w:val="21"/>
          <w:szCs w:val="21"/>
        </w:rPr>
        <w:t>（文件</w:t>
      </w:r>
      <w:r w:rsidR="00016BA2" w:rsidRPr="00F70B7E">
        <w:rPr>
          <w:rFonts w:ascii="SimSun" w:hAnsi="SimSun"/>
          <w:sz w:val="21"/>
          <w:szCs w:val="21"/>
        </w:rPr>
        <w:t>PCT/WG/11/26</w:t>
      </w:r>
      <w:r w:rsidR="00016BA2" w:rsidRPr="00F70B7E">
        <w:rPr>
          <w:rFonts w:ascii="SimSun" w:hAnsi="SimSun" w:hint="eastAsia"/>
          <w:sz w:val="21"/>
          <w:szCs w:val="21"/>
        </w:rPr>
        <w:t>第44段（c）</w:t>
      </w:r>
      <w:r w:rsidR="00C94051" w:rsidRPr="00F70B7E">
        <w:rPr>
          <w:rFonts w:ascii="SimSun" w:hAnsi="SimSun" w:hint="eastAsia"/>
          <w:sz w:val="21"/>
          <w:szCs w:val="21"/>
        </w:rPr>
        <w:t>项</w:t>
      </w:r>
      <w:r w:rsidR="00016BA2" w:rsidRPr="00F70B7E">
        <w:rPr>
          <w:rFonts w:ascii="SimSun" w:hAnsi="SimSun" w:hint="eastAsia"/>
          <w:sz w:val="21"/>
          <w:szCs w:val="21"/>
        </w:rPr>
        <w:t>）：</w:t>
      </w:r>
    </w:p>
    <w:p w:rsidR="00510CE2" w:rsidRPr="00F70B7E" w:rsidRDefault="00016BA2" w:rsidP="00F20FEC">
      <w:pPr>
        <w:pStyle w:val="ONUME"/>
        <w:numPr>
          <w:ilvl w:val="0"/>
          <w:numId w:val="0"/>
        </w:numPr>
        <w:overflowPunct w:val="0"/>
        <w:spacing w:afterLines="50" w:after="120" w:line="340" w:lineRule="atLeast"/>
        <w:ind w:left="567"/>
        <w:jc w:val="both"/>
        <w:rPr>
          <w:rFonts w:ascii="SimSun" w:hAnsi="SimSun"/>
          <w:sz w:val="21"/>
          <w:szCs w:val="21"/>
        </w:rPr>
      </w:pPr>
      <w:r w:rsidRPr="00F70B7E">
        <w:rPr>
          <w:rFonts w:ascii="SimSun" w:hAnsi="SimSun" w:hint="eastAsia"/>
          <w:sz w:val="21"/>
          <w:szCs w:val="21"/>
        </w:rPr>
        <w:t>“代表团支持把联合国制裁的议题保留在PCT工作组的议程上，由国际局在工作组下届会议上向成员国提供有关任何相关事件的报告。这类报告不应写入不向群众监督公开的申请细节，否则会违反PCT第三十条有关国际申请在国际公布前具有保密性的规定</w:t>
      </w:r>
      <w:r w:rsidR="00F20FEC" w:rsidRPr="00F70B7E">
        <w:rPr>
          <w:rFonts w:ascii="SimSun" w:hAnsi="SimSun" w:hint="eastAsia"/>
          <w:sz w:val="21"/>
          <w:szCs w:val="21"/>
        </w:rPr>
        <w:t>。</w:t>
      </w:r>
      <w:r w:rsidRPr="00F70B7E">
        <w:rPr>
          <w:rFonts w:ascii="SimSun" w:hAnsi="SimSun" w:hint="eastAsia"/>
          <w:sz w:val="21"/>
          <w:szCs w:val="21"/>
        </w:rPr>
        <w:t>”</w:t>
      </w:r>
    </w:p>
    <w:p w:rsidR="00EB1EE5" w:rsidRPr="00F70B7E" w:rsidRDefault="00B203D2" w:rsidP="00F20FEC">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noProof/>
          <w:sz w:val="21"/>
          <w:szCs w:val="21"/>
        </w:rPr>
        <w:t>自PCT工作组第十一届会议以来，国际局</w:t>
      </w:r>
      <w:r w:rsidR="00F4338E" w:rsidRPr="00F70B7E">
        <w:rPr>
          <w:rFonts w:ascii="SimSun" w:hAnsi="SimSun" w:hint="eastAsia"/>
          <w:noProof/>
          <w:sz w:val="21"/>
          <w:szCs w:val="21"/>
        </w:rPr>
        <w:t>针对受联合国安理会制裁措施约束的所有个人和实体制定</w:t>
      </w:r>
      <w:r w:rsidR="00494BC0" w:rsidRPr="00F70B7E">
        <w:rPr>
          <w:rFonts w:ascii="SimSun" w:hAnsi="SimSun" w:hint="eastAsia"/>
          <w:noProof/>
          <w:sz w:val="21"/>
          <w:szCs w:val="21"/>
        </w:rPr>
        <w:t>的监测程序</w:t>
      </w:r>
      <w:r w:rsidR="00F4338E" w:rsidRPr="00F70B7E">
        <w:rPr>
          <w:rFonts w:ascii="SimSun" w:hAnsi="SimSun" w:hint="eastAsia"/>
          <w:noProof/>
          <w:sz w:val="21"/>
          <w:szCs w:val="21"/>
        </w:rPr>
        <w:t>没有发现</w:t>
      </w:r>
      <w:r w:rsidR="00494BC0" w:rsidRPr="00F70B7E">
        <w:rPr>
          <w:rFonts w:ascii="SimSun" w:hAnsi="SimSun" w:hint="eastAsia"/>
          <w:noProof/>
          <w:sz w:val="21"/>
          <w:szCs w:val="21"/>
        </w:rPr>
        <w:t>PCT国际申请中的申请人涉及任何被指认个人或实体。</w:t>
      </w:r>
    </w:p>
    <w:p w:rsidR="001010A1" w:rsidRPr="00F70B7E" w:rsidRDefault="00494BC0" w:rsidP="00F20FEC">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2019年2月6日，产权组织</w:t>
      </w:r>
      <w:r w:rsidR="008B7269">
        <w:rPr>
          <w:rFonts w:ascii="SimSun" w:hAnsi="SimSun" w:hint="eastAsia"/>
          <w:sz w:val="21"/>
          <w:szCs w:val="21"/>
        </w:rPr>
        <w:t>向</w:t>
      </w:r>
      <w:r w:rsidRPr="00F70B7E">
        <w:rPr>
          <w:rFonts w:ascii="SimSun" w:hAnsi="SimSun" w:hint="eastAsia"/>
          <w:sz w:val="21"/>
          <w:szCs w:val="21"/>
        </w:rPr>
        <w:t>联合国安全理事会</w:t>
      </w:r>
      <w:r w:rsidR="008B7269">
        <w:rPr>
          <w:rFonts w:ascii="SimSun" w:hAnsi="SimSun" w:hint="eastAsia"/>
          <w:sz w:val="21"/>
          <w:szCs w:val="21"/>
        </w:rPr>
        <w:t>关于</w:t>
      </w:r>
      <w:r w:rsidRPr="00F70B7E">
        <w:rPr>
          <w:rFonts w:ascii="SimSun" w:hAnsi="SimSun" w:hint="eastAsia"/>
          <w:sz w:val="21"/>
          <w:szCs w:val="21"/>
        </w:rPr>
        <w:t>第1718（2006）号决议所设委员会</w:t>
      </w:r>
      <w:r w:rsidR="008B7269">
        <w:rPr>
          <w:rFonts w:ascii="SimSun" w:hAnsi="SimSun" w:hint="eastAsia"/>
          <w:sz w:val="21"/>
          <w:szCs w:val="21"/>
        </w:rPr>
        <w:t>通报</w:t>
      </w:r>
      <w:r w:rsidR="006550EA" w:rsidRPr="00F70B7E">
        <w:rPr>
          <w:rFonts w:ascii="SimSun" w:hAnsi="SimSun" w:hint="eastAsia"/>
          <w:sz w:val="21"/>
          <w:szCs w:val="21"/>
        </w:rPr>
        <w:t>，朝鲜民主主义人民共和国国民和/或居民提交了两份新的PCT国际专利申请。根据上文第2段提及的主席总结，</w:t>
      </w:r>
      <w:r w:rsidR="00EF346A" w:rsidRPr="00F70B7E">
        <w:rPr>
          <w:rFonts w:ascii="SimSun" w:hAnsi="SimSun" w:hint="eastAsia"/>
          <w:sz w:val="21"/>
          <w:szCs w:val="21"/>
        </w:rPr>
        <w:t>除确认这两份申请中的申请人</w:t>
      </w:r>
      <w:r w:rsidR="00F4338E" w:rsidRPr="00F70B7E">
        <w:rPr>
          <w:rFonts w:ascii="SimSun" w:hAnsi="SimSun" w:hint="eastAsia"/>
          <w:sz w:val="21"/>
          <w:szCs w:val="21"/>
        </w:rPr>
        <w:t>均不涉及此类被指认个人或实体外，提供给</w:t>
      </w:r>
      <w:r w:rsidR="008B7269">
        <w:rPr>
          <w:rFonts w:ascii="SimSun" w:hAnsi="SimSun" w:hint="eastAsia"/>
          <w:sz w:val="21"/>
          <w:szCs w:val="21"/>
        </w:rPr>
        <w:t>该</w:t>
      </w:r>
      <w:r w:rsidR="00EF346A" w:rsidRPr="00F70B7E">
        <w:rPr>
          <w:rFonts w:ascii="SimSun" w:hAnsi="SimSun" w:hint="eastAsia"/>
          <w:sz w:val="21"/>
          <w:szCs w:val="21"/>
        </w:rPr>
        <w:t>委员会的信息</w:t>
      </w:r>
      <w:r w:rsidR="00F4338E" w:rsidRPr="00F70B7E">
        <w:rPr>
          <w:rFonts w:ascii="SimSun" w:hAnsi="SimSun" w:hint="eastAsia"/>
          <w:sz w:val="21"/>
          <w:szCs w:val="21"/>
        </w:rPr>
        <w:t>中</w:t>
      </w:r>
      <w:r w:rsidR="00EF346A" w:rsidRPr="00F70B7E">
        <w:rPr>
          <w:rFonts w:ascii="SimSun" w:hAnsi="SimSun" w:hint="eastAsia"/>
          <w:sz w:val="21"/>
          <w:szCs w:val="21"/>
        </w:rPr>
        <w:t>不包括</w:t>
      </w:r>
      <w:r w:rsidR="008B7269">
        <w:rPr>
          <w:rFonts w:ascii="SimSun" w:hAnsi="SimSun" w:hint="eastAsia"/>
          <w:sz w:val="21"/>
          <w:szCs w:val="21"/>
        </w:rPr>
        <w:t>所涉</w:t>
      </w:r>
      <w:r w:rsidR="00EF346A" w:rsidRPr="00F70B7E">
        <w:rPr>
          <w:rFonts w:ascii="SimSun" w:hAnsi="SimSun" w:hint="eastAsia"/>
          <w:sz w:val="21"/>
          <w:szCs w:val="21"/>
        </w:rPr>
        <w:t>申请</w:t>
      </w:r>
      <w:r w:rsidR="008B7269">
        <w:rPr>
          <w:rFonts w:ascii="SimSun" w:hAnsi="SimSun" w:hint="eastAsia"/>
          <w:sz w:val="21"/>
          <w:szCs w:val="21"/>
        </w:rPr>
        <w:t>的任何</w:t>
      </w:r>
      <w:r w:rsidR="00EF346A" w:rsidRPr="00F70B7E">
        <w:rPr>
          <w:rFonts w:ascii="SimSun" w:hAnsi="SimSun" w:hint="eastAsia"/>
          <w:sz w:val="21"/>
          <w:szCs w:val="21"/>
        </w:rPr>
        <w:t>细节。</w:t>
      </w:r>
    </w:p>
    <w:p w:rsidR="00510CE2" w:rsidRPr="003B480A" w:rsidRDefault="00EF346A" w:rsidP="00F20FEC">
      <w:pPr>
        <w:pStyle w:val="ONUME"/>
        <w:tabs>
          <w:tab w:val="clear" w:pos="567"/>
        </w:tabs>
        <w:spacing w:afterLines="50" w:after="120" w:line="340" w:lineRule="atLeast"/>
        <w:ind w:left="5533"/>
        <w:jc w:val="both"/>
        <w:rPr>
          <w:rFonts w:ascii="KaiTi" w:eastAsia="KaiTi" w:hAnsi="KaiTi"/>
          <w:sz w:val="21"/>
          <w:szCs w:val="21"/>
        </w:rPr>
      </w:pPr>
      <w:r w:rsidRPr="003B480A">
        <w:rPr>
          <w:rFonts w:ascii="KaiTi" w:eastAsia="KaiTi" w:hAnsi="KaiTi" w:hint="eastAsia"/>
          <w:sz w:val="21"/>
          <w:szCs w:val="21"/>
        </w:rPr>
        <w:t>请工作组注意本文件的内容。</w:t>
      </w:r>
    </w:p>
    <w:p w:rsidR="00510CE2" w:rsidRPr="003B480A" w:rsidRDefault="00BF222B" w:rsidP="00F20FEC">
      <w:pPr>
        <w:pStyle w:val="Endofdocument-Annex"/>
        <w:spacing w:beforeLines="100" w:before="240" w:afterLines="50" w:after="120" w:line="340" w:lineRule="atLeast"/>
        <w:jc w:val="both"/>
        <w:rPr>
          <w:rFonts w:ascii="KaiTi" w:eastAsia="KaiTi" w:hAnsi="KaiTi"/>
        </w:rPr>
      </w:pPr>
      <w:r w:rsidRPr="003B480A">
        <w:rPr>
          <w:rFonts w:ascii="KaiTi" w:eastAsia="KaiTi" w:hAnsi="KaiTi"/>
          <w:sz w:val="21"/>
          <w:szCs w:val="21"/>
        </w:rPr>
        <w:t>[</w:t>
      </w:r>
      <w:r w:rsidR="00EF346A" w:rsidRPr="003B480A">
        <w:rPr>
          <w:rFonts w:ascii="KaiTi" w:eastAsia="KaiTi" w:hAnsi="KaiTi" w:hint="eastAsia"/>
          <w:sz w:val="21"/>
          <w:szCs w:val="21"/>
        </w:rPr>
        <w:t>文件完</w:t>
      </w:r>
      <w:r w:rsidRPr="003B480A">
        <w:rPr>
          <w:rFonts w:ascii="KaiTi" w:eastAsia="KaiTi" w:hAnsi="KaiTi"/>
          <w:sz w:val="21"/>
          <w:szCs w:val="21"/>
        </w:rPr>
        <w:t>]</w:t>
      </w:r>
    </w:p>
    <w:sectPr w:rsidR="00510CE2" w:rsidRPr="003B480A" w:rsidSect="00CA447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61C" w:rsidRDefault="0079461C">
      <w:r>
        <w:separator/>
      </w:r>
    </w:p>
  </w:endnote>
  <w:endnote w:type="continuationSeparator" w:id="0">
    <w:p w:rsidR="0079461C" w:rsidRDefault="0079461C" w:rsidP="003B38C1">
      <w:r>
        <w:separator/>
      </w:r>
    </w:p>
    <w:p w:rsidR="0079461C" w:rsidRPr="003B38C1" w:rsidRDefault="0079461C" w:rsidP="003B38C1">
      <w:pPr>
        <w:spacing w:after="60"/>
        <w:rPr>
          <w:sz w:val="17"/>
        </w:rPr>
      </w:pPr>
      <w:r>
        <w:rPr>
          <w:sz w:val="17"/>
        </w:rPr>
        <w:t>[Endnote continued from previous page]</w:t>
      </w:r>
    </w:p>
  </w:endnote>
  <w:endnote w:type="continuationNotice" w:id="1">
    <w:p w:rsidR="0079461C" w:rsidRPr="003B38C1" w:rsidRDefault="007946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ST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61C" w:rsidRDefault="0079461C">
      <w:r>
        <w:separator/>
      </w:r>
    </w:p>
  </w:footnote>
  <w:footnote w:type="continuationSeparator" w:id="0">
    <w:p w:rsidR="0079461C" w:rsidRDefault="0079461C" w:rsidP="008B60B2">
      <w:r>
        <w:separator/>
      </w:r>
    </w:p>
    <w:p w:rsidR="0079461C" w:rsidRPr="00ED77FB" w:rsidRDefault="0079461C" w:rsidP="008B60B2">
      <w:pPr>
        <w:spacing w:after="60"/>
        <w:rPr>
          <w:sz w:val="17"/>
          <w:szCs w:val="17"/>
        </w:rPr>
      </w:pPr>
      <w:r w:rsidRPr="00ED77FB">
        <w:rPr>
          <w:sz w:val="17"/>
          <w:szCs w:val="17"/>
        </w:rPr>
        <w:t>[Footnote continued from previous page]</w:t>
      </w:r>
    </w:p>
  </w:footnote>
  <w:footnote w:type="continuationNotice" w:id="1">
    <w:p w:rsidR="0079461C" w:rsidRPr="00ED77FB" w:rsidRDefault="007946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20FEC" w:rsidRDefault="00CA4474" w:rsidP="00477D6B">
    <w:pPr>
      <w:jc w:val="right"/>
      <w:rPr>
        <w:rFonts w:ascii="SimSun" w:hAnsi="SimSun"/>
        <w:sz w:val="21"/>
      </w:rPr>
    </w:pPr>
    <w:bookmarkStart w:id="6" w:name="Code2"/>
    <w:bookmarkEnd w:id="6"/>
    <w:r w:rsidRPr="00F20FEC">
      <w:rPr>
        <w:rFonts w:ascii="SimSun" w:hAnsi="SimSun"/>
        <w:sz w:val="21"/>
      </w:rPr>
      <w:t>P</w:t>
    </w:r>
    <w:r w:rsidR="002351CA" w:rsidRPr="00F20FEC">
      <w:rPr>
        <w:rFonts w:ascii="SimSun" w:hAnsi="SimSun"/>
        <w:sz w:val="21"/>
      </w:rPr>
      <w:t>CT/WG/12/7</w:t>
    </w:r>
  </w:p>
  <w:p w:rsidR="00EC4E49" w:rsidRPr="00F20FEC" w:rsidRDefault="002B16BA" w:rsidP="00477D6B">
    <w:pPr>
      <w:jc w:val="right"/>
      <w:rPr>
        <w:rFonts w:ascii="SimSun" w:hAnsi="SimSun"/>
        <w:sz w:val="21"/>
      </w:rPr>
    </w:pPr>
    <w:r w:rsidRPr="00F20FEC">
      <w:rPr>
        <w:rFonts w:ascii="SimSun" w:hAnsi="SimSun" w:hint="eastAsia"/>
        <w:sz w:val="21"/>
      </w:rPr>
      <w:t>第</w:t>
    </w:r>
    <w:r w:rsidR="00EC4E49" w:rsidRPr="00F20FEC">
      <w:rPr>
        <w:rFonts w:ascii="SimSun" w:hAnsi="SimSun"/>
        <w:sz w:val="21"/>
      </w:rPr>
      <w:fldChar w:fldCharType="begin"/>
    </w:r>
    <w:r w:rsidR="00EC4E49" w:rsidRPr="00F20FEC">
      <w:rPr>
        <w:rFonts w:ascii="SimSun" w:hAnsi="SimSun"/>
        <w:sz w:val="21"/>
      </w:rPr>
      <w:instrText xml:space="preserve"> PAGE  \* MERGEFORMAT </w:instrText>
    </w:r>
    <w:r w:rsidR="00EC4E49" w:rsidRPr="00F20FEC">
      <w:rPr>
        <w:rFonts w:ascii="SimSun" w:hAnsi="SimSun"/>
        <w:sz w:val="21"/>
      </w:rPr>
      <w:fldChar w:fldCharType="separate"/>
    </w:r>
    <w:r w:rsidR="00F20FEC">
      <w:rPr>
        <w:rFonts w:ascii="SimSun" w:hAnsi="SimSun"/>
        <w:noProof/>
        <w:sz w:val="21"/>
      </w:rPr>
      <w:t>2</w:t>
    </w:r>
    <w:r w:rsidR="00EC4E49" w:rsidRPr="00F20FEC">
      <w:rPr>
        <w:rFonts w:ascii="SimSun" w:hAnsi="SimSun"/>
        <w:sz w:val="21"/>
      </w:rPr>
      <w:fldChar w:fldCharType="end"/>
    </w:r>
    <w:r w:rsidRPr="00F20FEC">
      <w:rPr>
        <w:rFonts w:ascii="SimSun" w:hAnsi="SimSun" w:hint="eastAsia"/>
        <w:sz w:val="21"/>
      </w:rPr>
      <w:t>页</w:t>
    </w:r>
  </w:p>
  <w:p w:rsidR="008A134B" w:rsidRPr="00F20FEC"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74"/>
    <w:rsid w:val="00014D92"/>
    <w:rsid w:val="00016BA2"/>
    <w:rsid w:val="00043CAA"/>
    <w:rsid w:val="0006349B"/>
    <w:rsid w:val="00075432"/>
    <w:rsid w:val="000968ED"/>
    <w:rsid w:val="000C6CD0"/>
    <w:rsid w:val="000F5E56"/>
    <w:rsid w:val="001010A1"/>
    <w:rsid w:val="001362EE"/>
    <w:rsid w:val="001647D5"/>
    <w:rsid w:val="001832A6"/>
    <w:rsid w:val="001C03B1"/>
    <w:rsid w:val="00211D41"/>
    <w:rsid w:val="0021217E"/>
    <w:rsid w:val="002351CA"/>
    <w:rsid w:val="002634C4"/>
    <w:rsid w:val="0027169C"/>
    <w:rsid w:val="002928D3"/>
    <w:rsid w:val="002A44D9"/>
    <w:rsid w:val="002A6FD5"/>
    <w:rsid w:val="002B16BA"/>
    <w:rsid w:val="002F1FE6"/>
    <w:rsid w:val="002F4E68"/>
    <w:rsid w:val="0030063B"/>
    <w:rsid w:val="00312F7F"/>
    <w:rsid w:val="00341C71"/>
    <w:rsid w:val="00350748"/>
    <w:rsid w:val="00361450"/>
    <w:rsid w:val="003673CF"/>
    <w:rsid w:val="003845C1"/>
    <w:rsid w:val="003A6F89"/>
    <w:rsid w:val="003B38C1"/>
    <w:rsid w:val="003B480A"/>
    <w:rsid w:val="003C2F54"/>
    <w:rsid w:val="003D5922"/>
    <w:rsid w:val="00423E3E"/>
    <w:rsid w:val="00426595"/>
    <w:rsid w:val="00427AF4"/>
    <w:rsid w:val="004647DA"/>
    <w:rsid w:val="00474062"/>
    <w:rsid w:val="00477D6B"/>
    <w:rsid w:val="00481EA5"/>
    <w:rsid w:val="00494BC0"/>
    <w:rsid w:val="005019FF"/>
    <w:rsid w:val="00510CE2"/>
    <w:rsid w:val="0053057A"/>
    <w:rsid w:val="00560A29"/>
    <w:rsid w:val="005A2D98"/>
    <w:rsid w:val="005B7ACA"/>
    <w:rsid w:val="005C6649"/>
    <w:rsid w:val="00605827"/>
    <w:rsid w:val="00627ADC"/>
    <w:rsid w:val="00646050"/>
    <w:rsid w:val="006550EA"/>
    <w:rsid w:val="006713CA"/>
    <w:rsid w:val="00672CE6"/>
    <w:rsid w:val="00676C5C"/>
    <w:rsid w:val="00694EAC"/>
    <w:rsid w:val="006B17F9"/>
    <w:rsid w:val="0070660F"/>
    <w:rsid w:val="00776C27"/>
    <w:rsid w:val="00791FFB"/>
    <w:rsid w:val="0079461C"/>
    <w:rsid w:val="007D1613"/>
    <w:rsid w:val="007E4C0E"/>
    <w:rsid w:val="008362B7"/>
    <w:rsid w:val="00881F4A"/>
    <w:rsid w:val="008A134B"/>
    <w:rsid w:val="008B2CC1"/>
    <w:rsid w:val="008B60B2"/>
    <w:rsid w:val="008B7269"/>
    <w:rsid w:val="008D458C"/>
    <w:rsid w:val="0090731E"/>
    <w:rsid w:val="00916EE2"/>
    <w:rsid w:val="009354E0"/>
    <w:rsid w:val="00966A22"/>
    <w:rsid w:val="0096722F"/>
    <w:rsid w:val="00980843"/>
    <w:rsid w:val="009B7277"/>
    <w:rsid w:val="009D5B69"/>
    <w:rsid w:val="009E2791"/>
    <w:rsid w:val="009E3F6F"/>
    <w:rsid w:val="009F499F"/>
    <w:rsid w:val="00A37342"/>
    <w:rsid w:val="00A42DAF"/>
    <w:rsid w:val="00A45BD8"/>
    <w:rsid w:val="00A8150B"/>
    <w:rsid w:val="00A869B7"/>
    <w:rsid w:val="00AB3CF7"/>
    <w:rsid w:val="00AC205C"/>
    <w:rsid w:val="00AF0A6B"/>
    <w:rsid w:val="00B05A69"/>
    <w:rsid w:val="00B203D2"/>
    <w:rsid w:val="00B63963"/>
    <w:rsid w:val="00B9734B"/>
    <w:rsid w:val="00BA30E2"/>
    <w:rsid w:val="00BD676C"/>
    <w:rsid w:val="00BE4ADB"/>
    <w:rsid w:val="00BF222B"/>
    <w:rsid w:val="00C11BFE"/>
    <w:rsid w:val="00C5068F"/>
    <w:rsid w:val="00C52FCB"/>
    <w:rsid w:val="00C8541A"/>
    <w:rsid w:val="00C86D74"/>
    <w:rsid w:val="00C94051"/>
    <w:rsid w:val="00CA4474"/>
    <w:rsid w:val="00CD04F1"/>
    <w:rsid w:val="00D45252"/>
    <w:rsid w:val="00D71B4D"/>
    <w:rsid w:val="00D77B09"/>
    <w:rsid w:val="00D9168C"/>
    <w:rsid w:val="00D93D55"/>
    <w:rsid w:val="00DE42D3"/>
    <w:rsid w:val="00E15015"/>
    <w:rsid w:val="00E335FE"/>
    <w:rsid w:val="00E852A0"/>
    <w:rsid w:val="00EA7D6E"/>
    <w:rsid w:val="00EB1EE5"/>
    <w:rsid w:val="00EC4E49"/>
    <w:rsid w:val="00ED77FB"/>
    <w:rsid w:val="00EE3C67"/>
    <w:rsid w:val="00EE45FA"/>
    <w:rsid w:val="00EF346A"/>
    <w:rsid w:val="00F1652F"/>
    <w:rsid w:val="00F20FEC"/>
    <w:rsid w:val="00F4338E"/>
    <w:rsid w:val="00F66152"/>
    <w:rsid w:val="00F70B7E"/>
    <w:rsid w:val="00F87E22"/>
    <w:rsid w:val="00F9042E"/>
    <w:rsid w:val="00F960DD"/>
    <w:rsid w:val="00FD3477"/>
    <w:rsid w:val="00FF435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52291F-510F-4242-97DF-E77658E5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510CE2"/>
    <w:rPr>
      <w:rFonts w:ascii="Arial" w:eastAsia="SimSun" w:hAnsi="Arial" w:cs="Arial"/>
      <w:sz w:val="22"/>
      <w:lang w:val="en-US" w:eastAsia="zh-CN"/>
    </w:rPr>
  </w:style>
  <w:style w:type="paragraph" w:styleId="ListParagraph">
    <w:name w:val="List Paragraph"/>
    <w:basedOn w:val="Normal"/>
    <w:uiPriority w:val="34"/>
    <w:qFormat/>
    <w:rsid w:val="00D9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38D58-7F8E-461D-BDF0-6924E99C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PCT/WG/12/7</vt:lpstr>
    </vt:vector>
  </TitlesOfParts>
  <Company>WIPO</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PCT/WG/12/7</dc:title>
  <dc:subject>与联合国安全理事会制裁有关的国际申请</dc:subject>
  <dc:creator>WIPO</dc:creator>
  <cp:keywords>PCT;  UN Security Council;  sanctions</cp:keywords>
  <cp:lastModifiedBy>BAUDIN Claudine</cp:lastModifiedBy>
  <cp:revision>22</cp:revision>
  <cp:lastPrinted>2019-05-03T07:34:00Z</cp:lastPrinted>
  <dcterms:created xsi:type="dcterms:W3CDTF">2019-05-02T06:53:00Z</dcterms:created>
  <dcterms:modified xsi:type="dcterms:W3CDTF">2019-05-03T08:02:00Z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