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4310" w14:textId="43289B7F" w:rsidR="002E10AE" w:rsidRPr="002E10AE" w:rsidRDefault="00113592" w:rsidP="002E10AE">
      <w:pPr>
        <w:pStyle w:val="LegTitle"/>
        <w:rPr>
          <w:b w:val="0"/>
          <w:bCs/>
          <w:lang w:eastAsia="zh-CN"/>
        </w:rPr>
      </w:pPr>
      <w:bookmarkStart w:id="0" w:name="_Toc188454087"/>
      <w:r w:rsidRPr="00113592">
        <w:rPr>
          <w:rFonts w:hint="eastAsia"/>
          <w:b w:val="0"/>
          <w:bCs/>
          <w:lang w:eastAsia="zh-CN"/>
        </w:rPr>
        <w:t>进入指定局国家阶段的提交介质</w:t>
      </w:r>
    </w:p>
    <w:p w14:paraId="3EC23BC7" w14:textId="77777777" w:rsidR="002E10AE" w:rsidRDefault="002E10AE" w:rsidP="002E10AE">
      <w:pPr>
        <w:rPr>
          <w:lang w:eastAsia="zh-CN"/>
        </w:rPr>
      </w:pPr>
    </w:p>
    <w:p w14:paraId="2C670FF7" w14:textId="77777777" w:rsidR="002E10AE" w:rsidRDefault="002E10AE" w:rsidP="002E10AE">
      <w:pPr>
        <w:rPr>
          <w:lang w:eastAsia="zh-CN"/>
        </w:rPr>
      </w:pPr>
    </w:p>
    <w:p w14:paraId="2E828829" w14:textId="51846080" w:rsidR="002E10AE" w:rsidRDefault="002E10AE" w:rsidP="002E10AE">
      <w:pPr>
        <w:pStyle w:val="ONUME"/>
        <w:rPr>
          <w:lang w:eastAsia="zh-CN"/>
        </w:rPr>
      </w:pPr>
      <w:r>
        <w:rPr>
          <w:lang w:eastAsia="zh-CN"/>
        </w:rPr>
        <w:t>本非</w:t>
      </w:r>
      <w:r w:rsidR="00113592">
        <w:rPr>
          <w:rFonts w:hint="eastAsia"/>
          <w:lang w:eastAsia="zh-CN"/>
        </w:rPr>
        <w:t>正式</w:t>
      </w:r>
      <w:r>
        <w:rPr>
          <w:lang w:eastAsia="zh-CN"/>
        </w:rPr>
        <w:t>文件包含对</w:t>
      </w:r>
      <w:r>
        <w:rPr>
          <w:lang w:eastAsia="zh-CN"/>
        </w:rPr>
        <w:t>PCT</w:t>
      </w:r>
      <w:r>
        <w:rPr>
          <w:lang w:eastAsia="zh-CN"/>
        </w:rPr>
        <w:t>实施细则的修订草案，以</w:t>
      </w:r>
      <w:r w:rsidR="00113592">
        <w:rPr>
          <w:rFonts w:hint="eastAsia"/>
          <w:lang w:eastAsia="zh-CN"/>
        </w:rPr>
        <w:t>辅助</w:t>
      </w:r>
      <w:r>
        <w:rPr>
          <w:lang w:eastAsia="zh-CN"/>
        </w:rPr>
        <w:t>进一步讨论就文件</w:t>
      </w:r>
      <w:r>
        <w:rPr>
          <w:lang w:eastAsia="zh-CN"/>
        </w:rPr>
        <w:t>PCT/WG/18/4 Rev.</w:t>
      </w:r>
      <w:r>
        <w:rPr>
          <w:lang w:eastAsia="zh-CN"/>
        </w:rPr>
        <w:t>提出的某些问题。修订内容</w:t>
      </w:r>
      <w:r w:rsidRPr="000F778B">
        <w:rPr>
          <w:lang w:eastAsia="zh-CN"/>
        </w:rPr>
        <w:t>以</w:t>
      </w:r>
      <w:r w:rsidRPr="002E10AE">
        <w:rPr>
          <w:highlight w:val="yellow"/>
          <w:lang w:eastAsia="zh-CN"/>
        </w:rPr>
        <w:t>高亮</w:t>
      </w:r>
      <w:r>
        <w:rPr>
          <w:lang w:eastAsia="zh-CN"/>
        </w:rPr>
        <w:t>显示。</w:t>
      </w:r>
    </w:p>
    <w:p w14:paraId="41AEA78C" w14:textId="150F2883" w:rsidR="002E10AE" w:rsidRDefault="00113592" w:rsidP="002E10AE">
      <w:pPr>
        <w:pStyle w:val="ONUME"/>
        <w:rPr>
          <w:lang w:eastAsia="zh-CN"/>
        </w:rPr>
      </w:pPr>
      <w:r>
        <w:rPr>
          <w:rFonts w:hint="eastAsia"/>
          <w:lang w:eastAsia="zh-CN"/>
        </w:rPr>
        <w:t>在细则</w:t>
      </w:r>
      <w:r w:rsidR="002E10AE">
        <w:rPr>
          <w:lang w:eastAsia="zh-CN"/>
        </w:rPr>
        <w:t>第</w:t>
      </w:r>
      <w:r w:rsidR="002E10AE">
        <w:rPr>
          <w:lang w:eastAsia="zh-CN"/>
        </w:rPr>
        <w:t>82</w:t>
      </w:r>
      <w:r w:rsidR="002E10AE">
        <w:rPr>
          <w:lang w:eastAsia="zh-CN"/>
        </w:rPr>
        <w:t>条</w:t>
      </w:r>
      <w:r>
        <w:rPr>
          <w:rFonts w:hint="eastAsia"/>
          <w:lang w:eastAsia="zh-CN"/>
        </w:rPr>
        <w:t>中所</w:t>
      </w:r>
      <w:r w:rsidR="002E10AE">
        <w:rPr>
          <w:lang w:eastAsia="zh-CN"/>
        </w:rPr>
        <w:t>关注的问题包括</w:t>
      </w:r>
      <w:r w:rsidR="0029573B">
        <w:rPr>
          <w:rFonts w:hint="eastAsia"/>
          <w:lang w:eastAsia="zh-CN"/>
        </w:rPr>
        <w:t>：</w:t>
      </w:r>
    </w:p>
    <w:p w14:paraId="229E333A" w14:textId="0191D38E" w:rsidR="002E10AE" w:rsidRDefault="002E10AE" w:rsidP="002E10AE">
      <w:pPr>
        <w:pStyle w:val="ONUME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如果电子系统在最后一刻无法使用，</w:t>
      </w:r>
      <w:r w:rsidR="00A2698D">
        <w:rPr>
          <w:lang w:eastAsia="zh-CN"/>
        </w:rPr>
        <w:t>可用的</w:t>
      </w:r>
      <w:r>
        <w:rPr>
          <w:lang w:eastAsia="zh-CN"/>
        </w:rPr>
        <w:t>非电子系统对申请人没有任何帮助，因为</w:t>
      </w:r>
      <w:r w:rsidR="00A2698D">
        <w:rPr>
          <w:rFonts w:hint="eastAsia"/>
          <w:lang w:eastAsia="zh-CN"/>
        </w:rPr>
        <w:t>通常</w:t>
      </w:r>
      <w:r>
        <w:rPr>
          <w:lang w:eastAsia="zh-CN"/>
        </w:rPr>
        <w:t>来说，将其作为有用的替代</w:t>
      </w:r>
      <w:r w:rsidR="00A2698D">
        <w:rPr>
          <w:rFonts w:hint="eastAsia"/>
          <w:lang w:eastAsia="zh-CN"/>
        </w:rPr>
        <w:t>措施</w:t>
      </w:r>
      <w:r>
        <w:rPr>
          <w:lang w:eastAsia="zh-CN"/>
        </w:rPr>
        <w:t>为时</w:t>
      </w:r>
      <w:r w:rsidR="00113592">
        <w:rPr>
          <w:rFonts w:hint="eastAsia"/>
          <w:lang w:eastAsia="zh-CN"/>
        </w:rPr>
        <w:t>已</w:t>
      </w:r>
      <w:r>
        <w:rPr>
          <w:lang w:eastAsia="zh-CN"/>
        </w:rPr>
        <w:t>晚；</w:t>
      </w:r>
    </w:p>
    <w:p w14:paraId="13AE6633" w14:textId="1A598EF2" w:rsidR="002E10AE" w:rsidRDefault="00D37BB8" w:rsidP="002E10AE">
      <w:pPr>
        <w:pStyle w:val="ONUME"/>
        <w:numPr>
          <w:ilvl w:val="1"/>
          <w:numId w:val="3"/>
        </w:numPr>
        <w:rPr>
          <w:lang w:eastAsia="zh-CN"/>
        </w:rPr>
      </w:pPr>
      <w:r>
        <w:rPr>
          <w:rFonts w:hint="eastAsia"/>
          <w:lang w:eastAsia="zh-CN"/>
        </w:rPr>
        <w:t>对于</w:t>
      </w:r>
      <w:r w:rsidR="002E10AE">
        <w:rPr>
          <w:lang w:eastAsia="zh-CN"/>
        </w:rPr>
        <w:t>系统不可用的时间</w:t>
      </w:r>
      <w:r>
        <w:rPr>
          <w:rFonts w:hint="eastAsia"/>
          <w:lang w:eastAsia="zh-CN"/>
        </w:rPr>
        <w:t>限度</w:t>
      </w:r>
      <w:r w:rsidR="00FF6007">
        <w:rPr>
          <w:rFonts w:hint="eastAsia"/>
          <w:lang w:eastAsia="zh-CN"/>
        </w:rPr>
        <w:t>，</w:t>
      </w:r>
      <w:r w:rsidR="00A2698D">
        <w:rPr>
          <w:rFonts w:hint="eastAsia"/>
          <w:lang w:eastAsia="zh-CN"/>
        </w:rPr>
        <w:t>以及</w:t>
      </w:r>
      <w:r>
        <w:rPr>
          <w:rFonts w:hint="eastAsia"/>
          <w:lang w:eastAsia="zh-CN"/>
        </w:rPr>
        <w:t>这是</w:t>
      </w:r>
      <w:r w:rsidR="00105987">
        <w:rPr>
          <w:lang w:eastAsia="zh-CN"/>
        </w:rPr>
        <w:t>可以采取</w:t>
      </w:r>
      <w:r w:rsidR="009201E4">
        <w:rPr>
          <w:rFonts w:hint="eastAsia"/>
          <w:lang w:eastAsia="zh-CN"/>
        </w:rPr>
        <w:t>相关</w:t>
      </w:r>
      <w:r w:rsidR="00105987">
        <w:rPr>
          <w:lang w:eastAsia="zh-CN"/>
        </w:rPr>
        <w:t>行动的最后一天</w:t>
      </w:r>
      <w:r>
        <w:rPr>
          <w:rFonts w:hint="eastAsia"/>
          <w:lang w:eastAsia="zh-CN"/>
        </w:rPr>
        <w:t>，</w:t>
      </w:r>
      <w:r w:rsidR="00105987">
        <w:rPr>
          <w:lang w:eastAsia="zh-CN"/>
        </w:rPr>
        <w:t>没有明确规定；</w:t>
      </w:r>
    </w:p>
    <w:p w14:paraId="0414F6EF" w14:textId="5151241C" w:rsidR="00105987" w:rsidRDefault="00105987" w:rsidP="002E10AE">
      <w:pPr>
        <w:pStyle w:val="ONUME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保障措施需要</w:t>
      </w:r>
      <w:r w:rsidR="00113592">
        <w:rPr>
          <w:rFonts w:hint="eastAsia"/>
          <w:lang w:eastAsia="zh-CN"/>
        </w:rPr>
        <w:t>覆盖</w:t>
      </w:r>
      <w:r>
        <w:rPr>
          <w:lang w:eastAsia="zh-CN"/>
        </w:rPr>
        <w:t>费用</w:t>
      </w:r>
      <w:r w:rsidR="00113592">
        <w:rPr>
          <w:rFonts w:hint="eastAsia"/>
          <w:lang w:eastAsia="zh-CN"/>
        </w:rPr>
        <w:t>的</w:t>
      </w:r>
      <w:r w:rsidR="003B1E06">
        <w:rPr>
          <w:rFonts w:hint="eastAsia"/>
          <w:lang w:eastAsia="zh-CN"/>
        </w:rPr>
        <w:t>缴纳</w:t>
      </w:r>
      <w:r>
        <w:rPr>
          <w:lang w:eastAsia="zh-CN"/>
        </w:rPr>
        <w:t>以及</w:t>
      </w:r>
      <w:r w:rsidR="00935944">
        <w:rPr>
          <w:rFonts w:hint="eastAsia"/>
          <w:lang w:eastAsia="zh-CN"/>
        </w:rPr>
        <w:t>条约</w:t>
      </w:r>
      <w:r>
        <w:rPr>
          <w:lang w:eastAsia="zh-CN"/>
        </w:rPr>
        <w:t>第</w:t>
      </w:r>
      <w:r>
        <w:rPr>
          <w:lang w:eastAsia="zh-CN"/>
        </w:rPr>
        <w:t>22</w:t>
      </w:r>
      <w:r>
        <w:rPr>
          <w:lang w:eastAsia="zh-CN"/>
        </w:rPr>
        <w:t>条</w:t>
      </w:r>
      <w:r w:rsidR="00113592">
        <w:rPr>
          <w:rFonts w:hint="eastAsia"/>
          <w:lang w:eastAsia="zh-CN"/>
        </w:rPr>
        <w:t>所</w:t>
      </w:r>
      <w:r>
        <w:rPr>
          <w:lang w:eastAsia="zh-CN"/>
        </w:rPr>
        <w:t>要求的任何文件</w:t>
      </w:r>
      <w:r w:rsidR="00A2698D">
        <w:rPr>
          <w:rFonts w:hint="eastAsia"/>
          <w:lang w:eastAsia="zh-CN"/>
        </w:rPr>
        <w:t>的</w:t>
      </w:r>
      <w:r w:rsidR="00113592">
        <w:rPr>
          <w:lang w:eastAsia="zh-CN"/>
        </w:rPr>
        <w:t>提供</w:t>
      </w:r>
      <w:r>
        <w:rPr>
          <w:lang w:eastAsia="zh-CN"/>
        </w:rPr>
        <w:t>。</w:t>
      </w:r>
    </w:p>
    <w:p w14:paraId="49EF9ADC" w14:textId="2BBF4B84" w:rsidR="00105987" w:rsidRDefault="00105987" w:rsidP="002E10AE">
      <w:pPr>
        <w:pStyle w:val="ONUME"/>
        <w:numPr>
          <w:ilvl w:val="1"/>
          <w:numId w:val="3"/>
        </w:numPr>
        <w:rPr>
          <w:lang w:eastAsia="zh-CN"/>
        </w:rPr>
      </w:pPr>
      <w:r>
        <w:rPr>
          <w:lang w:eastAsia="zh-CN"/>
        </w:rPr>
        <w:t>可能需要</w:t>
      </w:r>
      <w:r w:rsidR="00113592">
        <w:rPr>
          <w:rFonts w:hint="eastAsia"/>
          <w:lang w:eastAsia="zh-CN"/>
        </w:rPr>
        <w:t>提</w:t>
      </w:r>
      <w:r w:rsidR="004E363F">
        <w:rPr>
          <w:rFonts w:hint="eastAsia"/>
          <w:lang w:eastAsia="zh-CN"/>
        </w:rPr>
        <w:t>交</w:t>
      </w:r>
      <w:r w:rsidR="00113592">
        <w:rPr>
          <w:rFonts w:hint="eastAsia"/>
          <w:lang w:eastAsia="zh-CN"/>
        </w:rPr>
        <w:t>证据</w:t>
      </w:r>
      <w:r>
        <w:rPr>
          <w:lang w:eastAsia="zh-CN"/>
        </w:rPr>
        <w:t>的情况，包括</w:t>
      </w:r>
      <w:r w:rsidR="002946D7">
        <w:rPr>
          <w:rFonts w:hint="eastAsia"/>
          <w:lang w:eastAsia="zh-CN"/>
        </w:rPr>
        <w:t>关于</w:t>
      </w:r>
      <w:r>
        <w:rPr>
          <w:lang w:eastAsia="zh-CN"/>
        </w:rPr>
        <w:t>问题所在的不确定性（申请人可能不知道问题是出在该局的系统还是其他方面）。</w:t>
      </w:r>
    </w:p>
    <w:p w14:paraId="379F725D" w14:textId="77777777" w:rsidR="002E10AE" w:rsidRDefault="002E10AE" w:rsidP="002E10AE">
      <w:pPr>
        <w:pStyle w:val="ONUME"/>
        <w:numPr>
          <w:ilvl w:val="0"/>
          <w:numId w:val="0"/>
        </w:numPr>
        <w:rPr>
          <w:lang w:eastAsia="zh-CN"/>
        </w:rPr>
      </w:pPr>
    </w:p>
    <w:p w14:paraId="75F0144F" w14:textId="60AE61F0" w:rsidR="002E10AE" w:rsidRDefault="002E10AE" w:rsidP="002E10AE">
      <w:pPr>
        <w:pStyle w:val="ONUME"/>
        <w:numPr>
          <w:ilvl w:val="0"/>
          <w:numId w:val="0"/>
        </w:numPr>
        <w:rPr>
          <w:lang w:eastAsia="zh-CN"/>
        </w:rPr>
      </w:pPr>
    </w:p>
    <w:p w14:paraId="35975B9A" w14:textId="77777777" w:rsidR="002E10AE" w:rsidRPr="002E10AE" w:rsidRDefault="002E10AE" w:rsidP="002E10AE">
      <w:pPr>
        <w:rPr>
          <w:lang w:eastAsia="zh-CN"/>
        </w:rPr>
      </w:pPr>
    </w:p>
    <w:p w14:paraId="4842C7C4" w14:textId="16089EED" w:rsidR="00B311F7" w:rsidRPr="002E10AE" w:rsidRDefault="00A2698D" w:rsidP="00105987">
      <w:pPr>
        <w:pStyle w:val="LegTitle"/>
        <w:pageBreakBefore/>
        <w:rPr>
          <w:b w:val="0"/>
          <w:bCs/>
          <w:lang w:eastAsia="zh-CN"/>
        </w:rPr>
      </w:pPr>
      <w:r>
        <w:rPr>
          <w:rFonts w:hint="eastAsia"/>
          <w:b w:val="0"/>
          <w:bCs/>
          <w:lang w:eastAsia="zh-CN"/>
        </w:rPr>
        <w:lastRenderedPageBreak/>
        <w:t>PCT</w:t>
      </w:r>
      <w:r>
        <w:rPr>
          <w:rFonts w:hint="eastAsia"/>
          <w:b w:val="0"/>
          <w:bCs/>
          <w:lang w:eastAsia="zh-CN"/>
        </w:rPr>
        <w:t>实施细则</w:t>
      </w:r>
      <w:r w:rsidR="002E10AE" w:rsidRPr="002E10AE">
        <w:rPr>
          <w:b w:val="0"/>
          <w:bCs/>
          <w:lang w:eastAsia="zh-CN"/>
        </w:rPr>
        <w:t>修订草案</w:t>
      </w:r>
    </w:p>
    <w:p w14:paraId="40DB242B" w14:textId="77777777" w:rsidR="00B311F7" w:rsidRDefault="00B311F7" w:rsidP="00B311F7">
      <w:pPr>
        <w:pStyle w:val="LegTitle"/>
        <w:rPr>
          <w:lang w:eastAsia="zh-CN"/>
        </w:rPr>
      </w:pPr>
    </w:p>
    <w:p w14:paraId="4F048581" w14:textId="7FA631E5" w:rsidR="00B311F7" w:rsidRDefault="00B311F7" w:rsidP="00B311F7">
      <w:pPr>
        <w:pStyle w:val="LegTitle"/>
        <w:rPr>
          <w:lang w:eastAsia="zh-CN"/>
        </w:rPr>
      </w:pPr>
      <w:r>
        <w:rPr>
          <w:lang w:eastAsia="zh-CN"/>
        </w:rPr>
        <w:t>第</w:t>
      </w:r>
      <w:r>
        <w:rPr>
          <w:lang w:eastAsia="zh-CN"/>
        </w:rPr>
        <w:t>49</w:t>
      </w:r>
      <w:r>
        <w:rPr>
          <w:lang w:eastAsia="zh-CN"/>
        </w:rPr>
        <w:t>条</w:t>
      </w:r>
      <w:r>
        <w:rPr>
          <w:lang w:eastAsia="zh-CN"/>
        </w:rPr>
        <w:br/>
      </w:r>
      <w:bookmarkEnd w:id="0"/>
      <w:r w:rsidR="002946D7" w:rsidRPr="00D63F5E">
        <w:rPr>
          <w:rFonts w:ascii="SimSun" w:hAnsi="SimSun" w:cs="SimSun" w:hint="eastAsia"/>
          <w:lang w:eastAsia="zh-CN"/>
        </w:rPr>
        <w:t>根据条约第</w:t>
      </w:r>
      <w:r w:rsidR="002946D7" w:rsidRPr="00E30C55">
        <w:rPr>
          <w:rFonts w:ascii="SimSun" w:hAnsi="SimSun"/>
          <w:lang w:eastAsia="zh-CN"/>
        </w:rPr>
        <w:t>22</w:t>
      </w:r>
      <w:r w:rsidR="002946D7" w:rsidRPr="00D63F5E">
        <w:rPr>
          <w:rFonts w:ascii="SimSun" w:hAnsi="SimSun" w:cs="SimSun" w:hint="eastAsia"/>
          <w:lang w:eastAsia="zh-CN"/>
        </w:rPr>
        <w:t>条的</w:t>
      </w:r>
      <w:r w:rsidR="00A2698D" w:rsidRPr="00A2698D">
        <w:rPr>
          <w:rFonts w:hint="eastAsia"/>
          <w:lang w:eastAsia="zh-CN"/>
        </w:rPr>
        <w:t>副本、译本和费用</w:t>
      </w:r>
    </w:p>
    <w:p w14:paraId="7B828B63" w14:textId="25D50A51" w:rsidR="00B311F7" w:rsidRPr="002E10AE" w:rsidRDefault="00B311F7" w:rsidP="00B311F7">
      <w:pPr>
        <w:pStyle w:val="LegSubRule"/>
        <w:outlineLvl w:val="0"/>
        <w:rPr>
          <w:rFonts w:cs="Arial"/>
          <w:i/>
          <w:iCs/>
          <w:lang w:eastAsia="zh-CN"/>
        </w:rPr>
      </w:pPr>
      <w:bookmarkStart w:id="1" w:name="_Toc188454088"/>
      <w:bookmarkStart w:id="2" w:name="_Toc183609107"/>
      <w:r w:rsidRPr="002E10AE">
        <w:rPr>
          <w:rFonts w:cs="Arial"/>
          <w:lang w:eastAsia="zh-CN"/>
        </w:rPr>
        <w:t>49.1</w:t>
      </w:r>
      <w:r w:rsidRPr="002E10AE">
        <w:rPr>
          <w:rFonts w:cs="Arial"/>
          <w:lang w:eastAsia="zh-CN"/>
        </w:rPr>
        <w:t>至</w:t>
      </w:r>
      <w:r w:rsidRPr="002E10AE">
        <w:rPr>
          <w:rFonts w:cs="Arial"/>
          <w:lang w:eastAsia="zh-CN"/>
        </w:rPr>
        <w:t>49.3</w:t>
      </w:r>
      <w:r w:rsidRPr="00AF6404">
        <w:rPr>
          <w:rFonts w:cs="Arial"/>
          <w:lang w:eastAsia="zh-CN"/>
        </w:rPr>
        <w:t>[</w:t>
      </w:r>
      <w:r w:rsidRPr="00526E46">
        <w:rPr>
          <w:rFonts w:ascii="KaiTi" w:eastAsia="KaiTi" w:hAnsi="KaiTi" w:cs="Arial"/>
          <w:lang w:eastAsia="zh-CN"/>
        </w:rPr>
        <w:t>无</w:t>
      </w:r>
      <w:r w:rsidR="00AF6404" w:rsidRPr="00526E46">
        <w:rPr>
          <w:rFonts w:ascii="KaiTi" w:eastAsia="KaiTi" w:hAnsi="KaiTi" w:cs="SimSun" w:hint="eastAsia"/>
          <w:lang w:eastAsia="zh-CN"/>
        </w:rPr>
        <w:t>变化</w:t>
      </w:r>
      <w:r w:rsidRPr="00AF6404">
        <w:rPr>
          <w:rFonts w:cs="Arial"/>
          <w:lang w:eastAsia="zh-CN"/>
        </w:rPr>
        <w:t>]</w:t>
      </w:r>
      <w:bookmarkEnd w:id="1"/>
    </w:p>
    <w:p w14:paraId="2C174EDD" w14:textId="57261EAC" w:rsidR="00AF6404" w:rsidRPr="00A5596F" w:rsidRDefault="00B311F7" w:rsidP="00AF6404">
      <w:pPr>
        <w:pStyle w:val="LegSubRule"/>
        <w:jc w:val="both"/>
        <w:outlineLvl w:val="0"/>
        <w:rPr>
          <w:rFonts w:ascii="KaiTi" w:eastAsia="KaiTi" w:hAnsi="KaiTi"/>
          <w:i/>
          <w:lang w:eastAsia="zh-CN"/>
        </w:rPr>
      </w:pPr>
      <w:bookmarkStart w:id="3" w:name="_Toc188454089"/>
      <w:r w:rsidRPr="002E10AE">
        <w:rPr>
          <w:rFonts w:cs="Arial"/>
          <w:lang w:eastAsia="zh-CN"/>
        </w:rPr>
        <w:t>49.4</w:t>
      </w:r>
      <w:r w:rsidR="00AF6404" w:rsidRPr="00A5596F">
        <w:rPr>
          <w:rFonts w:ascii="KaiTi" w:eastAsia="KaiTi" w:hAnsi="KaiTi" w:cs="SimSun" w:hint="eastAsia"/>
          <w:color w:val="0000FF"/>
          <w:u w:val="single"/>
          <w:lang w:eastAsia="zh-CN"/>
        </w:rPr>
        <w:t>履行条约第22</w:t>
      </w:r>
      <w:r w:rsidR="00AF6404" w:rsidRPr="00A5596F">
        <w:rPr>
          <w:rFonts w:ascii="KaiTi" w:eastAsia="KaiTi" w:hAnsi="KaiTi" w:cs="SimSun"/>
          <w:color w:val="0000FF"/>
          <w:u w:val="single"/>
          <w:lang w:eastAsia="zh-CN"/>
        </w:rPr>
        <w:t>条</w:t>
      </w:r>
      <w:r w:rsidR="00AF6404" w:rsidRPr="00A5596F">
        <w:rPr>
          <w:rFonts w:ascii="KaiTi" w:eastAsia="KaiTi" w:hAnsi="KaiTi" w:cs="SimSun" w:hint="eastAsia"/>
          <w:color w:val="0000FF"/>
          <w:u w:val="single"/>
          <w:lang w:eastAsia="zh-CN"/>
        </w:rPr>
        <w:t>所述</w:t>
      </w:r>
      <w:r w:rsidR="00AF6404" w:rsidRPr="00A5596F">
        <w:rPr>
          <w:rFonts w:ascii="KaiTi" w:eastAsia="KaiTi" w:hAnsi="KaiTi" w:cs="SimSun"/>
          <w:color w:val="0000FF"/>
          <w:u w:val="single"/>
          <w:lang w:eastAsia="zh-CN"/>
        </w:rPr>
        <w:t>行为的传送方式</w:t>
      </w:r>
      <w:r w:rsidR="00AF6404" w:rsidRPr="00A5596F">
        <w:rPr>
          <w:rFonts w:ascii="KaiTi" w:eastAsia="KaiTi" w:hAnsi="KaiTi" w:cs="SimSun" w:hint="eastAsia"/>
          <w:iCs/>
          <w:strike/>
          <w:color w:val="FF0000"/>
          <w:lang w:eastAsia="zh-CN"/>
        </w:rPr>
        <w:t>国家表格的使用</w:t>
      </w:r>
    </w:p>
    <w:p w14:paraId="153951A6" w14:textId="6C737DC7" w:rsidR="00AF6404" w:rsidRPr="00D95BDF" w:rsidRDefault="00AF6404" w:rsidP="00AF6404">
      <w:pPr>
        <w:pStyle w:val="Lega"/>
        <w:tabs>
          <w:tab w:val="clear" w:pos="454"/>
        </w:tabs>
        <w:ind w:firstLine="533"/>
        <w:jc w:val="both"/>
        <w:rPr>
          <w:rFonts w:ascii="SimSun" w:hAnsi="SimSun"/>
          <w:lang w:eastAsia="zh-CN"/>
        </w:rPr>
      </w:pPr>
      <w:r w:rsidRPr="00D95BDF">
        <w:rPr>
          <w:rFonts w:ascii="SimSun" w:hAnsi="SimSun"/>
          <w:color w:val="0000FF"/>
          <w:u w:val="single"/>
          <w:lang w:eastAsia="zh-CN"/>
        </w:rPr>
        <w:t>(a)</w:t>
      </w:r>
      <w:r w:rsidRPr="00D95BDF">
        <w:rPr>
          <w:rStyle w:val="LegInsertedText"/>
          <w:rFonts w:ascii="SimSun" w:hAnsi="SimSun" w:hint="eastAsia"/>
          <w:szCs w:val="22"/>
          <w:lang w:eastAsia="zh-CN"/>
        </w:rPr>
        <w:t>除(b)的规定之外，</w:t>
      </w:r>
      <w:r w:rsidRPr="00D95BDF">
        <w:rPr>
          <w:rFonts w:ascii="SimSun" w:hAnsi="SimSun" w:cs="SimSun" w:hint="eastAsia"/>
          <w:lang w:eastAsia="zh-CN"/>
        </w:rPr>
        <w:t>在履行条约第22条所述行为时，不应要求申请人使用国家表格。</w:t>
      </w:r>
    </w:p>
    <w:p w14:paraId="52FE0D38" w14:textId="0466D3E6" w:rsidR="00AF6404" w:rsidRPr="00D95BDF" w:rsidRDefault="00AF6404" w:rsidP="00AF6404">
      <w:pPr>
        <w:pStyle w:val="Lega"/>
        <w:tabs>
          <w:tab w:val="clear" w:pos="454"/>
          <w:tab w:val="left" w:pos="20"/>
        </w:tabs>
        <w:jc w:val="both"/>
        <w:rPr>
          <w:rFonts w:ascii="SimSun" w:hAnsi="SimSun"/>
          <w:color w:val="0000FF"/>
          <w:szCs w:val="22"/>
          <w:u w:val="single"/>
          <w:lang w:eastAsia="zh-CN"/>
        </w:rPr>
      </w:pP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u w:val="single"/>
          <w:lang w:eastAsia="zh-CN"/>
        </w:rPr>
        <w:t>(b)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任何指定局可对履行条约第</w:t>
      </w:r>
      <w:r w:rsidRPr="00D95BDF">
        <w:rPr>
          <w:rFonts w:ascii="SimSun" w:hAnsi="SimSun" w:hint="eastAsia"/>
          <w:color w:val="0000FF"/>
          <w:u w:val="single"/>
          <w:lang w:eastAsia="zh-CN"/>
        </w:rPr>
        <w:t>22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条所述行为的传送方式提出要求，条件是至少有一种方式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[</w:t>
      </w:r>
      <w:r w:rsidRPr="00767C84">
        <w:rPr>
          <w:rFonts w:ascii="SimSun" w:hAnsi="SimSun" w:cs="SimSun" w:hint="eastAsia"/>
          <w:strike/>
          <w:color w:val="0000FF"/>
          <w:highlight w:val="yellow"/>
          <w:u w:val="single"/>
          <w:lang w:eastAsia="zh-CN"/>
        </w:rPr>
        <w:t>应便于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]</w:t>
      </w:r>
      <w:r w:rsidR="004E363F" w:rsidRPr="002E10AE">
        <w:rPr>
          <w:rFonts w:cs="Arial"/>
          <w:color w:val="0000FF"/>
          <w:highlight w:val="yellow"/>
          <w:u w:val="single"/>
          <w:lang w:eastAsia="zh-CN"/>
        </w:rPr>
        <w:t>[</w:t>
      </w:r>
      <w:r w:rsidR="004E363F">
        <w:rPr>
          <w:rFonts w:cs="Arial" w:hint="eastAsia"/>
          <w:color w:val="0000FF"/>
          <w:highlight w:val="yellow"/>
          <w:u w:val="single"/>
          <w:lang w:eastAsia="zh-CN"/>
        </w:rPr>
        <w:t>可</w:t>
      </w:r>
      <w:r w:rsidR="00767C84">
        <w:rPr>
          <w:rFonts w:cs="Arial" w:hint="eastAsia"/>
          <w:color w:val="0000FF"/>
          <w:highlight w:val="yellow"/>
          <w:u w:val="single"/>
          <w:lang w:eastAsia="zh-CN"/>
        </w:rPr>
        <w:t>供</w:t>
      </w:r>
      <w:r w:rsidR="004E363F" w:rsidRPr="002E10AE">
        <w:rPr>
          <w:rFonts w:cs="Arial"/>
          <w:color w:val="0000FF"/>
          <w:highlight w:val="yellow"/>
          <w:u w:val="single"/>
          <w:lang w:eastAsia="zh-CN"/>
        </w:rPr>
        <w:t>]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申请人使用，而申请人无需：</w:t>
      </w:r>
    </w:p>
    <w:p w14:paraId="774DF4DB" w14:textId="77DBDB3E" w:rsidR="00AF6404" w:rsidRPr="00D95BDF" w:rsidRDefault="00AF6404" w:rsidP="00AF6404">
      <w:pPr>
        <w:pStyle w:val="Lega"/>
        <w:jc w:val="both"/>
        <w:rPr>
          <w:rFonts w:ascii="SimSun" w:hAnsi="SimSun"/>
          <w:color w:val="0000FF"/>
          <w:u w:val="single"/>
          <w:lang w:eastAsia="zh-CN"/>
        </w:rPr>
      </w:pPr>
      <w:r w:rsidRPr="00D95BDF">
        <w:rPr>
          <w:rFonts w:ascii="SimSun" w:hAnsi="SimSun"/>
          <w:color w:val="0000FF"/>
          <w:lang w:eastAsia="zh-CN"/>
        </w:rPr>
        <w:tab/>
        <w:t xml:space="preserve">  </w:t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u w:val="single"/>
          <w:lang w:eastAsia="zh-CN"/>
        </w:rPr>
        <w:t>(i)</w:t>
      </w:r>
      <w:r w:rsidRPr="00D95BDF">
        <w:rPr>
          <w:rFonts w:ascii="SimSun" w:hAnsi="SimSun"/>
          <w:color w:val="0000FF"/>
          <w:szCs w:val="22"/>
          <w:u w:val="single"/>
          <w:lang w:eastAsia="zh-CN"/>
        </w:rPr>
        <w:t>在指定局所在国拥有</w:t>
      </w:r>
      <w:r w:rsidRPr="00D95BDF">
        <w:rPr>
          <w:rFonts w:ascii="SimSun" w:hAnsi="SimSun" w:hint="eastAsia"/>
          <w:color w:val="0000FF"/>
          <w:szCs w:val="22"/>
          <w:u w:val="single"/>
          <w:lang w:eastAsia="zh-CN"/>
        </w:rPr>
        <w:t>居所</w:t>
      </w:r>
      <w:r w:rsidRPr="00D95BDF">
        <w:rPr>
          <w:rFonts w:ascii="SimSun" w:hAnsi="SimSun"/>
          <w:color w:val="0000FF"/>
          <w:szCs w:val="22"/>
          <w:u w:val="single"/>
          <w:lang w:eastAsia="zh-CN"/>
        </w:rPr>
        <w:t>或</w:t>
      </w:r>
      <w:r w:rsidRPr="00D95BDF">
        <w:rPr>
          <w:rFonts w:ascii="SimSun" w:hAnsi="SimSun" w:hint="eastAsia"/>
          <w:color w:val="0000FF"/>
          <w:szCs w:val="22"/>
          <w:u w:val="single"/>
          <w:lang w:eastAsia="zh-CN"/>
        </w:rPr>
        <w:t>地址；</w:t>
      </w:r>
    </w:p>
    <w:p w14:paraId="04B77BC2" w14:textId="4876DEAC" w:rsidR="00AF6404" w:rsidRPr="00D95BDF" w:rsidRDefault="00AF6404" w:rsidP="00AF6404">
      <w:pPr>
        <w:pStyle w:val="Lega"/>
        <w:jc w:val="both"/>
        <w:rPr>
          <w:rFonts w:ascii="SimSun" w:hAnsi="SimSun"/>
          <w:color w:val="0000FF"/>
          <w:u w:val="single"/>
          <w:lang w:eastAsia="zh-CN"/>
        </w:rPr>
      </w:pP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u w:val="single"/>
          <w:lang w:eastAsia="zh-CN"/>
        </w:rPr>
        <w:t>(ii)</w:t>
      </w:r>
      <w:r w:rsidRPr="00D95BDF">
        <w:rPr>
          <w:rFonts w:ascii="SimSun" w:hAnsi="SimSun"/>
          <w:color w:val="0000FF"/>
          <w:szCs w:val="22"/>
          <w:u w:val="single"/>
          <w:lang w:eastAsia="zh-CN"/>
        </w:rPr>
        <w:t>指定有权在该局执业的代理人</w:t>
      </w:r>
      <w:r w:rsidRPr="00D95BDF">
        <w:rPr>
          <w:rFonts w:ascii="SimSun" w:hAnsi="SimSun" w:hint="eastAsia"/>
          <w:color w:val="0000FF"/>
          <w:szCs w:val="22"/>
          <w:u w:val="single"/>
          <w:lang w:eastAsia="zh-CN"/>
        </w:rPr>
        <w:t>；或者</w:t>
      </w:r>
    </w:p>
    <w:p w14:paraId="0E13813E" w14:textId="7BD3FE90" w:rsidR="00AF6404" w:rsidRPr="00D95BDF" w:rsidRDefault="00AF6404" w:rsidP="00AF6404">
      <w:pPr>
        <w:pStyle w:val="Lega"/>
        <w:jc w:val="both"/>
        <w:rPr>
          <w:rFonts w:ascii="SimSun" w:hAnsi="SimSun"/>
          <w:color w:val="0000FF"/>
          <w:u w:val="single"/>
          <w:lang w:eastAsia="zh-CN"/>
        </w:rPr>
      </w:pP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u w:val="single"/>
          <w:lang w:eastAsia="zh-CN"/>
        </w:rPr>
        <w:t>(iii)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提供任何超出识别国际申请和与申请人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[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或代理人（</w:t>
      </w:r>
      <w:r w:rsidR="00767C84">
        <w:rPr>
          <w:rFonts w:cs="Arial" w:hint="eastAsia"/>
          <w:color w:val="0000FF"/>
          <w:highlight w:val="yellow"/>
          <w:u w:val="single"/>
          <w:lang w:eastAsia="zh-CN"/>
        </w:rPr>
        <w:t>如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适用）</w:t>
      </w:r>
      <w:r w:rsidR="00767C84" w:rsidRPr="002E10AE">
        <w:rPr>
          <w:rFonts w:cs="Arial"/>
          <w:color w:val="0000FF"/>
          <w:highlight w:val="yellow"/>
          <w:u w:val="single"/>
          <w:lang w:eastAsia="zh-CN"/>
        </w:rPr>
        <w:t>]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通信所需的最基本信息的数据。</w:t>
      </w:r>
    </w:p>
    <w:p w14:paraId="1D51F11B" w14:textId="0ED9E382" w:rsidR="00AF6404" w:rsidRPr="00D95BDF" w:rsidRDefault="00AF6404" w:rsidP="00AF6404">
      <w:pPr>
        <w:pStyle w:val="Lega"/>
        <w:tabs>
          <w:tab w:val="clear" w:pos="454"/>
          <w:tab w:val="left" w:pos="20"/>
        </w:tabs>
        <w:jc w:val="both"/>
        <w:rPr>
          <w:rFonts w:ascii="SimSun" w:hAnsi="SimSun"/>
          <w:color w:val="0000FF"/>
          <w:lang w:eastAsia="zh-CN"/>
        </w:rPr>
      </w:pPr>
      <w:r w:rsidRPr="00D95BDF">
        <w:rPr>
          <w:rFonts w:ascii="SimSun" w:hAnsi="SimSun"/>
          <w:color w:val="0000FF"/>
          <w:lang w:eastAsia="zh-CN"/>
        </w:rPr>
        <w:tab/>
      </w:r>
      <w:r w:rsidRPr="00D95BDF">
        <w:rPr>
          <w:rFonts w:ascii="SimSun" w:hAnsi="SimSun"/>
          <w:color w:val="0000FF"/>
          <w:lang w:eastAsia="zh-CN"/>
        </w:rPr>
        <w:tab/>
        <w:t>(</w:t>
      </w:r>
      <w:r w:rsidRPr="00D95BDF">
        <w:rPr>
          <w:rFonts w:ascii="SimSun" w:hAnsi="SimSun"/>
          <w:color w:val="0000FF"/>
          <w:u w:val="single"/>
          <w:lang w:eastAsia="zh-CN"/>
        </w:rPr>
        <w:t>c)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各指定局应当就</w:t>
      </w:r>
      <w:r w:rsidRPr="00D95BDF">
        <w:rPr>
          <w:rFonts w:ascii="SimSun" w:hAnsi="SimSun" w:hint="eastAsia"/>
          <w:color w:val="0000FF"/>
          <w:u w:val="single"/>
          <w:lang w:eastAsia="zh-CN"/>
        </w:rPr>
        <w:t>(b)</w:t>
      </w:r>
      <w:r w:rsidRPr="00D95BDF">
        <w:rPr>
          <w:rFonts w:ascii="SimSun" w:hAnsi="SimSun" w:cs="SimSun" w:hint="eastAsia"/>
          <w:color w:val="0000FF"/>
          <w:u w:val="single"/>
          <w:lang w:eastAsia="zh-CN"/>
        </w:rPr>
        <w:t>中所述的任何规定要求向国际局作出通知。国际局应当在公报中公布该通知。任何要求的生效日期不得早于自其在公报中公布之日起两个月。</w:t>
      </w:r>
    </w:p>
    <w:p w14:paraId="37367D66" w14:textId="17FDA267" w:rsidR="00B311F7" w:rsidRPr="002E10AE" w:rsidRDefault="00B311F7" w:rsidP="00105987">
      <w:pPr>
        <w:pStyle w:val="LegSubRule"/>
        <w:keepNext w:val="0"/>
        <w:keepLines w:val="0"/>
        <w:outlineLvl w:val="0"/>
        <w:rPr>
          <w:rFonts w:cs="Arial"/>
          <w:i/>
          <w:iCs/>
          <w:lang w:eastAsia="zh-CN"/>
        </w:rPr>
      </w:pPr>
      <w:bookmarkStart w:id="4" w:name="_Toc188454090"/>
      <w:bookmarkEnd w:id="2"/>
      <w:bookmarkEnd w:id="3"/>
      <w:r w:rsidRPr="002E10AE">
        <w:rPr>
          <w:rFonts w:cs="Arial"/>
          <w:lang w:eastAsia="zh-CN"/>
        </w:rPr>
        <w:t>49.5</w:t>
      </w:r>
      <w:r w:rsidRPr="002E10AE">
        <w:rPr>
          <w:rFonts w:cs="Arial"/>
          <w:lang w:eastAsia="zh-CN"/>
        </w:rPr>
        <w:t>和</w:t>
      </w:r>
      <w:r w:rsidRPr="002E10AE">
        <w:rPr>
          <w:rFonts w:cs="Arial"/>
          <w:lang w:eastAsia="zh-CN"/>
        </w:rPr>
        <w:t>49.6</w:t>
      </w:r>
      <w:r w:rsidRPr="0029573B">
        <w:rPr>
          <w:rFonts w:cs="Arial"/>
          <w:lang w:eastAsia="zh-CN"/>
        </w:rPr>
        <w:t>[</w:t>
      </w:r>
      <w:r w:rsidR="00767C84" w:rsidRPr="00526E46">
        <w:rPr>
          <w:rFonts w:ascii="KaiTi" w:eastAsia="KaiTi" w:hAnsi="KaiTi" w:cs="Arial" w:hint="eastAsia"/>
          <w:lang w:eastAsia="zh-CN"/>
        </w:rPr>
        <w:t>无变化</w:t>
      </w:r>
      <w:r w:rsidRPr="0029573B">
        <w:rPr>
          <w:rFonts w:cs="Arial"/>
          <w:lang w:eastAsia="zh-CN"/>
        </w:rPr>
        <w:t>]</w:t>
      </w:r>
      <w:bookmarkEnd w:id="4"/>
    </w:p>
    <w:p w14:paraId="3C0930C5" w14:textId="77777777" w:rsidR="002E10AE" w:rsidRPr="006F39AF" w:rsidRDefault="002E10AE" w:rsidP="00B311F7">
      <w:pPr>
        <w:pStyle w:val="LegSubRule"/>
        <w:outlineLvl w:val="0"/>
        <w:rPr>
          <w:i/>
          <w:iCs/>
          <w:lang w:eastAsia="zh-CN"/>
        </w:rPr>
      </w:pPr>
    </w:p>
    <w:p w14:paraId="6F6D5777" w14:textId="5158F4A7" w:rsidR="0029573B" w:rsidRPr="00E30C55" w:rsidRDefault="00B311F7" w:rsidP="0029573B">
      <w:pPr>
        <w:pStyle w:val="LegTitle"/>
        <w:rPr>
          <w:rFonts w:ascii="SimSun" w:hAnsi="SimSun"/>
          <w:lang w:eastAsia="zh-CN"/>
        </w:rPr>
      </w:pPr>
      <w:bookmarkStart w:id="5" w:name="_Toc188454091"/>
      <w:r w:rsidRPr="002E10AE">
        <w:rPr>
          <w:rFonts w:cs="Arial"/>
          <w:szCs w:val="22"/>
          <w:lang w:eastAsia="zh-CN"/>
        </w:rPr>
        <w:t>第</w:t>
      </w:r>
      <w:r w:rsidRPr="002E10AE">
        <w:rPr>
          <w:rFonts w:cs="Arial"/>
          <w:szCs w:val="22"/>
          <w:lang w:eastAsia="zh-CN"/>
        </w:rPr>
        <w:t>82</w:t>
      </w:r>
      <w:r w:rsidRPr="002E10AE">
        <w:rPr>
          <w:rFonts w:cs="Arial"/>
          <w:szCs w:val="22"/>
          <w:lang w:eastAsia="zh-CN"/>
        </w:rPr>
        <w:t>条</w:t>
      </w:r>
      <w:r w:rsidRPr="002E10AE">
        <w:rPr>
          <w:rFonts w:cs="Arial"/>
          <w:szCs w:val="22"/>
          <w:lang w:eastAsia="zh-CN"/>
        </w:rPr>
        <w:br/>
      </w:r>
      <w:bookmarkStart w:id="6" w:name="_Hlk182558908"/>
      <w:bookmarkEnd w:id="5"/>
      <w:r w:rsidR="0029573B">
        <w:rPr>
          <w:rFonts w:ascii="SimSun" w:hAnsi="SimSun" w:cs="SimSun" w:hint="eastAsia"/>
          <w:lang w:eastAsia="zh-CN"/>
        </w:rPr>
        <w:t>邮递业务</w:t>
      </w:r>
      <w:r w:rsidR="0029573B">
        <w:rPr>
          <w:rFonts w:ascii="SimSun" w:hAnsi="SimSun" w:cs="SimSun" w:hint="eastAsia"/>
          <w:color w:val="0000FF"/>
          <w:u w:val="single"/>
          <w:lang w:eastAsia="zh-CN"/>
        </w:rPr>
        <w:t>或电子方式</w:t>
      </w:r>
      <w:bookmarkEnd w:id="6"/>
      <w:r w:rsidR="0029573B">
        <w:rPr>
          <w:rFonts w:ascii="SimSun" w:hAnsi="SimSun" w:cs="SimSun" w:hint="eastAsia"/>
          <w:color w:val="0000FF"/>
          <w:u w:val="single"/>
          <w:lang w:eastAsia="zh-CN"/>
        </w:rPr>
        <w:t>传送</w:t>
      </w:r>
      <w:r w:rsidR="0029573B">
        <w:rPr>
          <w:rFonts w:ascii="SimSun" w:hAnsi="SimSun" w:cs="SimSun" w:hint="eastAsia"/>
          <w:lang w:eastAsia="zh-CN"/>
        </w:rPr>
        <w:t>异常</w:t>
      </w:r>
    </w:p>
    <w:p w14:paraId="77459037" w14:textId="50C15D40" w:rsidR="00B311F7" w:rsidRPr="002E10AE" w:rsidRDefault="00B311F7" w:rsidP="002E10AE">
      <w:pPr>
        <w:pStyle w:val="LegTitle"/>
        <w:rPr>
          <w:rFonts w:cs="Arial"/>
          <w:color w:val="0000FF"/>
          <w:szCs w:val="22"/>
          <w:u w:val="single"/>
          <w:lang w:eastAsia="zh-CN"/>
        </w:rPr>
      </w:pPr>
    </w:p>
    <w:p w14:paraId="42BA8AD0" w14:textId="6163EDB3" w:rsidR="00B311F7" w:rsidRPr="002E10AE" w:rsidRDefault="00B311F7" w:rsidP="00B311F7">
      <w:pPr>
        <w:pStyle w:val="LegSubRule"/>
        <w:rPr>
          <w:rFonts w:cs="Arial"/>
          <w:szCs w:val="22"/>
          <w:lang w:eastAsia="zh-CN"/>
        </w:rPr>
      </w:pPr>
      <w:bookmarkStart w:id="7" w:name="_Toc188454092"/>
      <w:r w:rsidRPr="002E10AE">
        <w:rPr>
          <w:rFonts w:cs="Arial"/>
          <w:szCs w:val="22"/>
          <w:lang w:eastAsia="zh-CN"/>
        </w:rPr>
        <w:t>82.1</w:t>
      </w:r>
      <w:r w:rsidR="00FE1706">
        <w:rPr>
          <w:rFonts w:cs="Arial" w:hint="eastAsia"/>
          <w:szCs w:val="22"/>
          <w:lang w:eastAsia="zh-CN"/>
        </w:rPr>
        <w:t xml:space="preserve"> </w:t>
      </w:r>
      <w:r w:rsidRPr="0029573B">
        <w:rPr>
          <w:rFonts w:cs="Arial"/>
          <w:szCs w:val="22"/>
          <w:lang w:eastAsia="zh-CN"/>
        </w:rPr>
        <w:t>[</w:t>
      </w:r>
      <w:r w:rsidRPr="00526E46">
        <w:rPr>
          <w:rFonts w:ascii="KaiTi" w:eastAsia="KaiTi" w:hAnsi="KaiTi" w:cs="Arial"/>
          <w:szCs w:val="22"/>
          <w:lang w:eastAsia="zh-CN"/>
        </w:rPr>
        <w:t>无变化</w:t>
      </w:r>
      <w:r w:rsidRPr="0029573B">
        <w:rPr>
          <w:rFonts w:cs="Arial"/>
          <w:szCs w:val="22"/>
          <w:lang w:eastAsia="zh-CN"/>
        </w:rPr>
        <w:t>］</w:t>
      </w:r>
      <w:bookmarkEnd w:id="7"/>
    </w:p>
    <w:p w14:paraId="37C16E2C" w14:textId="51A2DA05" w:rsidR="0029573B" w:rsidRDefault="00B311F7" w:rsidP="0029573B">
      <w:pPr>
        <w:pStyle w:val="LegSubRule"/>
        <w:rPr>
          <w:rFonts w:ascii="KaiTi" w:eastAsia="KaiTi" w:hAnsi="KaiTi"/>
          <w:color w:val="0000FF"/>
          <w:szCs w:val="22"/>
          <w:u w:val="single"/>
          <w:lang w:eastAsia="zh-CN"/>
        </w:rPr>
      </w:pPr>
      <w:bookmarkStart w:id="8" w:name="_Toc188454093"/>
      <w:bookmarkStart w:id="9" w:name="_Hlk188002407"/>
      <w:r w:rsidRPr="002E10AE">
        <w:rPr>
          <w:rFonts w:cs="Arial"/>
          <w:color w:val="0000FF"/>
          <w:szCs w:val="22"/>
          <w:u w:val="single"/>
          <w:lang w:eastAsia="zh-CN"/>
        </w:rPr>
        <w:t>82.2</w:t>
      </w:r>
      <w:r w:rsidRPr="002E10AE">
        <w:rPr>
          <w:rFonts w:cs="Arial"/>
          <w:i/>
          <w:iCs/>
          <w:color w:val="0000FF"/>
          <w:szCs w:val="22"/>
          <w:u w:val="single"/>
          <w:lang w:eastAsia="zh-CN"/>
        </w:rPr>
        <w:t xml:space="preserve"> </w:t>
      </w:r>
      <w:bookmarkEnd w:id="8"/>
      <w:r w:rsidR="0029573B" w:rsidRPr="0005418F">
        <w:rPr>
          <w:rFonts w:ascii="KaiTi" w:eastAsia="KaiTi" w:hAnsi="KaiTi"/>
          <w:color w:val="0000FF"/>
          <w:szCs w:val="22"/>
          <w:u w:val="single"/>
          <w:lang w:eastAsia="zh-CN"/>
        </w:rPr>
        <w:t>电子</w:t>
      </w:r>
      <w:r w:rsidR="0029573B" w:rsidRPr="0005418F">
        <w:rPr>
          <w:rFonts w:ascii="KaiTi" w:eastAsia="KaiTi" w:hAnsi="KaiTi" w:hint="eastAsia"/>
          <w:color w:val="0000FF"/>
          <w:szCs w:val="22"/>
          <w:u w:val="single"/>
          <w:lang w:eastAsia="zh-CN"/>
        </w:rPr>
        <w:t>方式</w:t>
      </w:r>
      <w:r w:rsidR="0029573B">
        <w:rPr>
          <w:rFonts w:ascii="KaiTi" w:eastAsia="KaiTi" w:hAnsi="KaiTi" w:hint="eastAsia"/>
          <w:color w:val="0000FF"/>
          <w:szCs w:val="22"/>
          <w:u w:val="single"/>
          <w:lang w:eastAsia="zh-CN"/>
        </w:rPr>
        <w:t>传送</w:t>
      </w:r>
      <w:r w:rsidR="0029573B" w:rsidRPr="0005418F">
        <w:rPr>
          <w:rFonts w:ascii="KaiTi" w:eastAsia="KaiTi" w:hAnsi="KaiTi" w:hint="eastAsia"/>
          <w:color w:val="0000FF"/>
          <w:szCs w:val="22"/>
          <w:u w:val="single"/>
          <w:lang w:eastAsia="zh-CN"/>
        </w:rPr>
        <w:t>不可用</w:t>
      </w:r>
    </w:p>
    <w:p w14:paraId="23041E38" w14:textId="0289B90E" w:rsidR="0029573B" w:rsidRPr="0029573B" w:rsidRDefault="0029573B" w:rsidP="0029573B">
      <w:pPr>
        <w:tabs>
          <w:tab w:val="left" w:pos="454"/>
        </w:tabs>
        <w:spacing w:before="119" w:after="240" w:line="360" w:lineRule="auto"/>
        <w:jc w:val="both"/>
        <w:rPr>
          <w:rFonts w:ascii="SimSun" w:hAnsi="SimSun"/>
          <w:noProof/>
          <w:snapToGrid w:val="0"/>
          <w:szCs w:val="22"/>
          <w:lang w:eastAsia="zh-CN"/>
        </w:rPr>
      </w:pPr>
      <w:r w:rsidRPr="0029573B">
        <w:rPr>
          <w:rFonts w:ascii="SimSun" w:hAnsi="SimSun"/>
          <w:noProof/>
          <w:snapToGrid w:val="0"/>
          <w:color w:val="0000FF"/>
          <w:szCs w:val="22"/>
          <w:lang w:eastAsia="zh-CN"/>
        </w:rPr>
        <w:tab/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(a)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任何相关当事人可以提交证据证明，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其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曾经尝试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通过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细则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49.4(b)</w:t>
      </w:r>
      <w:r w:rsidRPr="0029573B">
        <w:rPr>
          <w:rFonts w:ascii="SimSun" w:hAnsi="SimSun" w:cs="SimSun" w:hint="eastAsia"/>
          <w:noProof/>
          <w:snapToGrid w:val="0"/>
          <w:color w:val="0000FF"/>
          <w:szCs w:val="22"/>
          <w:u w:val="single"/>
          <w:lang w:eastAsia="zh-CN"/>
        </w:rPr>
        <w:t>规定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的电子传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送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方式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提供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文件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和</w:t>
      </w:r>
      <w:r w:rsidRPr="002E10AE">
        <w:rPr>
          <w:color w:val="0000FF"/>
          <w:szCs w:val="22"/>
          <w:highlight w:val="yellow"/>
          <w:u w:val="single"/>
          <w:lang w:eastAsia="zh-CN"/>
        </w:rPr>
        <w:t>/</w:t>
      </w:r>
      <w:r w:rsidRPr="002E10AE">
        <w:rPr>
          <w:color w:val="0000FF"/>
          <w:szCs w:val="22"/>
          <w:highlight w:val="yellow"/>
          <w:u w:val="single"/>
          <w:lang w:eastAsia="zh-CN"/>
        </w:rPr>
        <w:t>或</w:t>
      </w:r>
      <w:r w:rsidR="002946D7">
        <w:rPr>
          <w:rFonts w:hint="eastAsia"/>
          <w:color w:val="0000FF"/>
          <w:szCs w:val="22"/>
          <w:highlight w:val="yellow"/>
          <w:u w:val="single"/>
          <w:lang w:eastAsia="zh-CN"/>
        </w:rPr>
        <w:t>缴纳</w:t>
      </w:r>
      <w:r w:rsidRPr="002E10AE">
        <w:rPr>
          <w:color w:val="0000FF"/>
          <w:szCs w:val="22"/>
          <w:highlight w:val="yellow"/>
          <w:u w:val="single"/>
          <w:lang w:eastAsia="zh-CN"/>
        </w:rPr>
        <w:t>费用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，以遵守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条约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第22条或第39条第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(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1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)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款的期限，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但是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由于该方式在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条约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第22条或第39条第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(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1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)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款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规定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的期限届满</w:t>
      </w:r>
      <w:r w:rsidR="004E363F"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9573B">
        <w:rPr>
          <w:rFonts w:ascii="SimSun" w:hAnsi="SimSun"/>
          <w:strike/>
          <w:noProof/>
          <w:snapToGrid w:val="0"/>
          <w:color w:val="0000FF"/>
          <w:szCs w:val="22"/>
          <w:highlight w:val="yellow"/>
          <w:u w:val="single"/>
          <w:lang w:eastAsia="zh-CN"/>
        </w:rPr>
        <w:t>前最后一天</w:t>
      </w:r>
      <w:r w:rsidRPr="004E363F">
        <w:rPr>
          <w:strike/>
          <w:color w:val="0000FF"/>
          <w:szCs w:val="22"/>
          <w:highlight w:val="yellow"/>
          <w:u w:val="single"/>
          <w:lang w:eastAsia="zh-CN"/>
        </w:rPr>
        <w:t>的</w:t>
      </w:r>
      <w:r w:rsidR="004E363F"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="004E363F">
        <w:rPr>
          <w:rFonts w:hint="eastAsia"/>
          <w:color w:val="0000FF"/>
          <w:szCs w:val="22"/>
          <w:highlight w:val="yellow"/>
          <w:u w:val="single"/>
          <w:lang w:eastAsia="zh-CN"/>
        </w:rPr>
        <w:t>当天</w:t>
      </w:r>
      <w:r w:rsidRPr="002E10AE">
        <w:rPr>
          <w:color w:val="0000FF"/>
          <w:szCs w:val="22"/>
          <w:highlight w:val="yellow"/>
          <w:u w:val="single"/>
          <w:lang w:eastAsia="zh-CN"/>
        </w:rPr>
        <w:t>相当长一段时间内</w:t>
      </w:r>
      <w:r w:rsidRPr="002E10AE">
        <w:rPr>
          <w:color w:val="0000FF"/>
          <w:szCs w:val="22"/>
          <w:highlight w:val="yellow"/>
          <w:u w:val="single"/>
          <w:lang w:eastAsia="zh-CN"/>
        </w:rPr>
        <w:t>][</w:t>
      </w:r>
      <w:r w:rsidRPr="002E10AE">
        <w:rPr>
          <w:color w:val="0000FF"/>
          <w:szCs w:val="22"/>
          <w:highlight w:val="yellow"/>
          <w:u w:val="single"/>
          <w:lang w:eastAsia="zh-CN"/>
        </w:rPr>
        <w:t>至少一小时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不可用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，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并且在</w:t>
      </w:r>
      <w:r w:rsidR="004E363F"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highlight w:val="yellow"/>
          <w:u w:val="single"/>
          <w:lang w:eastAsia="zh-CN"/>
        </w:rPr>
        <w:t>该段时间</w:t>
      </w:r>
      <w:r w:rsidR="000F778B">
        <w:rPr>
          <w:rFonts w:ascii="SimSun" w:hAnsi="SimSun" w:hint="eastAsia"/>
          <w:noProof/>
          <w:snapToGrid w:val="0"/>
          <w:color w:val="0000FF"/>
          <w:szCs w:val="22"/>
          <w:highlight w:val="yellow"/>
          <w:u w:val="single"/>
          <w:lang w:eastAsia="zh-CN"/>
        </w:rPr>
        <w:t>内</w:t>
      </w:r>
      <w:r w:rsidR="004E363F" w:rsidRPr="002E10AE">
        <w:rPr>
          <w:color w:val="0000FF"/>
          <w:szCs w:val="22"/>
          <w:highlight w:val="yellow"/>
          <w:u w:val="single"/>
          <w:lang w:eastAsia="zh-CN"/>
        </w:rPr>
        <w:t>][</w:t>
      </w:r>
      <w:r w:rsidRPr="0029573B">
        <w:rPr>
          <w:rFonts w:ascii="SimSun" w:hAnsi="SimSun" w:hint="eastAsia"/>
          <w:strike/>
          <w:noProof/>
          <w:snapToGrid w:val="0"/>
          <w:color w:val="0000FF"/>
          <w:szCs w:val="22"/>
          <w:highlight w:val="yellow"/>
          <w:u w:val="single"/>
          <w:lang w:eastAsia="zh-CN"/>
        </w:rPr>
        <w:t>相关时间内</w:t>
      </w:r>
      <w:r w:rsidR="004E363F"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指定局规定的其他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电子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方式也不可用，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导致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传送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失败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。</w:t>
      </w:r>
    </w:p>
    <w:p w14:paraId="70080A41" w14:textId="51DB6182" w:rsidR="0029573B" w:rsidRPr="0029573B" w:rsidRDefault="0029573B" w:rsidP="0029573B">
      <w:pPr>
        <w:tabs>
          <w:tab w:val="left" w:pos="454"/>
        </w:tabs>
        <w:spacing w:before="119" w:after="240" w:line="360" w:lineRule="auto"/>
        <w:jc w:val="both"/>
        <w:rPr>
          <w:rFonts w:ascii="SimSun" w:hAnsi="SimSun"/>
          <w:noProof/>
          <w:snapToGrid w:val="0"/>
          <w:u w:val="single"/>
          <w:lang w:eastAsia="zh-CN"/>
        </w:rPr>
      </w:pPr>
      <w:r w:rsidRPr="0029573B">
        <w:rPr>
          <w:rFonts w:ascii="SimSun" w:hAnsi="SimSun"/>
          <w:noProof/>
          <w:snapToGrid w:val="0"/>
          <w:szCs w:val="22"/>
          <w:lang w:eastAsia="zh-CN"/>
        </w:rPr>
        <w:tab/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(b)如果根据(a)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尝试提供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文件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和</w:t>
      </w:r>
      <w:r w:rsidRPr="002E10AE">
        <w:rPr>
          <w:color w:val="0000FF"/>
          <w:szCs w:val="22"/>
          <w:highlight w:val="yellow"/>
          <w:u w:val="single"/>
          <w:lang w:eastAsia="zh-CN"/>
        </w:rPr>
        <w:t>/</w:t>
      </w:r>
      <w:r w:rsidRPr="002E10AE">
        <w:rPr>
          <w:color w:val="0000FF"/>
          <w:szCs w:val="22"/>
          <w:highlight w:val="yellow"/>
          <w:u w:val="single"/>
          <w:lang w:eastAsia="zh-CN"/>
        </w:rPr>
        <w:t>或</w:t>
      </w:r>
      <w:r w:rsidR="002946D7">
        <w:rPr>
          <w:rFonts w:hint="eastAsia"/>
          <w:color w:val="0000FF"/>
          <w:szCs w:val="22"/>
          <w:highlight w:val="yellow"/>
          <w:u w:val="single"/>
          <w:lang w:eastAsia="zh-CN"/>
        </w:rPr>
        <w:t>缴纳</w:t>
      </w:r>
      <w:r w:rsidRPr="002E10AE">
        <w:rPr>
          <w:color w:val="0000FF"/>
          <w:szCs w:val="22"/>
          <w:highlight w:val="yellow"/>
          <w:u w:val="single"/>
          <w:lang w:eastAsia="zh-CN"/>
        </w:rPr>
        <w:t>费用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的证明能使国家局或者政府间组织满意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，</w:t>
      </w:r>
      <w:r w:rsidRPr="0029573B">
        <w:rPr>
          <w:rFonts w:ascii="SimSun" w:hAnsi="SimSun" w:hint="eastAsia"/>
          <w:noProof/>
          <w:snapToGrid w:val="0"/>
          <w:color w:val="0000FF"/>
          <w:szCs w:val="22"/>
          <w:u w:val="single"/>
          <w:lang w:eastAsia="zh-CN"/>
        </w:rPr>
        <w:t>条约</w:t>
      </w:r>
      <w:r w:rsidRPr="0029573B">
        <w:rPr>
          <w:rFonts w:ascii="SimSun" w:hAnsi="SimSun"/>
          <w:noProof/>
          <w:snapToGrid w:val="0"/>
          <w:color w:val="0000FF"/>
          <w:szCs w:val="22"/>
          <w:u w:val="single"/>
          <w:lang w:eastAsia="zh-CN"/>
        </w:rPr>
        <w:t>第22条或第39条第(1)款规定的期限应视为已经遵守</w:t>
      </w:r>
      <w:r w:rsidRPr="0029573B">
        <w:rPr>
          <w:rFonts w:ascii="SimSun" w:hAnsi="SimSun" w:cs="Times New Roman"/>
          <w:noProof/>
          <w:snapToGrid w:val="0"/>
          <w:color w:val="0000FF"/>
          <w:szCs w:val="22"/>
          <w:u w:val="single"/>
          <w:lang w:eastAsia="zh-CN"/>
        </w:rPr>
        <w:t>，条件是该文件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和</w:t>
      </w:r>
      <w:r w:rsidRPr="002E10AE">
        <w:rPr>
          <w:color w:val="0000FF"/>
          <w:szCs w:val="22"/>
          <w:highlight w:val="yellow"/>
          <w:u w:val="single"/>
          <w:lang w:eastAsia="zh-CN"/>
        </w:rPr>
        <w:t>/</w:t>
      </w:r>
      <w:r w:rsidRPr="002E10AE">
        <w:rPr>
          <w:color w:val="0000FF"/>
          <w:szCs w:val="22"/>
          <w:highlight w:val="yellow"/>
          <w:u w:val="single"/>
          <w:lang w:eastAsia="zh-CN"/>
        </w:rPr>
        <w:t>或费用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cs="Times New Roman" w:hint="eastAsia"/>
          <w:noProof/>
          <w:snapToGrid w:val="0"/>
          <w:color w:val="0000FF"/>
          <w:szCs w:val="22"/>
          <w:u w:val="single"/>
          <w:lang w:eastAsia="zh-CN"/>
        </w:rPr>
        <w:t>已在下一个所述电子方式传送可用的工作日提供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或</w:t>
      </w:r>
      <w:r w:rsidR="002946D7">
        <w:rPr>
          <w:rFonts w:hint="eastAsia"/>
          <w:color w:val="0000FF"/>
          <w:szCs w:val="22"/>
          <w:highlight w:val="yellow"/>
          <w:u w:val="single"/>
          <w:lang w:eastAsia="zh-CN"/>
        </w:rPr>
        <w:t>缴纳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cs="Times New Roman"/>
          <w:noProof/>
          <w:snapToGrid w:val="0"/>
          <w:color w:val="0000FF"/>
          <w:szCs w:val="22"/>
          <w:u w:val="single"/>
          <w:lang w:eastAsia="zh-CN"/>
        </w:rPr>
        <w:t>。如果国家</w:t>
      </w:r>
      <w:r w:rsidRPr="0029573B">
        <w:rPr>
          <w:rFonts w:ascii="SimSun" w:hAnsi="SimSun" w:cs="Times New Roman" w:hint="eastAsia"/>
          <w:noProof/>
          <w:snapToGrid w:val="0"/>
          <w:color w:val="0000FF"/>
          <w:szCs w:val="22"/>
          <w:u w:val="single"/>
          <w:lang w:eastAsia="zh-CN"/>
        </w:rPr>
        <w:t>局或者政府间组织知晓</w:t>
      </w:r>
      <w:r w:rsidRPr="002E10AE">
        <w:rPr>
          <w:color w:val="0000FF"/>
          <w:szCs w:val="22"/>
          <w:highlight w:val="yellow"/>
          <w:u w:val="single"/>
          <w:lang w:eastAsia="zh-CN"/>
        </w:rPr>
        <w:t>[</w:t>
      </w:r>
      <w:r w:rsidRPr="0029573B">
        <w:rPr>
          <w:rFonts w:ascii="SimSun" w:hAnsi="SimSun" w:cs="Times New Roman"/>
          <w:strike/>
          <w:noProof/>
          <w:snapToGrid w:val="0"/>
          <w:color w:val="0000FF"/>
          <w:szCs w:val="22"/>
          <w:highlight w:val="yellow"/>
          <w:u w:val="single"/>
          <w:lang w:eastAsia="zh-CN"/>
        </w:rPr>
        <w:t>或本应</w:t>
      </w:r>
      <w:r w:rsidRPr="0029573B">
        <w:rPr>
          <w:rFonts w:ascii="SimSun" w:hAnsi="SimSun" w:cs="Times New Roman" w:hint="eastAsia"/>
          <w:strike/>
          <w:noProof/>
          <w:snapToGrid w:val="0"/>
          <w:color w:val="0000FF"/>
          <w:szCs w:val="22"/>
          <w:highlight w:val="yellow"/>
          <w:u w:val="single"/>
          <w:lang w:eastAsia="zh-CN"/>
        </w:rPr>
        <w:t>知晓</w:t>
      </w:r>
      <w:r w:rsidRPr="002E10AE">
        <w:rPr>
          <w:color w:val="0000FF"/>
          <w:szCs w:val="22"/>
          <w:highlight w:val="yellow"/>
          <w:u w:val="single"/>
          <w:lang w:eastAsia="zh-CN"/>
        </w:rPr>
        <w:t>]</w:t>
      </w:r>
      <w:r w:rsidRPr="0029573B">
        <w:rPr>
          <w:rFonts w:ascii="SimSun" w:hAnsi="SimSun" w:cs="Times New Roman" w:hint="eastAsia"/>
          <w:noProof/>
          <w:snapToGrid w:val="0"/>
          <w:color w:val="0000FF"/>
          <w:szCs w:val="22"/>
          <w:u w:val="single"/>
          <w:lang w:eastAsia="zh-CN"/>
        </w:rPr>
        <w:t>该</w:t>
      </w:r>
      <w:r w:rsidRPr="0029573B">
        <w:rPr>
          <w:rFonts w:ascii="SimSun" w:hAnsi="SimSun" w:cs="Times New Roman"/>
          <w:noProof/>
          <w:snapToGrid w:val="0"/>
          <w:color w:val="0000FF"/>
          <w:szCs w:val="22"/>
          <w:u w:val="single"/>
          <w:lang w:eastAsia="zh-CN"/>
        </w:rPr>
        <w:t>电子传送</w:t>
      </w:r>
      <w:r w:rsidRPr="0029573B">
        <w:rPr>
          <w:rFonts w:ascii="SimSun" w:hAnsi="SimSun" w:cs="Times New Roman" w:hint="eastAsia"/>
          <w:noProof/>
          <w:snapToGrid w:val="0"/>
          <w:color w:val="0000FF"/>
          <w:szCs w:val="22"/>
          <w:u w:val="single"/>
          <w:lang w:eastAsia="zh-CN"/>
        </w:rPr>
        <w:t>方式不可用</w:t>
      </w:r>
      <w:r w:rsidRPr="0029573B">
        <w:rPr>
          <w:rFonts w:ascii="SimSun" w:hAnsi="SimSun" w:cs="Times New Roman"/>
          <w:noProof/>
          <w:snapToGrid w:val="0"/>
          <w:color w:val="0000FF"/>
          <w:szCs w:val="22"/>
          <w:u w:val="single"/>
          <w:lang w:eastAsia="zh-CN"/>
        </w:rPr>
        <w:t>，则</w:t>
      </w:r>
      <w:r w:rsidRPr="002E10AE">
        <w:rPr>
          <w:color w:val="0000FF"/>
          <w:szCs w:val="22"/>
          <w:u w:val="single"/>
          <w:lang w:eastAsia="zh-CN"/>
        </w:rPr>
        <w:t>[</w:t>
      </w:r>
      <w:r w:rsidRPr="002E10AE">
        <w:rPr>
          <w:color w:val="0000FF"/>
          <w:szCs w:val="22"/>
          <w:highlight w:val="yellow"/>
          <w:u w:val="single"/>
          <w:lang w:eastAsia="zh-CN"/>
        </w:rPr>
        <w:t>一般</w:t>
      </w:r>
      <w:r w:rsidRPr="002E10AE">
        <w:rPr>
          <w:color w:val="0000FF"/>
          <w:szCs w:val="22"/>
          <w:u w:val="single"/>
          <w:lang w:eastAsia="zh-CN"/>
        </w:rPr>
        <w:t>]</w:t>
      </w:r>
      <w:r w:rsidRPr="0029573B">
        <w:rPr>
          <w:rFonts w:ascii="SimSun" w:hAnsi="SimSun" w:cs="Times New Roman"/>
          <w:noProof/>
          <w:snapToGrid w:val="0"/>
          <w:color w:val="0000FF"/>
          <w:szCs w:val="22"/>
          <w:u w:val="single"/>
          <w:lang w:eastAsia="zh-CN"/>
        </w:rPr>
        <w:t>无需提交证明。</w:t>
      </w:r>
    </w:p>
    <w:bookmarkEnd w:id="9"/>
    <w:p w14:paraId="4011D25E" w14:textId="77777777" w:rsidR="000F5E56" w:rsidRDefault="000F5E56" w:rsidP="00804DB7">
      <w:pPr>
        <w:rPr>
          <w:lang w:eastAsia="zh-CN"/>
        </w:rPr>
      </w:pPr>
    </w:p>
    <w:p w14:paraId="6DD93A3B" w14:textId="3D1ED9C9" w:rsidR="002E10AE" w:rsidRDefault="0029573B" w:rsidP="002E10AE">
      <w:pPr>
        <w:ind w:left="6663"/>
      </w:pPr>
      <w:r w:rsidRPr="00B01B83">
        <w:rPr>
          <w:rFonts w:ascii="KaiTi" w:eastAsia="KaiTi" w:hAnsi="KaiTi"/>
        </w:rPr>
        <w:t>[</w:t>
      </w:r>
      <w:proofErr w:type="spellStart"/>
      <w:r w:rsidRPr="00B01B83">
        <w:rPr>
          <w:rFonts w:ascii="KaiTi" w:eastAsia="KaiTi" w:hAnsi="KaiTi" w:hint="eastAsia"/>
        </w:rPr>
        <w:t>文件完</w:t>
      </w:r>
      <w:proofErr w:type="spellEnd"/>
      <w:r w:rsidRPr="00B01B83">
        <w:rPr>
          <w:rFonts w:ascii="KaiTi" w:eastAsia="KaiTi" w:hAnsi="KaiTi"/>
        </w:rPr>
        <w:t>]</w:t>
      </w:r>
    </w:p>
    <w:sectPr w:rsidR="002E10AE" w:rsidSect="00804DB7">
      <w:headerReference w:type="default" r:id="rId8"/>
      <w:headerReference w:type="first" r:id="rId9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4B8F" w14:textId="77777777" w:rsidR="00580E2F" w:rsidRDefault="00580E2F" w:rsidP="00B311F7">
      <w:r>
        <w:separator/>
      </w:r>
    </w:p>
  </w:endnote>
  <w:endnote w:type="continuationSeparator" w:id="0">
    <w:p w14:paraId="5A911F4A" w14:textId="77777777" w:rsidR="00580E2F" w:rsidRDefault="00580E2F" w:rsidP="00B3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9940" w14:textId="77777777" w:rsidR="00580E2F" w:rsidRDefault="00580E2F" w:rsidP="00B311F7">
      <w:r>
        <w:separator/>
      </w:r>
    </w:p>
  </w:footnote>
  <w:footnote w:type="continuationSeparator" w:id="0">
    <w:p w14:paraId="1CE7762B" w14:textId="77777777" w:rsidR="00580E2F" w:rsidRDefault="00580E2F" w:rsidP="00B311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F1B48" w14:textId="77777777" w:rsidR="00105987" w:rsidRDefault="00105987" w:rsidP="00105987">
    <w:pPr>
      <w:pStyle w:val="Header"/>
      <w:jc w:val="right"/>
      <w:rPr>
        <w:lang w:eastAsia="zh-CN"/>
      </w:rPr>
    </w:pPr>
    <w:r>
      <w:rPr>
        <w:lang w:eastAsia="zh-CN"/>
      </w:rPr>
      <w:t>PCT/WG/18</w:t>
    </w:r>
  </w:p>
  <w:p w14:paraId="3186484A" w14:textId="0A8662C0" w:rsidR="00105987" w:rsidRDefault="00105987" w:rsidP="00105987">
    <w:pPr>
      <w:pStyle w:val="Header"/>
      <w:jc w:val="right"/>
      <w:rPr>
        <w:lang w:eastAsia="zh-CN"/>
      </w:rPr>
    </w:pPr>
    <w:r>
      <w:rPr>
        <w:lang w:eastAsia="zh-CN"/>
      </w:rPr>
      <w:t>第</w:t>
    </w:r>
    <w:r>
      <w:rPr>
        <w:lang w:eastAsia="zh-CN"/>
      </w:rPr>
      <w:t>2</w:t>
    </w:r>
    <w:r>
      <w:rPr>
        <w:lang w:eastAsia="zh-CN"/>
      </w:rPr>
      <w:t>号文件</w:t>
    </w:r>
    <w:r w:rsidR="007D61EC">
      <w:rPr>
        <w:rFonts w:hint="eastAsia"/>
        <w:lang w:eastAsia="zh-CN"/>
      </w:rPr>
      <w:t>，</w:t>
    </w:r>
    <w:r w:rsidR="00FE1706"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PAGE   \* MERGEFORMAT </w:instrText>
    </w:r>
    <w:r>
      <w:fldChar w:fldCharType="separate"/>
    </w:r>
    <w:r>
      <w:rPr>
        <w:noProof/>
        <w:lang w:eastAsia="zh-CN"/>
      </w:rPr>
      <w:t>1</w:t>
    </w:r>
    <w:r>
      <w:rPr>
        <w:noProof/>
      </w:rPr>
      <w:fldChar w:fldCharType="end"/>
    </w:r>
    <w:r w:rsidR="00FE1706">
      <w:rPr>
        <w:rFonts w:hint="eastAsia"/>
        <w:noProof/>
        <w:lang w:eastAsia="zh-CN"/>
      </w:rPr>
      <w:t>页</w:t>
    </w:r>
  </w:p>
  <w:p w14:paraId="6C9662A2" w14:textId="77777777" w:rsidR="00105987" w:rsidRDefault="00105987">
    <w:pPr>
      <w:pStyle w:val="Header"/>
      <w:rPr>
        <w:lang w:eastAsia="zh-C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73B0" w14:textId="4780397E" w:rsidR="002E10AE" w:rsidRDefault="002E10AE" w:rsidP="002E10AE">
    <w:pPr>
      <w:pStyle w:val="Header"/>
      <w:jc w:val="right"/>
    </w:pPr>
    <w:r>
      <w:t>PCT/WG/18</w:t>
    </w:r>
  </w:p>
  <w:p w14:paraId="7F43534F" w14:textId="07F0D0E1" w:rsidR="002E10AE" w:rsidRDefault="002E10AE" w:rsidP="002E10AE">
    <w:pPr>
      <w:pStyle w:val="Header"/>
      <w:jc w:val="right"/>
    </w:pPr>
    <w:r>
      <w:t>第</w:t>
    </w:r>
    <w:r>
      <w:t>2</w:t>
    </w:r>
    <w:r>
      <w:t>号文件</w:t>
    </w:r>
  </w:p>
  <w:p w14:paraId="400E9016" w14:textId="48AF3657" w:rsidR="002E10AE" w:rsidRDefault="002E10AE" w:rsidP="002E10AE">
    <w:pPr>
      <w:pStyle w:val="Header"/>
      <w:jc w:val="right"/>
    </w:pPr>
    <w:r>
      <w:t>2025</w:t>
    </w:r>
    <w:r>
      <w:t>年</w:t>
    </w:r>
    <w:r>
      <w:t>2</w:t>
    </w:r>
    <w:r>
      <w:t>月</w:t>
    </w:r>
    <w:r>
      <w:t>18</w:t>
    </w:r>
    <w:r>
      <w:t>日</w:t>
    </w:r>
  </w:p>
  <w:p w14:paraId="4EA3BC71" w14:textId="77777777" w:rsidR="002E10AE" w:rsidRDefault="002E10AE" w:rsidP="002E10A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993876602">
    <w:abstractNumId w:val="1"/>
  </w:num>
  <w:num w:numId="2" w16cid:durableId="50471161">
    <w:abstractNumId w:val="2"/>
  </w:num>
  <w:num w:numId="3" w16cid:durableId="571815923">
    <w:abstractNumId w:val="5"/>
  </w:num>
  <w:num w:numId="4" w16cid:durableId="69929487">
    <w:abstractNumId w:val="4"/>
  </w:num>
  <w:num w:numId="5" w16cid:durableId="1645084852">
    <w:abstractNumId w:val="0"/>
  </w:num>
  <w:num w:numId="6" w16cid:durableId="1986354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1F7"/>
    <w:rsid w:val="000F5E56"/>
    <w:rsid w:val="000F778B"/>
    <w:rsid w:val="00105987"/>
    <w:rsid w:val="00113592"/>
    <w:rsid w:val="001263D0"/>
    <w:rsid w:val="002946D7"/>
    <w:rsid w:val="0029573B"/>
    <w:rsid w:val="002E10AE"/>
    <w:rsid w:val="003B1E06"/>
    <w:rsid w:val="003E6531"/>
    <w:rsid w:val="00426CC9"/>
    <w:rsid w:val="00431118"/>
    <w:rsid w:val="00464841"/>
    <w:rsid w:val="004B7367"/>
    <w:rsid w:val="004E363F"/>
    <w:rsid w:val="004E5A2B"/>
    <w:rsid w:val="00526E46"/>
    <w:rsid w:val="00580E2F"/>
    <w:rsid w:val="00647600"/>
    <w:rsid w:val="00701C90"/>
    <w:rsid w:val="007378D7"/>
    <w:rsid w:val="00767C84"/>
    <w:rsid w:val="007B240C"/>
    <w:rsid w:val="007D53C7"/>
    <w:rsid w:val="007D61EC"/>
    <w:rsid w:val="00804DB7"/>
    <w:rsid w:val="00880544"/>
    <w:rsid w:val="009172EC"/>
    <w:rsid w:val="009201E4"/>
    <w:rsid w:val="00935944"/>
    <w:rsid w:val="00976311"/>
    <w:rsid w:val="00A2698D"/>
    <w:rsid w:val="00AF6404"/>
    <w:rsid w:val="00B311F7"/>
    <w:rsid w:val="00B37034"/>
    <w:rsid w:val="00C554EC"/>
    <w:rsid w:val="00CC4DA8"/>
    <w:rsid w:val="00D37BB8"/>
    <w:rsid w:val="00EC28B3"/>
    <w:rsid w:val="00F14D69"/>
    <w:rsid w:val="00F3377D"/>
    <w:rsid w:val="00F60960"/>
    <w:rsid w:val="00F750DC"/>
    <w:rsid w:val="00FE1706"/>
    <w:rsid w:val="00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AA86101"/>
  <w15:chartTrackingRefBased/>
  <w15:docId w15:val="{F1127493-AF12-4AE8-B492-C7D49861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311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311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311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311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311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Heading5Char">
    <w:name w:val="Heading 5 Char"/>
    <w:basedOn w:val="DefaultParagraphFont"/>
    <w:link w:val="Heading5"/>
    <w:semiHidden/>
    <w:rsid w:val="00B311F7"/>
    <w:rPr>
      <w:rFonts w:asciiTheme="minorHAnsi" w:eastAsiaTheme="majorEastAsia" w:hAnsiTheme="min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semiHidden/>
    <w:rsid w:val="00B311F7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semiHidden/>
    <w:rsid w:val="00B311F7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semiHidden/>
    <w:rsid w:val="00B311F7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11F7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qFormat/>
    <w:rsid w:val="00B311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31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B311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B311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1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1F7"/>
    <w:rPr>
      <w:rFonts w:ascii="Arial" w:hAnsi="Arial" w:cs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B311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1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1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1F7"/>
    <w:rPr>
      <w:rFonts w:ascii="Arial" w:hAnsi="Arial" w:cs="Arial"/>
      <w:i/>
      <w:iCs/>
      <w:color w:val="365F9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B311F7"/>
    <w:rPr>
      <w:b/>
      <w:bCs/>
      <w:smallCaps/>
      <w:color w:val="365F91" w:themeColor="accent1" w:themeShade="BF"/>
      <w:spacing w:val="5"/>
    </w:rPr>
  </w:style>
  <w:style w:type="paragraph" w:customStyle="1" w:styleId="LegTitle">
    <w:name w:val="Leg # Title"/>
    <w:basedOn w:val="Normal"/>
    <w:next w:val="Normal"/>
    <w:rsid w:val="00B311F7"/>
    <w:pPr>
      <w:keepNext/>
      <w:keepLines/>
      <w:spacing w:before="240" w:after="240" w:line="360" w:lineRule="auto"/>
      <w:jc w:val="center"/>
    </w:pPr>
    <w:rPr>
      <w:rFonts w:cs="Times New Roman"/>
      <w:b/>
      <w:noProof/>
      <w:snapToGrid w:val="0"/>
    </w:rPr>
  </w:style>
  <w:style w:type="paragraph" w:customStyle="1" w:styleId="LegSubRule">
    <w:name w:val="Leg SubRule #"/>
    <w:basedOn w:val="Normal"/>
    <w:rsid w:val="00B311F7"/>
    <w:pPr>
      <w:keepNext/>
      <w:keepLines/>
      <w:tabs>
        <w:tab w:val="left" w:pos="510"/>
      </w:tabs>
      <w:spacing w:before="119" w:after="240" w:line="360" w:lineRule="auto"/>
      <w:ind w:left="533" w:hanging="533"/>
    </w:pPr>
    <w:rPr>
      <w:rFonts w:cs="Times New Roman"/>
      <w:noProof/>
      <w:snapToGrid w:val="0"/>
    </w:rPr>
  </w:style>
  <w:style w:type="paragraph" w:customStyle="1" w:styleId="Lega">
    <w:name w:val="Leg (a)"/>
    <w:basedOn w:val="Normal"/>
    <w:link w:val="LegaChar"/>
    <w:rsid w:val="00B311F7"/>
    <w:pPr>
      <w:tabs>
        <w:tab w:val="left" w:pos="454"/>
      </w:tabs>
      <w:spacing w:before="119" w:after="240" w:line="360" w:lineRule="auto"/>
    </w:pPr>
    <w:rPr>
      <w:rFonts w:cs="Times New Roman"/>
      <w:noProof/>
      <w:snapToGrid w:val="0"/>
    </w:rPr>
  </w:style>
  <w:style w:type="character" w:customStyle="1" w:styleId="LegaChar">
    <w:name w:val="Leg (a) Char"/>
    <w:link w:val="Lega"/>
    <w:rsid w:val="00B311F7"/>
    <w:rPr>
      <w:rFonts w:ascii="Arial" w:hAnsi="Arial"/>
      <w:noProof/>
      <w:snapToGrid w:val="0"/>
      <w:sz w:val="22"/>
    </w:rPr>
  </w:style>
  <w:style w:type="character" w:styleId="CommentReference">
    <w:name w:val="annotation reference"/>
    <w:basedOn w:val="DefaultParagraphFont"/>
    <w:semiHidden/>
    <w:unhideWhenUsed/>
    <w:rsid w:val="00B311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311F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311F7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B311F7"/>
    <w:rPr>
      <w:rFonts w:ascii="Arial" w:hAnsi="Arial" w:cs="Arial"/>
      <w:b/>
      <w:bCs/>
      <w:sz w:val="18"/>
    </w:rPr>
  </w:style>
  <w:style w:type="character" w:customStyle="1" w:styleId="LegInsertedText">
    <w:name w:val="LegInsertedText"/>
    <w:rsid w:val="00AF6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A5FDB-DF3A-4B44-85A8-996535C7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143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 Templates</dc:subject>
  <dc:creator>REISCHLE-PARK Matthias</dc:creator>
  <cp:keywords>, docId:2DE64114026BC10BCA6073E4B4A68568</cp:keywords>
  <dc:description/>
  <cp:lastModifiedBy>MARLOW Thomas</cp:lastModifiedBy>
  <cp:revision>2</cp:revision>
  <cp:lastPrinted>2025-02-18T23:11:00Z</cp:lastPrinted>
  <dcterms:created xsi:type="dcterms:W3CDTF">2025-03-03T11:54:00Z</dcterms:created>
  <dcterms:modified xsi:type="dcterms:W3CDTF">2025-03-03T11:54:00Z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2025-02-18T23:11:28Z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61413f82-e21b-42b2-a940-81609e46a764</vt:lpwstr>
  </property>
  <property fmtid="{D5CDD505-2E9C-101B-9397-08002B2CF9AE}" pid="8" name="MSIP_Label_20773ee6-353b-4fb9-a59d-0b94c8c67bea_ContentBits">
    <vt:lpwstr>0</vt:lpwstr>
  </property>
</Properties>
</file>