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539E8" w:rsidRPr="00A5408D" w:rsidTr="00FE1B9D">
        <w:trPr>
          <w:trHeight w:val="1977"/>
        </w:trPr>
        <w:tc>
          <w:tcPr>
            <w:tcW w:w="4594" w:type="dxa"/>
            <w:tcBorders>
              <w:bottom w:val="single" w:sz="4" w:space="0" w:color="auto"/>
            </w:tcBorders>
            <w:tcMar>
              <w:bottom w:w="170" w:type="dxa"/>
            </w:tcMar>
          </w:tcPr>
          <w:p w:rsidR="002539E8" w:rsidRPr="00A5408D" w:rsidRDefault="002539E8" w:rsidP="00FE1B9D">
            <w:bookmarkStart w:id="0" w:name="TitleOfDoc"/>
            <w:bookmarkEnd w:id="0"/>
            <w:r w:rsidRPr="00A5408D">
              <w:rPr>
                <w:noProof/>
              </w:rPr>
              <w:drawing>
                <wp:anchor distT="0" distB="0" distL="114300" distR="114300" simplePos="0" relativeHeight="251659264" behindDoc="1" locked="0" layoutInCell="0" allowOverlap="1" wp14:anchorId="5F7FD231" wp14:editId="45AF862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39E8" w:rsidRPr="00A5408D" w:rsidRDefault="002539E8" w:rsidP="00FE1B9D"/>
        </w:tc>
        <w:tc>
          <w:tcPr>
            <w:tcW w:w="425" w:type="dxa"/>
            <w:tcBorders>
              <w:bottom w:val="single" w:sz="4" w:space="0" w:color="auto"/>
            </w:tcBorders>
            <w:tcMar>
              <w:left w:w="0" w:type="dxa"/>
              <w:right w:w="0" w:type="dxa"/>
            </w:tcMar>
          </w:tcPr>
          <w:p w:rsidR="002539E8" w:rsidRPr="00A5408D" w:rsidRDefault="002539E8" w:rsidP="00FE1B9D">
            <w:pPr>
              <w:jc w:val="right"/>
            </w:pPr>
            <w:r w:rsidRPr="00A5408D">
              <w:rPr>
                <w:b/>
                <w:sz w:val="40"/>
                <w:szCs w:val="40"/>
              </w:rPr>
              <w:t>C</w:t>
            </w:r>
          </w:p>
        </w:tc>
      </w:tr>
      <w:tr w:rsidR="002539E8" w:rsidRPr="00A5408D" w:rsidTr="00FE1B9D">
        <w:trPr>
          <w:trHeight w:hRule="exact" w:val="340"/>
        </w:trPr>
        <w:tc>
          <w:tcPr>
            <w:tcW w:w="9356" w:type="dxa"/>
            <w:gridSpan w:val="3"/>
            <w:tcBorders>
              <w:top w:val="single" w:sz="4" w:space="0" w:color="auto"/>
            </w:tcBorders>
            <w:tcMar>
              <w:top w:w="170" w:type="dxa"/>
              <w:left w:w="0" w:type="dxa"/>
              <w:right w:w="0" w:type="dxa"/>
            </w:tcMar>
            <w:vAlign w:val="bottom"/>
          </w:tcPr>
          <w:p w:rsidR="002539E8" w:rsidRPr="00A5408D" w:rsidRDefault="002539E8" w:rsidP="002539E8">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w:t>
            </w:r>
            <w:r>
              <w:rPr>
                <w:rFonts w:ascii="Arial Black" w:hAnsi="Arial Black" w:hint="eastAsia"/>
                <w:caps/>
                <w:sz w:val="15"/>
              </w:rPr>
              <w:t>9</w:t>
            </w:r>
          </w:p>
        </w:tc>
      </w:tr>
      <w:tr w:rsidR="002539E8" w:rsidRPr="00A5408D" w:rsidTr="00FE1B9D">
        <w:trPr>
          <w:trHeight w:hRule="exact" w:val="170"/>
        </w:trPr>
        <w:tc>
          <w:tcPr>
            <w:tcW w:w="9356" w:type="dxa"/>
            <w:gridSpan w:val="3"/>
            <w:noWrap/>
            <w:tcMar>
              <w:left w:w="0" w:type="dxa"/>
              <w:right w:w="0" w:type="dxa"/>
            </w:tcMar>
            <w:vAlign w:val="bottom"/>
          </w:tcPr>
          <w:p w:rsidR="002539E8" w:rsidRPr="00A5408D" w:rsidRDefault="002539E8" w:rsidP="00FE1B9D">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2539E8" w:rsidRPr="00A5408D" w:rsidTr="00FE1B9D">
        <w:trPr>
          <w:trHeight w:hRule="exact" w:val="198"/>
        </w:trPr>
        <w:tc>
          <w:tcPr>
            <w:tcW w:w="9356" w:type="dxa"/>
            <w:gridSpan w:val="3"/>
            <w:tcMar>
              <w:left w:w="0" w:type="dxa"/>
              <w:right w:w="0" w:type="dxa"/>
            </w:tcMar>
            <w:vAlign w:val="bottom"/>
          </w:tcPr>
          <w:p w:rsidR="002539E8" w:rsidRPr="00A5408D" w:rsidRDefault="002539E8" w:rsidP="002539E8">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Pr>
                <w:rFonts w:ascii="Arial Black" w:eastAsia="SimHei" w:hAnsi="Arial Black" w:hint="eastAsia"/>
                <w:b/>
                <w:sz w:val="15"/>
                <w:szCs w:val="15"/>
              </w:rPr>
              <w:t>1</w:t>
            </w:r>
            <w:r>
              <w:rPr>
                <w:rFonts w:ascii="Arial Black" w:eastAsia="SimHei" w:hAnsi="Arial Black" w:hint="eastAsia"/>
                <w:b/>
                <w:sz w:val="15"/>
                <w:szCs w:val="15"/>
              </w:rPr>
              <w:t>9</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2539E8" w:rsidRPr="00A5408D" w:rsidRDefault="002539E8" w:rsidP="002539E8"/>
    <w:p w:rsidR="002539E8" w:rsidRPr="00A5408D" w:rsidRDefault="002539E8" w:rsidP="002539E8"/>
    <w:p w:rsidR="002539E8" w:rsidRPr="00A5408D" w:rsidRDefault="002539E8" w:rsidP="002539E8"/>
    <w:p w:rsidR="002539E8" w:rsidRPr="00A5408D" w:rsidRDefault="002539E8" w:rsidP="002539E8"/>
    <w:p w:rsidR="002539E8" w:rsidRPr="00A5408D" w:rsidRDefault="002539E8" w:rsidP="002539E8"/>
    <w:p w:rsidR="002539E8" w:rsidRPr="00A5408D" w:rsidRDefault="002539E8" w:rsidP="002539E8">
      <w:pPr>
        <w:spacing w:line="360" w:lineRule="atLeast"/>
        <w:rPr>
          <w:rFonts w:ascii="SimHei" w:eastAsia="SimHei"/>
          <w:sz w:val="28"/>
          <w:szCs w:val="28"/>
        </w:rPr>
      </w:pPr>
      <w:r w:rsidRPr="00A5408D">
        <w:rPr>
          <w:rFonts w:ascii="SimHei" w:eastAsia="SimHei" w:hint="eastAsia"/>
          <w:sz w:val="28"/>
          <w:szCs w:val="28"/>
        </w:rPr>
        <w:t>专利合作条约(PCT)</w:t>
      </w:r>
    </w:p>
    <w:p w:rsidR="002539E8" w:rsidRPr="00A5408D" w:rsidRDefault="002539E8" w:rsidP="002539E8">
      <w:pPr>
        <w:spacing w:line="360" w:lineRule="atLeast"/>
        <w:rPr>
          <w:rFonts w:ascii="SimHei" w:eastAsia="SimHei"/>
          <w:sz w:val="28"/>
          <w:szCs w:val="28"/>
        </w:rPr>
      </w:pPr>
      <w:r w:rsidRPr="00A5408D">
        <w:rPr>
          <w:rFonts w:ascii="SimHei" w:eastAsia="SimHei" w:hint="eastAsia"/>
          <w:sz w:val="28"/>
          <w:szCs w:val="28"/>
        </w:rPr>
        <w:t>工作组</w:t>
      </w:r>
    </w:p>
    <w:p w:rsidR="002539E8" w:rsidRPr="00A5408D" w:rsidRDefault="002539E8" w:rsidP="002539E8">
      <w:pPr>
        <w:rPr>
          <w:szCs w:val="22"/>
        </w:rPr>
      </w:pPr>
    </w:p>
    <w:p w:rsidR="002539E8" w:rsidRPr="00A5408D" w:rsidRDefault="002539E8" w:rsidP="002539E8">
      <w:pPr>
        <w:rPr>
          <w:sz w:val="24"/>
          <w:szCs w:val="24"/>
        </w:rPr>
      </w:pPr>
    </w:p>
    <w:p w:rsidR="002539E8" w:rsidRPr="00A5408D" w:rsidRDefault="002539E8" w:rsidP="002539E8">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2539E8" w:rsidRPr="00A5408D" w:rsidRDefault="002539E8" w:rsidP="002539E8">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2539E8" w:rsidRPr="00A5408D" w:rsidRDefault="002539E8" w:rsidP="002539E8"/>
    <w:p w:rsidR="002539E8" w:rsidRPr="00A5408D" w:rsidRDefault="002539E8" w:rsidP="002539E8"/>
    <w:p w:rsidR="002539E8" w:rsidRPr="00A5408D" w:rsidRDefault="002539E8" w:rsidP="002539E8"/>
    <w:p w:rsidR="002539E8" w:rsidRPr="00937B66" w:rsidRDefault="002539E8" w:rsidP="002539E8">
      <w:pPr>
        <w:spacing w:line="360" w:lineRule="atLeast"/>
        <w:rPr>
          <w:rFonts w:ascii="KaiTi" w:eastAsia="KaiTi" w:hAnsi="KaiTi"/>
          <w:sz w:val="24"/>
          <w:szCs w:val="32"/>
        </w:rPr>
      </w:pPr>
      <w:r w:rsidRPr="002539E8">
        <w:rPr>
          <w:rFonts w:ascii="KaiTi" w:eastAsia="KaiTi" w:hAnsi="KaiTi" w:hint="eastAsia"/>
          <w:sz w:val="24"/>
          <w:szCs w:val="32"/>
        </w:rPr>
        <w:t>澄清有关援引加入遗漏部分的程序</w:t>
      </w:r>
    </w:p>
    <w:p w:rsidR="002539E8" w:rsidRPr="002539E8" w:rsidRDefault="002539E8" w:rsidP="002539E8"/>
    <w:p w:rsidR="002539E8" w:rsidRPr="00A5408D" w:rsidRDefault="002539E8" w:rsidP="002539E8">
      <w:pPr>
        <w:rPr>
          <w:rFonts w:ascii="KaiTi" w:eastAsia="KaiTi" w:hAnsi="KaiTi"/>
          <w:i/>
          <w:sz w:val="21"/>
          <w:szCs w:val="21"/>
        </w:rPr>
      </w:pPr>
      <w:r w:rsidRPr="00A5408D">
        <w:rPr>
          <w:rFonts w:ascii="KaiTi" w:eastAsia="KaiTi" w:hAnsi="KaiTi" w:hint="eastAsia"/>
          <w:i/>
          <w:sz w:val="21"/>
          <w:szCs w:val="21"/>
        </w:rPr>
        <w:t>国际局编拟的文件</w:t>
      </w:r>
    </w:p>
    <w:p w:rsidR="002539E8" w:rsidRPr="00A5408D" w:rsidRDefault="002539E8" w:rsidP="002539E8"/>
    <w:p w:rsidR="002539E8" w:rsidRPr="00A5408D" w:rsidRDefault="002539E8" w:rsidP="002539E8"/>
    <w:p w:rsidR="002539E8" w:rsidRPr="00A5408D" w:rsidRDefault="002539E8" w:rsidP="002539E8"/>
    <w:p w:rsidR="002539E8" w:rsidRPr="00A5408D" w:rsidRDefault="002539E8" w:rsidP="002539E8">
      <w:pPr>
        <w:rPr>
          <w:rFonts w:ascii="Calibri" w:hAnsi="Calibri" w:cs="Times New Roman"/>
          <w:szCs w:val="22"/>
        </w:rPr>
      </w:pPr>
    </w:p>
    <w:p w:rsidR="002928D3" w:rsidRPr="002539E8" w:rsidRDefault="00DA688D" w:rsidP="002539E8">
      <w:pPr>
        <w:pStyle w:val="1"/>
        <w:spacing w:beforeLines="100" w:afterLines="50" w:after="120" w:line="340" w:lineRule="atLeast"/>
        <w:jc w:val="both"/>
        <w:rPr>
          <w:rFonts w:ascii="SimHei" w:eastAsia="SimHei" w:hAnsi="SimHei"/>
          <w:b w:val="0"/>
          <w:sz w:val="21"/>
        </w:rPr>
      </w:pPr>
      <w:r w:rsidRPr="002539E8">
        <w:rPr>
          <w:rFonts w:ascii="SimHei" w:eastAsia="SimHei" w:hAnsi="SimHei" w:hint="eastAsia"/>
          <w:b w:val="0"/>
          <w:sz w:val="21"/>
        </w:rPr>
        <w:t>概</w:t>
      </w:r>
      <w:r w:rsidR="002539E8">
        <w:rPr>
          <w:rFonts w:ascii="SimHei" w:eastAsia="SimHei" w:hAnsi="SimHei" w:hint="eastAsia"/>
          <w:b w:val="0"/>
          <w:sz w:val="21"/>
        </w:rPr>
        <w:t xml:space="preserve">　</w:t>
      </w:r>
      <w:r w:rsidRPr="002539E8">
        <w:rPr>
          <w:rFonts w:ascii="SimHei" w:eastAsia="SimHei" w:hAnsi="SimHei" w:hint="eastAsia"/>
          <w:b w:val="0"/>
          <w:sz w:val="21"/>
        </w:rPr>
        <w:t>述</w:t>
      </w:r>
    </w:p>
    <w:p w:rsidR="002928D3" w:rsidRPr="002539E8" w:rsidRDefault="009468AF" w:rsidP="002539E8">
      <w:pPr>
        <w:pStyle w:val="ONUME"/>
        <w:spacing w:afterLines="50" w:after="120" w:line="340" w:lineRule="atLeast"/>
        <w:jc w:val="both"/>
        <w:rPr>
          <w:rFonts w:ascii="SimSun" w:hAnsi="SimSun"/>
          <w:sz w:val="21"/>
        </w:rPr>
      </w:pPr>
      <w:r w:rsidRPr="002539E8">
        <w:rPr>
          <w:rFonts w:ascii="SimSun" w:hAnsi="SimSun" w:hint="eastAsia"/>
          <w:sz w:val="21"/>
        </w:rPr>
        <w:t>本文件</w:t>
      </w:r>
      <w:r w:rsidR="00534293" w:rsidRPr="002539E8">
        <w:rPr>
          <w:rFonts w:ascii="SimSun" w:hAnsi="SimSun" w:hint="eastAsia"/>
          <w:sz w:val="21"/>
        </w:rPr>
        <w:t>归纳总结了各主管局</w:t>
      </w:r>
      <w:r w:rsidR="00845250" w:rsidRPr="002539E8">
        <w:rPr>
          <w:rFonts w:ascii="SimSun" w:hAnsi="SimSun" w:hint="eastAsia"/>
          <w:sz w:val="21"/>
        </w:rPr>
        <w:t>对于</w:t>
      </w:r>
      <w:r w:rsidR="00534293" w:rsidRPr="002539E8">
        <w:rPr>
          <w:rFonts w:ascii="SimSun" w:hAnsi="SimSun" w:hint="eastAsia"/>
          <w:sz w:val="21"/>
        </w:rPr>
        <w:t>有关根据细则第20条援引加入遗漏部分程序的调查问卷的答复。答复显示各主管局对于是否应允许</w:t>
      </w:r>
      <w:r w:rsidR="00416CF5" w:rsidRPr="002539E8">
        <w:rPr>
          <w:rFonts w:ascii="SimSun" w:hAnsi="SimSun" w:hint="eastAsia"/>
          <w:sz w:val="21"/>
        </w:rPr>
        <w:t>将国际申请中错误提交的权利要求和/或说明书项目</w:t>
      </w:r>
      <w:r w:rsidR="00BD1147" w:rsidRPr="002539E8">
        <w:rPr>
          <w:rFonts w:ascii="SimSun" w:hAnsi="SimSun" w:hint="eastAsia"/>
          <w:sz w:val="21"/>
        </w:rPr>
        <w:t>替换为</w:t>
      </w:r>
      <w:r w:rsidR="00347780" w:rsidRPr="002539E8">
        <w:rPr>
          <w:rFonts w:ascii="SimSun" w:hAnsi="SimSun" w:hint="eastAsia"/>
          <w:sz w:val="21"/>
        </w:rPr>
        <w:t>一套完整的权利要求和/或说明书持不同的观点。各主管局对于若干相关问题也发表了不同意见，例如从多篇优先权文件中援引加入遗漏部分、</w:t>
      </w:r>
      <w:r w:rsidR="003131D5" w:rsidRPr="002539E8">
        <w:rPr>
          <w:rFonts w:ascii="SimSun" w:hAnsi="SimSun" w:hint="eastAsia"/>
          <w:sz w:val="21"/>
        </w:rPr>
        <w:t>在</w:t>
      </w:r>
      <w:r w:rsidR="00347780" w:rsidRPr="002539E8">
        <w:rPr>
          <w:rFonts w:ascii="SimSun" w:hAnsi="SimSun" w:cs="SimSun" w:hint="eastAsia"/>
          <w:bCs/>
          <w:sz w:val="21"/>
        </w:rPr>
        <w:t>第</w:t>
      </w:r>
      <w:r w:rsidR="00347780" w:rsidRPr="002539E8">
        <w:rPr>
          <w:rFonts w:ascii="SimSun" w:hAnsi="SimSun"/>
          <w:bCs/>
          <w:sz w:val="21"/>
        </w:rPr>
        <w:t>II</w:t>
      </w:r>
      <w:r w:rsidR="00347780" w:rsidRPr="002539E8">
        <w:rPr>
          <w:rFonts w:ascii="SimSun" w:hAnsi="SimSun" w:cs="SimSun" w:hint="eastAsia"/>
          <w:bCs/>
          <w:sz w:val="21"/>
        </w:rPr>
        <w:t>章程序中用修改的方式来处理</w:t>
      </w:r>
      <w:r w:rsidR="00D06BA2" w:rsidRPr="002539E8">
        <w:rPr>
          <w:rFonts w:ascii="SimSun" w:hAnsi="SimSun" w:cs="SimSun" w:hint="eastAsia"/>
          <w:bCs/>
          <w:sz w:val="21"/>
        </w:rPr>
        <w:t>错误部分或项目以及</w:t>
      </w:r>
      <w:r w:rsidR="003131D5" w:rsidRPr="002539E8">
        <w:rPr>
          <w:rFonts w:ascii="SimSun" w:hAnsi="SimSun" w:cs="SimSun" w:hint="eastAsia"/>
          <w:bCs/>
          <w:sz w:val="21"/>
        </w:rPr>
        <w:t>接受日期与国际申请日相同的优先权要求。</w:t>
      </w:r>
    </w:p>
    <w:p w:rsidR="005F7BB9" w:rsidRPr="002539E8" w:rsidRDefault="00CD3BC4" w:rsidP="002539E8">
      <w:pPr>
        <w:pStyle w:val="ONUME"/>
        <w:spacing w:afterLines="50" w:after="120" w:line="340" w:lineRule="atLeast"/>
        <w:jc w:val="both"/>
        <w:rPr>
          <w:rFonts w:ascii="SimSun" w:hAnsi="SimSun"/>
          <w:sz w:val="21"/>
        </w:rPr>
      </w:pPr>
      <w:r w:rsidRPr="002539E8">
        <w:rPr>
          <w:rFonts w:ascii="SimSun" w:hAnsi="SimSun" w:hint="eastAsia"/>
          <w:sz w:val="21"/>
        </w:rPr>
        <w:t>由于没有就应如何修改PCT立法框架以澄清对于有关援引加入遗漏部分</w:t>
      </w:r>
      <w:r w:rsidR="00844B47" w:rsidRPr="002539E8">
        <w:rPr>
          <w:rFonts w:ascii="SimSun" w:hAnsi="SimSun" w:hint="eastAsia"/>
          <w:sz w:val="21"/>
        </w:rPr>
        <w:t>规定</w:t>
      </w:r>
      <w:r w:rsidRPr="002539E8">
        <w:rPr>
          <w:rFonts w:ascii="SimSun" w:hAnsi="SimSun" w:hint="eastAsia"/>
          <w:sz w:val="21"/>
        </w:rPr>
        <w:t>的解释取得共识，国际局将继续与有关主管局共同</w:t>
      </w:r>
      <w:r w:rsidR="00C9383A" w:rsidRPr="002539E8">
        <w:rPr>
          <w:rFonts w:ascii="SimSun" w:hAnsi="SimSun" w:hint="eastAsia"/>
          <w:sz w:val="21"/>
        </w:rPr>
        <w:t>探求</w:t>
      </w:r>
      <w:r w:rsidRPr="002539E8">
        <w:rPr>
          <w:rFonts w:ascii="SimSun" w:hAnsi="SimSun" w:hint="eastAsia"/>
          <w:sz w:val="21"/>
        </w:rPr>
        <w:t>为申请人加强一致性和法律确定性的可能性。对调查问卷的答复还清楚地显示，成员国对以下问题没有取得共识，即根据PCT第8</w:t>
      </w:r>
      <w:r w:rsidR="00C9383A" w:rsidRPr="002539E8">
        <w:rPr>
          <w:rFonts w:ascii="SimSun" w:hAnsi="SimSun" w:hint="eastAsia"/>
          <w:sz w:val="21"/>
        </w:rPr>
        <w:t>条的规定，在国际申请中依据一件</w:t>
      </w:r>
      <w:r w:rsidRPr="002539E8">
        <w:rPr>
          <w:rFonts w:ascii="SimSun" w:hAnsi="SimSun" w:hint="eastAsia"/>
          <w:sz w:val="21"/>
        </w:rPr>
        <w:t>申请日与国际申请日相同的在先申请提出的优先权要求是否有效。由于该问题看起来不是一个关于PCT的问题，而是关于如何解释巴黎公约第4条</w:t>
      </w:r>
      <w:r w:rsidR="00C9383A" w:rsidRPr="002539E8">
        <w:rPr>
          <w:rFonts w:ascii="SimSun" w:hAnsi="SimSun" w:hint="eastAsia"/>
          <w:sz w:val="21"/>
        </w:rPr>
        <w:t>(C)(2)</w:t>
      </w:r>
      <w:r w:rsidRPr="002539E8">
        <w:rPr>
          <w:rFonts w:ascii="SimSun" w:hAnsi="SimSun" w:hint="eastAsia"/>
          <w:sz w:val="21"/>
        </w:rPr>
        <w:t>的问题，</w:t>
      </w:r>
      <w:r w:rsidR="000A5AB1" w:rsidRPr="002539E8">
        <w:rPr>
          <w:rFonts w:ascii="SimSun" w:hAnsi="SimSun" w:hint="eastAsia"/>
          <w:sz w:val="21"/>
        </w:rPr>
        <w:t>成员国可能希望考虑是否应在工作组进一步探讨该问题(以便PCT所有成员国就对于巴黎公约的统一解释取得</w:t>
      </w:r>
      <w:r w:rsidR="00C9383A" w:rsidRPr="002539E8">
        <w:rPr>
          <w:rFonts w:ascii="SimSun" w:hAnsi="SimSun" w:hint="eastAsia"/>
          <w:sz w:val="21"/>
        </w:rPr>
        <w:t>一致意见</w:t>
      </w:r>
      <w:r w:rsidR="000A5AB1" w:rsidRPr="002539E8">
        <w:rPr>
          <w:rFonts w:ascii="SimSun" w:hAnsi="SimSun" w:hint="eastAsia"/>
          <w:sz w:val="21"/>
        </w:rPr>
        <w:t>)，还是应在WIPO专利法常设委员会</w:t>
      </w:r>
      <w:r w:rsidR="000A5AB1" w:rsidRPr="002539E8">
        <w:rPr>
          <w:rFonts w:ascii="SimSun" w:hAnsi="SimSun"/>
          <w:sz w:val="21"/>
        </w:rPr>
        <w:t>(SCP)</w:t>
      </w:r>
      <w:r w:rsidR="000A5AB1" w:rsidRPr="002539E8">
        <w:rPr>
          <w:rFonts w:ascii="SimSun" w:hAnsi="SimSun" w:hint="eastAsia"/>
          <w:sz w:val="21"/>
        </w:rPr>
        <w:t>的范围内进行探讨。</w:t>
      </w:r>
    </w:p>
    <w:p w:rsidR="005F5943" w:rsidRPr="002539E8" w:rsidRDefault="000A5AB1" w:rsidP="002539E8">
      <w:pPr>
        <w:pStyle w:val="1"/>
        <w:spacing w:beforeLines="100" w:afterLines="50" w:after="120" w:line="340" w:lineRule="atLeast"/>
        <w:rPr>
          <w:rFonts w:ascii="SimHei" w:eastAsia="SimHei" w:hAnsi="SimHei"/>
          <w:b w:val="0"/>
          <w:sz w:val="21"/>
        </w:rPr>
      </w:pPr>
      <w:r w:rsidRPr="002539E8">
        <w:rPr>
          <w:rFonts w:ascii="SimHei" w:eastAsia="SimHei" w:hAnsi="SimHei" w:hint="eastAsia"/>
          <w:b w:val="0"/>
          <w:sz w:val="21"/>
        </w:rPr>
        <w:lastRenderedPageBreak/>
        <w:t>背</w:t>
      </w:r>
      <w:r w:rsidR="002539E8">
        <w:rPr>
          <w:rFonts w:ascii="SimHei" w:eastAsia="SimHei" w:hAnsi="SimHei" w:hint="eastAsia"/>
          <w:b w:val="0"/>
          <w:sz w:val="21"/>
        </w:rPr>
        <w:t xml:space="preserve">　</w:t>
      </w:r>
      <w:r w:rsidRPr="002539E8">
        <w:rPr>
          <w:rFonts w:ascii="SimHei" w:eastAsia="SimHei" w:hAnsi="SimHei" w:hint="eastAsia"/>
          <w:b w:val="0"/>
          <w:sz w:val="21"/>
        </w:rPr>
        <w:t>景</w:t>
      </w:r>
    </w:p>
    <w:p w:rsidR="005F5943" w:rsidRPr="002539E8" w:rsidRDefault="00F375C2" w:rsidP="002539E8">
      <w:pPr>
        <w:pStyle w:val="ONUME"/>
        <w:spacing w:afterLines="50" w:after="120" w:line="340" w:lineRule="atLeast"/>
        <w:jc w:val="both"/>
        <w:rPr>
          <w:rFonts w:ascii="SimSun" w:hAnsi="SimSun"/>
          <w:sz w:val="21"/>
        </w:rPr>
      </w:pPr>
      <w:r w:rsidRPr="002539E8">
        <w:rPr>
          <w:rFonts w:ascii="SimSun" w:hAnsi="SimSun" w:hint="eastAsia"/>
          <w:sz w:val="21"/>
        </w:rPr>
        <w:t>PCT工作组在第六届会议上讨论了欧洲专利局提交的一项名为“澄清有关援引加入遗漏部分的程序”的提案(文件</w:t>
      </w:r>
      <w:r w:rsidRPr="002539E8">
        <w:rPr>
          <w:rFonts w:ascii="SimSun" w:hAnsi="SimSun"/>
          <w:sz w:val="21"/>
        </w:rPr>
        <w:t>PCT/WG/6/20)</w:t>
      </w:r>
      <w:r w:rsidRPr="002539E8">
        <w:rPr>
          <w:rFonts w:ascii="SimSun" w:hAnsi="SimSun" w:hint="eastAsia"/>
          <w:sz w:val="21"/>
        </w:rPr>
        <w:t>。该提案希望解决这一问题，即各受理局和指定/</w:t>
      </w:r>
      <w:proofErr w:type="gramStart"/>
      <w:r w:rsidRPr="002539E8">
        <w:rPr>
          <w:rFonts w:ascii="SimSun" w:hAnsi="SimSun" w:hint="eastAsia"/>
          <w:sz w:val="21"/>
        </w:rPr>
        <w:t>选定局</w:t>
      </w:r>
      <w:proofErr w:type="gramEnd"/>
      <w:r w:rsidRPr="002539E8">
        <w:rPr>
          <w:rFonts w:ascii="SimSun" w:hAnsi="SimSun" w:hint="eastAsia"/>
          <w:sz w:val="21"/>
        </w:rPr>
        <w:t>对于细则4.18、20.5和20.6的规定有着明显不同的解释。</w:t>
      </w:r>
      <w:r w:rsidR="00844B47" w:rsidRPr="002539E8">
        <w:rPr>
          <w:rFonts w:ascii="SimSun" w:hAnsi="SimSun" w:hint="eastAsia"/>
          <w:sz w:val="21"/>
        </w:rPr>
        <w:t>这造成</w:t>
      </w:r>
      <w:r w:rsidR="00CB6A24" w:rsidRPr="002539E8">
        <w:rPr>
          <w:rFonts w:ascii="SimSun" w:hAnsi="SimSun" w:hint="eastAsia"/>
          <w:sz w:val="21"/>
        </w:rPr>
        <w:t>主管局在以下情况下采取不同的做法，即国际申请在国际申请日包含必要(但错误提交)的完整的一项或多项权利要求</w:t>
      </w:r>
      <w:r w:rsidR="00CB6A24" w:rsidRPr="002539E8">
        <w:rPr>
          <w:rFonts w:ascii="KaiTi" w:eastAsia="KaiTi" w:hAnsi="KaiTi" w:hint="eastAsia"/>
          <w:i/>
          <w:sz w:val="21"/>
        </w:rPr>
        <w:t>项目</w:t>
      </w:r>
      <w:r w:rsidR="00CB6A24" w:rsidRPr="002539E8">
        <w:rPr>
          <w:rFonts w:ascii="SimSun" w:hAnsi="SimSun" w:hint="eastAsia"/>
          <w:sz w:val="21"/>
        </w:rPr>
        <w:t>以及/或者必要(但错误提交)的完整说明书</w:t>
      </w:r>
      <w:r w:rsidR="00CB6A24" w:rsidRPr="002539E8">
        <w:rPr>
          <w:rFonts w:ascii="KaiTi" w:eastAsia="KaiTi" w:hAnsi="KaiTi" w:hint="eastAsia"/>
          <w:i/>
          <w:sz w:val="21"/>
        </w:rPr>
        <w:t>项目</w:t>
      </w:r>
      <w:r w:rsidR="00CB6A24" w:rsidRPr="002539E8">
        <w:rPr>
          <w:rFonts w:ascii="SimSun" w:hAnsi="SimSun" w:hint="eastAsia"/>
          <w:sz w:val="21"/>
        </w:rPr>
        <w:t>(见第11条</w:t>
      </w:r>
      <w:r w:rsidR="00CB6A24" w:rsidRPr="002539E8">
        <w:rPr>
          <w:rFonts w:ascii="SimSun" w:hAnsi="SimSun"/>
          <w:sz w:val="21"/>
        </w:rPr>
        <w:t>(1)(iii)(d)</w:t>
      </w:r>
      <w:r w:rsidR="00CB6A24" w:rsidRPr="002539E8">
        <w:rPr>
          <w:rFonts w:ascii="SimSun" w:hAnsi="SimSun" w:hint="eastAsia"/>
          <w:sz w:val="21"/>
        </w:rPr>
        <w:t>和(e))，但申请人却要求将优先权申请中包含的所有权利要求和/或所有说明书作为“</w:t>
      </w:r>
      <w:r w:rsidR="00CB6A24" w:rsidRPr="002539E8">
        <w:rPr>
          <w:rFonts w:ascii="KaiTi" w:eastAsia="KaiTi" w:hAnsi="KaiTi" w:hint="eastAsia"/>
          <w:i/>
          <w:sz w:val="21"/>
        </w:rPr>
        <w:t>遗漏部分</w:t>
      </w:r>
      <w:r w:rsidR="00CB6A24" w:rsidRPr="002539E8">
        <w:rPr>
          <w:rFonts w:ascii="SimSun" w:hAnsi="SimSun" w:hint="eastAsia"/>
          <w:sz w:val="21"/>
        </w:rPr>
        <w:t>”援引加入，以便</w:t>
      </w:r>
      <w:r w:rsidR="00CB6A24" w:rsidRPr="002539E8">
        <w:rPr>
          <w:rFonts w:ascii="SimSun" w:hAnsi="SimSun"/>
          <w:sz w:val="21"/>
        </w:rPr>
        <w:t>(</w:t>
      </w:r>
      <w:r w:rsidR="00CB6A24" w:rsidRPr="002539E8">
        <w:rPr>
          <w:rFonts w:ascii="SimSun" w:hAnsi="SimSun" w:hint="eastAsia"/>
          <w:sz w:val="21"/>
        </w:rPr>
        <w:t>在后面的阶段)</w:t>
      </w:r>
      <w:r w:rsidR="00AC0D7F" w:rsidRPr="002539E8">
        <w:rPr>
          <w:rFonts w:ascii="SimSun" w:hAnsi="SimSun" w:hint="eastAsia"/>
          <w:sz w:val="21"/>
        </w:rPr>
        <w:t>将国际申请中错误提交的权利要求和/或说明书</w:t>
      </w:r>
      <w:r w:rsidR="00AC0D7F" w:rsidRPr="002539E8">
        <w:rPr>
          <w:rFonts w:ascii="KaiTi" w:eastAsia="KaiTi" w:hAnsi="KaiTi" w:hint="eastAsia"/>
          <w:i/>
          <w:sz w:val="21"/>
        </w:rPr>
        <w:t>项目</w:t>
      </w:r>
      <w:r w:rsidR="00AC0D7F" w:rsidRPr="002539E8">
        <w:rPr>
          <w:rFonts w:ascii="SimSun" w:hAnsi="SimSun" w:hint="eastAsia"/>
          <w:sz w:val="21"/>
        </w:rPr>
        <w:t>全部替换为</w:t>
      </w:r>
      <w:r w:rsidR="00FC7296" w:rsidRPr="002539E8">
        <w:rPr>
          <w:rFonts w:ascii="SimSun" w:hAnsi="SimSun" w:hint="eastAsia"/>
          <w:sz w:val="21"/>
        </w:rPr>
        <w:t>最初包含在优先权申请中提交的</w:t>
      </w:r>
      <w:r w:rsidR="00AC0D7F" w:rsidRPr="002539E8">
        <w:rPr>
          <w:rFonts w:ascii="SimSun" w:hAnsi="SimSun" w:hint="eastAsia"/>
          <w:sz w:val="21"/>
        </w:rPr>
        <w:t>相应“正确”</w:t>
      </w:r>
      <w:r w:rsidR="00FC7296" w:rsidRPr="002539E8">
        <w:rPr>
          <w:rFonts w:ascii="SimSun" w:hAnsi="SimSun" w:hint="eastAsia"/>
          <w:sz w:val="21"/>
        </w:rPr>
        <w:t>项目。</w:t>
      </w:r>
    </w:p>
    <w:p w:rsidR="008A314D" w:rsidRPr="002539E8" w:rsidRDefault="00FC7296" w:rsidP="002539E8">
      <w:pPr>
        <w:pStyle w:val="ONUME"/>
        <w:spacing w:afterLines="50" w:after="120" w:line="340" w:lineRule="atLeast"/>
        <w:jc w:val="both"/>
        <w:rPr>
          <w:rFonts w:ascii="SimSun" w:hAnsi="SimSun"/>
          <w:sz w:val="21"/>
        </w:rPr>
      </w:pPr>
      <w:r w:rsidRPr="002539E8">
        <w:rPr>
          <w:rFonts w:ascii="SimSun" w:hAnsi="SimSun" w:hint="eastAsia"/>
          <w:sz w:val="21"/>
        </w:rPr>
        <w:t>若干主管局认为上述细则</w:t>
      </w:r>
      <w:r w:rsidR="00F9041E" w:rsidRPr="002539E8">
        <w:rPr>
          <w:rFonts w:ascii="SimSun" w:hAnsi="SimSun" w:hint="eastAsia"/>
          <w:sz w:val="21"/>
        </w:rPr>
        <w:t>的规定</w:t>
      </w:r>
      <w:r w:rsidR="00032009" w:rsidRPr="002539E8">
        <w:rPr>
          <w:rFonts w:ascii="SimSun" w:hAnsi="SimSun" w:hint="eastAsia"/>
          <w:sz w:val="21"/>
        </w:rPr>
        <w:t>不</w:t>
      </w:r>
      <w:r w:rsidRPr="002539E8">
        <w:rPr>
          <w:rFonts w:ascii="SimSun" w:hAnsi="SimSun" w:hint="eastAsia"/>
          <w:sz w:val="21"/>
        </w:rPr>
        <w:t>支持这种做法。这些主管局</w:t>
      </w:r>
      <w:r w:rsidR="00032009" w:rsidRPr="002539E8">
        <w:rPr>
          <w:rFonts w:ascii="SimSun" w:hAnsi="SimSun" w:hint="eastAsia"/>
          <w:sz w:val="21"/>
        </w:rPr>
        <w:t>认为，根据定义，权利要求</w:t>
      </w:r>
      <w:r w:rsidR="00032009" w:rsidRPr="002539E8">
        <w:rPr>
          <w:rFonts w:ascii="KaiTi" w:eastAsia="KaiTi" w:hAnsi="KaiTi" w:hint="eastAsia"/>
          <w:i/>
          <w:sz w:val="21"/>
        </w:rPr>
        <w:t>项目</w:t>
      </w:r>
      <w:r w:rsidR="00032009" w:rsidRPr="002539E8">
        <w:rPr>
          <w:rFonts w:ascii="SimSun" w:hAnsi="SimSun" w:hint="eastAsia"/>
          <w:sz w:val="21"/>
        </w:rPr>
        <w:t>或说明书</w:t>
      </w:r>
      <w:r w:rsidR="00032009" w:rsidRPr="002539E8">
        <w:rPr>
          <w:rFonts w:ascii="KaiTi" w:eastAsia="KaiTi" w:hAnsi="KaiTi" w:hint="eastAsia"/>
          <w:i/>
          <w:sz w:val="21"/>
        </w:rPr>
        <w:t>项目</w:t>
      </w:r>
      <w:r w:rsidR="00032009" w:rsidRPr="002539E8">
        <w:rPr>
          <w:rFonts w:ascii="SimSun" w:hAnsi="SimSun" w:hint="eastAsia"/>
          <w:sz w:val="21"/>
        </w:rPr>
        <w:t>的“遗漏部分”是指遗漏了</w:t>
      </w:r>
      <w:r w:rsidR="00032009" w:rsidRPr="00F34A58">
        <w:rPr>
          <w:rFonts w:ascii="KaiTi" w:eastAsia="KaiTi" w:hAnsi="KaiTi" w:hint="eastAsia"/>
          <w:i/>
          <w:sz w:val="21"/>
        </w:rPr>
        <w:t>项目</w:t>
      </w:r>
      <w:r w:rsidR="00032009" w:rsidRPr="002539E8">
        <w:rPr>
          <w:rFonts w:ascii="SimSun" w:hAnsi="SimSun" w:hint="eastAsia"/>
          <w:sz w:val="21"/>
        </w:rPr>
        <w:t>的某一部分，但提交了</w:t>
      </w:r>
      <w:r w:rsidR="00032009" w:rsidRPr="00F34A58">
        <w:rPr>
          <w:rFonts w:ascii="KaiTi" w:eastAsia="KaiTi" w:hAnsi="KaiTi" w:hint="eastAsia"/>
          <w:i/>
          <w:sz w:val="21"/>
        </w:rPr>
        <w:t>项目</w:t>
      </w:r>
      <w:r w:rsidR="00032009" w:rsidRPr="002539E8">
        <w:rPr>
          <w:rFonts w:ascii="SimSun" w:hAnsi="SimSun" w:hint="eastAsia"/>
          <w:sz w:val="21"/>
        </w:rPr>
        <w:t>的</w:t>
      </w:r>
      <w:r w:rsidR="002539E8">
        <w:rPr>
          <w:rFonts w:ascii="SimSun" w:hAnsi="SimSun" w:hint="eastAsia"/>
          <w:sz w:val="21"/>
        </w:rPr>
        <w:t>其他</w:t>
      </w:r>
      <w:r w:rsidR="00032009" w:rsidRPr="002539E8">
        <w:rPr>
          <w:rFonts w:ascii="SimSun" w:hAnsi="SimSun" w:hint="eastAsia"/>
          <w:sz w:val="21"/>
        </w:rPr>
        <w:t>部分。因此，援引加入“遗漏部分”要求通过援引方式加入的权利要求或说明书项目的“遗漏部分”确实使得在国际申请日包含在国际申请中(不</w:t>
      </w:r>
      <w:proofErr w:type="gramStart"/>
      <w:r w:rsidR="00032009" w:rsidRPr="002539E8">
        <w:rPr>
          <w:rFonts w:ascii="SimSun" w:hAnsi="SimSun" w:hint="eastAsia"/>
          <w:sz w:val="21"/>
        </w:rPr>
        <w:t>完整)</w:t>
      </w:r>
      <w:proofErr w:type="gramEnd"/>
      <w:r w:rsidR="00032009" w:rsidRPr="002539E8">
        <w:rPr>
          <w:rFonts w:ascii="SimSun" w:hAnsi="SimSun" w:hint="eastAsia"/>
          <w:sz w:val="21"/>
        </w:rPr>
        <w:t>的项目变得“完整”，而不是全部替换项目。这种做法会给国际检索单位带来很大难处，</w:t>
      </w:r>
      <w:r w:rsidR="004E417F" w:rsidRPr="002539E8">
        <w:rPr>
          <w:rFonts w:ascii="SimSun" w:hAnsi="SimSun" w:hint="eastAsia"/>
          <w:sz w:val="21"/>
        </w:rPr>
        <w:t>因为</w:t>
      </w:r>
      <w:r w:rsidR="00032009" w:rsidRPr="002539E8">
        <w:rPr>
          <w:rFonts w:ascii="SimSun" w:hAnsi="SimSun" w:hint="eastAsia"/>
          <w:sz w:val="21"/>
        </w:rPr>
        <w:t>它</w:t>
      </w:r>
      <w:r w:rsidR="004E417F" w:rsidRPr="002539E8">
        <w:rPr>
          <w:rFonts w:ascii="SimSun" w:hAnsi="SimSun" w:hint="eastAsia"/>
          <w:sz w:val="21"/>
        </w:rPr>
        <w:t>所面对的是</w:t>
      </w:r>
      <w:r w:rsidR="00032009" w:rsidRPr="002539E8">
        <w:rPr>
          <w:rFonts w:ascii="SimSun" w:hAnsi="SimSun" w:hint="eastAsia"/>
          <w:sz w:val="21"/>
        </w:rPr>
        <w:t>实际上有两套</w:t>
      </w:r>
      <w:r w:rsidR="00F9041E" w:rsidRPr="002539E8">
        <w:rPr>
          <w:rFonts w:ascii="SimSun" w:hAnsi="SimSun" w:hint="eastAsia"/>
          <w:sz w:val="21"/>
        </w:rPr>
        <w:t>权利要求和两份</w:t>
      </w:r>
      <w:r w:rsidR="004E417F" w:rsidRPr="002539E8">
        <w:rPr>
          <w:rFonts w:ascii="SimSun" w:hAnsi="SimSun" w:hint="eastAsia"/>
          <w:sz w:val="21"/>
        </w:rPr>
        <w:t>说明书的国际申请(“是否应对两者都进行检索？是否应以发明缺乏单一性为由提出异议？”)，或是如果在单位已经开始进行国际检索，甚至已经</w:t>
      </w:r>
      <w:proofErr w:type="gramStart"/>
      <w:r w:rsidR="004E417F" w:rsidRPr="002539E8">
        <w:rPr>
          <w:rFonts w:ascii="SimSun" w:hAnsi="SimSun" w:hint="eastAsia"/>
          <w:sz w:val="21"/>
        </w:rPr>
        <w:t>作出</w:t>
      </w:r>
      <w:proofErr w:type="gramEnd"/>
      <w:r w:rsidR="004E417F" w:rsidRPr="002539E8">
        <w:rPr>
          <w:rFonts w:ascii="SimSun" w:hAnsi="SimSun" w:hint="eastAsia"/>
          <w:sz w:val="21"/>
        </w:rPr>
        <w:t>国际检索报告的情况下加入的要求被准许，</w:t>
      </w:r>
      <w:proofErr w:type="gramStart"/>
      <w:r w:rsidR="00DA5E1F" w:rsidRPr="002539E8">
        <w:rPr>
          <w:rFonts w:ascii="SimSun" w:hAnsi="SimSun" w:hint="eastAsia"/>
          <w:sz w:val="21"/>
        </w:rPr>
        <w:t>则</w:t>
      </w:r>
      <w:r w:rsidR="004E417F" w:rsidRPr="002539E8">
        <w:rPr>
          <w:rFonts w:ascii="SimSun" w:hAnsi="SimSun" w:hint="eastAsia"/>
          <w:sz w:val="21"/>
        </w:rPr>
        <w:t>单位</w:t>
      </w:r>
      <w:proofErr w:type="gramEnd"/>
      <w:r w:rsidR="004E417F" w:rsidRPr="002539E8">
        <w:rPr>
          <w:rFonts w:ascii="SimSun" w:hAnsi="SimSun" w:hint="eastAsia"/>
          <w:sz w:val="21"/>
        </w:rPr>
        <w:t>需要进行二次检索，</w:t>
      </w:r>
      <w:r w:rsidR="00F9041E" w:rsidRPr="002539E8">
        <w:rPr>
          <w:rFonts w:ascii="SimSun" w:hAnsi="SimSun" w:hint="eastAsia"/>
          <w:sz w:val="21"/>
        </w:rPr>
        <w:t>却无法为它的工作向申请人收取二次检索费</w:t>
      </w:r>
      <w:r w:rsidR="00DA5E1F" w:rsidRPr="002539E8">
        <w:rPr>
          <w:rFonts w:ascii="SimSun" w:hAnsi="SimSun" w:hint="eastAsia"/>
          <w:sz w:val="21"/>
        </w:rPr>
        <w:t>。</w:t>
      </w:r>
    </w:p>
    <w:p w:rsidR="00B263A6" w:rsidRPr="002539E8" w:rsidRDefault="002539E8" w:rsidP="002539E8">
      <w:pPr>
        <w:pStyle w:val="ONUME"/>
        <w:spacing w:afterLines="50" w:after="120" w:line="340" w:lineRule="atLeast"/>
        <w:jc w:val="both"/>
        <w:rPr>
          <w:rFonts w:ascii="SimSun" w:hAnsi="SimSun"/>
          <w:sz w:val="21"/>
        </w:rPr>
      </w:pPr>
      <w:r>
        <w:rPr>
          <w:rFonts w:ascii="SimSun" w:hAnsi="SimSun" w:hint="eastAsia"/>
          <w:sz w:val="21"/>
        </w:rPr>
        <w:t>其他</w:t>
      </w:r>
      <w:r w:rsidR="000F34D4" w:rsidRPr="002539E8">
        <w:rPr>
          <w:rFonts w:ascii="SimSun" w:hAnsi="SimSun" w:hint="eastAsia"/>
          <w:sz w:val="21"/>
        </w:rPr>
        <w:t>主管局认为可以允许这种做法。否则将造成</w:t>
      </w:r>
      <w:r w:rsidR="00505807" w:rsidRPr="002539E8">
        <w:rPr>
          <w:rFonts w:ascii="SimSun" w:hAnsi="SimSun" w:hint="eastAsia"/>
          <w:sz w:val="21"/>
        </w:rPr>
        <w:t>这样的情况，即如果申请人提交的国际申请未包含任何权利要求和/或说明书</w:t>
      </w:r>
      <w:r w:rsidR="00825E9C" w:rsidRPr="002539E8">
        <w:rPr>
          <w:rFonts w:ascii="SimSun" w:hAnsi="SimSun" w:hint="eastAsia"/>
          <w:sz w:val="21"/>
        </w:rPr>
        <w:t>，则允许申请人以援引加入遗漏</w:t>
      </w:r>
      <w:r w:rsidR="00825E9C" w:rsidRPr="00F34A58">
        <w:rPr>
          <w:rFonts w:ascii="KaiTi" w:eastAsia="KaiTi" w:hAnsi="KaiTi" w:hint="eastAsia"/>
          <w:i/>
          <w:sz w:val="21"/>
        </w:rPr>
        <w:t>项目</w:t>
      </w:r>
      <w:r w:rsidR="00825E9C" w:rsidRPr="002539E8">
        <w:rPr>
          <w:rFonts w:ascii="SimSun" w:hAnsi="SimSun" w:hint="eastAsia"/>
          <w:sz w:val="21"/>
        </w:rPr>
        <w:t>的方式将这些项目纳入国际申请，而如果申请人</w:t>
      </w:r>
      <w:r w:rsidR="00D54FD1" w:rsidRPr="002539E8">
        <w:rPr>
          <w:rFonts w:ascii="SimSun" w:hAnsi="SimSun" w:hint="eastAsia"/>
          <w:sz w:val="21"/>
        </w:rPr>
        <w:t>试图在所提交的国际申请中包含上述项目，却提交了错误的权利要求和/或错误的说明书，则不允许申请人通过提交正确的项目来改正错误。因此，第二种情况中的申请人由于试图提交完整的国际申请</w:t>
      </w:r>
      <w:r w:rsidR="00303936" w:rsidRPr="002539E8">
        <w:rPr>
          <w:rFonts w:ascii="SimSun" w:hAnsi="SimSun" w:hint="eastAsia"/>
          <w:sz w:val="21"/>
        </w:rPr>
        <w:t>(虽然提交了错误的权利要求和/或说明书项目)反而受到不公平待遇。这些主管局还提到，工作组在第一届会议上(见文件</w:t>
      </w:r>
      <w:r w:rsidR="00303936" w:rsidRPr="002539E8">
        <w:rPr>
          <w:rFonts w:ascii="SimSun" w:hAnsi="SimSun"/>
          <w:sz w:val="21"/>
        </w:rPr>
        <w:t>PCT/WG/1/16</w:t>
      </w:r>
      <w:r w:rsidR="00303936" w:rsidRPr="002539E8">
        <w:rPr>
          <w:rFonts w:ascii="SimSun" w:hAnsi="SimSun" w:hint="eastAsia"/>
          <w:sz w:val="21"/>
        </w:rPr>
        <w:t>第126和127</w:t>
      </w:r>
      <w:r>
        <w:rPr>
          <w:rFonts w:ascii="SimSun" w:hAnsi="SimSun" w:hint="eastAsia"/>
          <w:sz w:val="21"/>
        </w:rPr>
        <w:t>段</w:t>
      </w:r>
      <w:r w:rsidR="00303936" w:rsidRPr="002539E8">
        <w:rPr>
          <w:rFonts w:ascii="SimSun" w:hAnsi="SimSun" w:hint="eastAsia"/>
          <w:sz w:val="21"/>
        </w:rPr>
        <w:t>)议定</w:t>
      </w:r>
      <w:r w:rsidR="00040EE4" w:rsidRPr="002539E8">
        <w:rPr>
          <w:rFonts w:ascii="SimSun" w:hAnsi="SimSun" w:hint="eastAsia"/>
          <w:sz w:val="21"/>
        </w:rPr>
        <w:t>，这种做法确实是被允许的(“工作组注意到这样的情况，即国际申请在国际申请日包含必要的一项或多项权利要求项目和说明书项目(见第11条</w:t>
      </w:r>
      <w:r w:rsidR="00040EE4" w:rsidRPr="002539E8">
        <w:rPr>
          <w:rFonts w:ascii="SimSun" w:hAnsi="SimSun"/>
          <w:sz w:val="21"/>
        </w:rPr>
        <w:t>(1)(iii)(d)</w:t>
      </w:r>
      <w:r w:rsidR="00040EE4" w:rsidRPr="002539E8">
        <w:rPr>
          <w:rFonts w:ascii="SimSun" w:hAnsi="SimSun" w:hint="eastAsia"/>
          <w:sz w:val="21"/>
        </w:rPr>
        <w:t>和</w:t>
      </w:r>
      <w:r w:rsidR="00040EE4" w:rsidRPr="002539E8">
        <w:rPr>
          <w:rFonts w:ascii="SimSun" w:hAnsi="SimSun"/>
          <w:sz w:val="21"/>
        </w:rPr>
        <w:t>(e)</w:t>
      </w:r>
      <w:r w:rsidR="00040EE4" w:rsidRPr="002539E8">
        <w:rPr>
          <w:rFonts w:ascii="SimSun" w:hAnsi="SimSun" w:hint="eastAsia"/>
          <w:sz w:val="21"/>
        </w:rPr>
        <w:t>)，根据细则4.18和20.6(a)，优先权申请中所包含的权利要求或说明书不能作为遗漏项目援引加入。但</w:t>
      </w:r>
      <w:r w:rsidR="002F1C3C" w:rsidRPr="002539E8">
        <w:rPr>
          <w:rFonts w:ascii="SimSun" w:hAnsi="SimSun" w:hint="eastAsia"/>
          <w:sz w:val="21"/>
        </w:rPr>
        <w:t>看起来在这种情况下，根据上述细则将优先权申请中所包含的部分或全部说明书或部分或全部权利要求作为遗漏部分援引加入是可能的。</w:t>
      </w:r>
      <w:r w:rsidR="00040EE4" w:rsidRPr="002539E8">
        <w:rPr>
          <w:rFonts w:ascii="SimSun" w:hAnsi="SimSun" w:hint="eastAsia"/>
          <w:sz w:val="21"/>
        </w:rPr>
        <w:t>”)</w:t>
      </w:r>
      <w:r w:rsidR="00A503D2" w:rsidRPr="002539E8">
        <w:rPr>
          <w:rFonts w:ascii="SimSun" w:hAnsi="SimSun" w:hint="eastAsia"/>
          <w:sz w:val="21"/>
        </w:rPr>
        <w:t>，并且对受理局指南</w:t>
      </w:r>
      <w:proofErr w:type="gramStart"/>
      <w:r w:rsidR="00A503D2" w:rsidRPr="002539E8">
        <w:rPr>
          <w:rFonts w:ascii="SimSun" w:hAnsi="SimSun" w:hint="eastAsia"/>
          <w:sz w:val="21"/>
        </w:rPr>
        <w:t>作出</w:t>
      </w:r>
      <w:proofErr w:type="gramEnd"/>
      <w:r w:rsidR="00A503D2" w:rsidRPr="002539E8">
        <w:rPr>
          <w:rFonts w:ascii="SimSun" w:hAnsi="SimSun" w:hint="eastAsia"/>
          <w:sz w:val="21"/>
        </w:rPr>
        <w:t>了相应的修改，</w:t>
      </w:r>
      <w:r w:rsidR="002A479E" w:rsidRPr="002539E8">
        <w:rPr>
          <w:rFonts w:ascii="SimSun" w:hAnsi="SimSun" w:hint="eastAsia"/>
          <w:sz w:val="21"/>
        </w:rPr>
        <w:t>以对以下问题进行</w:t>
      </w:r>
      <w:r w:rsidR="00A503D2" w:rsidRPr="002539E8">
        <w:rPr>
          <w:rFonts w:ascii="SimSun" w:hAnsi="SimSun" w:hint="eastAsia"/>
          <w:sz w:val="21"/>
        </w:rPr>
        <w:t>澄清</w:t>
      </w:r>
      <w:r w:rsidR="002A479E" w:rsidRPr="002539E8">
        <w:rPr>
          <w:rFonts w:ascii="SimSun" w:hAnsi="SimSun" w:hint="eastAsia"/>
          <w:sz w:val="21"/>
        </w:rPr>
        <w:t>，即如果援引加入造成出现一套重复的说明书、权利要求或附图，则援引加入的这套按顺序置于最初提交的那套之前。</w:t>
      </w:r>
    </w:p>
    <w:p w:rsidR="00F836CD" w:rsidRPr="002539E8" w:rsidRDefault="002A479E" w:rsidP="002539E8">
      <w:pPr>
        <w:pStyle w:val="ONUME"/>
        <w:spacing w:afterLines="50" w:after="120" w:line="340" w:lineRule="atLeast"/>
        <w:jc w:val="both"/>
        <w:rPr>
          <w:rFonts w:ascii="SimSun" w:hAnsi="SimSun"/>
          <w:sz w:val="21"/>
        </w:rPr>
      </w:pPr>
      <w:r w:rsidRPr="002539E8">
        <w:rPr>
          <w:rFonts w:ascii="SimSun" w:hAnsi="SimSun" w:hint="eastAsia"/>
          <w:sz w:val="21"/>
        </w:rPr>
        <w:t>在工作组第六届会议讨论(见文件</w:t>
      </w:r>
      <w:r w:rsidRPr="002539E8">
        <w:rPr>
          <w:rFonts w:ascii="SimSun" w:hAnsi="SimSun"/>
          <w:sz w:val="21"/>
        </w:rPr>
        <w:t>PCT/WG/6/24</w:t>
      </w:r>
      <w:r w:rsidRPr="002539E8">
        <w:rPr>
          <w:rFonts w:ascii="SimSun" w:hAnsi="SimSun" w:hint="eastAsia"/>
          <w:sz w:val="21"/>
        </w:rPr>
        <w:t>第263至277</w:t>
      </w:r>
      <w:r w:rsidR="002539E8">
        <w:rPr>
          <w:rFonts w:ascii="SimSun" w:hAnsi="SimSun" w:hint="eastAsia"/>
          <w:sz w:val="21"/>
        </w:rPr>
        <w:t>段</w:t>
      </w:r>
      <w:r w:rsidRPr="002539E8">
        <w:rPr>
          <w:rFonts w:ascii="SimSun" w:hAnsi="SimSun" w:hint="eastAsia"/>
          <w:sz w:val="21"/>
        </w:rPr>
        <w:t>)</w:t>
      </w:r>
      <w:r w:rsidR="005A06B6" w:rsidRPr="002539E8">
        <w:rPr>
          <w:rFonts w:ascii="SimSun" w:hAnsi="SimSun" w:hint="eastAsia"/>
          <w:sz w:val="21"/>
        </w:rPr>
        <w:t>和</w:t>
      </w:r>
      <w:r w:rsidRPr="002539E8">
        <w:rPr>
          <w:rFonts w:ascii="SimSun" w:hAnsi="SimSun" w:hint="eastAsia"/>
          <w:sz w:val="21"/>
        </w:rPr>
        <w:t>在2014年2月举行的国际单位会议第二十一届会议进一步讨论(见文件</w:t>
      </w:r>
      <w:r w:rsidRPr="002539E8">
        <w:rPr>
          <w:rFonts w:ascii="SimSun" w:hAnsi="SimSun"/>
          <w:sz w:val="21"/>
        </w:rPr>
        <w:t>PCT/MIA/21/22</w:t>
      </w:r>
      <w:r w:rsidR="00B640FA" w:rsidRPr="002539E8">
        <w:rPr>
          <w:rFonts w:ascii="SimSun" w:hAnsi="SimSun" w:hint="eastAsia"/>
          <w:sz w:val="21"/>
        </w:rPr>
        <w:t>第65至69</w:t>
      </w:r>
      <w:r w:rsidR="002539E8">
        <w:rPr>
          <w:rFonts w:ascii="SimSun" w:hAnsi="SimSun" w:hint="eastAsia"/>
          <w:sz w:val="21"/>
        </w:rPr>
        <w:t>段</w:t>
      </w:r>
      <w:r w:rsidR="00B640FA" w:rsidRPr="002539E8">
        <w:rPr>
          <w:rFonts w:ascii="SimSun" w:hAnsi="SimSun" w:hint="eastAsia"/>
          <w:sz w:val="21"/>
        </w:rPr>
        <w:t>，</w:t>
      </w:r>
      <w:r w:rsidR="002539E8">
        <w:rPr>
          <w:rFonts w:ascii="SimSun" w:hAnsi="SimSun" w:hint="eastAsia"/>
          <w:sz w:val="21"/>
        </w:rPr>
        <w:t>转录</w:t>
      </w:r>
      <w:r w:rsidR="00B640FA" w:rsidRPr="002539E8">
        <w:rPr>
          <w:rFonts w:ascii="SimSun" w:hAnsi="SimSun" w:hint="eastAsia"/>
          <w:sz w:val="21"/>
        </w:rPr>
        <w:t>于文件</w:t>
      </w:r>
      <w:r w:rsidR="00B640FA" w:rsidRPr="002539E8">
        <w:rPr>
          <w:rFonts w:ascii="SimSun" w:hAnsi="SimSun"/>
          <w:sz w:val="21"/>
        </w:rPr>
        <w:t>PCT/WG/7/3</w:t>
      </w:r>
      <w:r w:rsidR="00B640FA" w:rsidRPr="002539E8">
        <w:rPr>
          <w:rFonts w:ascii="SimSun" w:hAnsi="SimSun" w:hint="eastAsia"/>
          <w:sz w:val="21"/>
        </w:rPr>
        <w:t>附件</w:t>
      </w:r>
      <w:r w:rsidRPr="002539E8">
        <w:rPr>
          <w:rFonts w:ascii="SimSun" w:hAnsi="SimSun" w:hint="eastAsia"/>
          <w:sz w:val="21"/>
        </w:rPr>
        <w:t>)</w:t>
      </w:r>
      <w:r w:rsidR="005A06B6" w:rsidRPr="002539E8">
        <w:rPr>
          <w:rFonts w:ascii="SimSun" w:hAnsi="SimSun" w:hint="eastAsia"/>
          <w:sz w:val="21"/>
        </w:rPr>
        <w:t>之后</w:t>
      </w:r>
      <w:r w:rsidR="00B640FA" w:rsidRPr="002539E8">
        <w:rPr>
          <w:rFonts w:ascii="SimSun" w:hAnsi="SimSun" w:hint="eastAsia"/>
          <w:sz w:val="21"/>
        </w:rPr>
        <w:t>，国际局以调查问卷的方式就援引加入遗漏部分的程序与所有成员国的主管局和若干用户组织进行了磋商(日期为2014年3月10日的通函</w:t>
      </w:r>
      <w:r w:rsidR="00B640FA" w:rsidRPr="002539E8">
        <w:rPr>
          <w:rFonts w:ascii="SimSun" w:hAnsi="SimSun"/>
          <w:sz w:val="21"/>
        </w:rPr>
        <w:t>C. PCT 1407</w:t>
      </w:r>
      <w:r w:rsidR="00B640FA" w:rsidRPr="002539E8">
        <w:rPr>
          <w:rFonts w:ascii="SimSun" w:hAnsi="SimSun" w:hint="eastAsia"/>
          <w:sz w:val="21"/>
        </w:rPr>
        <w:t>)。向主管局和用户提出的问题载于本文件附件。</w:t>
      </w:r>
    </w:p>
    <w:p w:rsidR="00F836CD" w:rsidRPr="002539E8" w:rsidRDefault="005A06B6" w:rsidP="002539E8">
      <w:pPr>
        <w:pStyle w:val="1"/>
        <w:spacing w:beforeLines="100" w:afterLines="50" w:after="120" w:line="340" w:lineRule="atLeast"/>
        <w:rPr>
          <w:rFonts w:ascii="SimHei" w:eastAsia="SimHei" w:hAnsi="SimHei"/>
          <w:b w:val="0"/>
          <w:sz w:val="21"/>
        </w:rPr>
      </w:pPr>
      <w:r w:rsidRPr="002539E8">
        <w:rPr>
          <w:rFonts w:ascii="SimHei" w:eastAsia="SimHei" w:hAnsi="SimHei" w:hint="eastAsia"/>
          <w:b w:val="0"/>
          <w:sz w:val="21"/>
        </w:rPr>
        <w:t>对调查问卷的答复</w:t>
      </w:r>
    </w:p>
    <w:p w:rsidR="00F836CD" w:rsidRPr="002539E8" w:rsidRDefault="00573DE5" w:rsidP="002539E8">
      <w:pPr>
        <w:pStyle w:val="ONUME"/>
        <w:spacing w:afterLines="50" w:after="120" w:line="340" w:lineRule="atLeast"/>
        <w:jc w:val="both"/>
        <w:rPr>
          <w:rFonts w:ascii="SimSun" w:hAnsi="SimSun"/>
          <w:sz w:val="21"/>
        </w:rPr>
      </w:pPr>
      <w:r w:rsidRPr="002539E8">
        <w:rPr>
          <w:rFonts w:ascii="SimSun" w:hAnsi="SimSun" w:hint="eastAsia"/>
          <w:sz w:val="21"/>
        </w:rPr>
        <w:t>接收到了33份来自以下工作组成员主管局的对于调查问卷的答复：亚美尼亚、澳大利亚、奥地利、保加利亚、智利、中国、丹麦、欧洲专利局、芬兰、格鲁吉亚、匈牙利、冰岛、以色列、日本、拉脱维亚、立陶宛、马达加斯加、马来西亚、新西兰、北欧专利局、挪威、葡萄牙、摩尔多瓦共和国、</w:t>
      </w:r>
      <w:r w:rsidRPr="002539E8">
        <w:rPr>
          <w:rFonts w:ascii="SimSun" w:hAnsi="SimSun" w:hint="eastAsia"/>
          <w:sz w:val="21"/>
        </w:rPr>
        <w:lastRenderedPageBreak/>
        <w:t>俄</w:t>
      </w:r>
      <w:r w:rsidR="002539E8">
        <w:rPr>
          <w:rFonts w:ascii="SimSun" w:hAnsi="SimSun" w:hint="eastAsia"/>
          <w:sz w:val="21"/>
        </w:rPr>
        <w:t>罗斯</w:t>
      </w:r>
      <w:r w:rsidRPr="002539E8">
        <w:rPr>
          <w:rFonts w:ascii="SimSun" w:hAnsi="SimSun" w:hint="eastAsia"/>
          <w:sz w:val="21"/>
        </w:rPr>
        <w:t>联邦、斯洛伐克、西班牙、瑞典、泰国、土耳其、乌克兰、联合王国、美利坚合众国和乌兹别克斯坦。在以下</w:t>
      </w:r>
      <w:r w:rsidR="00CA15EB" w:rsidRPr="002539E8">
        <w:rPr>
          <w:rFonts w:ascii="SimSun" w:hAnsi="SimSun" w:hint="eastAsia"/>
          <w:sz w:val="21"/>
        </w:rPr>
        <w:t>各节</w:t>
      </w:r>
      <w:r w:rsidRPr="002539E8">
        <w:rPr>
          <w:rFonts w:ascii="SimSun" w:hAnsi="SimSun" w:hint="eastAsia"/>
          <w:sz w:val="21"/>
        </w:rPr>
        <w:t>中对这些答复进行了归纳总结。</w:t>
      </w:r>
    </w:p>
    <w:p w:rsidR="003C7D46" w:rsidRPr="002539E8" w:rsidRDefault="0060104C" w:rsidP="002539E8">
      <w:pPr>
        <w:pStyle w:val="2"/>
        <w:adjustRightInd w:val="0"/>
        <w:spacing w:beforeLines="50" w:before="120" w:afterLines="50" w:after="120" w:line="340" w:lineRule="atLeast"/>
        <w:jc w:val="both"/>
        <w:rPr>
          <w:rFonts w:ascii="SimSun" w:hAnsi="SimSun"/>
          <w:b/>
          <w:sz w:val="21"/>
          <w:szCs w:val="21"/>
        </w:rPr>
      </w:pPr>
      <w:r w:rsidRPr="002539E8">
        <w:rPr>
          <w:rFonts w:ascii="SimSun" w:hAnsi="SimSun" w:hint="eastAsia"/>
          <w:b/>
          <w:sz w:val="21"/>
          <w:szCs w:val="21"/>
        </w:rPr>
        <w:t>允许将完整的权利要求和说明书作为遗漏部分援引加入</w:t>
      </w:r>
    </w:p>
    <w:p w:rsidR="00364D79" w:rsidRPr="002539E8" w:rsidRDefault="004A204C" w:rsidP="002539E8">
      <w:pPr>
        <w:pStyle w:val="ONUME"/>
        <w:spacing w:afterLines="50" w:after="120" w:line="340" w:lineRule="atLeast"/>
        <w:jc w:val="both"/>
        <w:rPr>
          <w:rFonts w:ascii="SimSun" w:hAnsi="SimSun"/>
          <w:sz w:val="21"/>
        </w:rPr>
      </w:pPr>
      <w:r w:rsidRPr="002539E8">
        <w:rPr>
          <w:rFonts w:ascii="SimSun" w:hAnsi="SimSun" w:hint="eastAsia"/>
          <w:sz w:val="21"/>
        </w:rPr>
        <w:t>在回答主管局是否允许援引加入完整的权利要求和说明书这个问题(Q1)时，若干主管局表示它们在实践中没有遇到过需要就该问题</w:t>
      </w:r>
      <w:proofErr w:type="gramStart"/>
      <w:r w:rsidRPr="002539E8">
        <w:rPr>
          <w:rFonts w:ascii="SimSun" w:hAnsi="SimSun" w:hint="eastAsia"/>
          <w:sz w:val="21"/>
        </w:rPr>
        <w:t>作出</w:t>
      </w:r>
      <w:proofErr w:type="gramEnd"/>
      <w:r w:rsidRPr="002539E8">
        <w:rPr>
          <w:rFonts w:ascii="SimSun" w:hAnsi="SimSun" w:hint="eastAsia"/>
          <w:sz w:val="21"/>
        </w:rPr>
        <w:t>决定的情况。对于那些发表了意见的主管局，约三分之一支持加入完整的权利要求和说明书，三分之二对此持反对意见；约五分之一的答复没有就该问题发表意见。答复的分布情况与主管局对于以下问题的意见相似，即根据细则</w:t>
      </w:r>
      <w:r w:rsidR="00F854C5" w:rsidRPr="002539E8">
        <w:rPr>
          <w:rFonts w:ascii="SimSun" w:hAnsi="SimSun" w:hint="eastAsia"/>
          <w:sz w:val="21"/>
        </w:rPr>
        <w:t>第</w:t>
      </w:r>
      <w:r w:rsidRPr="002539E8">
        <w:rPr>
          <w:rFonts w:ascii="SimSun" w:hAnsi="SimSun" w:hint="eastAsia"/>
          <w:sz w:val="21"/>
        </w:rPr>
        <w:t>20</w:t>
      </w:r>
      <w:r w:rsidR="00F854C5" w:rsidRPr="002539E8">
        <w:rPr>
          <w:rFonts w:ascii="SimSun" w:hAnsi="SimSun" w:hint="eastAsia"/>
          <w:sz w:val="21"/>
        </w:rPr>
        <w:t>条</w:t>
      </w:r>
      <w:r w:rsidRPr="002539E8">
        <w:rPr>
          <w:rFonts w:ascii="SimSun" w:hAnsi="SimSun" w:hint="eastAsia"/>
          <w:sz w:val="21"/>
        </w:rPr>
        <w:t>，完整的权利要求和说明书是否可以作为遗漏部分，</w:t>
      </w:r>
      <w:r w:rsidR="00F854C5" w:rsidRPr="002539E8">
        <w:rPr>
          <w:rFonts w:ascii="SimSun" w:hAnsi="SimSun" w:hint="eastAsia"/>
          <w:sz w:val="21"/>
        </w:rPr>
        <w:t>并由此将</w:t>
      </w:r>
      <w:r w:rsidRPr="002539E8">
        <w:rPr>
          <w:rFonts w:ascii="SimSun" w:hAnsi="SimSun" w:hint="eastAsia"/>
          <w:sz w:val="21"/>
        </w:rPr>
        <w:t>接收</w:t>
      </w:r>
      <w:r w:rsidR="00F854C5" w:rsidRPr="002539E8">
        <w:rPr>
          <w:rFonts w:ascii="SimSun" w:hAnsi="SimSun" w:hint="eastAsia"/>
          <w:sz w:val="21"/>
        </w:rPr>
        <w:t>到最初提交错误文件的日期作为国际申请日</w:t>
      </w:r>
      <w:r w:rsidR="00F854C5" w:rsidRPr="002539E8">
        <w:rPr>
          <w:rFonts w:ascii="SimSun" w:hAnsi="SimSun"/>
          <w:sz w:val="21"/>
        </w:rPr>
        <w:t>(Q3)</w:t>
      </w:r>
      <w:r w:rsidR="00F854C5" w:rsidRPr="002539E8">
        <w:rPr>
          <w:rFonts w:ascii="SimSun" w:hAnsi="SimSun" w:hint="eastAsia"/>
          <w:sz w:val="21"/>
        </w:rPr>
        <w:t>。</w:t>
      </w:r>
    </w:p>
    <w:p w:rsidR="003C7D46" w:rsidRPr="002539E8" w:rsidRDefault="003B33D3" w:rsidP="002539E8">
      <w:pPr>
        <w:pStyle w:val="ONUME"/>
        <w:spacing w:afterLines="50" w:after="120" w:line="340" w:lineRule="atLeast"/>
        <w:jc w:val="both"/>
        <w:rPr>
          <w:rFonts w:ascii="SimSun" w:hAnsi="SimSun"/>
          <w:sz w:val="21"/>
        </w:rPr>
      </w:pPr>
      <w:r w:rsidRPr="002539E8">
        <w:rPr>
          <w:rFonts w:ascii="SimSun" w:hAnsi="SimSun" w:hint="eastAsia"/>
          <w:sz w:val="21"/>
        </w:rPr>
        <w:t>四分之三</w:t>
      </w:r>
      <w:r w:rsidR="00F854C5" w:rsidRPr="002539E8">
        <w:rPr>
          <w:rFonts w:ascii="SimSun" w:hAnsi="SimSun" w:hint="eastAsia"/>
          <w:sz w:val="21"/>
        </w:rPr>
        <w:t>答复了调查问卷的主管局认为细则第20条</w:t>
      </w:r>
      <w:r w:rsidR="00413703" w:rsidRPr="002539E8">
        <w:rPr>
          <w:rFonts w:ascii="SimSun" w:hAnsi="SimSun" w:hint="eastAsia"/>
          <w:sz w:val="21"/>
        </w:rPr>
        <w:t>的规定</w:t>
      </w:r>
      <w:r w:rsidR="00F854C5" w:rsidRPr="002539E8">
        <w:rPr>
          <w:rFonts w:ascii="SimSun" w:hAnsi="SimSun" w:hint="eastAsia"/>
          <w:sz w:val="21"/>
        </w:rPr>
        <w:t>不够</w:t>
      </w:r>
      <w:r w:rsidR="00413703" w:rsidRPr="002539E8">
        <w:rPr>
          <w:rFonts w:ascii="SimSun" w:hAnsi="SimSun" w:hint="eastAsia"/>
          <w:sz w:val="21"/>
        </w:rPr>
        <w:t>清晰</w:t>
      </w:r>
      <w:r w:rsidR="00F854C5" w:rsidRPr="002539E8">
        <w:rPr>
          <w:rFonts w:ascii="SimSun" w:hAnsi="SimSun" w:hint="eastAsia"/>
          <w:sz w:val="21"/>
        </w:rPr>
        <w:t>，需要对其进行审查，以减少法律不确定性(Q4)。如果要对细则进行</w:t>
      </w:r>
      <w:r w:rsidR="00413703" w:rsidRPr="002539E8">
        <w:rPr>
          <w:rFonts w:ascii="SimSun" w:hAnsi="SimSun" w:hint="eastAsia"/>
          <w:sz w:val="21"/>
        </w:rPr>
        <w:t>审查，五分之二强的</w:t>
      </w:r>
      <w:r w:rsidR="00EE5025" w:rsidRPr="002539E8">
        <w:rPr>
          <w:rFonts w:ascii="SimSun" w:hAnsi="SimSun" w:hint="eastAsia"/>
          <w:sz w:val="21"/>
        </w:rPr>
        <w:t>受访局</w:t>
      </w:r>
      <w:r w:rsidR="00413703" w:rsidRPr="002539E8">
        <w:rPr>
          <w:rFonts w:ascii="SimSun" w:hAnsi="SimSun" w:hint="eastAsia"/>
          <w:sz w:val="21"/>
        </w:rPr>
        <w:t>支持明确规定不允许将完整的权利要求和说明书加入出现错误的申请中，</w:t>
      </w:r>
      <w:r w:rsidR="00EE5025" w:rsidRPr="002539E8">
        <w:rPr>
          <w:rFonts w:ascii="SimSun" w:hAnsi="SimSun" w:hint="eastAsia"/>
          <w:sz w:val="21"/>
        </w:rPr>
        <w:t>而五分之一强的受访局支持明确规定允许加入完整的权利要求和说明书；其余的主管局(三分之一到五分之二)</w:t>
      </w:r>
      <w:r w:rsidRPr="002539E8">
        <w:rPr>
          <w:rFonts w:ascii="SimSun" w:hAnsi="SimSun" w:hint="eastAsia"/>
          <w:sz w:val="21"/>
        </w:rPr>
        <w:t xml:space="preserve"> 没有</w:t>
      </w:r>
      <w:r w:rsidR="00EE5025" w:rsidRPr="002539E8">
        <w:rPr>
          <w:rFonts w:ascii="SimSun" w:hAnsi="SimSun" w:hint="eastAsia"/>
          <w:sz w:val="21"/>
        </w:rPr>
        <w:t>就该问题</w:t>
      </w:r>
      <w:r w:rsidRPr="002539E8">
        <w:rPr>
          <w:rFonts w:ascii="SimSun" w:hAnsi="SimSun" w:hint="eastAsia"/>
          <w:sz w:val="21"/>
        </w:rPr>
        <w:t>给出结论或</w:t>
      </w:r>
      <w:r w:rsidR="00EE5025" w:rsidRPr="002539E8">
        <w:rPr>
          <w:rFonts w:ascii="SimSun" w:hAnsi="SimSun" w:hint="eastAsia"/>
          <w:sz w:val="21"/>
        </w:rPr>
        <w:t>发表意见</w:t>
      </w:r>
      <w:r w:rsidR="00EE5025" w:rsidRPr="002539E8">
        <w:rPr>
          <w:rFonts w:ascii="SimSun" w:hAnsi="SimSun"/>
          <w:sz w:val="21"/>
        </w:rPr>
        <w:t>(Q5)</w:t>
      </w:r>
      <w:r w:rsidR="00EE5025" w:rsidRPr="002539E8">
        <w:rPr>
          <w:rFonts w:ascii="SimSun" w:hAnsi="SimSun" w:hint="eastAsia"/>
          <w:sz w:val="21"/>
        </w:rPr>
        <w:t>。</w:t>
      </w:r>
    </w:p>
    <w:p w:rsidR="00C279B7" w:rsidRPr="002539E8" w:rsidRDefault="00EE5025" w:rsidP="002539E8">
      <w:pPr>
        <w:pStyle w:val="2"/>
        <w:adjustRightInd w:val="0"/>
        <w:spacing w:beforeLines="50" w:before="120" w:afterLines="50" w:after="120" w:line="340" w:lineRule="atLeast"/>
        <w:jc w:val="both"/>
        <w:rPr>
          <w:rFonts w:ascii="SimSun" w:hAnsi="SimSun"/>
          <w:b/>
          <w:sz w:val="21"/>
          <w:szCs w:val="21"/>
        </w:rPr>
      </w:pPr>
      <w:r w:rsidRPr="002539E8">
        <w:rPr>
          <w:rFonts w:ascii="SimSun" w:hAnsi="SimSun" w:hint="eastAsia"/>
          <w:b/>
          <w:sz w:val="21"/>
          <w:szCs w:val="21"/>
        </w:rPr>
        <w:t>从多项优先权中援引加入遗漏部分</w:t>
      </w:r>
    </w:p>
    <w:p w:rsidR="00C279B7" w:rsidRPr="002539E8" w:rsidRDefault="00B1723F" w:rsidP="002539E8">
      <w:pPr>
        <w:pStyle w:val="ONUME"/>
        <w:spacing w:afterLines="50" w:after="120" w:line="340" w:lineRule="atLeast"/>
        <w:jc w:val="both"/>
        <w:rPr>
          <w:rFonts w:ascii="SimSun" w:hAnsi="SimSun"/>
          <w:sz w:val="21"/>
        </w:rPr>
      </w:pPr>
      <w:r w:rsidRPr="002539E8">
        <w:rPr>
          <w:rFonts w:ascii="SimSun" w:hAnsi="SimSun" w:hint="eastAsia"/>
          <w:sz w:val="21"/>
        </w:rPr>
        <w:t>很多主管局表示它们没有这方面的经验，即申请人要求从不同的优先权申请中援引加入遗漏部分(Q2)。大多数就该问题发表了意见的主管局认为可以允许上述加入方式；只有四个主管局不这么认为。但是，约四分之一的主管局没有就该问题发表意见。</w:t>
      </w:r>
    </w:p>
    <w:p w:rsidR="00C279B7" w:rsidRPr="002539E8" w:rsidRDefault="005157CE" w:rsidP="002539E8">
      <w:pPr>
        <w:pStyle w:val="ONUME"/>
        <w:spacing w:afterLines="50" w:after="120" w:line="340" w:lineRule="atLeast"/>
        <w:jc w:val="both"/>
        <w:rPr>
          <w:rFonts w:ascii="SimSun" w:hAnsi="SimSun"/>
          <w:sz w:val="21"/>
        </w:rPr>
      </w:pPr>
      <w:r w:rsidRPr="002539E8">
        <w:rPr>
          <w:rFonts w:ascii="SimSun" w:hAnsi="SimSun" w:hint="eastAsia"/>
          <w:sz w:val="21"/>
        </w:rPr>
        <w:t>一个主管局在答复时区分了以下两种情况，即依据不同的优先权加入不同的遗漏部分(如说明书的一部分来自一篇优先权文件，遗漏的附图来自另一篇不同的优先权文件)，和</w:t>
      </w:r>
      <w:r w:rsidR="00AC5EF0" w:rsidRPr="002539E8">
        <w:rPr>
          <w:rFonts w:ascii="SimSun" w:hAnsi="SimSun" w:hint="eastAsia"/>
          <w:sz w:val="21"/>
        </w:rPr>
        <w:t>加入的一个遗漏部分来自两篇不同的优先权文件(如说明书的一个遗漏部分来自两篇不同的优先权文件)。在该主管局的实践中，允许前一种加入方式，但不允许后一种加入方式。</w:t>
      </w:r>
    </w:p>
    <w:p w:rsidR="00C9580C" w:rsidRPr="002539E8" w:rsidRDefault="00AC5EF0" w:rsidP="002539E8">
      <w:pPr>
        <w:pStyle w:val="2"/>
        <w:adjustRightInd w:val="0"/>
        <w:spacing w:beforeLines="50" w:before="120" w:afterLines="50" w:after="120" w:line="340" w:lineRule="atLeast"/>
        <w:jc w:val="both"/>
        <w:rPr>
          <w:rFonts w:ascii="SimSun" w:hAnsi="SimSun"/>
          <w:b/>
          <w:sz w:val="21"/>
          <w:szCs w:val="21"/>
        </w:rPr>
      </w:pPr>
      <w:r w:rsidRPr="002539E8">
        <w:rPr>
          <w:rFonts w:ascii="SimSun" w:hAnsi="SimSun" w:hint="eastAsia"/>
          <w:b/>
          <w:sz w:val="21"/>
          <w:szCs w:val="21"/>
        </w:rPr>
        <w:t>加入遗漏部分的费用</w:t>
      </w:r>
    </w:p>
    <w:p w:rsidR="0010691F" w:rsidRPr="002539E8" w:rsidRDefault="00593066" w:rsidP="002539E8">
      <w:pPr>
        <w:pStyle w:val="ONUME"/>
        <w:spacing w:afterLines="50" w:after="120" w:line="340" w:lineRule="atLeast"/>
        <w:jc w:val="both"/>
        <w:rPr>
          <w:rFonts w:ascii="SimSun" w:hAnsi="SimSun"/>
          <w:sz w:val="21"/>
        </w:rPr>
      </w:pPr>
      <w:r w:rsidRPr="002539E8">
        <w:rPr>
          <w:rFonts w:ascii="SimSun" w:hAnsi="SimSun" w:hint="eastAsia"/>
          <w:sz w:val="21"/>
        </w:rPr>
        <w:t>如果对细则第20条进行修改，允许将完整的权利要求和说明书加入出现错误的申请，在检索副本已经发送给国际检索单位的情况下，</w:t>
      </w:r>
      <w:r w:rsidR="0006265B" w:rsidRPr="002539E8">
        <w:rPr>
          <w:rFonts w:ascii="SimSun" w:hAnsi="SimSun" w:hint="eastAsia"/>
          <w:sz w:val="21"/>
        </w:rPr>
        <w:t>绝</w:t>
      </w:r>
      <w:r w:rsidR="00AC5EF0" w:rsidRPr="002539E8">
        <w:rPr>
          <w:rFonts w:ascii="SimSun" w:hAnsi="SimSun" w:hint="eastAsia"/>
          <w:sz w:val="21"/>
        </w:rPr>
        <w:t>大多数主管局(超过90%)支持国际检索单位</w:t>
      </w:r>
      <w:r w:rsidRPr="002539E8">
        <w:rPr>
          <w:rFonts w:ascii="SimSun" w:hAnsi="SimSun" w:hint="eastAsia"/>
          <w:sz w:val="21"/>
        </w:rPr>
        <w:t>有权向申请人收取附加检索费(Q6)。比例较小的多数</w:t>
      </w:r>
      <w:r w:rsidR="00722255" w:rsidRPr="002539E8">
        <w:rPr>
          <w:rFonts w:ascii="SimSun" w:hAnsi="SimSun" w:hint="eastAsia"/>
          <w:sz w:val="21"/>
        </w:rPr>
        <w:t>答复(约55%)支持受理局有权为处理援引加入遗漏部分的要求收费，只有不到20%的答复不支持该想法；其余的答复没有就该事项发表意见。</w:t>
      </w:r>
    </w:p>
    <w:p w:rsidR="0010691F" w:rsidRPr="002539E8" w:rsidRDefault="0006265B" w:rsidP="002539E8">
      <w:pPr>
        <w:pStyle w:val="2"/>
        <w:adjustRightInd w:val="0"/>
        <w:spacing w:beforeLines="50" w:before="120" w:afterLines="50" w:after="120" w:line="340" w:lineRule="atLeast"/>
        <w:jc w:val="both"/>
        <w:rPr>
          <w:rFonts w:ascii="SimSun" w:hAnsi="SimSun"/>
          <w:b/>
          <w:sz w:val="21"/>
          <w:szCs w:val="21"/>
        </w:rPr>
      </w:pPr>
      <w:r w:rsidRPr="002539E8">
        <w:rPr>
          <w:rFonts w:ascii="SimSun" w:hAnsi="SimSun" w:hint="eastAsia"/>
          <w:b/>
          <w:sz w:val="21"/>
          <w:szCs w:val="21"/>
        </w:rPr>
        <w:t>通过援引加入公开对错误部分或项目所进行的替换带来的影响</w:t>
      </w:r>
    </w:p>
    <w:p w:rsidR="00C279B7" w:rsidRPr="002539E8" w:rsidRDefault="0006265B" w:rsidP="002539E8">
      <w:pPr>
        <w:pStyle w:val="ONUME"/>
        <w:spacing w:afterLines="50" w:after="120" w:line="340" w:lineRule="atLeast"/>
        <w:jc w:val="both"/>
        <w:rPr>
          <w:rFonts w:ascii="SimSun" w:hAnsi="SimSun"/>
          <w:sz w:val="21"/>
        </w:rPr>
      </w:pPr>
      <w:r w:rsidRPr="002539E8">
        <w:rPr>
          <w:rFonts w:ascii="SimSun" w:hAnsi="SimSun" w:hint="eastAsia"/>
          <w:sz w:val="21"/>
        </w:rPr>
        <w:t>大多数主管局对于公开发明</w:t>
      </w:r>
      <w:r w:rsidR="00A444DB" w:rsidRPr="002539E8">
        <w:rPr>
          <w:rFonts w:ascii="SimSun" w:hAnsi="SimSun" w:hint="eastAsia"/>
          <w:sz w:val="21"/>
        </w:rPr>
        <w:t>所带来</w:t>
      </w:r>
      <w:r w:rsidRPr="002539E8">
        <w:rPr>
          <w:rFonts w:ascii="SimSun" w:hAnsi="SimSun" w:hint="eastAsia"/>
          <w:sz w:val="21"/>
        </w:rPr>
        <w:t>的影响表示关切，</w:t>
      </w:r>
      <w:r w:rsidR="00A444DB" w:rsidRPr="002539E8">
        <w:rPr>
          <w:rFonts w:ascii="SimSun" w:hAnsi="SimSun" w:hint="eastAsia"/>
          <w:sz w:val="21"/>
        </w:rPr>
        <w:t>支持在第II章程序中用修改的方式替换错误部分或项目(Q8)。少数主管局(约占所有受访局的六分之一)不同意上述观点，指出只有在援引优先权文件的情况下才能替换错误部分或项目，因此公开不会受到影响。超过四分之一的主管局没有就该问题发表意见。</w:t>
      </w:r>
    </w:p>
    <w:p w:rsidR="00F7167A" w:rsidRPr="002539E8" w:rsidRDefault="00126F19" w:rsidP="002539E8">
      <w:pPr>
        <w:pStyle w:val="2"/>
        <w:adjustRightInd w:val="0"/>
        <w:spacing w:beforeLines="50" w:before="120" w:afterLines="50" w:after="120" w:line="340" w:lineRule="atLeast"/>
        <w:jc w:val="both"/>
        <w:rPr>
          <w:rFonts w:ascii="SimSun" w:hAnsi="SimSun"/>
          <w:b/>
          <w:sz w:val="21"/>
          <w:szCs w:val="21"/>
        </w:rPr>
      </w:pPr>
      <w:r w:rsidRPr="002539E8">
        <w:rPr>
          <w:rFonts w:ascii="SimSun" w:hAnsi="SimSun" w:hint="eastAsia"/>
          <w:b/>
          <w:sz w:val="21"/>
          <w:szCs w:val="21"/>
        </w:rPr>
        <w:t>接受日期与国际申请日相同的优先权要求</w:t>
      </w:r>
    </w:p>
    <w:p w:rsidR="0010691F" w:rsidRPr="002539E8" w:rsidRDefault="00157E12" w:rsidP="002539E8">
      <w:pPr>
        <w:pStyle w:val="ONUME"/>
        <w:spacing w:afterLines="50" w:after="120" w:line="340" w:lineRule="atLeast"/>
        <w:jc w:val="both"/>
        <w:rPr>
          <w:rFonts w:ascii="SimSun" w:hAnsi="SimSun"/>
          <w:sz w:val="21"/>
        </w:rPr>
      </w:pPr>
      <w:r w:rsidRPr="002539E8">
        <w:rPr>
          <w:rFonts w:ascii="SimSun" w:hAnsi="SimSun" w:hint="eastAsia"/>
          <w:sz w:val="21"/>
        </w:rPr>
        <w:t>在回答</w:t>
      </w:r>
      <w:r w:rsidR="00126F19" w:rsidRPr="002539E8">
        <w:rPr>
          <w:rFonts w:ascii="SimSun" w:hAnsi="SimSun" w:hint="eastAsia"/>
          <w:sz w:val="21"/>
        </w:rPr>
        <w:t>有关接受日期与国际申请日相同的优先权要求的问题</w:t>
      </w:r>
      <w:r w:rsidRPr="002539E8">
        <w:rPr>
          <w:rFonts w:ascii="SimSun" w:hAnsi="SimSun" w:hint="eastAsia"/>
          <w:sz w:val="21"/>
        </w:rPr>
        <w:t>时出现了不同意见</w:t>
      </w:r>
      <w:r w:rsidRPr="002539E8">
        <w:rPr>
          <w:rFonts w:ascii="SimSun" w:hAnsi="SimSun"/>
          <w:sz w:val="21"/>
        </w:rPr>
        <w:t>(Q9</w:t>
      </w:r>
      <w:r w:rsidRPr="002539E8">
        <w:rPr>
          <w:rFonts w:ascii="SimSun" w:hAnsi="SimSun" w:hint="eastAsia"/>
          <w:sz w:val="21"/>
        </w:rPr>
        <w:t>至</w:t>
      </w:r>
      <w:r w:rsidRPr="002539E8">
        <w:rPr>
          <w:rFonts w:ascii="SimSun" w:hAnsi="SimSun"/>
          <w:sz w:val="21"/>
        </w:rPr>
        <w:t>Q11)</w:t>
      </w:r>
      <w:r w:rsidRPr="002539E8">
        <w:rPr>
          <w:rFonts w:ascii="SimSun" w:hAnsi="SimSun" w:hint="eastAsia"/>
          <w:sz w:val="21"/>
        </w:rPr>
        <w:t>。除没有发表意见的答复(约占所有答复的四分之一)外，关于是否接受日期与国际申请日相同的优先权要求以及该做法是否符合巴黎公约和PCT的规定，持支持意见和反对意见的主管局大约各占一半。在那些不接受日期相同的优先权要求的主管局中，大部分不希望对PCT条款进行修订以允许接受上述</w:t>
      </w:r>
      <w:r w:rsidR="004B496F" w:rsidRPr="002539E8">
        <w:rPr>
          <w:rFonts w:ascii="SimSun" w:hAnsi="SimSun" w:hint="eastAsia"/>
          <w:sz w:val="21"/>
        </w:rPr>
        <w:t>优先权要求。</w:t>
      </w:r>
    </w:p>
    <w:p w:rsidR="00CD179B" w:rsidRPr="002539E8" w:rsidRDefault="004B496F" w:rsidP="002539E8">
      <w:pPr>
        <w:pStyle w:val="1"/>
        <w:spacing w:beforeLines="100" w:afterLines="50" w:after="120" w:line="340" w:lineRule="atLeast"/>
        <w:rPr>
          <w:rFonts w:ascii="SimHei" w:eastAsia="SimHei" w:hAnsi="SimHei"/>
          <w:b w:val="0"/>
          <w:sz w:val="21"/>
        </w:rPr>
      </w:pPr>
      <w:r w:rsidRPr="002539E8">
        <w:rPr>
          <w:rFonts w:ascii="SimHei" w:eastAsia="SimHei" w:hAnsi="SimHei" w:hint="eastAsia"/>
          <w:b w:val="0"/>
          <w:sz w:val="21"/>
        </w:rPr>
        <w:lastRenderedPageBreak/>
        <w:t>未来工作</w:t>
      </w:r>
    </w:p>
    <w:p w:rsidR="00BC3E01" w:rsidRPr="002539E8" w:rsidRDefault="00312443" w:rsidP="002539E8">
      <w:pPr>
        <w:pStyle w:val="ONUME"/>
        <w:spacing w:afterLines="50" w:after="120" w:line="340" w:lineRule="atLeast"/>
        <w:jc w:val="both"/>
        <w:rPr>
          <w:rFonts w:ascii="SimSun" w:hAnsi="SimSun"/>
          <w:sz w:val="21"/>
        </w:rPr>
      </w:pPr>
      <w:r w:rsidRPr="002539E8">
        <w:rPr>
          <w:rFonts w:ascii="SimSun" w:hAnsi="SimSun" w:hint="eastAsia"/>
          <w:sz w:val="21"/>
        </w:rPr>
        <w:t>对于调查问卷的答复明显显示出未就调查问卷中提出的任何问题取得共识，包括有关根据细则第20条是否应允许申请人将完整的权利要求和说明书作为遗漏部分加入的问题。因此，无法通过现成的解决方案来解决目前受理局和指定/</w:t>
      </w:r>
      <w:proofErr w:type="gramStart"/>
      <w:r w:rsidRPr="002539E8">
        <w:rPr>
          <w:rFonts w:ascii="SimSun" w:hAnsi="SimSun" w:hint="eastAsia"/>
          <w:sz w:val="21"/>
        </w:rPr>
        <w:t>选定局</w:t>
      </w:r>
      <w:proofErr w:type="gramEnd"/>
      <w:r w:rsidRPr="002539E8">
        <w:rPr>
          <w:rFonts w:ascii="SimSun" w:hAnsi="SimSun" w:hint="eastAsia"/>
          <w:sz w:val="21"/>
        </w:rPr>
        <w:t>采用不同实践的情况。因此，国际局将继续与相关主管局合作，探寻为申请人进一步提供协调一致性和法律确定性的可能性，</w:t>
      </w:r>
      <w:r w:rsidR="00C05BFA" w:rsidRPr="002539E8">
        <w:rPr>
          <w:rFonts w:ascii="SimSun" w:hAnsi="SimSun" w:hint="eastAsia"/>
          <w:sz w:val="21"/>
        </w:rPr>
        <w:t>并</w:t>
      </w:r>
      <w:r w:rsidRPr="002539E8">
        <w:rPr>
          <w:rFonts w:ascii="SimSun" w:hAnsi="SimSun" w:hint="eastAsia"/>
          <w:sz w:val="21"/>
        </w:rPr>
        <w:t>为工作组第八届会议编拟一份文件。该文件还将考虑以下</w:t>
      </w:r>
      <w:r w:rsidR="00A76937" w:rsidRPr="002539E8">
        <w:rPr>
          <w:rFonts w:ascii="SimSun" w:hAnsi="SimSun" w:hint="eastAsia"/>
          <w:sz w:val="21"/>
        </w:rPr>
        <w:t>相关</w:t>
      </w:r>
      <w:r w:rsidRPr="002539E8">
        <w:rPr>
          <w:rFonts w:ascii="SimSun" w:hAnsi="SimSun" w:hint="eastAsia"/>
          <w:sz w:val="21"/>
        </w:rPr>
        <w:t>问题，即</w:t>
      </w:r>
      <w:r w:rsidR="00A76937" w:rsidRPr="002539E8">
        <w:rPr>
          <w:rFonts w:ascii="SimSun" w:hAnsi="SimSun" w:hint="eastAsia"/>
          <w:sz w:val="21"/>
        </w:rPr>
        <w:t>从多项优先权中援引加入遗漏部分、通过援引加入在专利权利要求和说明书中进行公开所带来的影响以及受理局和国际检索单位收取附加费用。</w:t>
      </w:r>
    </w:p>
    <w:p w:rsidR="00022F68" w:rsidRPr="002539E8" w:rsidRDefault="00F6170B" w:rsidP="002539E8">
      <w:pPr>
        <w:pStyle w:val="ONUME"/>
        <w:spacing w:afterLines="50" w:after="120" w:line="340" w:lineRule="atLeast"/>
        <w:jc w:val="both"/>
        <w:rPr>
          <w:rFonts w:ascii="SimSun" w:hAnsi="SimSun"/>
          <w:sz w:val="21"/>
        </w:rPr>
      </w:pPr>
      <w:r w:rsidRPr="002539E8">
        <w:rPr>
          <w:rFonts w:ascii="SimSun" w:hAnsi="SimSun" w:hint="eastAsia"/>
          <w:sz w:val="21"/>
        </w:rPr>
        <w:t>国际局计划采取的一个可能的解决方案是修订实施细则，规定受理局应允</w:t>
      </w:r>
      <w:proofErr w:type="gramStart"/>
      <w:r w:rsidRPr="002539E8">
        <w:rPr>
          <w:rFonts w:ascii="SimSun" w:hAnsi="SimSun" w:hint="eastAsia"/>
          <w:sz w:val="21"/>
        </w:rPr>
        <w:t>许根据</w:t>
      </w:r>
      <w:proofErr w:type="gramEnd"/>
      <w:r w:rsidRPr="002539E8">
        <w:rPr>
          <w:rFonts w:ascii="SimSun" w:hAnsi="SimSun" w:hint="eastAsia"/>
          <w:sz w:val="21"/>
        </w:rPr>
        <w:t>细则第20条加入作为遗漏部分的完整权利要求和说明书(并为国际检索单位收取附加检索费提供法律依据，如果例如在加入时，国际检索单位已经开始对申请进行国际检索)，同时澄清其国内法不允许</w:t>
      </w:r>
      <w:proofErr w:type="gramStart"/>
      <w:r w:rsidRPr="002539E8">
        <w:rPr>
          <w:rFonts w:ascii="SimSun" w:hAnsi="SimSun" w:hint="eastAsia"/>
          <w:sz w:val="21"/>
        </w:rPr>
        <w:t>作出</w:t>
      </w:r>
      <w:proofErr w:type="gramEnd"/>
      <w:r w:rsidRPr="002539E8">
        <w:rPr>
          <w:rFonts w:ascii="SimSun" w:hAnsi="SimSun" w:hint="eastAsia"/>
          <w:sz w:val="21"/>
        </w:rPr>
        <w:t>上述加入的指定局在处理申请时可以将上述加入视作没有发生。该方法至少确保所有受理局都采用统一的实践(由此避免在受理局</w:t>
      </w:r>
      <w:r w:rsidR="00D9549A" w:rsidRPr="002539E8">
        <w:rPr>
          <w:rFonts w:ascii="SimSun" w:hAnsi="SimSun" w:hint="eastAsia"/>
          <w:sz w:val="21"/>
        </w:rPr>
        <w:t>之间“择地提交申请</w:t>
      </w:r>
      <w:r w:rsidRPr="002539E8">
        <w:rPr>
          <w:rFonts w:ascii="SimSun" w:hAnsi="SimSun" w:hint="eastAsia"/>
          <w:sz w:val="21"/>
        </w:rPr>
        <w:t>”)</w:t>
      </w:r>
      <w:r w:rsidR="00D9549A" w:rsidRPr="002539E8">
        <w:rPr>
          <w:rFonts w:ascii="SimSun" w:hAnsi="SimSun" w:hint="eastAsia"/>
          <w:sz w:val="21"/>
        </w:rPr>
        <w:t>，为国际检索单位收取二次检索费提供了明确的依据，并让申请人可以依据主管局所适用的(不同的)国内法自行选择在国家阶段在指定局进一步处理该事项。</w:t>
      </w:r>
    </w:p>
    <w:p w:rsidR="004E0730" w:rsidRPr="002539E8" w:rsidRDefault="00F172D1" w:rsidP="002539E8">
      <w:pPr>
        <w:pStyle w:val="ONUME"/>
        <w:spacing w:afterLines="50" w:after="120" w:line="340" w:lineRule="atLeast"/>
        <w:jc w:val="both"/>
        <w:rPr>
          <w:rFonts w:ascii="SimSun" w:hAnsi="SimSun"/>
          <w:sz w:val="21"/>
        </w:rPr>
      </w:pPr>
      <w:r w:rsidRPr="002539E8">
        <w:rPr>
          <w:rFonts w:ascii="SimSun" w:hAnsi="SimSun" w:hint="eastAsia"/>
          <w:sz w:val="21"/>
        </w:rPr>
        <w:t>对于调查问卷的答复还明显显示出，成员国对于载于国际申请中依据在先申请所提出的、申请日与国际申请日相同的优先权要求根据PCT第8条是否有效</w:t>
      </w:r>
      <w:r w:rsidR="00610893" w:rsidRPr="002539E8">
        <w:rPr>
          <w:rFonts w:ascii="SimSun" w:hAnsi="SimSun" w:hint="eastAsia"/>
          <w:sz w:val="21"/>
        </w:rPr>
        <w:t>没有</w:t>
      </w:r>
      <w:r w:rsidRPr="002539E8">
        <w:rPr>
          <w:rFonts w:ascii="SimSun" w:hAnsi="SimSun" w:hint="eastAsia"/>
          <w:sz w:val="21"/>
        </w:rPr>
        <w:t>取得共识</w:t>
      </w:r>
      <w:r w:rsidR="00610893" w:rsidRPr="002539E8">
        <w:rPr>
          <w:rFonts w:ascii="SimSun" w:hAnsi="SimSun" w:hint="eastAsia"/>
          <w:sz w:val="21"/>
        </w:rPr>
        <w:t>。注意到PCT第8条</w:t>
      </w:r>
      <w:r w:rsidR="00610893" w:rsidRPr="002539E8">
        <w:rPr>
          <w:rFonts w:ascii="SimSun" w:hAnsi="SimSun"/>
          <w:sz w:val="21"/>
        </w:rPr>
        <w:t>(2)(a)</w:t>
      </w:r>
      <w:r w:rsidR="00610893" w:rsidRPr="002539E8">
        <w:rPr>
          <w:rFonts w:ascii="SimSun" w:hAnsi="SimSun" w:hint="eastAsia"/>
          <w:sz w:val="21"/>
        </w:rPr>
        <w:t>规定“</w:t>
      </w:r>
      <w:r w:rsidR="00610893" w:rsidRPr="002539E8">
        <w:rPr>
          <w:rFonts w:ascii="SimSun" w:hAnsi="SimSun"/>
          <w:sz w:val="21"/>
        </w:rPr>
        <w:t>……</w:t>
      </w:r>
      <w:r w:rsidR="00610893" w:rsidRPr="002539E8">
        <w:rPr>
          <w:rFonts w:ascii="SimSun" w:hAnsi="SimSun" w:hint="eastAsia"/>
          <w:sz w:val="21"/>
        </w:rPr>
        <w:t>[国际申请中包含的]优先权要求的条件和效力应按照保护工业产权巴黎公约的斯德哥尔摩议定书第 4 条的规定”，该问题看起来不是一个有关PCT的问题，而是一个有关巴黎公约的问题，即如何解释巴黎公约第4条</w:t>
      </w:r>
      <w:r w:rsidR="00610893" w:rsidRPr="002539E8">
        <w:rPr>
          <w:rFonts w:ascii="SimSun" w:hAnsi="SimSun"/>
          <w:sz w:val="21"/>
        </w:rPr>
        <w:t>(C)(2)</w:t>
      </w:r>
      <w:r w:rsidR="00610893" w:rsidRPr="002539E8">
        <w:rPr>
          <w:rFonts w:ascii="SimSun" w:hAnsi="SimSun" w:hint="eastAsia"/>
          <w:sz w:val="21"/>
        </w:rPr>
        <w:t>(“[优先权]期限应始于首次申请的申请日；申请日当日不应被算入该期限”)。特别地，</w:t>
      </w:r>
      <w:r w:rsidR="00D03DBE" w:rsidRPr="002539E8">
        <w:rPr>
          <w:rFonts w:ascii="SimSun" w:hAnsi="SimSun" w:hint="eastAsia"/>
          <w:sz w:val="21"/>
        </w:rPr>
        <w:t>该问题看起来是关于</w:t>
      </w:r>
      <w:r w:rsidR="0090284A" w:rsidRPr="002539E8">
        <w:rPr>
          <w:rFonts w:ascii="SimSun" w:hAnsi="SimSun" w:hint="eastAsia"/>
          <w:sz w:val="21"/>
        </w:rPr>
        <w:t>规定12个月优先权期限从首次申请日第二天开始的</w:t>
      </w:r>
      <w:r w:rsidR="00D03DBE" w:rsidRPr="002539E8">
        <w:rPr>
          <w:rFonts w:ascii="SimSun" w:hAnsi="SimSun"/>
          <w:sz w:val="21"/>
        </w:rPr>
        <w:t>(C)(2)</w:t>
      </w:r>
      <w:r w:rsidR="00D03DBE" w:rsidRPr="002539E8">
        <w:rPr>
          <w:rFonts w:ascii="SimSun" w:hAnsi="SimSun" w:hint="eastAsia"/>
          <w:sz w:val="21"/>
        </w:rPr>
        <w:t>节第二部分</w:t>
      </w:r>
      <w:r w:rsidR="0090284A" w:rsidRPr="002539E8">
        <w:rPr>
          <w:rFonts w:ascii="SimSun" w:hAnsi="SimSun" w:hint="eastAsia"/>
          <w:sz w:val="21"/>
        </w:rPr>
        <w:t>是否被解释为</w:t>
      </w:r>
      <w:r w:rsidR="00EB11DD" w:rsidRPr="002539E8">
        <w:rPr>
          <w:rFonts w:ascii="SimSun" w:hAnsi="SimSun" w:hint="eastAsia"/>
          <w:sz w:val="21"/>
        </w:rPr>
        <w:t>不作为对申请日期与后续申请相同(但早于后续申请)的首次申请要求优先权的依据。</w:t>
      </w:r>
      <w:r w:rsidR="00D175F4" w:rsidRPr="002539E8">
        <w:rPr>
          <w:rFonts w:ascii="SimSun" w:hAnsi="SimSun" w:hint="eastAsia"/>
          <w:sz w:val="21"/>
        </w:rPr>
        <w:t>成员国可能希望考虑该问题是否应在工作组中进一步探讨(旨在使所有PCT成员国就第4条</w:t>
      </w:r>
      <w:r w:rsidR="00D175F4" w:rsidRPr="002539E8">
        <w:rPr>
          <w:rFonts w:ascii="SimSun" w:hAnsi="SimSun"/>
          <w:sz w:val="21"/>
        </w:rPr>
        <w:t>(C)(2)</w:t>
      </w:r>
      <w:r w:rsidR="00D175F4" w:rsidRPr="002539E8">
        <w:rPr>
          <w:rFonts w:ascii="SimSun" w:hAnsi="SimSun" w:hint="eastAsia"/>
          <w:sz w:val="21"/>
        </w:rPr>
        <w:t>的统一解释取得一致意见)，还是在WIPO专利法常设委员会</w:t>
      </w:r>
      <w:r w:rsidR="00D175F4" w:rsidRPr="002539E8">
        <w:rPr>
          <w:rFonts w:ascii="SimSun" w:hAnsi="SimSun"/>
          <w:sz w:val="21"/>
        </w:rPr>
        <w:t>(SCP)</w:t>
      </w:r>
      <w:r w:rsidR="00D175F4" w:rsidRPr="002539E8">
        <w:rPr>
          <w:rFonts w:ascii="SimSun" w:hAnsi="SimSun" w:hint="eastAsia"/>
          <w:sz w:val="21"/>
        </w:rPr>
        <w:t>的范围内探讨。</w:t>
      </w:r>
    </w:p>
    <w:p w:rsidR="00074FB6" w:rsidRPr="002539E8" w:rsidRDefault="00D175F4" w:rsidP="002539E8">
      <w:pPr>
        <w:pStyle w:val="ONUME"/>
        <w:spacing w:afterLines="50" w:after="120" w:line="340" w:lineRule="atLeast"/>
        <w:ind w:left="5534"/>
        <w:jc w:val="both"/>
        <w:rPr>
          <w:rFonts w:ascii="KaiTi" w:eastAsia="KaiTi" w:hAnsi="KaiTi"/>
          <w:i/>
          <w:sz w:val="21"/>
        </w:rPr>
      </w:pPr>
      <w:r w:rsidRPr="002539E8">
        <w:rPr>
          <w:rFonts w:ascii="KaiTi" w:eastAsia="KaiTi" w:hAnsi="KaiTi" w:hint="eastAsia"/>
          <w:i/>
          <w:sz w:val="21"/>
        </w:rPr>
        <w:t>请工作组注意本文件的内容，并就上文第15至17</w:t>
      </w:r>
      <w:r w:rsidR="002539E8" w:rsidRPr="002539E8">
        <w:rPr>
          <w:rFonts w:ascii="KaiTi" w:eastAsia="KaiTi" w:hAnsi="KaiTi" w:hint="eastAsia"/>
          <w:i/>
          <w:sz w:val="21"/>
        </w:rPr>
        <w:t>段</w:t>
      </w:r>
      <w:r w:rsidRPr="002539E8">
        <w:rPr>
          <w:rFonts w:ascii="KaiTi" w:eastAsia="KaiTi" w:hAnsi="KaiTi" w:hint="eastAsia"/>
          <w:i/>
          <w:sz w:val="21"/>
        </w:rPr>
        <w:t>中提出的拟议未来工作发表评论意见。</w:t>
      </w:r>
    </w:p>
    <w:p w:rsidR="002539E8" w:rsidRDefault="002539E8" w:rsidP="009173F1">
      <w:pPr>
        <w:pStyle w:val="Endofdocument-Annex"/>
        <w:rPr>
          <w:rFonts w:ascii="SimSun" w:hAnsi="SimSun" w:hint="eastAsia"/>
          <w:sz w:val="21"/>
        </w:rPr>
      </w:pPr>
    </w:p>
    <w:p w:rsidR="00905121" w:rsidRPr="002539E8" w:rsidRDefault="00074FB6" w:rsidP="002539E8">
      <w:pPr>
        <w:pStyle w:val="Endofdocument-Annex"/>
        <w:spacing w:afterLines="50" w:after="120" w:line="340" w:lineRule="atLeast"/>
        <w:rPr>
          <w:rFonts w:ascii="KaiTi" w:eastAsia="KaiTi" w:hAnsi="KaiTi" w:hint="eastAsia"/>
          <w:sz w:val="21"/>
        </w:rPr>
      </w:pPr>
      <w:r w:rsidRPr="002539E8">
        <w:rPr>
          <w:rFonts w:ascii="KaiTi" w:eastAsia="KaiTi" w:hAnsi="KaiTi"/>
          <w:sz w:val="21"/>
        </w:rPr>
        <w:t>[</w:t>
      </w:r>
      <w:r w:rsidR="00D175F4" w:rsidRPr="002539E8">
        <w:rPr>
          <w:rFonts w:ascii="KaiTi" w:eastAsia="KaiTi" w:hAnsi="KaiTi" w:hint="eastAsia"/>
          <w:sz w:val="21"/>
        </w:rPr>
        <w:t>后接附件</w:t>
      </w:r>
      <w:r w:rsidRPr="002539E8">
        <w:rPr>
          <w:rFonts w:ascii="KaiTi" w:eastAsia="KaiTi" w:hAnsi="KaiTi"/>
          <w:sz w:val="21"/>
        </w:rPr>
        <w:t>]</w:t>
      </w:r>
    </w:p>
    <w:p w:rsidR="002539E8" w:rsidRPr="002539E8" w:rsidRDefault="002539E8" w:rsidP="009173F1">
      <w:pPr>
        <w:pStyle w:val="Endofdocument-Annex"/>
        <w:rPr>
          <w:rFonts w:ascii="SimSun" w:hAnsi="SimSun"/>
          <w:sz w:val="21"/>
        </w:rPr>
      </w:pPr>
    </w:p>
    <w:p w:rsidR="00B25E22" w:rsidRPr="002539E8" w:rsidRDefault="00B25E22">
      <w:pPr>
        <w:pStyle w:val="ONUME"/>
        <w:numPr>
          <w:ilvl w:val="0"/>
          <w:numId w:val="0"/>
        </w:numPr>
        <w:rPr>
          <w:rFonts w:ascii="SimSun" w:hAnsi="SimSun"/>
          <w:sz w:val="21"/>
        </w:rPr>
        <w:sectPr w:rsidR="00B25E22" w:rsidRPr="002539E8" w:rsidSect="002539E8">
          <w:headerReference w:type="default" r:id="rId10"/>
          <w:endnotePr>
            <w:numFmt w:val="decimal"/>
          </w:endnotePr>
          <w:pgSz w:w="11907" w:h="16840" w:code="9"/>
          <w:pgMar w:top="567" w:right="1134" w:bottom="1418" w:left="1418" w:header="510" w:footer="1021" w:gutter="0"/>
          <w:cols w:space="720"/>
          <w:titlePg/>
          <w:docGrid w:linePitch="299"/>
        </w:sectPr>
      </w:pPr>
    </w:p>
    <w:p w:rsidR="00B25E22" w:rsidRPr="002539E8" w:rsidRDefault="00D175F4" w:rsidP="00B25E22">
      <w:pPr>
        <w:suppressAutoHyphens/>
        <w:rPr>
          <w:rFonts w:ascii="SimHei" w:eastAsia="SimHei" w:hAnsi="SimHei"/>
          <w:bCs/>
          <w:sz w:val="21"/>
          <w:szCs w:val="22"/>
        </w:rPr>
      </w:pPr>
      <w:r w:rsidRPr="002539E8">
        <w:rPr>
          <w:rFonts w:ascii="SimHei" w:eastAsia="SimHei" w:hAnsi="SimHei" w:hint="eastAsia"/>
          <w:bCs/>
          <w:sz w:val="21"/>
          <w:szCs w:val="22"/>
        </w:rPr>
        <w:lastRenderedPageBreak/>
        <w:t>调查问卷</w:t>
      </w:r>
    </w:p>
    <w:p w:rsidR="00B25E22" w:rsidRPr="002539E8" w:rsidRDefault="00B25E22" w:rsidP="00B25E22">
      <w:pPr>
        <w:suppressAutoHyphens/>
        <w:rPr>
          <w:rFonts w:ascii="SimSun" w:hAnsi="SimSun"/>
          <w:b/>
          <w:bCs/>
          <w:sz w:val="21"/>
        </w:rPr>
      </w:pPr>
    </w:p>
    <w:p w:rsidR="00B25E22" w:rsidRPr="002539E8" w:rsidRDefault="00B25E22" w:rsidP="00B25E22">
      <w:pPr>
        <w:rPr>
          <w:rFonts w:ascii="SimSun" w:hAnsi="SimSun"/>
          <w:b/>
          <w:bCs/>
          <w:sz w:val="21"/>
        </w:rPr>
      </w:pP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Q1.</w:t>
      </w:r>
      <w:r w:rsidRPr="002539E8">
        <w:rPr>
          <w:rFonts w:ascii="SimSun" w:hAnsi="SimSun"/>
          <w:sz w:val="21"/>
          <w:szCs w:val="22"/>
          <w:lang w:eastAsia="zh-CN"/>
        </w:rPr>
        <w:t xml:space="preserve"> </w:t>
      </w:r>
      <w:r w:rsidR="00461307" w:rsidRPr="002539E8">
        <w:rPr>
          <w:rFonts w:ascii="SimSun" w:hAnsi="SimSun" w:hint="eastAsia"/>
          <w:sz w:val="21"/>
          <w:szCs w:val="22"/>
          <w:lang w:eastAsia="zh-CN"/>
        </w:rPr>
        <w:t>你的主管局是否允许根据PCT细则第20条将完整的权利要求和说明书(整套权利要求</w:t>
      </w:r>
      <w:r w:rsidR="00461307" w:rsidRPr="00F34A58">
        <w:rPr>
          <w:rFonts w:ascii="SimSun" w:hAnsi="SimSun" w:hint="eastAsia"/>
          <w:sz w:val="21"/>
          <w:szCs w:val="22"/>
          <w:u w:val="single"/>
          <w:lang w:eastAsia="zh-CN"/>
        </w:rPr>
        <w:t>和</w:t>
      </w:r>
      <w:r w:rsidR="00461307" w:rsidRPr="002539E8">
        <w:rPr>
          <w:rFonts w:ascii="SimSun" w:hAnsi="SimSun" w:hint="eastAsia"/>
          <w:sz w:val="21"/>
          <w:szCs w:val="22"/>
          <w:lang w:eastAsia="zh-CN"/>
        </w:rPr>
        <w:t>说明书)作为遗漏部分援引加入？</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 xml:space="preserve">Q2. </w:t>
      </w:r>
      <w:r w:rsidR="00461307" w:rsidRPr="002539E8">
        <w:rPr>
          <w:rFonts w:ascii="SimSun" w:hAnsi="SimSun" w:hint="eastAsia"/>
          <w:sz w:val="21"/>
          <w:szCs w:val="22"/>
          <w:lang w:eastAsia="zh-CN"/>
        </w:rPr>
        <w:t>你的主管局是否允许根据PCT细则第20条</w:t>
      </w:r>
      <w:r w:rsidR="00393308" w:rsidRPr="002539E8">
        <w:rPr>
          <w:rFonts w:ascii="SimSun" w:hAnsi="SimSun" w:hint="eastAsia"/>
          <w:sz w:val="21"/>
          <w:szCs w:val="22"/>
          <w:lang w:eastAsia="zh-CN"/>
        </w:rPr>
        <w:t>从多篇</w:t>
      </w:r>
      <w:r w:rsidR="000E675D" w:rsidRPr="002539E8">
        <w:rPr>
          <w:rFonts w:ascii="SimSun" w:hAnsi="SimSun" w:hint="eastAsia"/>
          <w:sz w:val="21"/>
          <w:szCs w:val="22"/>
          <w:lang w:eastAsia="zh-CN"/>
        </w:rPr>
        <w:t>优先权文件中</w:t>
      </w:r>
      <w:r w:rsidR="00461307" w:rsidRPr="002539E8">
        <w:rPr>
          <w:rFonts w:ascii="SimSun" w:hAnsi="SimSun" w:hint="eastAsia"/>
          <w:sz w:val="21"/>
          <w:szCs w:val="22"/>
          <w:lang w:eastAsia="zh-CN"/>
        </w:rPr>
        <w:t>援引加入</w:t>
      </w:r>
      <w:r w:rsidR="000E675D" w:rsidRPr="002539E8">
        <w:rPr>
          <w:rFonts w:ascii="SimSun" w:hAnsi="SimSun" w:hint="eastAsia"/>
          <w:sz w:val="21"/>
          <w:szCs w:val="22"/>
          <w:lang w:eastAsia="zh-CN"/>
        </w:rPr>
        <w:t>，例如</w:t>
      </w:r>
      <w:r w:rsidR="00393308" w:rsidRPr="002539E8">
        <w:rPr>
          <w:rFonts w:ascii="SimSun" w:hAnsi="SimSun" w:hint="eastAsia"/>
          <w:sz w:val="21"/>
          <w:szCs w:val="22"/>
          <w:lang w:eastAsia="zh-CN"/>
        </w:rPr>
        <w:t>申请人从两篇优先权文件中援引加入若干</w:t>
      </w:r>
      <w:proofErr w:type="gramStart"/>
      <w:r w:rsidR="00393308" w:rsidRPr="002539E8">
        <w:rPr>
          <w:rFonts w:ascii="SimSun" w:hAnsi="SimSun" w:hint="eastAsia"/>
          <w:sz w:val="21"/>
          <w:szCs w:val="22"/>
          <w:lang w:eastAsia="zh-CN"/>
        </w:rPr>
        <w:t>条权利</w:t>
      </w:r>
      <w:proofErr w:type="gramEnd"/>
      <w:r w:rsidR="00393308" w:rsidRPr="002539E8">
        <w:rPr>
          <w:rFonts w:ascii="SimSun" w:hAnsi="SimSun" w:hint="eastAsia"/>
          <w:sz w:val="21"/>
          <w:szCs w:val="22"/>
          <w:lang w:eastAsia="zh-CN"/>
        </w:rPr>
        <w:t>要求，从第三篇优先权文件中援引加入一套附图？如果允许，你的主管局在实践中如何处理？</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Q3.</w:t>
      </w:r>
      <w:r w:rsidRPr="002539E8">
        <w:rPr>
          <w:rFonts w:ascii="SimSun" w:hAnsi="SimSun"/>
          <w:sz w:val="21"/>
          <w:szCs w:val="22"/>
          <w:lang w:eastAsia="zh-CN"/>
        </w:rPr>
        <w:t xml:space="preserve"> </w:t>
      </w:r>
      <w:r w:rsidR="00393308" w:rsidRPr="002539E8">
        <w:rPr>
          <w:rFonts w:ascii="SimSun" w:hAnsi="SimSun" w:hint="eastAsia"/>
          <w:sz w:val="21"/>
          <w:szCs w:val="22"/>
          <w:lang w:eastAsia="zh-CN"/>
        </w:rPr>
        <w:t>不管你的主管局目前是否适用PCT细则第20条中有关遗漏部分的条款，你的主管局是否认为完整的权利要求和说明书(整套权利要求</w:t>
      </w:r>
      <w:r w:rsidR="00393308" w:rsidRPr="00F34A58">
        <w:rPr>
          <w:rFonts w:ascii="SimSun" w:hAnsi="SimSun" w:hint="eastAsia"/>
          <w:sz w:val="21"/>
          <w:szCs w:val="22"/>
          <w:u w:val="single"/>
          <w:lang w:eastAsia="zh-CN"/>
        </w:rPr>
        <w:t>和</w:t>
      </w:r>
      <w:r w:rsidR="00393308" w:rsidRPr="002539E8">
        <w:rPr>
          <w:rFonts w:ascii="SimSun" w:hAnsi="SimSun" w:hint="eastAsia"/>
          <w:sz w:val="21"/>
          <w:szCs w:val="22"/>
          <w:lang w:eastAsia="zh-CN"/>
        </w:rPr>
        <w:t>说明书)根据PCT细则第20条可以作为遗漏部分，因此可以将接收到最初提交错误文件(错误申请)的日期作为国际申请日？</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Q4.</w:t>
      </w:r>
      <w:r w:rsidR="00476279" w:rsidRPr="002539E8">
        <w:rPr>
          <w:rFonts w:ascii="SimSun" w:hAnsi="SimSun" w:hint="eastAsia"/>
          <w:sz w:val="21"/>
          <w:szCs w:val="22"/>
          <w:lang w:eastAsia="zh-CN"/>
        </w:rPr>
        <w:t xml:space="preserve"> </w:t>
      </w:r>
      <w:r w:rsidR="00393308" w:rsidRPr="002539E8">
        <w:rPr>
          <w:rFonts w:ascii="SimSun" w:hAnsi="SimSun" w:hint="eastAsia"/>
          <w:sz w:val="21"/>
          <w:szCs w:val="22"/>
          <w:lang w:eastAsia="zh-CN"/>
        </w:rPr>
        <w:t>你的主管局是否认为PCT细则第20条</w:t>
      </w:r>
      <w:r w:rsidR="006411DD" w:rsidRPr="002539E8">
        <w:rPr>
          <w:rFonts w:ascii="SimSun" w:hAnsi="SimSun" w:hint="eastAsia"/>
          <w:sz w:val="21"/>
          <w:szCs w:val="22"/>
          <w:lang w:eastAsia="zh-CN"/>
        </w:rPr>
        <w:t>有关援引加入完整</w:t>
      </w:r>
      <w:r w:rsidR="00E446AB" w:rsidRPr="002539E8">
        <w:rPr>
          <w:rFonts w:ascii="SimSun" w:hAnsi="SimSun" w:hint="eastAsia"/>
          <w:sz w:val="21"/>
          <w:szCs w:val="22"/>
          <w:lang w:eastAsia="zh-CN"/>
        </w:rPr>
        <w:t>的</w:t>
      </w:r>
      <w:r w:rsidR="006411DD" w:rsidRPr="002539E8">
        <w:rPr>
          <w:rFonts w:ascii="SimSun" w:hAnsi="SimSun" w:hint="eastAsia"/>
          <w:sz w:val="21"/>
          <w:szCs w:val="22"/>
          <w:lang w:eastAsia="zh-CN"/>
        </w:rPr>
        <w:t>权利要求和说明书(整套权利要求</w:t>
      </w:r>
      <w:r w:rsidR="006411DD" w:rsidRPr="00F34A58">
        <w:rPr>
          <w:rFonts w:ascii="SimSun" w:hAnsi="SimSun" w:hint="eastAsia"/>
          <w:sz w:val="21"/>
          <w:szCs w:val="22"/>
          <w:u w:val="single"/>
          <w:lang w:eastAsia="zh-CN"/>
        </w:rPr>
        <w:t>和</w:t>
      </w:r>
      <w:r w:rsidR="006411DD" w:rsidRPr="002539E8">
        <w:rPr>
          <w:rFonts w:ascii="SimSun" w:hAnsi="SimSun" w:hint="eastAsia"/>
          <w:sz w:val="21"/>
          <w:szCs w:val="22"/>
          <w:lang w:eastAsia="zh-CN"/>
        </w:rPr>
        <w:t>说明书)的规定不够清晰，因此应对其进行审查以减少法律</w:t>
      </w:r>
      <w:r w:rsidR="00476279" w:rsidRPr="002539E8">
        <w:rPr>
          <w:rFonts w:ascii="SimSun" w:hAnsi="SimSun" w:hint="eastAsia"/>
          <w:sz w:val="21"/>
          <w:szCs w:val="22"/>
          <w:lang w:eastAsia="zh-CN"/>
        </w:rPr>
        <w:t>不</w:t>
      </w:r>
      <w:r w:rsidR="006411DD" w:rsidRPr="002539E8">
        <w:rPr>
          <w:rFonts w:ascii="SimSun" w:hAnsi="SimSun" w:hint="eastAsia"/>
          <w:sz w:val="21"/>
          <w:szCs w:val="22"/>
          <w:lang w:eastAsia="zh-CN"/>
        </w:rPr>
        <w:t>确定性(见附件的EPO文件第6节)？</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Q5.</w:t>
      </w:r>
      <w:r w:rsidR="00476279" w:rsidRPr="002539E8">
        <w:rPr>
          <w:rFonts w:ascii="SimSun" w:hAnsi="SimSun" w:hint="eastAsia"/>
          <w:sz w:val="21"/>
          <w:szCs w:val="22"/>
          <w:lang w:eastAsia="zh-CN"/>
        </w:rPr>
        <w:t xml:space="preserve"> 如果</w:t>
      </w:r>
      <w:r w:rsidR="00E446AB" w:rsidRPr="002539E8">
        <w:rPr>
          <w:rFonts w:ascii="SimSun" w:hAnsi="SimSun" w:hint="eastAsia"/>
          <w:sz w:val="21"/>
          <w:szCs w:val="22"/>
          <w:lang w:eastAsia="zh-CN"/>
        </w:rPr>
        <w:t>要对</w:t>
      </w:r>
      <w:r w:rsidR="006411DD" w:rsidRPr="002539E8">
        <w:rPr>
          <w:rFonts w:ascii="SimSun" w:hAnsi="SimSun" w:hint="eastAsia"/>
          <w:sz w:val="21"/>
          <w:szCs w:val="22"/>
          <w:lang w:eastAsia="zh-CN"/>
        </w:rPr>
        <w:t>PCT细则第20条</w:t>
      </w:r>
      <w:r w:rsidR="00E446AB" w:rsidRPr="002539E8">
        <w:rPr>
          <w:rFonts w:ascii="SimSun" w:hAnsi="SimSun" w:hint="eastAsia"/>
          <w:sz w:val="21"/>
          <w:szCs w:val="22"/>
          <w:lang w:eastAsia="zh-CN"/>
        </w:rPr>
        <w:t>进行审查，你的主管局是否支持对该条细则进行修订以允许将完整的权利要求和说明书(整套权利要求</w:t>
      </w:r>
      <w:r w:rsidR="00E446AB" w:rsidRPr="00F34A58">
        <w:rPr>
          <w:rFonts w:ascii="SimSun" w:hAnsi="SimSun" w:hint="eastAsia"/>
          <w:sz w:val="21"/>
          <w:szCs w:val="22"/>
          <w:u w:val="single"/>
          <w:lang w:eastAsia="zh-CN"/>
        </w:rPr>
        <w:t>和</w:t>
      </w:r>
      <w:r w:rsidR="00E446AB" w:rsidRPr="002539E8">
        <w:rPr>
          <w:rFonts w:ascii="SimSun" w:hAnsi="SimSun" w:hint="eastAsia"/>
          <w:sz w:val="21"/>
          <w:szCs w:val="22"/>
          <w:lang w:eastAsia="zh-CN"/>
        </w:rPr>
        <w:t>说明书)加入错误申请，还是反之明确规定</w:t>
      </w:r>
      <w:proofErr w:type="gramStart"/>
      <w:r w:rsidR="00E446AB" w:rsidRPr="002539E8">
        <w:rPr>
          <w:rFonts w:ascii="SimSun" w:hAnsi="SimSun" w:hint="eastAsia"/>
          <w:sz w:val="21"/>
          <w:szCs w:val="22"/>
          <w:lang w:eastAsia="zh-CN"/>
        </w:rPr>
        <w:t>不</w:t>
      </w:r>
      <w:proofErr w:type="gramEnd"/>
      <w:r w:rsidR="00E446AB" w:rsidRPr="002539E8">
        <w:rPr>
          <w:rFonts w:ascii="SimSun" w:hAnsi="SimSun" w:hint="eastAsia"/>
          <w:sz w:val="21"/>
          <w:szCs w:val="22"/>
          <w:lang w:eastAsia="zh-CN"/>
        </w:rPr>
        <w:t>应接受上述做法？</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Q6.</w:t>
      </w:r>
      <w:r w:rsidR="00476279" w:rsidRPr="002539E8">
        <w:rPr>
          <w:rFonts w:ascii="SimSun" w:hAnsi="SimSun" w:hint="eastAsia"/>
          <w:sz w:val="21"/>
          <w:szCs w:val="22"/>
          <w:lang w:eastAsia="zh-CN"/>
        </w:rPr>
        <w:t xml:space="preserve"> </w:t>
      </w:r>
      <w:r w:rsidR="00E446AB" w:rsidRPr="002539E8">
        <w:rPr>
          <w:rFonts w:ascii="SimSun" w:hAnsi="SimSun" w:hint="eastAsia"/>
          <w:sz w:val="21"/>
          <w:szCs w:val="22"/>
          <w:lang w:eastAsia="zh-CN"/>
        </w:rPr>
        <w:t>如果PCT细则第20条(要)允许将完整的权利要求和说明书(整套权利要求</w:t>
      </w:r>
      <w:r w:rsidR="00E446AB" w:rsidRPr="00F34A58">
        <w:rPr>
          <w:rFonts w:ascii="SimSun" w:hAnsi="SimSun" w:hint="eastAsia"/>
          <w:sz w:val="21"/>
          <w:szCs w:val="22"/>
          <w:u w:val="single"/>
          <w:lang w:eastAsia="zh-CN"/>
        </w:rPr>
        <w:t>和</w:t>
      </w:r>
      <w:r w:rsidR="00E446AB" w:rsidRPr="002539E8">
        <w:rPr>
          <w:rFonts w:ascii="SimSun" w:hAnsi="SimSun" w:hint="eastAsia"/>
          <w:sz w:val="21"/>
          <w:szCs w:val="22"/>
          <w:lang w:eastAsia="zh-CN"/>
        </w:rPr>
        <w:t>说明书)加入错误申请，你的主管局是否同意如果检索副本已发送给国际检索单位，国际检索单位有权向申请人收取附加检索费？</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Q7.</w:t>
      </w:r>
      <w:r w:rsidR="00476279" w:rsidRPr="002539E8">
        <w:rPr>
          <w:rFonts w:ascii="SimSun" w:hAnsi="SimSun" w:hint="eastAsia"/>
          <w:sz w:val="21"/>
          <w:szCs w:val="22"/>
          <w:lang w:eastAsia="zh-CN"/>
        </w:rPr>
        <w:t xml:space="preserve"> </w:t>
      </w:r>
      <w:r w:rsidR="00452390" w:rsidRPr="002539E8">
        <w:rPr>
          <w:rFonts w:ascii="SimSun" w:hAnsi="SimSun" w:hint="eastAsia"/>
          <w:sz w:val="21"/>
          <w:szCs w:val="22"/>
          <w:lang w:eastAsia="zh-CN"/>
        </w:rPr>
        <w:t>你的主管局是否同意受理局有权为援引加入遗漏部分收取费用，以</w:t>
      </w:r>
      <w:r w:rsidR="00476279" w:rsidRPr="002539E8">
        <w:rPr>
          <w:rFonts w:ascii="SimSun" w:hAnsi="SimSun" w:hint="eastAsia"/>
          <w:sz w:val="21"/>
          <w:szCs w:val="22"/>
          <w:lang w:eastAsia="zh-CN"/>
        </w:rPr>
        <w:t>支付</w:t>
      </w:r>
      <w:r w:rsidR="00452390" w:rsidRPr="002539E8">
        <w:rPr>
          <w:rFonts w:ascii="SimSun" w:hAnsi="SimSun" w:hint="eastAsia"/>
          <w:sz w:val="21"/>
          <w:szCs w:val="22"/>
          <w:lang w:eastAsia="zh-CN"/>
        </w:rPr>
        <w:t>附加</w:t>
      </w:r>
      <w:r w:rsidR="00476279" w:rsidRPr="002539E8">
        <w:rPr>
          <w:rFonts w:ascii="SimSun" w:hAnsi="SimSun" w:hint="eastAsia"/>
          <w:sz w:val="21"/>
          <w:szCs w:val="22"/>
          <w:lang w:eastAsia="zh-CN"/>
        </w:rPr>
        <w:t>的</w:t>
      </w:r>
      <w:r w:rsidR="00452390" w:rsidRPr="002539E8">
        <w:rPr>
          <w:rFonts w:ascii="SimSun" w:hAnsi="SimSun" w:hint="eastAsia"/>
          <w:sz w:val="21"/>
          <w:szCs w:val="22"/>
          <w:lang w:eastAsia="zh-CN"/>
        </w:rPr>
        <w:t>行政费用？</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Q8.</w:t>
      </w:r>
      <w:r w:rsidR="00476279" w:rsidRPr="002539E8">
        <w:rPr>
          <w:rFonts w:ascii="SimSun" w:hAnsi="SimSun" w:hint="eastAsia"/>
          <w:sz w:val="21"/>
          <w:szCs w:val="22"/>
          <w:lang w:eastAsia="zh-CN"/>
        </w:rPr>
        <w:t xml:space="preserve"> </w:t>
      </w:r>
      <w:r w:rsidR="00452390" w:rsidRPr="002539E8">
        <w:rPr>
          <w:rFonts w:ascii="SimSun" w:hAnsi="SimSun" w:hint="eastAsia"/>
          <w:sz w:val="21"/>
          <w:szCs w:val="22"/>
          <w:lang w:eastAsia="zh-CN"/>
        </w:rPr>
        <w:t>你的主管局是否认为</w:t>
      </w:r>
      <w:r w:rsidR="00C26BA2" w:rsidRPr="002539E8">
        <w:rPr>
          <w:rFonts w:ascii="SimSun" w:hAnsi="SimSun" w:hint="eastAsia"/>
          <w:sz w:val="21"/>
          <w:szCs w:val="22"/>
          <w:lang w:eastAsia="zh-CN"/>
        </w:rPr>
        <w:t>通过援引加入的方式用新部分替换国际申请错误部分或项目(如文件</w:t>
      </w:r>
      <w:r w:rsidR="00C26BA2" w:rsidRPr="002539E8">
        <w:rPr>
          <w:rFonts w:ascii="SimSun" w:hAnsi="SimSun"/>
          <w:sz w:val="21"/>
          <w:szCs w:val="22"/>
          <w:lang w:eastAsia="zh-CN"/>
        </w:rPr>
        <w:t>PCT 20/20</w:t>
      </w:r>
      <w:r w:rsidR="00C26BA2" w:rsidRPr="002539E8">
        <w:rPr>
          <w:rFonts w:ascii="SimSun" w:hAnsi="SimSun" w:hint="eastAsia"/>
          <w:sz w:val="21"/>
          <w:szCs w:val="22"/>
          <w:lang w:eastAsia="zh-CN"/>
        </w:rPr>
        <w:t>中提出的建议)可能影响发明的公开，因此应在第II</w:t>
      </w:r>
      <w:r w:rsidR="00476279" w:rsidRPr="002539E8">
        <w:rPr>
          <w:rFonts w:ascii="SimSun" w:hAnsi="SimSun" w:hint="eastAsia"/>
          <w:sz w:val="21"/>
          <w:szCs w:val="22"/>
          <w:lang w:eastAsia="zh-CN"/>
        </w:rPr>
        <w:t>章程序中用</w:t>
      </w:r>
      <w:r w:rsidR="00C26BA2" w:rsidRPr="002539E8">
        <w:rPr>
          <w:rFonts w:ascii="SimSun" w:hAnsi="SimSun" w:hint="eastAsia"/>
          <w:sz w:val="21"/>
          <w:szCs w:val="22"/>
          <w:lang w:eastAsia="zh-CN"/>
        </w:rPr>
        <w:t>修改的方式来处理。</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Q9.</w:t>
      </w:r>
      <w:r w:rsidRPr="002539E8">
        <w:rPr>
          <w:rFonts w:ascii="SimSun" w:hAnsi="SimSun"/>
          <w:sz w:val="21"/>
          <w:szCs w:val="22"/>
          <w:lang w:eastAsia="zh-CN"/>
        </w:rPr>
        <w:t xml:space="preserve"> </w:t>
      </w:r>
      <w:r w:rsidR="00C26BA2" w:rsidRPr="002539E8">
        <w:rPr>
          <w:rFonts w:ascii="SimSun" w:hAnsi="SimSun" w:hint="eastAsia"/>
          <w:sz w:val="21"/>
          <w:szCs w:val="22"/>
          <w:lang w:eastAsia="zh-CN"/>
        </w:rPr>
        <w:t>在根据PCT细则第20条援引加入遗漏部分时，若干受理局接受申请人提出日期与国际申请日相同的优先权要求。你的主管局是否支持这种做法(以及所适用的国内法)？</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Q10.</w:t>
      </w:r>
      <w:r w:rsidR="00476279" w:rsidRPr="002539E8">
        <w:rPr>
          <w:rFonts w:ascii="SimSun" w:hAnsi="SimSun" w:hint="eastAsia"/>
          <w:sz w:val="21"/>
          <w:szCs w:val="22"/>
          <w:lang w:eastAsia="zh-CN"/>
        </w:rPr>
        <w:t xml:space="preserve"> </w:t>
      </w:r>
      <w:r w:rsidR="00C26BA2" w:rsidRPr="002539E8">
        <w:rPr>
          <w:rFonts w:ascii="SimSun" w:hAnsi="SimSun" w:hint="eastAsia"/>
          <w:sz w:val="21"/>
          <w:szCs w:val="22"/>
          <w:lang w:eastAsia="zh-CN"/>
        </w:rPr>
        <w:t>你的主管局是否认为若干主管局的做法，即接受日期与国际申请日相同的优先权要求，符合巴黎公约的规定，因此优先权要求是有效的？</w:t>
      </w:r>
    </w:p>
    <w:p w:rsidR="00B25E22" w:rsidRPr="002539E8" w:rsidRDefault="00B25E22" w:rsidP="00F34A58">
      <w:pPr>
        <w:pStyle w:val="EPONormal"/>
        <w:spacing w:afterLines="100" w:line="340" w:lineRule="atLeast"/>
        <w:rPr>
          <w:rFonts w:ascii="SimSun" w:hAnsi="SimSun"/>
          <w:sz w:val="21"/>
          <w:szCs w:val="22"/>
          <w:lang w:eastAsia="zh-CN"/>
        </w:rPr>
      </w:pPr>
      <w:r w:rsidRPr="002539E8">
        <w:rPr>
          <w:rFonts w:ascii="SimSun" w:hAnsi="SimSun"/>
          <w:b/>
          <w:sz w:val="21"/>
          <w:szCs w:val="22"/>
          <w:lang w:eastAsia="zh-CN"/>
        </w:rPr>
        <w:t>Q11.</w:t>
      </w:r>
      <w:r w:rsidR="00476279" w:rsidRPr="002539E8">
        <w:rPr>
          <w:rFonts w:ascii="SimSun" w:hAnsi="SimSun" w:hint="eastAsia"/>
          <w:sz w:val="21"/>
          <w:szCs w:val="22"/>
          <w:lang w:eastAsia="zh-CN"/>
        </w:rPr>
        <w:t xml:space="preserve"> </w:t>
      </w:r>
      <w:r w:rsidR="00C26BA2" w:rsidRPr="002539E8">
        <w:rPr>
          <w:rFonts w:ascii="SimSun" w:hAnsi="SimSun" w:hint="eastAsia"/>
          <w:sz w:val="21"/>
          <w:szCs w:val="22"/>
          <w:lang w:eastAsia="zh-CN"/>
        </w:rPr>
        <w:t>你的主管局是否认为若干主管局的做法，即接受日期与国际申请日相同的优先权要求，符合PCT的规定？如果答案是否定的，你的主管局是否认为应对PCT条款(细则、受理局指南)进行修订，以允许受理局接受日期与国际申请日相同的优先权要求？</w:t>
      </w:r>
    </w:p>
    <w:p w:rsidR="00B25E22" w:rsidRPr="002539E8" w:rsidRDefault="00B25E22" w:rsidP="00B25E22">
      <w:pPr>
        <w:pStyle w:val="EPONormal"/>
        <w:rPr>
          <w:rFonts w:ascii="SimSun" w:hAnsi="SimSun"/>
          <w:sz w:val="21"/>
          <w:szCs w:val="22"/>
          <w:lang w:eastAsia="zh-CN"/>
        </w:rPr>
      </w:pPr>
    </w:p>
    <w:p w:rsidR="00DA7502" w:rsidRPr="002539E8" w:rsidRDefault="00B25E22" w:rsidP="002539E8">
      <w:pPr>
        <w:pStyle w:val="Endofdocument-Annex"/>
        <w:spacing w:afterLines="50" w:after="120" w:line="340" w:lineRule="atLeast"/>
        <w:rPr>
          <w:rFonts w:ascii="KaiTi" w:eastAsia="KaiTi" w:hAnsi="KaiTi"/>
          <w:sz w:val="21"/>
        </w:rPr>
      </w:pPr>
      <w:r w:rsidRPr="002539E8">
        <w:rPr>
          <w:rFonts w:ascii="KaiTi" w:eastAsia="KaiTi" w:hAnsi="KaiTi"/>
          <w:sz w:val="21"/>
        </w:rPr>
        <w:t>[</w:t>
      </w:r>
      <w:r w:rsidR="00C26BA2" w:rsidRPr="002539E8">
        <w:rPr>
          <w:rFonts w:ascii="KaiTi" w:eastAsia="KaiTi" w:hAnsi="KaiTi" w:hint="eastAsia"/>
          <w:sz w:val="21"/>
        </w:rPr>
        <w:t>附件</w:t>
      </w:r>
      <w:r w:rsidR="00F34A58">
        <w:rPr>
          <w:rFonts w:ascii="KaiTi" w:eastAsia="KaiTi" w:hAnsi="KaiTi" w:hint="eastAsia"/>
          <w:sz w:val="21"/>
        </w:rPr>
        <w:t>和</w:t>
      </w:r>
      <w:bookmarkStart w:id="4" w:name="_GoBack"/>
      <w:bookmarkEnd w:id="4"/>
      <w:r w:rsidR="00C26BA2" w:rsidRPr="002539E8">
        <w:rPr>
          <w:rFonts w:ascii="KaiTi" w:eastAsia="KaiTi" w:hAnsi="KaiTi" w:hint="eastAsia"/>
          <w:sz w:val="21"/>
        </w:rPr>
        <w:t>文件完</w:t>
      </w:r>
      <w:r w:rsidRPr="002539E8">
        <w:rPr>
          <w:rFonts w:ascii="KaiTi" w:eastAsia="KaiTi" w:hAnsi="KaiTi"/>
          <w:sz w:val="21"/>
        </w:rPr>
        <w:t>]</w:t>
      </w:r>
    </w:p>
    <w:sectPr w:rsidR="00DA7502" w:rsidRPr="002539E8" w:rsidSect="0088518D">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C64" w:rsidRDefault="006B4C64">
      <w:r>
        <w:separator/>
      </w:r>
    </w:p>
  </w:endnote>
  <w:endnote w:type="continuationSeparator" w:id="0">
    <w:p w:rsidR="006B4C64" w:rsidRDefault="006B4C64" w:rsidP="003B38C1">
      <w:r>
        <w:separator/>
      </w:r>
    </w:p>
    <w:p w:rsidR="006B4C64" w:rsidRPr="003B38C1" w:rsidRDefault="006B4C64" w:rsidP="003B38C1">
      <w:pPr>
        <w:spacing w:after="60"/>
        <w:rPr>
          <w:sz w:val="17"/>
        </w:rPr>
      </w:pPr>
      <w:r>
        <w:rPr>
          <w:sz w:val="17"/>
        </w:rPr>
        <w:t>[Endnote continued from previous page]</w:t>
      </w:r>
    </w:p>
  </w:endnote>
  <w:endnote w:type="continuationNotice" w:id="1">
    <w:p w:rsidR="006B4C64" w:rsidRPr="003B38C1" w:rsidRDefault="006B4C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C64" w:rsidRDefault="006B4C64">
      <w:r>
        <w:separator/>
      </w:r>
    </w:p>
  </w:footnote>
  <w:footnote w:type="continuationSeparator" w:id="0">
    <w:p w:rsidR="006B4C64" w:rsidRDefault="006B4C64" w:rsidP="008B60B2">
      <w:r>
        <w:separator/>
      </w:r>
    </w:p>
    <w:p w:rsidR="006B4C64" w:rsidRPr="00ED77FB" w:rsidRDefault="006B4C64" w:rsidP="008B60B2">
      <w:pPr>
        <w:spacing w:after="60"/>
        <w:rPr>
          <w:sz w:val="17"/>
          <w:szCs w:val="17"/>
        </w:rPr>
      </w:pPr>
      <w:r w:rsidRPr="00ED77FB">
        <w:rPr>
          <w:sz w:val="17"/>
          <w:szCs w:val="17"/>
        </w:rPr>
        <w:t>[Footnote continued from previous page]</w:t>
      </w:r>
    </w:p>
  </w:footnote>
  <w:footnote w:type="continuationNotice" w:id="1">
    <w:p w:rsidR="006B4C64" w:rsidRPr="00ED77FB" w:rsidRDefault="006B4C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55" w:rsidRPr="002539E8" w:rsidRDefault="00722255" w:rsidP="00477D6B">
    <w:pPr>
      <w:jc w:val="right"/>
      <w:rPr>
        <w:rFonts w:ascii="SimSun" w:hAnsi="SimSun"/>
        <w:sz w:val="21"/>
      </w:rPr>
    </w:pPr>
    <w:bookmarkStart w:id="3" w:name="Code2"/>
    <w:bookmarkEnd w:id="3"/>
    <w:r w:rsidRPr="002539E8">
      <w:rPr>
        <w:rFonts w:ascii="SimSun" w:hAnsi="SimSun"/>
        <w:sz w:val="21"/>
      </w:rPr>
      <w:t>PCT/WG/7/19</w:t>
    </w:r>
  </w:p>
  <w:p w:rsidR="00722255" w:rsidRPr="002539E8" w:rsidRDefault="00684DA9" w:rsidP="00477D6B">
    <w:pPr>
      <w:jc w:val="right"/>
      <w:rPr>
        <w:rFonts w:ascii="SimSun" w:hAnsi="SimSun"/>
        <w:sz w:val="21"/>
      </w:rPr>
    </w:pPr>
    <w:r w:rsidRPr="002539E8">
      <w:rPr>
        <w:rFonts w:ascii="SimSun" w:hAnsi="SimSun" w:hint="eastAsia"/>
        <w:sz w:val="21"/>
      </w:rPr>
      <w:t>第</w:t>
    </w:r>
    <w:r w:rsidR="00722255" w:rsidRPr="002539E8">
      <w:rPr>
        <w:rFonts w:ascii="SimSun" w:hAnsi="SimSun"/>
        <w:sz w:val="21"/>
      </w:rPr>
      <w:fldChar w:fldCharType="begin"/>
    </w:r>
    <w:r w:rsidR="00722255" w:rsidRPr="002539E8">
      <w:rPr>
        <w:rFonts w:ascii="SimSun" w:hAnsi="SimSun"/>
        <w:sz w:val="21"/>
      </w:rPr>
      <w:instrText xml:space="preserve"> PAGE  \* MERGEFORMAT </w:instrText>
    </w:r>
    <w:r w:rsidR="00722255" w:rsidRPr="002539E8">
      <w:rPr>
        <w:rFonts w:ascii="SimSun" w:hAnsi="SimSun"/>
        <w:sz w:val="21"/>
      </w:rPr>
      <w:fldChar w:fldCharType="separate"/>
    </w:r>
    <w:r w:rsidR="00F34A58">
      <w:rPr>
        <w:rFonts w:ascii="SimSun" w:hAnsi="SimSun"/>
        <w:noProof/>
        <w:sz w:val="21"/>
      </w:rPr>
      <w:t>2</w:t>
    </w:r>
    <w:r w:rsidR="00722255" w:rsidRPr="002539E8">
      <w:rPr>
        <w:rFonts w:ascii="SimSun" w:hAnsi="SimSun"/>
        <w:sz w:val="21"/>
      </w:rPr>
      <w:fldChar w:fldCharType="end"/>
    </w:r>
    <w:r w:rsidRPr="002539E8">
      <w:rPr>
        <w:rFonts w:ascii="SimSun" w:hAnsi="SimSun" w:hint="eastAsia"/>
        <w:sz w:val="21"/>
      </w:rPr>
      <w:t>页</w:t>
    </w:r>
  </w:p>
  <w:p w:rsidR="00722255" w:rsidRDefault="00722255" w:rsidP="00477D6B">
    <w:pPr>
      <w:jc w:val="right"/>
      <w:rPr>
        <w:rFonts w:ascii="SimSun" w:hAnsi="SimSun" w:hint="eastAsia"/>
        <w:sz w:val="21"/>
      </w:rPr>
    </w:pPr>
  </w:p>
  <w:p w:rsidR="002539E8" w:rsidRPr="002539E8" w:rsidRDefault="002539E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55" w:rsidRPr="002539E8" w:rsidRDefault="00722255" w:rsidP="009173F1">
    <w:pPr>
      <w:pStyle w:val="ab"/>
      <w:jc w:val="right"/>
      <w:rPr>
        <w:rFonts w:ascii="SimSun" w:hAnsi="SimSun"/>
        <w:sz w:val="21"/>
      </w:rPr>
    </w:pPr>
    <w:r w:rsidRPr="002539E8">
      <w:rPr>
        <w:rFonts w:ascii="SimSun" w:hAnsi="SimSun"/>
        <w:sz w:val="21"/>
      </w:rPr>
      <w:t>PCT/WG/7/19</w:t>
    </w:r>
  </w:p>
  <w:p w:rsidR="00722255" w:rsidRPr="002539E8" w:rsidRDefault="00684DA9" w:rsidP="009173F1">
    <w:pPr>
      <w:pStyle w:val="ab"/>
      <w:jc w:val="right"/>
      <w:rPr>
        <w:rFonts w:ascii="SimSun" w:hAnsi="SimSun"/>
        <w:sz w:val="21"/>
      </w:rPr>
    </w:pPr>
    <w:r w:rsidRPr="002539E8">
      <w:rPr>
        <w:rFonts w:ascii="SimSun" w:hAnsi="SimSun" w:hint="eastAsia"/>
        <w:sz w:val="21"/>
      </w:rPr>
      <w:t>附</w:t>
    </w:r>
    <w:r w:rsidR="002539E8">
      <w:rPr>
        <w:rFonts w:ascii="SimSun" w:hAnsi="SimSun" w:hint="eastAsia"/>
        <w:sz w:val="21"/>
      </w:rPr>
      <w:t xml:space="preserve">　</w:t>
    </w:r>
    <w:r w:rsidRPr="002539E8">
      <w:rPr>
        <w:rFonts w:ascii="SimSun" w:hAnsi="SimSun" w:hint="eastAsia"/>
        <w:sz w:val="21"/>
      </w:rPr>
      <w:t>件</w:t>
    </w:r>
  </w:p>
  <w:p w:rsidR="00722255" w:rsidRDefault="00722255" w:rsidP="009173F1">
    <w:pPr>
      <w:pStyle w:val="ab"/>
      <w:jc w:val="right"/>
      <w:rPr>
        <w:rFonts w:ascii="SimSun" w:hAnsi="SimSun" w:hint="eastAsia"/>
        <w:sz w:val="21"/>
      </w:rPr>
    </w:pPr>
  </w:p>
  <w:p w:rsidR="002539E8" w:rsidRPr="002539E8" w:rsidRDefault="002539E8" w:rsidP="009173F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43"/>
    <w:rsid w:val="00022F68"/>
    <w:rsid w:val="00032009"/>
    <w:rsid w:val="00040EE4"/>
    <w:rsid w:val="00043CAA"/>
    <w:rsid w:val="000469B0"/>
    <w:rsid w:val="00046C6D"/>
    <w:rsid w:val="0005099A"/>
    <w:rsid w:val="0006265B"/>
    <w:rsid w:val="00074FB6"/>
    <w:rsid w:val="00075432"/>
    <w:rsid w:val="000968ED"/>
    <w:rsid w:val="000A5AB1"/>
    <w:rsid w:val="000E675D"/>
    <w:rsid w:val="000F34D4"/>
    <w:rsid w:val="000F5E56"/>
    <w:rsid w:val="0010691F"/>
    <w:rsid w:val="0011467A"/>
    <w:rsid w:val="00126F19"/>
    <w:rsid w:val="001362EE"/>
    <w:rsid w:val="00153836"/>
    <w:rsid w:val="00157E12"/>
    <w:rsid w:val="001832A6"/>
    <w:rsid w:val="00191814"/>
    <w:rsid w:val="00194CB5"/>
    <w:rsid w:val="001A2323"/>
    <w:rsid w:val="002110E3"/>
    <w:rsid w:val="002123F2"/>
    <w:rsid w:val="00215054"/>
    <w:rsid w:val="00242E6A"/>
    <w:rsid w:val="00243C1C"/>
    <w:rsid w:val="002539E8"/>
    <w:rsid w:val="002634C4"/>
    <w:rsid w:val="002928D3"/>
    <w:rsid w:val="0029385A"/>
    <w:rsid w:val="002A479E"/>
    <w:rsid w:val="002B371C"/>
    <w:rsid w:val="002B6C73"/>
    <w:rsid w:val="002F1C3C"/>
    <w:rsid w:val="002F1FE6"/>
    <w:rsid w:val="002F4E68"/>
    <w:rsid w:val="00303936"/>
    <w:rsid w:val="00304844"/>
    <w:rsid w:val="00312443"/>
    <w:rsid w:val="00312F7F"/>
    <w:rsid w:val="003131D5"/>
    <w:rsid w:val="003368D6"/>
    <w:rsid w:val="00347780"/>
    <w:rsid w:val="00356DB4"/>
    <w:rsid w:val="00361450"/>
    <w:rsid w:val="00364D79"/>
    <w:rsid w:val="003673CF"/>
    <w:rsid w:val="00381805"/>
    <w:rsid w:val="003845C1"/>
    <w:rsid w:val="00393308"/>
    <w:rsid w:val="003A6F89"/>
    <w:rsid w:val="003B33D3"/>
    <w:rsid w:val="003B38C1"/>
    <w:rsid w:val="003C7D46"/>
    <w:rsid w:val="003E5D3C"/>
    <w:rsid w:val="00413703"/>
    <w:rsid w:val="00416CF5"/>
    <w:rsid w:val="00423E3E"/>
    <w:rsid w:val="00427AF4"/>
    <w:rsid w:val="004369C1"/>
    <w:rsid w:val="00452390"/>
    <w:rsid w:val="004605AE"/>
    <w:rsid w:val="00461307"/>
    <w:rsid w:val="004647DA"/>
    <w:rsid w:val="00474062"/>
    <w:rsid w:val="00475518"/>
    <w:rsid w:val="00476279"/>
    <w:rsid w:val="00477D6B"/>
    <w:rsid w:val="00477E3A"/>
    <w:rsid w:val="004841A2"/>
    <w:rsid w:val="00497DE0"/>
    <w:rsid w:val="004A204C"/>
    <w:rsid w:val="004A773C"/>
    <w:rsid w:val="004B496F"/>
    <w:rsid w:val="004C3639"/>
    <w:rsid w:val="004E023C"/>
    <w:rsid w:val="004E0730"/>
    <w:rsid w:val="004E417F"/>
    <w:rsid w:val="005019FF"/>
    <w:rsid w:val="00505807"/>
    <w:rsid w:val="005101C7"/>
    <w:rsid w:val="005157CE"/>
    <w:rsid w:val="00520D7D"/>
    <w:rsid w:val="0053057A"/>
    <w:rsid w:val="00530AB6"/>
    <w:rsid w:val="00534293"/>
    <w:rsid w:val="0053634A"/>
    <w:rsid w:val="005374BB"/>
    <w:rsid w:val="00550A6F"/>
    <w:rsid w:val="00560A29"/>
    <w:rsid w:val="00567162"/>
    <w:rsid w:val="00573D03"/>
    <w:rsid w:val="00573DE5"/>
    <w:rsid w:val="00593066"/>
    <w:rsid w:val="005A06B6"/>
    <w:rsid w:val="005C069C"/>
    <w:rsid w:val="005C55A6"/>
    <w:rsid w:val="005C6649"/>
    <w:rsid w:val="005F5943"/>
    <w:rsid w:val="005F6CE5"/>
    <w:rsid w:val="005F7BB9"/>
    <w:rsid w:val="0060104C"/>
    <w:rsid w:val="00605827"/>
    <w:rsid w:val="00610893"/>
    <w:rsid w:val="00635614"/>
    <w:rsid w:val="006411DD"/>
    <w:rsid w:val="00646050"/>
    <w:rsid w:val="006547DE"/>
    <w:rsid w:val="006646DE"/>
    <w:rsid w:val="006713CA"/>
    <w:rsid w:val="00676C5C"/>
    <w:rsid w:val="00684DA9"/>
    <w:rsid w:val="006B4C64"/>
    <w:rsid w:val="006C3E27"/>
    <w:rsid w:val="00722255"/>
    <w:rsid w:val="00727D51"/>
    <w:rsid w:val="0073158C"/>
    <w:rsid w:val="0074239E"/>
    <w:rsid w:val="0074522F"/>
    <w:rsid w:val="007466ED"/>
    <w:rsid w:val="00760916"/>
    <w:rsid w:val="0076230E"/>
    <w:rsid w:val="00777503"/>
    <w:rsid w:val="00780685"/>
    <w:rsid w:val="007D1613"/>
    <w:rsid w:val="007D1781"/>
    <w:rsid w:val="00825E9C"/>
    <w:rsid w:val="00840B97"/>
    <w:rsid w:val="00844B47"/>
    <w:rsid w:val="00845250"/>
    <w:rsid w:val="0088518D"/>
    <w:rsid w:val="008A314D"/>
    <w:rsid w:val="008A63AB"/>
    <w:rsid w:val="008B2CC1"/>
    <w:rsid w:val="008B39C0"/>
    <w:rsid w:val="008B60B2"/>
    <w:rsid w:val="008F2CDB"/>
    <w:rsid w:val="0090284A"/>
    <w:rsid w:val="00905121"/>
    <w:rsid w:val="0090731E"/>
    <w:rsid w:val="00916EE2"/>
    <w:rsid w:val="009173F1"/>
    <w:rsid w:val="00940615"/>
    <w:rsid w:val="009468AF"/>
    <w:rsid w:val="00966A22"/>
    <w:rsid w:val="0096722F"/>
    <w:rsid w:val="00980843"/>
    <w:rsid w:val="009978C5"/>
    <w:rsid w:val="009B64B1"/>
    <w:rsid w:val="009C77C0"/>
    <w:rsid w:val="009E2791"/>
    <w:rsid w:val="009E3F6F"/>
    <w:rsid w:val="009E4116"/>
    <w:rsid w:val="009F499F"/>
    <w:rsid w:val="00A3733B"/>
    <w:rsid w:val="00A42DAF"/>
    <w:rsid w:val="00A44146"/>
    <w:rsid w:val="00A444DB"/>
    <w:rsid w:val="00A45BD8"/>
    <w:rsid w:val="00A503D2"/>
    <w:rsid w:val="00A666C0"/>
    <w:rsid w:val="00A76937"/>
    <w:rsid w:val="00A869B7"/>
    <w:rsid w:val="00A97039"/>
    <w:rsid w:val="00AA5AD8"/>
    <w:rsid w:val="00AA7697"/>
    <w:rsid w:val="00AB448E"/>
    <w:rsid w:val="00AC0D7F"/>
    <w:rsid w:val="00AC205C"/>
    <w:rsid w:val="00AC5EF0"/>
    <w:rsid w:val="00AD5A29"/>
    <w:rsid w:val="00AD6E67"/>
    <w:rsid w:val="00AF0A6B"/>
    <w:rsid w:val="00B05A69"/>
    <w:rsid w:val="00B1723F"/>
    <w:rsid w:val="00B25E22"/>
    <w:rsid w:val="00B263A6"/>
    <w:rsid w:val="00B57C88"/>
    <w:rsid w:val="00B57F73"/>
    <w:rsid w:val="00B640FA"/>
    <w:rsid w:val="00B9734B"/>
    <w:rsid w:val="00BC3E01"/>
    <w:rsid w:val="00BC5466"/>
    <w:rsid w:val="00BD1147"/>
    <w:rsid w:val="00BD1EA4"/>
    <w:rsid w:val="00C05BFA"/>
    <w:rsid w:val="00C11BFE"/>
    <w:rsid w:val="00C23624"/>
    <w:rsid w:val="00C26BA2"/>
    <w:rsid w:val="00C270FE"/>
    <w:rsid w:val="00C279B7"/>
    <w:rsid w:val="00C40465"/>
    <w:rsid w:val="00C570C1"/>
    <w:rsid w:val="00C9383A"/>
    <w:rsid w:val="00C9580C"/>
    <w:rsid w:val="00CA15EB"/>
    <w:rsid w:val="00CA47DD"/>
    <w:rsid w:val="00CB6A24"/>
    <w:rsid w:val="00CD179B"/>
    <w:rsid w:val="00CD3BC4"/>
    <w:rsid w:val="00D03DBE"/>
    <w:rsid w:val="00D06BA2"/>
    <w:rsid w:val="00D175F4"/>
    <w:rsid w:val="00D360D3"/>
    <w:rsid w:val="00D45252"/>
    <w:rsid w:val="00D54FD1"/>
    <w:rsid w:val="00D71B4D"/>
    <w:rsid w:val="00D73845"/>
    <w:rsid w:val="00D8135E"/>
    <w:rsid w:val="00D9257E"/>
    <w:rsid w:val="00D93D55"/>
    <w:rsid w:val="00D9549A"/>
    <w:rsid w:val="00DA1C67"/>
    <w:rsid w:val="00DA26FA"/>
    <w:rsid w:val="00DA5E1F"/>
    <w:rsid w:val="00DA688D"/>
    <w:rsid w:val="00DA7502"/>
    <w:rsid w:val="00DD70A8"/>
    <w:rsid w:val="00DE03EF"/>
    <w:rsid w:val="00E006FC"/>
    <w:rsid w:val="00E335FE"/>
    <w:rsid w:val="00E35A6B"/>
    <w:rsid w:val="00E37C89"/>
    <w:rsid w:val="00E446AB"/>
    <w:rsid w:val="00E860ED"/>
    <w:rsid w:val="00E979D1"/>
    <w:rsid w:val="00EA702D"/>
    <w:rsid w:val="00EB093A"/>
    <w:rsid w:val="00EB11DD"/>
    <w:rsid w:val="00EB1DA0"/>
    <w:rsid w:val="00EC4E49"/>
    <w:rsid w:val="00EC764C"/>
    <w:rsid w:val="00ED77FB"/>
    <w:rsid w:val="00EE45FA"/>
    <w:rsid w:val="00EE4728"/>
    <w:rsid w:val="00EE5025"/>
    <w:rsid w:val="00F158EA"/>
    <w:rsid w:val="00F172D1"/>
    <w:rsid w:val="00F17E3B"/>
    <w:rsid w:val="00F34A58"/>
    <w:rsid w:val="00F375C2"/>
    <w:rsid w:val="00F46D0F"/>
    <w:rsid w:val="00F6170B"/>
    <w:rsid w:val="00F63433"/>
    <w:rsid w:val="00F66152"/>
    <w:rsid w:val="00F7167A"/>
    <w:rsid w:val="00F80D95"/>
    <w:rsid w:val="00F836CD"/>
    <w:rsid w:val="00F854C5"/>
    <w:rsid w:val="00F86F49"/>
    <w:rsid w:val="00F9041E"/>
    <w:rsid w:val="00F95630"/>
    <w:rsid w:val="00FA396C"/>
    <w:rsid w:val="00FC7296"/>
    <w:rsid w:val="00FD188E"/>
    <w:rsid w:val="00FD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customStyle="1" w:styleId="ONUMEChar">
    <w:name w:val="ONUM E Char"/>
    <w:basedOn w:val="a1"/>
    <w:link w:val="ONUME"/>
    <w:rsid w:val="005F5943"/>
    <w:rPr>
      <w:rFonts w:ascii="Arial" w:eastAsia="SimSun" w:hAnsi="Arial" w:cs="Arial"/>
      <w:sz w:val="22"/>
      <w:lang w:eastAsia="zh-CN"/>
    </w:rPr>
  </w:style>
  <w:style w:type="paragraph" w:customStyle="1" w:styleId="EPONormal">
    <w:name w:val="EPONormal"/>
    <w:basedOn w:val="a0"/>
    <w:qFormat/>
    <w:rsid w:val="00C570C1"/>
    <w:pPr>
      <w:suppressAutoHyphens/>
      <w:spacing w:after="240"/>
      <w:jc w:val="both"/>
    </w:pPr>
    <w:rPr>
      <w:sz w:val="24"/>
      <w:szCs w:val="24"/>
      <w:lang w:val="en-GB" w:eastAsia="en-GB"/>
    </w:rPr>
  </w:style>
  <w:style w:type="character" w:styleId="ae">
    <w:name w:val="Hyperlink"/>
    <w:rsid w:val="00B25E22"/>
    <w:rPr>
      <w:color w:val="0000FF"/>
      <w:u w:val="single"/>
    </w:rPr>
  </w:style>
  <w:style w:type="paragraph" w:styleId="af">
    <w:name w:val="List Paragraph"/>
    <w:basedOn w:val="a0"/>
    <w:uiPriority w:val="34"/>
    <w:qFormat/>
    <w:rsid w:val="00B25E22"/>
    <w:pPr>
      <w:ind w:left="720"/>
      <w:contextualSpacing/>
    </w:pPr>
  </w:style>
  <w:style w:type="character" w:styleId="af0">
    <w:name w:val="annotation reference"/>
    <w:basedOn w:val="a1"/>
    <w:rsid w:val="00B57F73"/>
    <w:rPr>
      <w:sz w:val="16"/>
      <w:szCs w:val="16"/>
    </w:rPr>
  </w:style>
  <w:style w:type="paragraph" w:styleId="af1">
    <w:name w:val="annotation subject"/>
    <w:basedOn w:val="a6"/>
    <w:next w:val="a6"/>
    <w:link w:val="Char1"/>
    <w:rsid w:val="00B57F73"/>
    <w:rPr>
      <w:b/>
      <w:bCs/>
      <w:sz w:val="20"/>
    </w:rPr>
  </w:style>
  <w:style w:type="character" w:customStyle="1" w:styleId="Char">
    <w:name w:val="批注文字 Char"/>
    <w:basedOn w:val="a1"/>
    <w:link w:val="a6"/>
    <w:semiHidden/>
    <w:rsid w:val="00B57F73"/>
    <w:rPr>
      <w:rFonts w:ascii="Arial" w:eastAsia="SimSun" w:hAnsi="Arial" w:cs="Arial"/>
      <w:sz w:val="18"/>
      <w:lang w:eastAsia="zh-CN"/>
    </w:rPr>
  </w:style>
  <w:style w:type="character" w:customStyle="1" w:styleId="Char1">
    <w:name w:val="批注主题 Char"/>
    <w:basedOn w:val="Char"/>
    <w:link w:val="af1"/>
    <w:rsid w:val="00B57F73"/>
    <w:rPr>
      <w:rFonts w:ascii="Arial" w:eastAsia="SimSun" w:hAnsi="Arial" w:cs="Arial"/>
      <w:b/>
      <w:bCs/>
      <w:sz w:val="18"/>
      <w:lang w:eastAsia="zh-CN"/>
    </w:rPr>
  </w:style>
  <w:style w:type="character" w:customStyle="1" w:styleId="1Char">
    <w:name w:val="标题 1 Char"/>
    <w:basedOn w:val="a1"/>
    <w:link w:val="1"/>
    <w:rsid w:val="002539E8"/>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customStyle="1" w:styleId="ONUMEChar">
    <w:name w:val="ONUM E Char"/>
    <w:basedOn w:val="a1"/>
    <w:link w:val="ONUME"/>
    <w:rsid w:val="005F5943"/>
    <w:rPr>
      <w:rFonts w:ascii="Arial" w:eastAsia="SimSun" w:hAnsi="Arial" w:cs="Arial"/>
      <w:sz w:val="22"/>
      <w:lang w:eastAsia="zh-CN"/>
    </w:rPr>
  </w:style>
  <w:style w:type="paragraph" w:customStyle="1" w:styleId="EPONormal">
    <w:name w:val="EPONormal"/>
    <w:basedOn w:val="a0"/>
    <w:qFormat/>
    <w:rsid w:val="00C570C1"/>
    <w:pPr>
      <w:suppressAutoHyphens/>
      <w:spacing w:after="240"/>
      <w:jc w:val="both"/>
    </w:pPr>
    <w:rPr>
      <w:sz w:val="24"/>
      <w:szCs w:val="24"/>
      <w:lang w:val="en-GB" w:eastAsia="en-GB"/>
    </w:rPr>
  </w:style>
  <w:style w:type="character" w:styleId="ae">
    <w:name w:val="Hyperlink"/>
    <w:rsid w:val="00B25E22"/>
    <w:rPr>
      <w:color w:val="0000FF"/>
      <w:u w:val="single"/>
    </w:rPr>
  </w:style>
  <w:style w:type="paragraph" w:styleId="af">
    <w:name w:val="List Paragraph"/>
    <w:basedOn w:val="a0"/>
    <w:uiPriority w:val="34"/>
    <w:qFormat/>
    <w:rsid w:val="00B25E22"/>
    <w:pPr>
      <w:ind w:left="720"/>
      <w:contextualSpacing/>
    </w:pPr>
  </w:style>
  <w:style w:type="character" w:styleId="af0">
    <w:name w:val="annotation reference"/>
    <w:basedOn w:val="a1"/>
    <w:rsid w:val="00B57F73"/>
    <w:rPr>
      <w:sz w:val="16"/>
      <w:szCs w:val="16"/>
    </w:rPr>
  </w:style>
  <w:style w:type="paragraph" w:styleId="af1">
    <w:name w:val="annotation subject"/>
    <w:basedOn w:val="a6"/>
    <w:next w:val="a6"/>
    <w:link w:val="Char1"/>
    <w:rsid w:val="00B57F73"/>
    <w:rPr>
      <w:b/>
      <w:bCs/>
      <w:sz w:val="20"/>
    </w:rPr>
  </w:style>
  <w:style w:type="character" w:customStyle="1" w:styleId="Char">
    <w:name w:val="批注文字 Char"/>
    <w:basedOn w:val="a1"/>
    <w:link w:val="a6"/>
    <w:semiHidden/>
    <w:rsid w:val="00B57F73"/>
    <w:rPr>
      <w:rFonts w:ascii="Arial" w:eastAsia="SimSun" w:hAnsi="Arial" w:cs="Arial"/>
      <w:sz w:val="18"/>
      <w:lang w:eastAsia="zh-CN"/>
    </w:rPr>
  </w:style>
  <w:style w:type="character" w:customStyle="1" w:styleId="Char1">
    <w:name w:val="批注主题 Char"/>
    <w:basedOn w:val="Char"/>
    <w:link w:val="af1"/>
    <w:rsid w:val="00B57F73"/>
    <w:rPr>
      <w:rFonts w:ascii="Arial" w:eastAsia="SimSun" w:hAnsi="Arial" w:cs="Arial"/>
      <w:b/>
      <w:bCs/>
      <w:sz w:val="18"/>
      <w:lang w:eastAsia="zh-CN"/>
    </w:rPr>
  </w:style>
  <w:style w:type="character" w:customStyle="1" w:styleId="1Char">
    <w:name w:val="标题 1 Char"/>
    <w:basedOn w:val="a1"/>
    <w:link w:val="1"/>
    <w:rsid w:val="002539E8"/>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ED377-DB13-4EF8-AF82-FC7A3B46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5</Pages>
  <Words>5057</Words>
  <Characters>400</Characters>
  <Application>Microsoft Office Word</Application>
  <DocSecurity>0</DocSecurity>
  <Lines>3</Lines>
  <Paragraphs>10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PCT/WG/7/19</dc:title>
  <dc:subject>澄清有关援引加入遗漏部分的程序</dc:subject>
  <dc:creator>WIPO</dc:creator>
  <cp:lastModifiedBy>MA Weihai</cp:lastModifiedBy>
  <cp:revision>63</cp:revision>
  <cp:lastPrinted>2014-05-16T11:51:00Z</cp:lastPrinted>
  <dcterms:created xsi:type="dcterms:W3CDTF">2014-05-23T01:52:00Z</dcterms:created>
  <dcterms:modified xsi:type="dcterms:W3CDTF">2014-06-02T08:58:00Z</dcterms:modified>
</cp:coreProperties>
</file>