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119CC" w:rsidRPr="00F119CC" w:rsidTr="0016690B">
        <w:trPr>
          <w:trHeight w:val="1977"/>
        </w:trPr>
        <w:tc>
          <w:tcPr>
            <w:tcW w:w="4594" w:type="dxa"/>
            <w:tcBorders>
              <w:bottom w:val="single" w:sz="4" w:space="0" w:color="auto"/>
            </w:tcBorders>
            <w:tcMar>
              <w:bottom w:w="170" w:type="dxa"/>
            </w:tcMar>
          </w:tcPr>
          <w:p w:rsidR="00F119CC" w:rsidRPr="00F119CC" w:rsidRDefault="00F119CC" w:rsidP="00F119CC">
            <w:r w:rsidRPr="00F119CC">
              <w:rPr>
                <w:rFonts w:hint="eastAsia"/>
                <w:noProof/>
              </w:rPr>
              <w:drawing>
                <wp:anchor distT="0" distB="0" distL="114300" distR="114300" simplePos="0" relativeHeight="251659264" behindDoc="1" locked="0" layoutInCell="0" allowOverlap="1" wp14:anchorId="6A89E6BF" wp14:editId="476611B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119CC" w:rsidRPr="00F119CC" w:rsidRDefault="00F119CC" w:rsidP="00F119CC"/>
        </w:tc>
        <w:tc>
          <w:tcPr>
            <w:tcW w:w="425" w:type="dxa"/>
            <w:tcBorders>
              <w:bottom w:val="single" w:sz="4" w:space="0" w:color="auto"/>
            </w:tcBorders>
            <w:tcMar>
              <w:left w:w="0" w:type="dxa"/>
              <w:right w:w="0" w:type="dxa"/>
            </w:tcMar>
          </w:tcPr>
          <w:p w:rsidR="00F119CC" w:rsidRPr="00F119CC" w:rsidRDefault="00F119CC" w:rsidP="00F119CC">
            <w:pPr>
              <w:jc w:val="right"/>
            </w:pPr>
            <w:r w:rsidRPr="00F119CC">
              <w:rPr>
                <w:rFonts w:hint="eastAsia"/>
                <w:b/>
                <w:sz w:val="40"/>
                <w:szCs w:val="40"/>
              </w:rPr>
              <w:t>C</w:t>
            </w:r>
          </w:p>
        </w:tc>
      </w:tr>
      <w:tr w:rsidR="00F119CC" w:rsidRPr="00F119CC" w:rsidTr="0016690B">
        <w:trPr>
          <w:trHeight w:hRule="exact" w:val="340"/>
        </w:trPr>
        <w:tc>
          <w:tcPr>
            <w:tcW w:w="9356" w:type="dxa"/>
            <w:gridSpan w:val="3"/>
            <w:tcBorders>
              <w:top w:val="single" w:sz="4" w:space="0" w:color="auto"/>
            </w:tcBorders>
            <w:tcMar>
              <w:top w:w="170" w:type="dxa"/>
              <w:left w:w="0" w:type="dxa"/>
              <w:right w:w="0" w:type="dxa"/>
            </w:tcMar>
            <w:vAlign w:val="bottom"/>
          </w:tcPr>
          <w:p w:rsidR="00F119CC" w:rsidRPr="00F119CC" w:rsidRDefault="00F119CC" w:rsidP="0016690B">
            <w:pPr>
              <w:jc w:val="right"/>
              <w:rPr>
                <w:rFonts w:ascii="Arial Black" w:hAnsi="Arial Black"/>
                <w:caps/>
                <w:sz w:val="15"/>
              </w:rPr>
            </w:pPr>
            <w:r w:rsidRPr="00F119CC">
              <w:rPr>
                <w:rFonts w:ascii="Arial Black" w:hAnsi="Arial Black" w:hint="eastAsia"/>
                <w:caps/>
                <w:sz w:val="15"/>
              </w:rPr>
              <w:t>pct/wg/9/</w:t>
            </w:r>
            <w:bookmarkStart w:id="0" w:name="Code"/>
            <w:bookmarkEnd w:id="0"/>
            <w:r w:rsidR="0016690B">
              <w:rPr>
                <w:rFonts w:ascii="Arial Black" w:hAnsi="Arial Black"/>
                <w:caps/>
                <w:sz w:val="15"/>
              </w:rPr>
              <w:t>9</w:t>
            </w:r>
          </w:p>
        </w:tc>
      </w:tr>
      <w:tr w:rsidR="00F119CC" w:rsidRPr="00F119CC" w:rsidTr="0016690B">
        <w:trPr>
          <w:trHeight w:hRule="exact" w:val="170"/>
        </w:trPr>
        <w:tc>
          <w:tcPr>
            <w:tcW w:w="9356" w:type="dxa"/>
            <w:gridSpan w:val="3"/>
            <w:noWrap/>
            <w:tcMar>
              <w:left w:w="0" w:type="dxa"/>
              <w:right w:w="0" w:type="dxa"/>
            </w:tcMar>
            <w:vAlign w:val="bottom"/>
          </w:tcPr>
          <w:p w:rsidR="00F119CC" w:rsidRPr="00F119CC" w:rsidRDefault="00F119CC" w:rsidP="00F119CC">
            <w:pPr>
              <w:jc w:val="right"/>
              <w:rPr>
                <w:rFonts w:ascii="Arial Black" w:hAnsi="Arial Black"/>
                <w:b/>
                <w:caps/>
                <w:sz w:val="15"/>
                <w:szCs w:val="15"/>
              </w:rPr>
            </w:pPr>
            <w:r w:rsidRPr="00F119CC">
              <w:rPr>
                <w:rFonts w:eastAsia="SimHei" w:hint="eastAsia"/>
                <w:b/>
                <w:sz w:val="15"/>
                <w:szCs w:val="15"/>
              </w:rPr>
              <w:t>原</w:t>
            </w:r>
            <w:r w:rsidRPr="00F119CC">
              <w:rPr>
                <w:rFonts w:eastAsia="SimHei" w:hint="eastAsia"/>
                <w:b/>
                <w:sz w:val="15"/>
                <w:szCs w:val="15"/>
                <w:lang w:val="pt-BR"/>
              </w:rPr>
              <w:t xml:space="preserve"> </w:t>
            </w:r>
            <w:r w:rsidRPr="00F119CC">
              <w:rPr>
                <w:rFonts w:eastAsia="SimHei" w:hint="eastAsia"/>
                <w:b/>
                <w:sz w:val="15"/>
                <w:szCs w:val="15"/>
              </w:rPr>
              <w:t>文</w:t>
            </w:r>
            <w:r w:rsidRPr="00F119CC">
              <w:rPr>
                <w:rFonts w:eastAsia="SimHei" w:hint="eastAsia"/>
                <w:b/>
                <w:sz w:val="15"/>
                <w:szCs w:val="15"/>
                <w:lang w:val="pt-BR"/>
              </w:rPr>
              <w:t>：</w:t>
            </w:r>
            <w:bookmarkStart w:id="1" w:name="Original"/>
            <w:bookmarkEnd w:id="1"/>
            <w:r w:rsidRPr="00F119CC">
              <w:rPr>
                <w:rFonts w:eastAsia="SimHei" w:hint="eastAsia"/>
                <w:b/>
                <w:sz w:val="15"/>
                <w:szCs w:val="15"/>
                <w:lang w:val="pt-BR"/>
              </w:rPr>
              <w:t>英文</w:t>
            </w:r>
          </w:p>
        </w:tc>
      </w:tr>
      <w:tr w:rsidR="00F119CC" w:rsidRPr="00F119CC" w:rsidTr="0016690B">
        <w:trPr>
          <w:trHeight w:hRule="exact" w:val="198"/>
        </w:trPr>
        <w:tc>
          <w:tcPr>
            <w:tcW w:w="9356" w:type="dxa"/>
            <w:gridSpan w:val="3"/>
            <w:tcMar>
              <w:left w:w="0" w:type="dxa"/>
              <w:right w:w="0" w:type="dxa"/>
            </w:tcMar>
            <w:vAlign w:val="bottom"/>
          </w:tcPr>
          <w:p w:rsidR="00F119CC" w:rsidRPr="00F119CC" w:rsidRDefault="00F119CC" w:rsidP="00F119CC">
            <w:pPr>
              <w:jc w:val="right"/>
              <w:rPr>
                <w:rFonts w:ascii="Arial Black" w:eastAsia="SimHei" w:hAnsi="Arial Black"/>
                <w:b/>
                <w:sz w:val="15"/>
                <w:szCs w:val="15"/>
                <w:lang w:val="pt-BR"/>
              </w:rPr>
            </w:pP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r w:rsidRPr="00F119CC">
              <w:rPr>
                <w:rFonts w:ascii="Arial Black" w:eastAsia="SimHei" w:hAnsi="Arial Black" w:hint="eastAsia"/>
                <w:b/>
                <w:sz w:val="15"/>
                <w:szCs w:val="15"/>
                <w:lang w:val="pt-BR"/>
              </w:rPr>
              <w:t>期：</w:t>
            </w:r>
            <w:bookmarkStart w:id="2" w:name="Date"/>
            <w:bookmarkEnd w:id="2"/>
            <w:r w:rsidRPr="00F119CC">
              <w:rPr>
                <w:rFonts w:ascii="Arial Black" w:eastAsia="SimHei" w:hAnsi="Arial Black" w:hint="eastAsia"/>
                <w:b/>
                <w:sz w:val="15"/>
                <w:szCs w:val="15"/>
                <w:lang w:val="pt-BR"/>
              </w:rPr>
              <w:t>2016</w:t>
            </w:r>
            <w:r w:rsidRPr="00F119CC">
              <w:rPr>
                <w:rFonts w:ascii="Arial Black" w:eastAsia="SimHei" w:hAnsi="Arial Black" w:hint="eastAsia"/>
                <w:b/>
                <w:sz w:val="15"/>
                <w:szCs w:val="15"/>
                <w:lang w:val="pt-BR"/>
              </w:rPr>
              <w:t>年</w:t>
            </w:r>
            <w:r>
              <w:rPr>
                <w:rFonts w:ascii="Arial Black" w:eastAsia="SimHei" w:hAnsi="Arial Black" w:hint="eastAsia"/>
                <w:b/>
                <w:sz w:val="15"/>
                <w:szCs w:val="15"/>
                <w:lang w:val="pt-BR"/>
              </w:rPr>
              <w:t>3</w:t>
            </w:r>
            <w:r w:rsidRPr="00F119CC">
              <w:rPr>
                <w:rFonts w:ascii="Arial Black" w:eastAsia="SimHei" w:hAnsi="Arial Black" w:hint="eastAsia"/>
                <w:b/>
                <w:sz w:val="15"/>
                <w:szCs w:val="15"/>
                <w:lang w:val="pt-BR"/>
              </w:rPr>
              <w:t>月</w:t>
            </w:r>
            <w:r w:rsidR="0016690B">
              <w:rPr>
                <w:rFonts w:ascii="Arial Black" w:eastAsia="SimHei" w:hAnsi="Arial Black"/>
                <w:b/>
                <w:sz w:val="15"/>
                <w:szCs w:val="15"/>
                <w:lang w:val="pt-BR"/>
              </w:rPr>
              <w:t>15</w:t>
            </w:r>
            <w:r w:rsidRPr="00F119CC">
              <w:rPr>
                <w:rFonts w:ascii="Arial Black" w:eastAsia="SimHei" w:hAnsi="Arial Black" w:hint="eastAsia"/>
                <w:b/>
                <w:sz w:val="15"/>
                <w:szCs w:val="15"/>
                <w:lang w:val="pt-BR"/>
              </w:rPr>
              <w:t>日</w:t>
            </w:r>
            <w:r w:rsidRPr="00F119CC">
              <w:rPr>
                <w:rFonts w:ascii="Arial Black" w:eastAsia="SimHei" w:hAnsi="Arial Black" w:hint="eastAsia"/>
                <w:b/>
                <w:sz w:val="15"/>
                <w:szCs w:val="15"/>
                <w:lang w:val="pt-BR"/>
              </w:rPr>
              <w:t xml:space="preserve">  </w:t>
            </w:r>
          </w:p>
        </w:tc>
      </w:tr>
    </w:tbl>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Pr>
        <w:rPr>
          <w:rFonts w:ascii="SimHei" w:eastAsia="SimHei"/>
          <w:sz w:val="28"/>
          <w:szCs w:val="28"/>
        </w:rPr>
      </w:pPr>
      <w:r w:rsidRPr="00F119CC">
        <w:rPr>
          <w:rFonts w:ascii="SimHei" w:eastAsia="SimHei" w:hint="eastAsia"/>
          <w:sz w:val="28"/>
          <w:szCs w:val="28"/>
        </w:rPr>
        <w:t>专利合作条约(PCT)</w:t>
      </w:r>
    </w:p>
    <w:p w:rsidR="00F119CC" w:rsidRPr="00F119CC" w:rsidRDefault="00F119CC" w:rsidP="00F119CC">
      <w:pPr>
        <w:rPr>
          <w:rFonts w:ascii="SimHei" w:eastAsia="SimHei"/>
          <w:sz w:val="28"/>
          <w:szCs w:val="28"/>
        </w:rPr>
      </w:pPr>
      <w:r w:rsidRPr="00F119CC">
        <w:rPr>
          <w:rFonts w:ascii="SimHei" w:eastAsia="SimHei" w:hint="eastAsia"/>
          <w:sz w:val="28"/>
          <w:szCs w:val="28"/>
        </w:rPr>
        <w:t>工作组</w:t>
      </w:r>
    </w:p>
    <w:p w:rsidR="00F119CC" w:rsidRPr="00F119CC" w:rsidRDefault="00F119CC" w:rsidP="00F119CC"/>
    <w:p w:rsidR="00F119CC" w:rsidRPr="00F119CC" w:rsidRDefault="00F119CC" w:rsidP="00F119CC">
      <w:pPr>
        <w:rPr>
          <w:sz w:val="24"/>
          <w:szCs w:val="24"/>
        </w:rPr>
      </w:pPr>
    </w:p>
    <w:p w:rsidR="00F119CC" w:rsidRPr="00F119CC" w:rsidRDefault="00F119CC" w:rsidP="00F119CC">
      <w:pPr>
        <w:textAlignment w:val="bottom"/>
        <w:rPr>
          <w:rFonts w:ascii="KaiTi" w:eastAsia="KaiTi"/>
          <w:b/>
          <w:sz w:val="24"/>
          <w:szCs w:val="24"/>
        </w:rPr>
      </w:pPr>
      <w:r w:rsidRPr="00F119CC">
        <w:rPr>
          <w:rFonts w:ascii="KaiTi" w:eastAsia="KaiTi" w:hint="eastAsia"/>
          <w:b/>
          <w:sz w:val="24"/>
          <w:szCs w:val="24"/>
        </w:rPr>
        <w:t>第九届会议</w:t>
      </w:r>
    </w:p>
    <w:p w:rsidR="00F119CC" w:rsidRPr="00F119CC" w:rsidRDefault="00F119CC" w:rsidP="00F119CC">
      <w:pPr>
        <w:rPr>
          <w:b/>
          <w:sz w:val="24"/>
          <w:szCs w:val="24"/>
        </w:rPr>
      </w:pPr>
      <w:r w:rsidRPr="00F119CC">
        <w:rPr>
          <w:rFonts w:ascii="KaiTi" w:eastAsia="KaiTi" w:hAnsi="KaiTi" w:hint="eastAsia"/>
          <w:sz w:val="24"/>
          <w:szCs w:val="24"/>
        </w:rPr>
        <w:t>2016</w:t>
      </w:r>
      <w:r w:rsidRPr="00F119CC">
        <w:rPr>
          <w:rFonts w:ascii="KaiTi" w:eastAsia="KaiTi" w:hAnsi="KaiTi" w:hint="eastAsia"/>
          <w:b/>
          <w:sz w:val="24"/>
          <w:szCs w:val="24"/>
        </w:rPr>
        <w:t>年</w:t>
      </w:r>
      <w:r w:rsidRPr="00F119CC">
        <w:rPr>
          <w:rFonts w:ascii="KaiTi" w:eastAsia="KaiTi" w:hAnsi="KaiTi" w:hint="eastAsia"/>
          <w:sz w:val="24"/>
          <w:szCs w:val="24"/>
        </w:rPr>
        <w:t>5</w:t>
      </w:r>
      <w:r w:rsidRPr="00F119CC">
        <w:rPr>
          <w:rFonts w:ascii="KaiTi" w:eastAsia="KaiTi" w:hAnsi="KaiTi" w:hint="eastAsia"/>
          <w:b/>
          <w:sz w:val="24"/>
          <w:szCs w:val="24"/>
        </w:rPr>
        <w:t>月</w:t>
      </w:r>
      <w:r w:rsidRPr="00F119CC">
        <w:rPr>
          <w:rFonts w:ascii="KaiTi" w:eastAsia="KaiTi" w:hAnsi="KaiTi" w:hint="eastAsia"/>
          <w:sz w:val="24"/>
          <w:szCs w:val="24"/>
        </w:rPr>
        <w:t>17</w:t>
      </w:r>
      <w:r w:rsidRPr="00F119CC">
        <w:rPr>
          <w:rFonts w:ascii="KaiTi" w:eastAsia="KaiTi" w:hAnsi="KaiTi" w:hint="eastAsia"/>
          <w:b/>
          <w:sz w:val="24"/>
          <w:szCs w:val="24"/>
        </w:rPr>
        <w:t>日至</w:t>
      </w:r>
      <w:r w:rsidRPr="00F119CC">
        <w:rPr>
          <w:rFonts w:ascii="KaiTi" w:eastAsia="KaiTi" w:hAnsi="KaiTi" w:hint="eastAsia"/>
          <w:sz w:val="24"/>
          <w:szCs w:val="24"/>
        </w:rPr>
        <w:t>20</w:t>
      </w:r>
      <w:r w:rsidRPr="00F119CC">
        <w:rPr>
          <w:rFonts w:ascii="KaiTi" w:eastAsia="KaiTi" w:hAnsi="KaiTi" w:hint="eastAsia"/>
          <w:b/>
          <w:sz w:val="24"/>
          <w:szCs w:val="24"/>
        </w:rPr>
        <w:t>日，日内瓦</w:t>
      </w:r>
    </w:p>
    <w:p w:rsidR="00F119CC" w:rsidRPr="00F119CC" w:rsidRDefault="00F119CC" w:rsidP="00F119CC"/>
    <w:p w:rsidR="00F119CC" w:rsidRPr="00F119CC" w:rsidRDefault="00F119CC" w:rsidP="00F119CC"/>
    <w:p w:rsidR="00F119CC" w:rsidRPr="00F119CC" w:rsidRDefault="00F119CC" w:rsidP="00F119CC"/>
    <w:p w:rsidR="00F119CC" w:rsidRPr="00F119CC" w:rsidRDefault="0016690B" w:rsidP="00F119CC">
      <w:pPr>
        <w:rPr>
          <w:rFonts w:ascii="KaiTi" w:eastAsia="KaiTi" w:hAnsi="KaiTi"/>
          <w:sz w:val="24"/>
          <w:szCs w:val="32"/>
        </w:rPr>
      </w:pPr>
      <w:bookmarkStart w:id="3" w:name="TitleOfDoc"/>
      <w:bookmarkEnd w:id="3"/>
      <w:r w:rsidRPr="0016690B">
        <w:rPr>
          <w:rFonts w:ascii="KaiTi" w:eastAsia="KaiTi" w:hAnsi="KaiTi" w:hint="eastAsia"/>
          <w:sz w:val="24"/>
          <w:szCs w:val="32"/>
        </w:rPr>
        <w:t>PCT费用收入：</w:t>
      </w:r>
      <w:r w:rsidR="00E25FFE">
        <w:rPr>
          <w:rFonts w:ascii="KaiTi" w:eastAsia="KaiTi" w:hAnsi="KaiTi" w:hint="eastAsia"/>
          <w:sz w:val="24"/>
          <w:szCs w:val="32"/>
        </w:rPr>
        <w:t>为降低</w:t>
      </w:r>
      <w:r w:rsidRPr="0016690B">
        <w:rPr>
          <w:rFonts w:ascii="KaiTi" w:eastAsia="KaiTi" w:hAnsi="KaiTi" w:hint="eastAsia"/>
          <w:sz w:val="24"/>
          <w:szCs w:val="32"/>
        </w:rPr>
        <w:t>汇率波动风险可能采取的措施</w:t>
      </w:r>
      <w:r>
        <w:rPr>
          <w:rFonts w:ascii="KaiTi" w:eastAsia="KaiTi" w:hAnsi="KaiTi" w:hint="eastAsia"/>
          <w:sz w:val="24"/>
          <w:szCs w:val="32"/>
        </w:rPr>
        <w:t>分析进展报告</w:t>
      </w:r>
    </w:p>
    <w:p w:rsidR="00F119CC" w:rsidRPr="00F119CC" w:rsidRDefault="00F119CC" w:rsidP="00F119CC"/>
    <w:p w:rsidR="00F119CC" w:rsidRPr="00F119CC" w:rsidRDefault="00F119CC" w:rsidP="00F119CC">
      <w:pPr>
        <w:rPr>
          <w:rFonts w:ascii="KaiTi" w:eastAsia="KaiTi" w:hAnsi="KaiTi"/>
          <w:i/>
          <w:sz w:val="21"/>
          <w:szCs w:val="21"/>
        </w:rPr>
      </w:pPr>
      <w:bookmarkStart w:id="4" w:name="Prepared"/>
      <w:bookmarkEnd w:id="4"/>
      <w:r w:rsidRPr="00F119CC">
        <w:rPr>
          <w:rFonts w:ascii="KaiTi" w:eastAsia="KaiTi" w:hAnsi="KaiTi" w:hint="eastAsia"/>
          <w:i/>
          <w:sz w:val="21"/>
          <w:szCs w:val="21"/>
        </w:rPr>
        <w:t>国际局编拟的文件</w:t>
      </w:r>
    </w:p>
    <w:p w:rsidR="00F119CC" w:rsidRPr="00F119CC" w:rsidRDefault="00F119CC" w:rsidP="00F119CC"/>
    <w:p w:rsidR="00F119CC" w:rsidRPr="00F119CC" w:rsidRDefault="00F119CC" w:rsidP="00F119CC"/>
    <w:p w:rsidR="00F119CC" w:rsidRPr="00F119CC" w:rsidRDefault="00F119CC" w:rsidP="00F119CC"/>
    <w:p w:rsidR="00F119CC" w:rsidRPr="00F119CC" w:rsidRDefault="00F119CC" w:rsidP="00F119CC"/>
    <w:p w:rsidR="00A069ED" w:rsidRPr="00D937D6" w:rsidRDefault="0016690B" w:rsidP="00160542">
      <w:pPr>
        <w:pStyle w:val="3"/>
        <w:tabs>
          <w:tab w:val="left" w:pos="1560"/>
        </w:tabs>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概　述</w:t>
      </w:r>
    </w:p>
    <w:p w:rsidR="00577BFE" w:rsidRPr="00D937D6" w:rsidRDefault="002A5283" w:rsidP="00532774">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本文件介绍了国际局对可能实施的PCT费用对</w:t>
      </w:r>
      <w:proofErr w:type="gramStart"/>
      <w:r w:rsidRPr="00D937D6">
        <w:rPr>
          <w:rFonts w:ascii="SimSun" w:hAnsi="SimSun" w:hint="eastAsia"/>
          <w:sz w:val="21"/>
          <w:szCs w:val="21"/>
        </w:rPr>
        <w:t>冲</w:t>
      </w:r>
      <w:r w:rsidR="003E1037" w:rsidRPr="00D937D6">
        <w:rPr>
          <w:rFonts w:ascii="SimSun" w:hAnsi="SimSun" w:hint="eastAsia"/>
          <w:sz w:val="21"/>
          <w:szCs w:val="21"/>
        </w:rPr>
        <w:t>战略</w:t>
      </w:r>
      <w:proofErr w:type="gramEnd"/>
      <w:r w:rsidRPr="00D937D6">
        <w:rPr>
          <w:rFonts w:ascii="SimSun" w:hAnsi="SimSun" w:hint="eastAsia"/>
          <w:sz w:val="21"/>
          <w:szCs w:val="21"/>
        </w:rPr>
        <w:t>有关问题</w:t>
      </w:r>
      <w:r w:rsidR="00B91E7F" w:rsidRPr="00D937D6">
        <w:rPr>
          <w:rFonts w:ascii="SimSun" w:hAnsi="SimSun" w:hint="eastAsia"/>
          <w:sz w:val="21"/>
          <w:szCs w:val="21"/>
        </w:rPr>
        <w:t>所作</w:t>
      </w:r>
      <w:r w:rsidR="00E25FFE" w:rsidRPr="00D937D6">
        <w:rPr>
          <w:rFonts w:ascii="SimSun" w:hAnsi="SimSun" w:hint="eastAsia"/>
          <w:sz w:val="21"/>
          <w:szCs w:val="21"/>
        </w:rPr>
        <w:t>分析</w:t>
      </w:r>
      <w:r w:rsidR="00B91E7F" w:rsidRPr="00D937D6">
        <w:rPr>
          <w:rFonts w:ascii="SimSun" w:hAnsi="SimSun" w:hint="eastAsia"/>
          <w:sz w:val="21"/>
          <w:szCs w:val="21"/>
        </w:rPr>
        <w:t>的</w:t>
      </w:r>
      <w:r w:rsidRPr="00D937D6">
        <w:rPr>
          <w:rFonts w:ascii="SimSun" w:hAnsi="SimSun" w:hint="eastAsia"/>
          <w:sz w:val="21"/>
          <w:szCs w:val="21"/>
        </w:rPr>
        <w:t>进展报告，</w:t>
      </w:r>
      <w:r w:rsidR="00D932DE" w:rsidRPr="00D937D6">
        <w:rPr>
          <w:rFonts w:ascii="SimSun" w:hAnsi="SimSun" w:hint="eastAsia"/>
          <w:sz w:val="21"/>
          <w:szCs w:val="21"/>
        </w:rPr>
        <w:t>并介绍了</w:t>
      </w:r>
      <w:r w:rsidR="00B91E7F" w:rsidRPr="00D937D6">
        <w:rPr>
          <w:rFonts w:ascii="SimSun" w:hAnsi="SimSun" w:hint="eastAsia"/>
          <w:sz w:val="21"/>
          <w:szCs w:val="21"/>
        </w:rPr>
        <w:t>有关</w:t>
      </w:r>
      <w:r w:rsidR="00D932DE" w:rsidRPr="00D937D6">
        <w:rPr>
          <w:rFonts w:ascii="SimSun" w:hAnsi="SimSun" w:hint="eastAsia"/>
          <w:sz w:val="21"/>
          <w:szCs w:val="21"/>
        </w:rPr>
        <w:t>所有PCT</w:t>
      </w:r>
      <w:r w:rsidR="00FD08A9" w:rsidRPr="00D937D6">
        <w:rPr>
          <w:rFonts w:ascii="SimSun" w:hAnsi="SimSun" w:hint="eastAsia"/>
          <w:sz w:val="21"/>
          <w:szCs w:val="21"/>
        </w:rPr>
        <w:t>费用交易</w:t>
      </w:r>
      <w:r w:rsidR="00B91E7F" w:rsidRPr="00D937D6">
        <w:rPr>
          <w:rFonts w:ascii="SimSun" w:hAnsi="SimSun" w:hint="eastAsia"/>
          <w:sz w:val="21"/>
          <w:szCs w:val="21"/>
        </w:rPr>
        <w:t>可能</w:t>
      </w:r>
      <w:r w:rsidR="00FD08A9" w:rsidRPr="00D937D6">
        <w:rPr>
          <w:rFonts w:ascii="SimSun" w:hAnsi="SimSun" w:hint="eastAsia"/>
          <w:sz w:val="21"/>
          <w:szCs w:val="21"/>
        </w:rPr>
        <w:t>采用</w:t>
      </w:r>
      <w:r w:rsidR="00B91E7F" w:rsidRPr="00D937D6">
        <w:rPr>
          <w:rFonts w:ascii="SimSun" w:hAnsi="SimSun" w:hint="eastAsia"/>
          <w:sz w:val="21"/>
          <w:szCs w:val="21"/>
        </w:rPr>
        <w:t>的</w:t>
      </w:r>
      <w:r w:rsidR="00D932DE" w:rsidRPr="00D937D6">
        <w:rPr>
          <w:rFonts w:ascii="SimSun" w:hAnsi="SimSun" w:hint="eastAsia"/>
          <w:sz w:val="21"/>
          <w:szCs w:val="21"/>
        </w:rPr>
        <w:t>“净额清算”结构的最新进展情况</w:t>
      </w:r>
      <w:r w:rsidR="00547ED7" w:rsidRPr="00D937D6">
        <w:rPr>
          <w:rFonts w:ascii="SimSun" w:hAnsi="SimSun" w:hint="eastAsia"/>
          <w:sz w:val="21"/>
          <w:szCs w:val="21"/>
        </w:rPr>
        <w:t>。</w:t>
      </w:r>
      <w:r w:rsidR="00FD08A9" w:rsidRPr="00D937D6">
        <w:rPr>
          <w:rFonts w:ascii="SimSun" w:hAnsi="SimSun" w:hint="eastAsia"/>
          <w:sz w:val="21"/>
          <w:szCs w:val="21"/>
        </w:rPr>
        <w:t>国际局建议继续研究这两种</w:t>
      </w:r>
      <w:r w:rsidR="00B91E7F" w:rsidRPr="00D937D6">
        <w:rPr>
          <w:rFonts w:ascii="SimSun" w:hAnsi="SimSun" w:hint="eastAsia"/>
          <w:sz w:val="21"/>
          <w:szCs w:val="21"/>
        </w:rPr>
        <w:t>可能降低</w:t>
      </w:r>
      <w:r w:rsidR="00FD08A9" w:rsidRPr="00D937D6">
        <w:rPr>
          <w:rFonts w:ascii="SimSun" w:hAnsi="SimSun" w:hint="eastAsia"/>
          <w:sz w:val="21"/>
          <w:szCs w:val="21"/>
        </w:rPr>
        <w:t>汇率波动风险的措施，以期就是否</w:t>
      </w:r>
      <w:r w:rsidR="00B91E7F" w:rsidRPr="00D937D6">
        <w:rPr>
          <w:rFonts w:ascii="SimSun" w:hAnsi="SimSun" w:hint="eastAsia"/>
          <w:sz w:val="21"/>
          <w:szCs w:val="21"/>
        </w:rPr>
        <w:t>开始</w:t>
      </w:r>
      <w:r w:rsidR="00FD08A9" w:rsidRPr="00D937D6">
        <w:rPr>
          <w:rFonts w:ascii="SimSun" w:hAnsi="SimSun" w:hint="eastAsia"/>
          <w:sz w:val="21"/>
          <w:szCs w:val="21"/>
        </w:rPr>
        <w:t>缓冲和是否采用“净额清算”结构，向工作组2017年</w:t>
      </w:r>
      <w:r w:rsidR="00F45BFE">
        <w:rPr>
          <w:rFonts w:ascii="SimSun" w:hAnsi="SimSun" w:hint="eastAsia"/>
          <w:sz w:val="21"/>
          <w:szCs w:val="21"/>
        </w:rPr>
        <w:t>的</w:t>
      </w:r>
      <w:r w:rsidR="00FD08A9" w:rsidRPr="00D937D6">
        <w:rPr>
          <w:rFonts w:ascii="SimSun" w:hAnsi="SimSun" w:hint="eastAsia"/>
          <w:sz w:val="21"/>
          <w:szCs w:val="21"/>
        </w:rPr>
        <w:t>下届会议提出建议。</w:t>
      </w:r>
    </w:p>
    <w:p w:rsidR="0016690B" w:rsidRPr="00D937D6" w:rsidRDefault="0016690B" w:rsidP="00D937D6">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背　景</w:t>
      </w:r>
    </w:p>
    <w:p w:rsidR="00550B06" w:rsidRPr="00D937D6" w:rsidRDefault="00FD08A9" w:rsidP="00532774">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工作组在2015年5月第八届会议上讨论了国际局编拟的文件，该文件列出了</w:t>
      </w:r>
      <w:r w:rsidR="00043061" w:rsidRPr="00D937D6">
        <w:rPr>
          <w:rFonts w:ascii="SimSun" w:hAnsi="SimSun" w:hint="eastAsia"/>
          <w:sz w:val="21"/>
          <w:szCs w:val="21"/>
        </w:rPr>
        <w:t>为</w:t>
      </w:r>
      <w:r w:rsidR="00B91E7F" w:rsidRPr="00D937D6">
        <w:rPr>
          <w:rFonts w:ascii="SimSun" w:hAnsi="SimSun" w:hint="eastAsia"/>
          <w:sz w:val="21"/>
          <w:szCs w:val="21"/>
        </w:rPr>
        <w:t>降低</w:t>
      </w:r>
      <w:r w:rsidRPr="00D937D6">
        <w:rPr>
          <w:rFonts w:ascii="SimSun" w:hAnsi="SimSun" w:hint="eastAsia"/>
          <w:sz w:val="21"/>
          <w:szCs w:val="21"/>
        </w:rPr>
        <w:t>PCT费用收入汇率波动风险</w:t>
      </w:r>
      <w:r w:rsidR="00043061" w:rsidRPr="00D937D6">
        <w:rPr>
          <w:rFonts w:ascii="SimSun" w:hAnsi="SimSun" w:hint="eastAsia"/>
          <w:sz w:val="21"/>
          <w:szCs w:val="21"/>
        </w:rPr>
        <w:t>可能采取</w:t>
      </w:r>
      <w:r w:rsidRPr="00D937D6">
        <w:rPr>
          <w:rFonts w:ascii="SimSun" w:hAnsi="SimSun" w:hint="eastAsia"/>
          <w:sz w:val="21"/>
          <w:szCs w:val="21"/>
        </w:rPr>
        <w:t>的多种措施</w:t>
      </w:r>
      <w:r w:rsidR="00043061" w:rsidRPr="00D937D6">
        <w:rPr>
          <w:rFonts w:ascii="SimSun" w:hAnsi="SimSun" w:hint="eastAsia"/>
          <w:sz w:val="21"/>
          <w:szCs w:val="21"/>
        </w:rPr>
        <w:t>(文件</w:t>
      </w:r>
      <w:r w:rsidR="00043061" w:rsidRPr="00D937D6">
        <w:rPr>
          <w:rFonts w:ascii="SimSun" w:hAnsi="SimSun"/>
          <w:sz w:val="21"/>
          <w:szCs w:val="21"/>
        </w:rPr>
        <w:t>PCT/WG/8/15</w:t>
      </w:r>
      <w:r w:rsidR="00043061" w:rsidRPr="00D937D6">
        <w:rPr>
          <w:rFonts w:ascii="SimSun" w:hAnsi="SimSun" w:hint="eastAsia"/>
          <w:sz w:val="21"/>
          <w:szCs w:val="21"/>
        </w:rPr>
        <w:t>)</w:t>
      </w:r>
      <w:r w:rsidR="00164F77" w:rsidRPr="00D937D6">
        <w:rPr>
          <w:rFonts w:ascii="SimSun" w:hAnsi="SimSun" w:hint="eastAsia"/>
          <w:sz w:val="21"/>
          <w:szCs w:val="21"/>
        </w:rPr>
        <w:t>。</w:t>
      </w:r>
      <w:r w:rsidR="00043061" w:rsidRPr="00D937D6">
        <w:rPr>
          <w:rFonts w:ascii="SimSun" w:hAnsi="SimSun" w:hint="eastAsia"/>
          <w:sz w:val="21"/>
          <w:szCs w:val="21"/>
        </w:rPr>
        <w:t>讨论内容的总结在《主席总结》(文件</w:t>
      </w:r>
      <w:r w:rsidR="00043061" w:rsidRPr="00D937D6">
        <w:rPr>
          <w:rFonts w:ascii="SimSun" w:hAnsi="SimSun"/>
          <w:sz w:val="21"/>
          <w:szCs w:val="21"/>
        </w:rPr>
        <w:t>PCT/WG/8/25</w:t>
      </w:r>
      <w:r w:rsidR="00043061" w:rsidRPr="00D937D6">
        <w:rPr>
          <w:rFonts w:ascii="SimSun" w:hAnsi="SimSun" w:hint="eastAsia"/>
          <w:sz w:val="21"/>
          <w:szCs w:val="21"/>
        </w:rPr>
        <w:t>)第21至36段；会议报告(文件</w:t>
      </w:r>
      <w:r w:rsidR="00043061" w:rsidRPr="00D937D6">
        <w:rPr>
          <w:rFonts w:ascii="SimSun" w:hAnsi="SimSun"/>
          <w:sz w:val="21"/>
          <w:szCs w:val="21"/>
        </w:rPr>
        <w:t>PCT/WG/8/2</w:t>
      </w:r>
      <w:r w:rsidR="00043061" w:rsidRPr="00D937D6">
        <w:rPr>
          <w:rFonts w:ascii="SimSun" w:hAnsi="SimSun" w:hint="eastAsia"/>
          <w:sz w:val="21"/>
          <w:szCs w:val="21"/>
        </w:rPr>
        <w:t>6)第52至78段有所有发言的详细内容。</w:t>
      </w:r>
    </w:p>
    <w:p w:rsidR="00043061" w:rsidRPr="00D937D6" w:rsidRDefault="00043061" w:rsidP="00532774">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本文件列出了就文件</w:t>
      </w:r>
      <w:r w:rsidRPr="00D937D6">
        <w:rPr>
          <w:rFonts w:ascii="SimSun" w:hAnsi="SimSun"/>
          <w:sz w:val="21"/>
          <w:szCs w:val="21"/>
        </w:rPr>
        <w:t>PCT/WG/8/</w:t>
      </w:r>
      <w:r w:rsidRPr="00D937D6">
        <w:rPr>
          <w:rFonts w:ascii="SimSun" w:hAnsi="SimSun" w:hint="eastAsia"/>
          <w:sz w:val="21"/>
          <w:szCs w:val="21"/>
        </w:rPr>
        <w:t>15讨论的其中两种</w:t>
      </w:r>
      <w:r w:rsidR="00B435D9" w:rsidRPr="00D937D6">
        <w:rPr>
          <w:rFonts w:ascii="SimSun" w:hAnsi="SimSun" w:hint="eastAsia"/>
          <w:sz w:val="21"/>
          <w:szCs w:val="21"/>
        </w:rPr>
        <w:t>可能的</w:t>
      </w:r>
      <w:r w:rsidRPr="00D937D6">
        <w:rPr>
          <w:rFonts w:ascii="SimSun" w:hAnsi="SimSun" w:hint="eastAsia"/>
          <w:sz w:val="21"/>
          <w:szCs w:val="21"/>
        </w:rPr>
        <w:t>措施</w:t>
      </w:r>
      <w:r w:rsidR="001615BA" w:rsidRPr="00160542">
        <w:rPr>
          <w:rFonts w:ascii="SimSun" w:hAnsi="SimSun" w:hint="eastAsia"/>
          <w:sz w:val="21"/>
          <w:szCs w:val="21"/>
        </w:rPr>
        <w:t>所做</w:t>
      </w:r>
      <w:r w:rsidRPr="00D937D6">
        <w:rPr>
          <w:rFonts w:ascii="SimSun" w:hAnsi="SimSun" w:hint="eastAsia"/>
          <w:sz w:val="21"/>
          <w:szCs w:val="21"/>
        </w:rPr>
        <w:t>工作的最新进展，</w:t>
      </w:r>
      <w:r w:rsidR="00E25FFE" w:rsidRPr="00D937D6">
        <w:rPr>
          <w:rFonts w:ascii="SimSun" w:hAnsi="SimSun" w:hint="eastAsia"/>
          <w:sz w:val="21"/>
          <w:szCs w:val="21"/>
        </w:rPr>
        <w:t>这两种措施是：</w:t>
      </w:r>
    </w:p>
    <w:p w:rsidR="00E25FFE" w:rsidRPr="00D937D6" w:rsidRDefault="00E25FFE" w:rsidP="00E25FFE">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(a)</w:t>
      </w:r>
      <w:r w:rsidRPr="00D937D6">
        <w:rPr>
          <w:rFonts w:ascii="SimSun" w:hAnsi="SimSun" w:hint="eastAsia"/>
          <w:sz w:val="21"/>
          <w:szCs w:val="21"/>
        </w:rPr>
        <w:tab/>
        <w:t>在固定时期内对PCT费用进行对冲并设定等值数额；以及</w:t>
      </w:r>
    </w:p>
    <w:p w:rsidR="00E25FFE" w:rsidRPr="00D937D6" w:rsidRDefault="00E25FFE" w:rsidP="00E25FFE">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(b)</w:t>
      </w:r>
      <w:r w:rsidRPr="00D937D6">
        <w:rPr>
          <w:rFonts w:ascii="SimSun" w:hAnsi="SimSun" w:hint="eastAsia"/>
          <w:sz w:val="21"/>
          <w:szCs w:val="21"/>
        </w:rPr>
        <w:tab/>
        <w:t>对PCT费用转交采用“净额清算”结构。</w:t>
      </w:r>
    </w:p>
    <w:p w:rsidR="0016690B" w:rsidRPr="00D937D6" w:rsidRDefault="0016690B" w:rsidP="00D937D6">
      <w:pPr>
        <w:pStyle w:val="3"/>
        <w:spacing w:afterLines="50" w:after="120" w:line="340" w:lineRule="atLeast"/>
        <w:rPr>
          <w:rFonts w:ascii="SimHei" w:eastAsia="SimHei" w:hAnsi="SimHei"/>
          <w:sz w:val="24"/>
          <w:szCs w:val="24"/>
          <w:u w:val="none"/>
        </w:rPr>
      </w:pPr>
      <w:r w:rsidRPr="00D937D6">
        <w:rPr>
          <w:rFonts w:ascii="SimHei" w:eastAsia="SimHei" w:hAnsi="SimHei" w:hint="eastAsia"/>
          <w:sz w:val="24"/>
          <w:szCs w:val="24"/>
          <w:u w:val="none"/>
        </w:rPr>
        <w:lastRenderedPageBreak/>
        <w:t>在固定</w:t>
      </w:r>
      <w:r w:rsidR="00E25FFE" w:rsidRPr="00D937D6">
        <w:rPr>
          <w:rFonts w:ascii="SimHei" w:eastAsia="SimHei" w:hAnsi="SimHei" w:hint="eastAsia"/>
          <w:sz w:val="24"/>
          <w:szCs w:val="24"/>
          <w:u w:val="none"/>
        </w:rPr>
        <w:t>时期</w:t>
      </w:r>
      <w:r w:rsidRPr="00D937D6">
        <w:rPr>
          <w:rFonts w:ascii="SimHei" w:eastAsia="SimHei" w:hAnsi="SimHei" w:hint="eastAsia"/>
          <w:sz w:val="24"/>
          <w:szCs w:val="24"/>
          <w:u w:val="none"/>
        </w:rPr>
        <w:t>内对PCT费用进行</w:t>
      </w:r>
      <w:r w:rsidR="00E25FFE" w:rsidRPr="00D937D6">
        <w:rPr>
          <w:rFonts w:ascii="SimHei" w:eastAsia="SimHei" w:hAnsi="SimHei" w:hint="eastAsia"/>
          <w:sz w:val="24"/>
          <w:szCs w:val="24"/>
          <w:u w:val="none"/>
        </w:rPr>
        <w:t>对冲并</w:t>
      </w:r>
      <w:r w:rsidRPr="00D937D6">
        <w:rPr>
          <w:rFonts w:ascii="SimHei" w:eastAsia="SimHei" w:hAnsi="SimHei" w:hint="eastAsia"/>
          <w:sz w:val="24"/>
          <w:szCs w:val="24"/>
          <w:u w:val="none"/>
        </w:rPr>
        <w:t>设定等值数额</w:t>
      </w:r>
    </w:p>
    <w:p w:rsidR="00550B06" w:rsidRPr="00D937D6" w:rsidRDefault="00B435D9" w:rsidP="00B435D9">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对冲的定义</w:t>
      </w:r>
    </w:p>
    <w:p w:rsidR="00EA5FAF" w:rsidRPr="00D937D6" w:rsidRDefault="00EA5FAF" w:rsidP="003A67BD">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对冲是指</w:t>
      </w:r>
      <w:r w:rsidR="00A54123" w:rsidRPr="00D937D6">
        <w:rPr>
          <w:rFonts w:ascii="SimSun" w:hAnsi="SimSun" w:hint="eastAsia"/>
          <w:sz w:val="21"/>
          <w:szCs w:val="21"/>
        </w:rPr>
        <w:t>通过采用抵消风险的</w:t>
      </w:r>
      <w:proofErr w:type="gramStart"/>
      <w:r w:rsidR="00A54123" w:rsidRPr="00D937D6">
        <w:rPr>
          <w:rFonts w:ascii="SimSun" w:hAnsi="SimSun" w:hint="eastAsia"/>
          <w:sz w:val="21"/>
          <w:szCs w:val="21"/>
        </w:rPr>
        <w:t>仓位</w:t>
      </w:r>
      <w:proofErr w:type="gramEnd"/>
      <w:r w:rsidRPr="00D937D6">
        <w:rPr>
          <w:rFonts w:ascii="SimSun" w:hAnsi="SimSun" w:hint="eastAsia"/>
          <w:sz w:val="21"/>
          <w:szCs w:val="21"/>
        </w:rPr>
        <w:t>使</w:t>
      </w:r>
      <w:r w:rsidR="003A67BD" w:rsidRPr="00D937D6">
        <w:rPr>
          <w:rFonts w:ascii="SimSun" w:hAnsi="SimSun" w:hint="eastAsia"/>
          <w:sz w:val="21"/>
          <w:szCs w:val="21"/>
        </w:rPr>
        <w:t>诸如利率的不利变化所致的风险降到最低，或按WIPO的情况来说，是将汇率波动产生不利影响的风险降到最低。</w:t>
      </w:r>
      <w:r w:rsidR="008A68EA" w:rsidRPr="00D937D6">
        <w:rPr>
          <w:rFonts w:ascii="SimSun" w:hAnsi="SimSun" w:hint="eastAsia"/>
          <w:sz w:val="21"/>
          <w:szCs w:val="21"/>
        </w:rPr>
        <w:t>对冲外币交易</w:t>
      </w:r>
      <w:r w:rsidR="00A54123" w:rsidRPr="00D937D6">
        <w:rPr>
          <w:rFonts w:ascii="SimSun" w:hAnsi="SimSun" w:hint="eastAsia"/>
          <w:sz w:val="21"/>
          <w:szCs w:val="21"/>
        </w:rPr>
        <w:t>所</w:t>
      </w:r>
      <w:proofErr w:type="gramStart"/>
      <w:r w:rsidR="00A54123" w:rsidRPr="00D937D6">
        <w:rPr>
          <w:rFonts w:ascii="SimSun" w:hAnsi="SimSun" w:hint="eastAsia"/>
          <w:sz w:val="21"/>
          <w:szCs w:val="21"/>
        </w:rPr>
        <w:t>致</w:t>
      </w:r>
      <w:r w:rsidR="008A68EA" w:rsidRPr="00D937D6">
        <w:rPr>
          <w:rFonts w:ascii="SimSun" w:hAnsi="SimSun" w:hint="eastAsia"/>
          <w:sz w:val="21"/>
          <w:szCs w:val="21"/>
        </w:rPr>
        <w:t>风险</w:t>
      </w:r>
      <w:proofErr w:type="gramEnd"/>
      <w:r w:rsidR="00A54123" w:rsidRPr="00D937D6">
        <w:rPr>
          <w:rFonts w:ascii="SimSun" w:hAnsi="SimSun" w:hint="eastAsia"/>
          <w:sz w:val="21"/>
          <w:szCs w:val="21"/>
        </w:rPr>
        <w:t>的</w:t>
      </w:r>
      <w:r w:rsidR="008A68EA" w:rsidRPr="00D937D6">
        <w:rPr>
          <w:rFonts w:ascii="SimSun" w:hAnsi="SimSun" w:hint="eastAsia"/>
          <w:sz w:val="21"/>
          <w:szCs w:val="21"/>
        </w:rPr>
        <w:t>一种方式是如文件</w:t>
      </w:r>
      <w:r w:rsidR="008A68EA" w:rsidRPr="00D937D6">
        <w:rPr>
          <w:rFonts w:ascii="SimSun" w:hAnsi="SimSun"/>
          <w:sz w:val="21"/>
          <w:szCs w:val="21"/>
        </w:rPr>
        <w:t>PCT/WG/8/15</w:t>
      </w:r>
      <w:r w:rsidR="008A68EA" w:rsidRPr="00D937D6">
        <w:rPr>
          <w:rFonts w:ascii="SimSun" w:hAnsi="SimSun" w:hint="eastAsia"/>
          <w:sz w:val="21"/>
          <w:szCs w:val="21"/>
        </w:rPr>
        <w:t>附件一第20至22段所述，采用远期外汇合约(“</w:t>
      </w:r>
      <w:r w:rsidR="00493EBE" w:rsidRPr="00D937D6">
        <w:rPr>
          <w:rFonts w:ascii="SimSun" w:hAnsi="SimSun" w:hint="eastAsia"/>
          <w:sz w:val="21"/>
          <w:szCs w:val="21"/>
        </w:rPr>
        <w:t>远期</w:t>
      </w:r>
      <w:r w:rsidR="00337C65" w:rsidRPr="00D937D6">
        <w:rPr>
          <w:rFonts w:ascii="SimSun" w:hAnsi="SimSun" w:hint="eastAsia"/>
          <w:sz w:val="21"/>
          <w:szCs w:val="21"/>
        </w:rPr>
        <w:t>合约</w:t>
      </w:r>
      <w:r w:rsidR="008A68EA" w:rsidRPr="00D937D6">
        <w:rPr>
          <w:rFonts w:ascii="SimSun" w:hAnsi="SimSun" w:hint="eastAsia"/>
          <w:sz w:val="21"/>
          <w:szCs w:val="21"/>
        </w:rPr>
        <w:t>”)。</w:t>
      </w:r>
      <w:r w:rsidR="00493EBE" w:rsidRPr="00D937D6">
        <w:rPr>
          <w:rFonts w:ascii="SimSun" w:hAnsi="SimSun" w:hint="eastAsia"/>
          <w:sz w:val="21"/>
          <w:szCs w:val="21"/>
        </w:rPr>
        <w:t>远期</w:t>
      </w:r>
      <w:r w:rsidR="00337C65" w:rsidRPr="00D937D6">
        <w:rPr>
          <w:rFonts w:ascii="SimSun" w:hAnsi="SimSun" w:hint="eastAsia"/>
          <w:sz w:val="21"/>
          <w:szCs w:val="21"/>
        </w:rPr>
        <w:t>合约</w:t>
      </w:r>
      <w:r w:rsidR="009B494D" w:rsidRPr="00D937D6">
        <w:rPr>
          <w:rFonts w:ascii="SimSun" w:hAnsi="SimSun" w:hint="eastAsia"/>
          <w:sz w:val="21"/>
          <w:szCs w:val="21"/>
        </w:rPr>
        <w:t>是外汇交易双方在未来某个固定日期、按所商定的汇率(“远期汇率”)进行交易的</w:t>
      </w:r>
      <w:r w:rsidR="001A14B9" w:rsidRPr="00D937D6">
        <w:rPr>
          <w:rFonts w:ascii="SimSun" w:hAnsi="SimSun" w:hint="eastAsia"/>
          <w:sz w:val="21"/>
          <w:szCs w:val="21"/>
        </w:rPr>
        <w:t>合约</w:t>
      </w:r>
      <w:r w:rsidR="009B494D" w:rsidRPr="00D937D6">
        <w:rPr>
          <w:rFonts w:ascii="SimSun" w:hAnsi="SimSun" w:hint="eastAsia"/>
          <w:sz w:val="21"/>
          <w:szCs w:val="21"/>
        </w:rPr>
        <w:t>安排。</w:t>
      </w:r>
    </w:p>
    <w:p w:rsidR="00EA5FAF" w:rsidRPr="00D937D6" w:rsidRDefault="00337C65" w:rsidP="003A67BD">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典型的货币对</w:t>
      </w:r>
      <w:proofErr w:type="gramStart"/>
      <w:r w:rsidRPr="00D937D6">
        <w:rPr>
          <w:rFonts w:ascii="SimSun" w:hAnsi="SimSun" w:hint="eastAsia"/>
          <w:sz w:val="21"/>
          <w:szCs w:val="21"/>
        </w:rPr>
        <w:t>冲</w:t>
      </w:r>
      <w:r w:rsidR="003E1037" w:rsidRPr="00D937D6">
        <w:rPr>
          <w:rFonts w:ascii="SimSun" w:hAnsi="SimSun" w:hint="eastAsia"/>
          <w:sz w:val="21"/>
          <w:szCs w:val="21"/>
        </w:rPr>
        <w:t>战略</w:t>
      </w:r>
      <w:proofErr w:type="gramEnd"/>
      <w:r w:rsidRPr="00D937D6">
        <w:rPr>
          <w:rFonts w:ascii="SimSun" w:hAnsi="SimSun" w:hint="eastAsia"/>
          <w:sz w:val="21"/>
          <w:szCs w:val="21"/>
        </w:rPr>
        <w:t>涉及在一段固定的时期内</w:t>
      </w:r>
      <w:r w:rsidR="00301557" w:rsidRPr="00D937D6">
        <w:rPr>
          <w:rFonts w:ascii="SimSun" w:hAnsi="SimSun" w:hint="eastAsia"/>
          <w:sz w:val="21"/>
          <w:szCs w:val="21"/>
        </w:rPr>
        <w:t>，</w:t>
      </w:r>
      <w:r w:rsidRPr="00D937D6">
        <w:rPr>
          <w:rFonts w:ascii="SimSun" w:hAnsi="SimSun" w:hint="eastAsia"/>
          <w:sz w:val="21"/>
          <w:szCs w:val="21"/>
        </w:rPr>
        <w:t>在不同日期</w:t>
      </w:r>
      <w:r w:rsidR="00493EBE" w:rsidRPr="00D937D6">
        <w:rPr>
          <w:rFonts w:ascii="SimSun" w:hAnsi="SimSun" w:hint="eastAsia"/>
          <w:sz w:val="21"/>
          <w:szCs w:val="21"/>
        </w:rPr>
        <w:t>订立</w:t>
      </w:r>
      <w:r w:rsidR="00301557" w:rsidRPr="00D937D6">
        <w:rPr>
          <w:rFonts w:ascii="SimSun" w:hAnsi="SimSun" w:hint="eastAsia"/>
          <w:sz w:val="21"/>
          <w:szCs w:val="21"/>
        </w:rPr>
        <w:t>远期</w:t>
      </w:r>
      <w:r w:rsidR="001A14B9" w:rsidRPr="00D937D6">
        <w:rPr>
          <w:rFonts w:ascii="SimSun" w:hAnsi="SimSun" w:hint="eastAsia"/>
          <w:sz w:val="21"/>
          <w:szCs w:val="21"/>
        </w:rPr>
        <w:t>合约</w:t>
      </w:r>
      <w:r w:rsidR="00EA5FAF" w:rsidRPr="00D937D6">
        <w:rPr>
          <w:rFonts w:ascii="SimSun" w:hAnsi="SimSun" w:hint="eastAsia"/>
          <w:sz w:val="21"/>
          <w:szCs w:val="21"/>
        </w:rPr>
        <w:t>。</w:t>
      </w:r>
      <w:r w:rsidRPr="00D937D6">
        <w:rPr>
          <w:rFonts w:ascii="SimSun" w:hAnsi="SimSun" w:hint="eastAsia"/>
          <w:sz w:val="21"/>
          <w:szCs w:val="21"/>
        </w:rPr>
        <w:t>在这段时期内，</w:t>
      </w:r>
      <w:r w:rsidR="00301557" w:rsidRPr="00D937D6">
        <w:rPr>
          <w:rFonts w:ascii="SimSun" w:hAnsi="SimSun" w:hint="eastAsia"/>
          <w:sz w:val="21"/>
          <w:szCs w:val="21"/>
        </w:rPr>
        <w:t>以对</w:t>
      </w:r>
      <w:proofErr w:type="gramStart"/>
      <w:r w:rsidR="00301557" w:rsidRPr="00D937D6">
        <w:rPr>
          <w:rFonts w:ascii="SimSun" w:hAnsi="SimSun" w:hint="eastAsia"/>
          <w:sz w:val="21"/>
          <w:szCs w:val="21"/>
        </w:rPr>
        <w:t>冲货币</w:t>
      </w:r>
      <w:proofErr w:type="gramEnd"/>
      <w:r w:rsidR="00301557" w:rsidRPr="00D937D6">
        <w:rPr>
          <w:rFonts w:ascii="SimSun" w:hAnsi="SimSun" w:hint="eastAsia"/>
          <w:sz w:val="21"/>
          <w:szCs w:val="21"/>
        </w:rPr>
        <w:t>计算的费用的等值瑞士法郎金额将会</w:t>
      </w:r>
      <w:r w:rsidR="00380578" w:rsidRPr="00D937D6">
        <w:rPr>
          <w:rFonts w:ascii="SimSun" w:hAnsi="SimSun" w:hint="eastAsia"/>
          <w:sz w:val="21"/>
          <w:szCs w:val="21"/>
        </w:rPr>
        <w:t>使用</w:t>
      </w:r>
      <w:r w:rsidR="00301557" w:rsidRPr="00D937D6">
        <w:rPr>
          <w:rFonts w:ascii="SimSun" w:hAnsi="SimSun" w:hint="eastAsia"/>
          <w:sz w:val="21"/>
          <w:szCs w:val="21"/>
        </w:rPr>
        <w:t>加权平均的远期汇率</w:t>
      </w:r>
      <w:r w:rsidR="00A54123" w:rsidRPr="00D937D6">
        <w:rPr>
          <w:rFonts w:ascii="SimSun" w:hAnsi="SimSun" w:hint="eastAsia"/>
          <w:sz w:val="21"/>
          <w:szCs w:val="21"/>
        </w:rPr>
        <w:t>来计算</w:t>
      </w:r>
      <w:r w:rsidR="00301557" w:rsidRPr="00D937D6">
        <w:rPr>
          <w:rFonts w:ascii="SimSun" w:hAnsi="SimSun" w:hint="eastAsia"/>
          <w:sz w:val="21"/>
          <w:szCs w:val="21"/>
        </w:rPr>
        <w:t>，</w:t>
      </w:r>
      <w:r w:rsidR="00380578" w:rsidRPr="00D937D6">
        <w:rPr>
          <w:rFonts w:ascii="SimSun" w:hAnsi="SimSun" w:hint="eastAsia"/>
          <w:sz w:val="21"/>
          <w:szCs w:val="21"/>
        </w:rPr>
        <w:t>这种汇率称为</w:t>
      </w:r>
      <w:r w:rsidR="00A54123" w:rsidRPr="00D937D6">
        <w:rPr>
          <w:rFonts w:ascii="SimSun" w:hAnsi="SimSun" w:hint="eastAsia"/>
          <w:sz w:val="21"/>
          <w:szCs w:val="21"/>
        </w:rPr>
        <w:t>混合对冲汇</w:t>
      </w:r>
      <w:r w:rsidR="00380578" w:rsidRPr="00D937D6">
        <w:rPr>
          <w:rFonts w:ascii="SimSun" w:hAnsi="SimSun" w:hint="eastAsia"/>
          <w:sz w:val="21"/>
          <w:szCs w:val="21"/>
        </w:rPr>
        <w:t>率，在远期</w:t>
      </w:r>
      <w:r w:rsidR="001A14B9" w:rsidRPr="00D937D6">
        <w:rPr>
          <w:rFonts w:ascii="SimSun" w:hAnsi="SimSun" w:hint="eastAsia"/>
          <w:sz w:val="21"/>
          <w:szCs w:val="21"/>
        </w:rPr>
        <w:t>合约</w:t>
      </w:r>
      <w:r w:rsidR="00380578" w:rsidRPr="00D937D6">
        <w:rPr>
          <w:rFonts w:ascii="SimSun" w:hAnsi="SimSun" w:hint="eastAsia"/>
          <w:sz w:val="21"/>
          <w:szCs w:val="21"/>
        </w:rPr>
        <w:t>所覆盖的时期内固定不变。因此，</w:t>
      </w:r>
      <w:proofErr w:type="gramStart"/>
      <w:r w:rsidR="00A54123" w:rsidRPr="00D937D6">
        <w:rPr>
          <w:rFonts w:ascii="SimSun" w:hAnsi="SimSun" w:hint="eastAsia"/>
          <w:sz w:val="21"/>
          <w:szCs w:val="21"/>
        </w:rPr>
        <w:t>对冲</w:t>
      </w:r>
      <w:r w:rsidR="00380578" w:rsidRPr="00D937D6">
        <w:rPr>
          <w:rFonts w:ascii="SimSun" w:hAnsi="SimSun" w:hint="eastAsia"/>
          <w:sz w:val="21"/>
          <w:szCs w:val="21"/>
        </w:rPr>
        <w:t>期内</w:t>
      </w:r>
      <w:proofErr w:type="gramEnd"/>
      <w:r w:rsidR="00380578" w:rsidRPr="00D937D6">
        <w:rPr>
          <w:rFonts w:ascii="SimSun" w:hAnsi="SimSun" w:hint="eastAsia"/>
          <w:sz w:val="21"/>
          <w:szCs w:val="21"/>
        </w:rPr>
        <w:t>等值金额的固定</w:t>
      </w:r>
      <w:r w:rsidR="003E1046" w:rsidRPr="00D937D6">
        <w:rPr>
          <w:rFonts w:ascii="SimSun" w:hAnsi="SimSun" w:hint="eastAsia"/>
          <w:sz w:val="21"/>
          <w:szCs w:val="21"/>
        </w:rPr>
        <w:t>应能</w:t>
      </w:r>
      <w:r w:rsidR="00A54123" w:rsidRPr="00D937D6">
        <w:rPr>
          <w:rFonts w:ascii="SimSun" w:hAnsi="SimSun" w:hint="eastAsia"/>
          <w:sz w:val="21"/>
          <w:szCs w:val="21"/>
        </w:rPr>
        <w:t>更好地预测对</w:t>
      </w:r>
      <w:proofErr w:type="gramStart"/>
      <w:r w:rsidR="00A54123" w:rsidRPr="00D937D6">
        <w:rPr>
          <w:rFonts w:ascii="SimSun" w:hAnsi="SimSun" w:hint="eastAsia"/>
          <w:sz w:val="21"/>
          <w:szCs w:val="21"/>
        </w:rPr>
        <w:t>冲</w:t>
      </w:r>
      <w:r w:rsidR="0083617A" w:rsidRPr="00D937D6">
        <w:rPr>
          <w:rFonts w:ascii="SimSun" w:hAnsi="SimSun" w:hint="eastAsia"/>
          <w:sz w:val="21"/>
          <w:szCs w:val="21"/>
        </w:rPr>
        <w:t>收入</w:t>
      </w:r>
      <w:proofErr w:type="gramEnd"/>
      <w:r w:rsidR="00A54123" w:rsidRPr="00D937D6">
        <w:rPr>
          <w:rFonts w:ascii="SimSun" w:hAnsi="SimSun" w:hint="eastAsia"/>
          <w:sz w:val="21"/>
          <w:szCs w:val="21"/>
        </w:rPr>
        <w:t>的</w:t>
      </w:r>
      <w:r w:rsidR="0083617A" w:rsidRPr="00D937D6">
        <w:rPr>
          <w:rFonts w:ascii="SimSun" w:hAnsi="SimSun" w:hint="eastAsia"/>
          <w:sz w:val="21"/>
          <w:szCs w:val="21"/>
        </w:rPr>
        <w:t>货币现金流。对这一过程的进一步解释及举例说明可见文件</w:t>
      </w:r>
      <w:r w:rsidR="0083617A" w:rsidRPr="00D937D6">
        <w:rPr>
          <w:rFonts w:ascii="SimSun" w:hAnsi="SimSun"/>
          <w:sz w:val="21"/>
          <w:szCs w:val="21"/>
        </w:rPr>
        <w:t>PCT/WG/8/15</w:t>
      </w:r>
      <w:r w:rsidR="0083617A" w:rsidRPr="00D937D6">
        <w:rPr>
          <w:rFonts w:ascii="SimSun" w:hAnsi="SimSun" w:hint="eastAsia"/>
          <w:sz w:val="21"/>
          <w:szCs w:val="21"/>
        </w:rPr>
        <w:t>附件一第23至29段。</w:t>
      </w:r>
    </w:p>
    <w:p w:rsidR="00BA2152" w:rsidRPr="00D937D6" w:rsidRDefault="00B435D9" w:rsidP="00B435D9">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工作组、计划和预算委员会以及PCT大会的讨论</w:t>
      </w:r>
    </w:p>
    <w:p w:rsidR="000A7AF7" w:rsidRPr="00D937D6" w:rsidRDefault="0083617A" w:rsidP="00532774">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工作组在2015年5月举行的第八届会议上同意国际局载于文件</w:t>
      </w:r>
      <w:r w:rsidRPr="00D937D6">
        <w:rPr>
          <w:rFonts w:ascii="SimSun" w:hAnsi="SimSun"/>
          <w:sz w:val="21"/>
          <w:szCs w:val="21"/>
        </w:rPr>
        <w:t>PCT/WG/8/15</w:t>
      </w:r>
      <w:r w:rsidRPr="00D937D6">
        <w:rPr>
          <w:rFonts w:ascii="SimSun" w:hAnsi="SimSun" w:hint="eastAsia"/>
          <w:sz w:val="21"/>
          <w:szCs w:val="21"/>
        </w:rPr>
        <w:t>中的提案，即</w:t>
      </w:r>
      <w:r w:rsidR="00AF0A7B" w:rsidRPr="00D937D6">
        <w:rPr>
          <w:rFonts w:ascii="SimSun" w:hAnsi="SimSun" w:hint="eastAsia"/>
          <w:sz w:val="21"/>
          <w:szCs w:val="21"/>
        </w:rPr>
        <w:t>针对</w:t>
      </w:r>
      <w:r w:rsidRPr="00D937D6">
        <w:rPr>
          <w:rFonts w:ascii="SimSun" w:hAnsi="SimSun" w:hint="eastAsia"/>
          <w:sz w:val="21"/>
          <w:szCs w:val="21"/>
        </w:rPr>
        <w:t>使用欧元、日元和美元交易</w:t>
      </w:r>
      <w:r w:rsidR="00AF0A7B" w:rsidRPr="00D937D6">
        <w:rPr>
          <w:rFonts w:ascii="SimSun" w:hAnsi="SimSun" w:hint="eastAsia"/>
          <w:sz w:val="21"/>
          <w:szCs w:val="21"/>
        </w:rPr>
        <w:t>所</w:t>
      </w:r>
      <w:r w:rsidRPr="00D937D6">
        <w:rPr>
          <w:rFonts w:ascii="SimSun" w:hAnsi="SimSun" w:hint="eastAsia"/>
          <w:sz w:val="21"/>
          <w:szCs w:val="21"/>
        </w:rPr>
        <w:t>产生</w:t>
      </w:r>
      <w:r w:rsidR="00AF0A7B" w:rsidRPr="00D937D6">
        <w:rPr>
          <w:rFonts w:ascii="SimSun" w:hAnsi="SimSun" w:hint="eastAsia"/>
          <w:sz w:val="21"/>
          <w:szCs w:val="21"/>
        </w:rPr>
        <w:t>的</w:t>
      </w:r>
      <w:r w:rsidRPr="00D937D6">
        <w:rPr>
          <w:rFonts w:ascii="SimSun" w:hAnsi="SimSun" w:hint="eastAsia"/>
          <w:sz w:val="21"/>
          <w:szCs w:val="21"/>
        </w:rPr>
        <w:t>风险，</w:t>
      </w:r>
      <w:r w:rsidR="00AF0A7B" w:rsidRPr="00D937D6">
        <w:rPr>
          <w:rFonts w:ascii="SimSun" w:hAnsi="SimSun" w:hint="eastAsia"/>
          <w:sz w:val="21"/>
          <w:szCs w:val="21"/>
        </w:rPr>
        <w:t>启动对国际申请费的</w:t>
      </w:r>
      <w:r w:rsidR="00A54123" w:rsidRPr="00D937D6">
        <w:rPr>
          <w:rFonts w:ascii="SimSun" w:hAnsi="SimSun" w:hint="eastAsia"/>
          <w:sz w:val="21"/>
          <w:szCs w:val="21"/>
        </w:rPr>
        <w:t>对</w:t>
      </w:r>
      <w:proofErr w:type="gramStart"/>
      <w:r w:rsidR="00A54123" w:rsidRPr="00D937D6">
        <w:rPr>
          <w:rFonts w:ascii="SimSun" w:hAnsi="SimSun" w:hint="eastAsia"/>
          <w:sz w:val="21"/>
          <w:szCs w:val="21"/>
        </w:rPr>
        <w:t>冲</w:t>
      </w:r>
      <w:r w:rsidR="003E1037" w:rsidRPr="00D937D6">
        <w:rPr>
          <w:rFonts w:ascii="SimSun" w:hAnsi="SimSun" w:hint="eastAsia"/>
          <w:sz w:val="21"/>
          <w:szCs w:val="21"/>
        </w:rPr>
        <w:t>程序</w:t>
      </w:r>
      <w:proofErr w:type="gramEnd"/>
      <w:r w:rsidR="00AF0A7B" w:rsidRPr="00D937D6">
        <w:rPr>
          <w:rFonts w:ascii="SimSun" w:hAnsi="SimSun" w:hint="eastAsia"/>
          <w:sz w:val="21"/>
          <w:szCs w:val="21"/>
        </w:rPr>
        <w:t>(见文件</w:t>
      </w:r>
      <w:r w:rsidR="00AF0A7B" w:rsidRPr="00D937D6">
        <w:rPr>
          <w:rFonts w:ascii="SimSun" w:hAnsi="SimSun"/>
          <w:sz w:val="21"/>
          <w:szCs w:val="21"/>
        </w:rPr>
        <w:t>PCT/WG/8/</w:t>
      </w:r>
      <w:r w:rsidR="00AF0A7B" w:rsidRPr="00D937D6">
        <w:rPr>
          <w:rFonts w:ascii="SimSun" w:hAnsi="SimSun" w:hint="eastAsia"/>
          <w:sz w:val="21"/>
          <w:szCs w:val="21"/>
        </w:rPr>
        <w:t>26会议《报告》第78段)，以期将提案提交大会2015年10月的会议审议：</w:t>
      </w:r>
    </w:p>
    <w:p w:rsidR="00AF0A7B" w:rsidRPr="00D937D6" w:rsidRDefault="00AF0A7B" w:rsidP="00AF0A7B">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“78. 工作组商定了对载于文件PCT/WG/8/15附件二的PCT大会关于建立某些PCT费用等值数额的指令的拟议修改，以期将其提交给大会于2015年10月举行的下届会议审议，但秘书处可能</w:t>
      </w:r>
      <w:proofErr w:type="gramStart"/>
      <w:r w:rsidRPr="00D937D6">
        <w:rPr>
          <w:rFonts w:ascii="SimSun" w:hAnsi="SimSun" w:hint="eastAsia"/>
          <w:sz w:val="21"/>
          <w:szCs w:val="21"/>
        </w:rPr>
        <w:t>作出</w:t>
      </w:r>
      <w:proofErr w:type="gramEnd"/>
      <w:r w:rsidRPr="00D937D6">
        <w:rPr>
          <w:rFonts w:ascii="SimSun" w:hAnsi="SimSun" w:hint="eastAsia"/>
          <w:sz w:val="21"/>
          <w:szCs w:val="21"/>
        </w:rPr>
        <w:t>进一步文字修改；另外的备选方案是向大会提交一份谅解草案，列出根据总干事决定的混合对冲汇率确定以拟对冲的货币缴纳的等值数额之新程序的细节，连同拟修改的指令一并供大会通过。”</w:t>
      </w:r>
    </w:p>
    <w:p w:rsidR="000A7AF7" w:rsidRPr="00D937D6" w:rsidRDefault="00AF0A7B" w:rsidP="00532774">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在大会2015年10月</w:t>
      </w:r>
      <w:r w:rsidR="00DE471D" w:rsidRPr="00D937D6">
        <w:rPr>
          <w:rFonts w:ascii="SimSun" w:hAnsi="SimSun" w:hint="eastAsia"/>
          <w:sz w:val="21"/>
          <w:szCs w:val="21"/>
        </w:rPr>
        <w:t>的会议之前，国际局就实施拟议PCT费用收入对</w:t>
      </w:r>
      <w:proofErr w:type="gramStart"/>
      <w:r w:rsidR="00DE471D" w:rsidRPr="00D937D6">
        <w:rPr>
          <w:rFonts w:ascii="SimSun" w:hAnsi="SimSun" w:hint="eastAsia"/>
          <w:sz w:val="21"/>
          <w:szCs w:val="21"/>
        </w:rPr>
        <w:t>冲</w:t>
      </w:r>
      <w:r w:rsidR="003E1037" w:rsidRPr="00D937D6">
        <w:rPr>
          <w:rFonts w:ascii="SimSun" w:hAnsi="SimSun" w:hint="eastAsia"/>
          <w:sz w:val="21"/>
          <w:szCs w:val="21"/>
        </w:rPr>
        <w:t>战略</w:t>
      </w:r>
      <w:proofErr w:type="gramEnd"/>
      <w:r w:rsidR="00DE471D" w:rsidRPr="00D937D6">
        <w:rPr>
          <w:rFonts w:ascii="SimSun" w:hAnsi="SimSun" w:hint="eastAsia"/>
          <w:sz w:val="21"/>
          <w:szCs w:val="21"/>
        </w:rPr>
        <w:t>的最新情况，向2015年9月14至18日举行的计划和预算委员会(PBC)第二十四届会议作了介绍(基于文件</w:t>
      </w:r>
      <w:r w:rsidR="00DE471D" w:rsidRPr="00D937D6">
        <w:rPr>
          <w:rFonts w:ascii="SimSun" w:hAnsi="SimSun"/>
          <w:sz w:val="21"/>
          <w:szCs w:val="21"/>
        </w:rPr>
        <w:t>WO/PBC/24/INF.3</w:t>
      </w:r>
      <w:r w:rsidR="00DE471D" w:rsidRPr="00D937D6">
        <w:rPr>
          <w:rFonts w:ascii="SimSun" w:hAnsi="SimSun" w:hint="eastAsia"/>
          <w:sz w:val="21"/>
          <w:szCs w:val="21"/>
        </w:rPr>
        <w:t>)，确认了有关该</w:t>
      </w:r>
      <w:r w:rsidR="003E1037" w:rsidRPr="00D937D6">
        <w:rPr>
          <w:rFonts w:ascii="SimSun" w:hAnsi="SimSun" w:hint="eastAsia"/>
          <w:sz w:val="21"/>
          <w:szCs w:val="21"/>
        </w:rPr>
        <w:t>战略</w:t>
      </w:r>
      <w:r w:rsidR="00DE471D" w:rsidRPr="00D937D6">
        <w:rPr>
          <w:rFonts w:ascii="SimSun" w:hAnsi="SimSun" w:hint="eastAsia"/>
          <w:sz w:val="21"/>
          <w:szCs w:val="21"/>
        </w:rPr>
        <w:t>的若干风险和关切</w:t>
      </w:r>
      <w:r w:rsidR="003A431B" w:rsidRPr="00D937D6">
        <w:rPr>
          <w:rFonts w:ascii="SimSun" w:hAnsi="SimSun" w:hint="eastAsia"/>
          <w:sz w:val="21"/>
          <w:szCs w:val="21"/>
        </w:rPr>
        <w:t>。</w:t>
      </w:r>
      <w:r w:rsidR="00DE471D" w:rsidRPr="00D937D6">
        <w:rPr>
          <w:rFonts w:ascii="SimSun" w:hAnsi="SimSun" w:hint="eastAsia"/>
          <w:sz w:val="21"/>
          <w:szCs w:val="21"/>
        </w:rPr>
        <w:t>在对文件进行审议后，计划和预算委员会同意向PCT大会提交以下建议(见议程第10项下的文件</w:t>
      </w:r>
      <w:r w:rsidR="00DE471D" w:rsidRPr="00D937D6">
        <w:rPr>
          <w:rFonts w:ascii="SimSun" w:hAnsi="SimSun"/>
          <w:sz w:val="21"/>
          <w:szCs w:val="21"/>
        </w:rPr>
        <w:t>WO/PBC/24/17</w:t>
      </w:r>
      <w:r w:rsidR="00DE471D" w:rsidRPr="00D937D6">
        <w:rPr>
          <w:rFonts w:ascii="SimSun" w:hAnsi="SimSun" w:hint="eastAsia"/>
          <w:sz w:val="21"/>
          <w:szCs w:val="21"/>
        </w:rPr>
        <w:t>)：</w:t>
      </w:r>
    </w:p>
    <w:p w:rsidR="003E1037" w:rsidRPr="00D937D6" w:rsidRDefault="003E1037" w:rsidP="003E1037">
      <w:pPr>
        <w:pStyle w:val="ONUME"/>
        <w:numPr>
          <w:ilvl w:val="0"/>
          <w:numId w:val="0"/>
        </w:numPr>
        <w:overflowPunct w:val="0"/>
        <w:spacing w:afterLines="50" w:after="120" w:line="340" w:lineRule="atLeast"/>
        <w:ind w:left="567"/>
        <w:jc w:val="both"/>
        <w:rPr>
          <w:rFonts w:ascii="SimSun" w:hAnsi="SimSun"/>
          <w:sz w:val="21"/>
          <w:szCs w:val="21"/>
        </w:rPr>
      </w:pPr>
      <w:r w:rsidRPr="00D937D6">
        <w:rPr>
          <w:rFonts w:ascii="SimSun" w:hAnsi="SimSun" w:hint="eastAsia"/>
          <w:sz w:val="21"/>
          <w:szCs w:val="21"/>
        </w:rPr>
        <w:t>“关于文件PCT/WG/8/15中所载的PCT工作组的建议，计划和预算委员会(PBC)通过文件WO/PBC/24/INF.3获悉了与实施PCT收费对</w:t>
      </w:r>
      <w:proofErr w:type="gramStart"/>
      <w:r w:rsidRPr="00D937D6">
        <w:rPr>
          <w:rFonts w:ascii="SimSun" w:hAnsi="SimSun" w:hint="eastAsia"/>
          <w:sz w:val="21"/>
          <w:szCs w:val="21"/>
        </w:rPr>
        <w:t>冲战略</w:t>
      </w:r>
      <w:proofErr w:type="gramEnd"/>
      <w:r w:rsidRPr="00D937D6">
        <w:rPr>
          <w:rFonts w:ascii="SimSun" w:hAnsi="SimSun" w:hint="eastAsia"/>
          <w:sz w:val="21"/>
          <w:szCs w:val="21"/>
        </w:rPr>
        <w:t>有关的几个问题。在对其中所载的问题进行认真审议之后，PBC建议PCT联盟大会：</w:t>
      </w:r>
    </w:p>
    <w:p w:rsidR="003E1037" w:rsidRPr="00D937D6" w:rsidRDefault="003E1037" w:rsidP="00786DFD">
      <w:pPr>
        <w:pStyle w:val="ONUME"/>
        <w:numPr>
          <w:ilvl w:val="0"/>
          <w:numId w:val="0"/>
        </w:numPr>
        <w:overflowPunct w:val="0"/>
        <w:spacing w:afterLines="50" w:after="120" w:line="340" w:lineRule="atLeast"/>
        <w:ind w:left="960"/>
        <w:jc w:val="both"/>
        <w:rPr>
          <w:rFonts w:ascii="SimSun" w:hAnsi="SimSun"/>
          <w:sz w:val="21"/>
          <w:szCs w:val="21"/>
        </w:rPr>
      </w:pPr>
      <w:r w:rsidRPr="00D937D6">
        <w:rPr>
          <w:rFonts w:ascii="SimSun" w:hAnsi="SimSun" w:hint="eastAsia"/>
          <w:sz w:val="21"/>
          <w:szCs w:val="21"/>
        </w:rPr>
        <w:t>(i)</w:t>
      </w:r>
      <w:r w:rsidRPr="00D937D6">
        <w:rPr>
          <w:rFonts w:ascii="SimSun" w:hAnsi="SimSun" w:hint="eastAsia"/>
          <w:sz w:val="21"/>
          <w:szCs w:val="21"/>
        </w:rPr>
        <w:tab/>
        <w:t>给秘书处更多时间进一步详细分析这些问题，以适当评估与实施此种对</w:t>
      </w:r>
      <w:proofErr w:type="gramStart"/>
      <w:r w:rsidRPr="00D937D6">
        <w:rPr>
          <w:rFonts w:ascii="SimSun" w:hAnsi="SimSun" w:hint="eastAsia"/>
          <w:sz w:val="21"/>
          <w:szCs w:val="21"/>
        </w:rPr>
        <w:t>冲战略</w:t>
      </w:r>
      <w:proofErr w:type="gramEnd"/>
      <w:r w:rsidRPr="00D937D6">
        <w:rPr>
          <w:rFonts w:ascii="SimSun" w:hAnsi="SimSun" w:hint="eastAsia"/>
          <w:sz w:val="21"/>
          <w:szCs w:val="21"/>
        </w:rPr>
        <w:t>有关的所有挑战；并因此，</w:t>
      </w:r>
    </w:p>
    <w:p w:rsidR="003E1037" w:rsidRPr="00D937D6" w:rsidRDefault="003E1037" w:rsidP="00786DFD">
      <w:pPr>
        <w:pStyle w:val="ONUME"/>
        <w:numPr>
          <w:ilvl w:val="0"/>
          <w:numId w:val="0"/>
        </w:numPr>
        <w:overflowPunct w:val="0"/>
        <w:spacing w:afterLines="50" w:after="120" w:line="340" w:lineRule="atLeast"/>
        <w:ind w:left="960"/>
        <w:jc w:val="both"/>
        <w:rPr>
          <w:rFonts w:ascii="SimSun" w:hAnsi="SimSun"/>
          <w:sz w:val="21"/>
          <w:szCs w:val="21"/>
        </w:rPr>
      </w:pPr>
      <w:r w:rsidRPr="00D937D6">
        <w:rPr>
          <w:rFonts w:ascii="SimSun" w:hAnsi="SimSun" w:hint="eastAsia"/>
          <w:sz w:val="21"/>
          <w:szCs w:val="21"/>
        </w:rPr>
        <w:t>(ii)</w:t>
      </w:r>
      <w:r w:rsidRPr="00D937D6">
        <w:rPr>
          <w:rFonts w:ascii="SimSun" w:hAnsi="SimSun" w:hint="eastAsia"/>
          <w:sz w:val="21"/>
          <w:szCs w:val="21"/>
        </w:rPr>
        <w:tab/>
        <w:t>将其有关上</w:t>
      </w:r>
      <w:proofErr w:type="gramStart"/>
      <w:r w:rsidRPr="00D937D6">
        <w:rPr>
          <w:rFonts w:ascii="SimSun" w:hAnsi="SimSun" w:hint="eastAsia"/>
          <w:sz w:val="21"/>
          <w:szCs w:val="21"/>
        </w:rPr>
        <w:t>引建议</w:t>
      </w:r>
      <w:proofErr w:type="gramEnd"/>
      <w:r w:rsidRPr="00D937D6">
        <w:rPr>
          <w:rFonts w:ascii="SimSun" w:hAnsi="SimSun" w:hint="eastAsia"/>
          <w:sz w:val="21"/>
          <w:szCs w:val="21"/>
        </w:rPr>
        <w:t>的决定推迟到进行分析之后。”</w:t>
      </w:r>
    </w:p>
    <w:p w:rsidR="003E1037" w:rsidRPr="00D937D6" w:rsidRDefault="00DA4B59" w:rsidP="003E1037">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考虑到计划和预算委员会的这项建议，PCT大会在2015年10月的第四十七届会议上通过了以下决定(见文件</w:t>
      </w:r>
      <w:r w:rsidRPr="00D937D6">
        <w:rPr>
          <w:rFonts w:ascii="SimSun" w:hAnsi="SimSun"/>
          <w:sz w:val="21"/>
          <w:szCs w:val="21"/>
        </w:rPr>
        <w:t>PCT/A/47/5 Rev.</w:t>
      </w:r>
      <w:r w:rsidRPr="00D937D6">
        <w:rPr>
          <w:rFonts w:ascii="SimSun" w:hAnsi="SimSun" w:hint="eastAsia"/>
          <w:sz w:val="21"/>
          <w:szCs w:val="21"/>
        </w:rPr>
        <w:t>和文件</w:t>
      </w:r>
      <w:r w:rsidRPr="00D937D6">
        <w:rPr>
          <w:rFonts w:ascii="SimSun" w:hAnsi="SimSun"/>
          <w:sz w:val="21"/>
          <w:szCs w:val="21"/>
        </w:rPr>
        <w:t>PCT/A/47/9</w:t>
      </w:r>
      <w:r w:rsidRPr="00D937D6">
        <w:rPr>
          <w:rFonts w:ascii="SimSun" w:hAnsi="SimSun" w:hint="eastAsia"/>
          <w:sz w:val="21"/>
          <w:szCs w:val="21"/>
        </w:rPr>
        <w:t>会议《报告》第23段)：</w:t>
      </w:r>
    </w:p>
    <w:p w:rsidR="00DA4B59" w:rsidRPr="00D937D6" w:rsidRDefault="00DA4B59" w:rsidP="00DA4B59">
      <w:pPr>
        <w:pStyle w:val="af5"/>
        <w:overflowPunct w:val="0"/>
        <w:spacing w:afterLines="50" w:after="120" w:line="340" w:lineRule="atLeast"/>
        <w:ind w:left="567" w:firstLineChars="0" w:firstLine="0"/>
        <w:jc w:val="both"/>
        <w:rPr>
          <w:rFonts w:ascii="SimSun" w:hAnsi="SimSun"/>
          <w:sz w:val="21"/>
          <w:szCs w:val="21"/>
          <w:lang w:eastAsia="ja-JP"/>
        </w:rPr>
      </w:pPr>
      <w:r w:rsidRPr="00D937D6">
        <w:rPr>
          <w:rFonts w:ascii="SimSun" w:hAnsi="SimSun" w:hint="eastAsia"/>
          <w:sz w:val="21"/>
          <w:szCs w:val="21"/>
        </w:rPr>
        <w:t>“23.</w:t>
      </w:r>
      <w:r w:rsidRPr="00D937D6">
        <w:rPr>
          <w:rFonts w:ascii="SimSun" w:hAnsi="SimSun" w:hint="eastAsia"/>
          <w:sz w:val="21"/>
          <w:szCs w:val="21"/>
        </w:rPr>
        <w:tab/>
        <w:t>大会</w:t>
      </w:r>
      <w:r w:rsidRPr="00D937D6">
        <w:rPr>
          <w:rFonts w:ascii="SimSun" w:hAnsi="SimSun" w:hint="eastAsia"/>
          <w:sz w:val="21"/>
          <w:szCs w:val="21"/>
          <w:lang w:eastAsia="ja-JP"/>
        </w:rPr>
        <w:t>：</w:t>
      </w:r>
    </w:p>
    <w:p w:rsidR="00DA4B59" w:rsidRPr="00D937D6" w:rsidRDefault="00DA4B59" w:rsidP="00DA4B59">
      <w:pPr>
        <w:overflowPunct w:val="0"/>
        <w:spacing w:afterLines="50" w:after="120" w:line="340" w:lineRule="atLeast"/>
        <w:ind w:left="1134"/>
        <w:jc w:val="both"/>
        <w:rPr>
          <w:rFonts w:ascii="SimSun" w:hAnsi="SimSun"/>
          <w:sz w:val="21"/>
          <w:szCs w:val="21"/>
        </w:rPr>
      </w:pPr>
      <w:r w:rsidRPr="00D937D6">
        <w:rPr>
          <w:rFonts w:ascii="SimSun" w:hAnsi="SimSun"/>
          <w:sz w:val="21"/>
          <w:szCs w:val="21"/>
        </w:rPr>
        <w:t>(i)</w:t>
      </w:r>
      <w:r w:rsidRPr="00D937D6">
        <w:rPr>
          <w:rFonts w:ascii="SimSun" w:hAnsi="SimSun" w:hint="eastAsia"/>
          <w:sz w:val="21"/>
          <w:szCs w:val="21"/>
        </w:rPr>
        <w:tab/>
        <w:t>注意到文件</w:t>
      </w:r>
      <w:r w:rsidRPr="00D937D6">
        <w:rPr>
          <w:rFonts w:ascii="SimSun" w:hAnsi="SimSun"/>
          <w:sz w:val="21"/>
          <w:szCs w:val="21"/>
        </w:rPr>
        <w:t>PCT/A/47/5 Rev.</w:t>
      </w:r>
      <w:r w:rsidRPr="00D937D6">
        <w:rPr>
          <w:rFonts w:ascii="SimSun" w:hAnsi="SimSun" w:hint="eastAsia"/>
          <w:sz w:val="21"/>
          <w:szCs w:val="21"/>
        </w:rPr>
        <w:t>的内容；</w:t>
      </w:r>
    </w:p>
    <w:p w:rsidR="00DA4B59" w:rsidRPr="00D937D6" w:rsidRDefault="00DA4B59" w:rsidP="00DA4B59">
      <w:pPr>
        <w:overflowPunct w:val="0"/>
        <w:spacing w:afterLines="50" w:after="120" w:line="340" w:lineRule="atLeast"/>
        <w:ind w:left="1134"/>
        <w:jc w:val="both"/>
        <w:rPr>
          <w:rFonts w:ascii="SimSun" w:hAnsi="SimSun"/>
          <w:sz w:val="21"/>
          <w:szCs w:val="21"/>
        </w:rPr>
      </w:pPr>
      <w:r w:rsidRPr="00D937D6">
        <w:rPr>
          <w:rFonts w:ascii="SimSun" w:hAnsi="SimSun"/>
          <w:sz w:val="21"/>
          <w:szCs w:val="21"/>
        </w:rPr>
        <w:lastRenderedPageBreak/>
        <w:t>(ii)</w:t>
      </w:r>
      <w:r w:rsidRPr="00D937D6">
        <w:rPr>
          <w:rFonts w:ascii="SimSun" w:hAnsi="SimSun" w:hint="eastAsia"/>
          <w:sz w:val="21"/>
          <w:szCs w:val="21"/>
        </w:rPr>
        <w:tab/>
        <w:t>请秘书处进一步分析文件</w:t>
      </w:r>
      <w:r w:rsidRPr="00D937D6">
        <w:rPr>
          <w:rFonts w:ascii="SimSun" w:hAnsi="SimSun"/>
          <w:sz w:val="21"/>
          <w:szCs w:val="21"/>
        </w:rPr>
        <w:t>WO/PBC/24/INF.3</w:t>
      </w:r>
      <w:r w:rsidRPr="00D937D6">
        <w:rPr>
          <w:rFonts w:ascii="SimSun" w:hAnsi="SimSun" w:hint="eastAsia"/>
          <w:sz w:val="21"/>
          <w:szCs w:val="21"/>
        </w:rPr>
        <w:t>中载列的关于实施</w:t>
      </w:r>
      <w:r w:rsidRPr="00D937D6">
        <w:rPr>
          <w:rFonts w:ascii="SimSun" w:hAnsi="SimSun"/>
          <w:sz w:val="21"/>
          <w:szCs w:val="21"/>
        </w:rPr>
        <w:t>PCT</w:t>
      </w:r>
      <w:r w:rsidRPr="00D937D6">
        <w:rPr>
          <w:rFonts w:ascii="SimSun" w:hAnsi="SimSun" w:hint="eastAsia"/>
          <w:sz w:val="21"/>
          <w:szCs w:val="21"/>
        </w:rPr>
        <w:t>收费收入对</w:t>
      </w:r>
      <w:proofErr w:type="gramStart"/>
      <w:r w:rsidRPr="00D937D6">
        <w:rPr>
          <w:rFonts w:ascii="SimSun" w:hAnsi="SimSun" w:hint="eastAsia"/>
          <w:sz w:val="21"/>
          <w:szCs w:val="21"/>
        </w:rPr>
        <w:t>冲战略</w:t>
      </w:r>
      <w:proofErr w:type="gramEnd"/>
      <w:r w:rsidRPr="00D937D6">
        <w:rPr>
          <w:rFonts w:ascii="SimSun" w:hAnsi="SimSun" w:hint="eastAsia"/>
          <w:sz w:val="21"/>
          <w:szCs w:val="21"/>
        </w:rPr>
        <w:t>的若干问题；</w:t>
      </w:r>
    </w:p>
    <w:p w:rsidR="00DA4B59" w:rsidRPr="00D937D6" w:rsidRDefault="00DA4B59" w:rsidP="00DA4B59">
      <w:pPr>
        <w:overflowPunct w:val="0"/>
        <w:spacing w:afterLines="50" w:after="120" w:line="340" w:lineRule="atLeast"/>
        <w:ind w:left="1134"/>
        <w:jc w:val="both"/>
        <w:rPr>
          <w:rFonts w:ascii="SimSun" w:hAnsi="SimSun"/>
          <w:sz w:val="21"/>
          <w:szCs w:val="21"/>
        </w:rPr>
      </w:pPr>
      <w:r w:rsidRPr="00D937D6">
        <w:rPr>
          <w:rFonts w:ascii="SimSun" w:hAnsi="SimSun"/>
          <w:sz w:val="21"/>
          <w:szCs w:val="21"/>
        </w:rPr>
        <w:t>(iii)</w:t>
      </w:r>
      <w:r w:rsidRPr="00D937D6">
        <w:rPr>
          <w:rFonts w:ascii="SimSun" w:hAnsi="SimSun" w:hint="eastAsia"/>
          <w:sz w:val="21"/>
          <w:szCs w:val="21"/>
        </w:rPr>
        <w:tab/>
        <w:t>将工作组商定的对‘大会关于确定部分费用等值数额的指示的拟议修改’的任何决定，推迟到进行此种分析之后；并</w:t>
      </w:r>
    </w:p>
    <w:p w:rsidR="00DA4B59" w:rsidRPr="00D937D6" w:rsidRDefault="00DA4B59" w:rsidP="00DA4B59">
      <w:pPr>
        <w:pStyle w:val="ONUME"/>
        <w:numPr>
          <w:ilvl w:val="0"/>
          <w:numId w:val="0"/>
        </w:numPr>
        <w:overflowPunct w:val="0"/>
        <w:spacing w:afterLines="50" w:after="120" w:line="340" w:lineRule="atLeast"/>
        <w:ind w:left="1133" w:firstLine="1"/>
        <w:jc w:val="both"/>
        <w:rPr>
          <w:rFonts w:ascii="SimSun" w:hAnsi="SimSun"/>
          <w:sz w:val="21"/>
          <w:szCs w:val="21"/>
        </w:rPr>
      </w:pPr>
      <w:r w:rsidRPr="00D937D6">
        <w:rPr>
          <w:rFonts w:ascii="SimSun" w:hAnsi="SimSun"/>
          <w:sz w:val="21"/>
          <w:szCs w:val="21"/>
        </w:rPr>
        <w:t>(iv)</w:t>
      </w:r>
      <w:r w:rsidRPr="00D937D6">
        <w:rPr>
          <w:rFonts w:ascii="SimSun" w:hAnsi="SimSun" w:hint="eastAsia"/>
          <w:sz w:val="21"/>
          <w:szCs w:val="21"/>
        </w:rPr>
        <w:tab/>
        <w:t>请秘书处向</w:t>
      </w:r>
      <w:r w:rsidRPr="00D937D6">
        <w:rPr>
          <w:rFonts w:ascii="SimSun" w:hAnsi="SimSun"/>
          <w:sz w:val="21"/>
          <w:szCs w:val="21"/>
        </w:rPr>
        <w:t>PCT</w:t>
      </w:r>
      <w:r w:rsidRPr="00D937D6">
        <w:rPr>
          <w:rFonts w:ascii="SimSun" w:hAnsi="SimSun" w:hint="eastAsia"/>
          <w:sz w:val="21"/>
          <w:szCs w:val="21"/>
        </w:rPr>
        <w:t>工作组</w:t>
      </w:r>
      <w:r w:rsidRPr="00D937D6">
        <w:rPr>
          <w:rFonts w:ascii="SimSun" w:hAnsi="SimSun"/>
          <w:sz w:val="21"/>
          <w:szCs w:val="21"/>
        </w:rPr>
        <w:t>2016</w:t>
      </w:r>
      <w:r w:rsidRPr="00D937D6">
        <w:rPr>
          <w:rFonts w:ascii="SimSun" w:hAnsi="SimSun" w:hint="eastAsia"/>
          <w:sz w:val="21"/>
          <w:szCs w:val="21"/>
        </w:rPr>
        <w:t>年的会议提交一份进展报告。”</w:t>
      </w:r>
    </w:p>
    <w:p w:rsidR="00DA4B59" w:rsidRPr="00D937D6" w:rsidRDefault="00825E0C" w:rsidP="00DA4B5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以下第10至17段介绍了大会所要求的、就文件</w:t>
      </w:r>
      <w:r w:rsidRPr="00D937D6">
        <w:rPr>
          <w:rFonts w:ascii="SimSun" w:hAnsi="SimSun"/>
          <w:sz w:val="21"/>
          <w:szCs w:val="21"/>
        </w:rPr>
        <w:t>WO/PBC/24/INF.3</w:t>
      </w:r>
      <w:r w:rsidRPr="00D937D6">
        <w:rPr>
          <w:rFonts w:ascii="SimSun" w:hAnsi="SimSun" w:hint="eastAsia"/>
          <w:sz w:val="21"/>
          <w:szCs w:val="21"/>
        </w:rPr>
        <w:t>所列的可能采取的对</w:t>
      </w:r>
      <w:proofErr w:type="gramStart"/>
      <w:r w:rsidRPr="00D937D6">
        <w:rPr>
          <w:rFonts w:ascii="SimSun" w:hAnsi="SimSun" w:hint="eastAsia"/>
          <w:sz w:val="21"/>
          <w:szCs w:val="21"/>
        </w:rPr>
        <w:t>冲战略</w:t>
      </w:r>
      <w:proofErr w:type="gramEnd"/>
      <w:r w:rsidRPr="00D937D6">
        <w:rPr>
          <w:rFonts w:ascii="SimSun" w:hAnsi="SimSun" w:hint="eastAsia"/>
          <w:sz w:val="21"/>
          <w:szCs w:val="21"/>
        </w:rPr>
        <w:t>相关问题进行分析的进展报告</w:t>
      </w:r>
      <w:r w:rsidR="00DA4B59" w:rsidRPr="00D937D6">
        <w:rPr>
          <w:rFonts w:ascii="SimSun" w:hAnsi="SimSun" w:hint="eastAsia"/>
          <w:sz w:val="21"/>
          <w:szCs w:val="21"/>
        </w:rPr>
        <w:t>。</w:t>
      </w:r>
    </w:p>
    <w:p w:rsidR="00B435D9" w:rsidRPr="00D937D6" w:rsidRDefault="00B435D9" w:rsidP="00B435D9">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进展报告</w:t>
      </w:r>
    </w:p>
    <w:p w:rsidR="00825E0C" w:rsidRPr="00D937D6" w:rsidRDefault="00825E0C" w:rsidP="00961013">
      <w:pPr>
        <w:pStyle w:val="4"/>
        <w:rPr>
          <w:rFonts w:ascii="SimSun" w:hAnsi="SimSun"/>
          <w:i w:val="0"/>
          <w:sz w:val="21"/>
          <w:szCs w:val="21"/>
          <w:u w:val="single"/>
        </w:rPr>
      </w:pPr>
      <w:r w:rsidRPr="00D937D6">
        <w:rPr>
          <w:rFonts w:ascii="SimSun" w:hAnsi="SimSun" w:hint="eastAsia"/>
          <w:i w:val="0"/>
          <w:sz w:val="21"/>
          <w:szCs w:val="21"/>
          <w:u w:val="single"/>
        </w:rPr>
        <w:t>远期购买</w:t>
      </w:r>
      <w:r w:rsidR="001A14B9" w:rsidRPr="00D937D6">
        <w:rPr>
          <w:rFonts w:ascii="SimSun" w:hAnsi="SimSun" w:hint="eastAsia"/>
          <w:i w:val="0"/>
          <w:sz w:val="21"/>
          <w:szCs w:val="21"/>
          <w:u w:val="single"/>
        </w:rPr>
        <w:t>合约</w:t>
      </w:r>
      <w:r w:rsidRPr="00D937D6">
        <w:rPr>
          <w:rFonts w:ascii="SimSun" w:hAnsi="SimSun" w:hint="eastAsia"/>
          <w:i w:val="0"/>
          <w:sz w:val="21"/>
          <w:szCs w:val="21"/>
          <w:u w:val="single"/>
        </w:rPr>
        <w:t>模拟</w:t>
      </w:r>
    </w:p>
    <w:p w:rsidR="008E43D0" w:rsidRPr="00D937D6" w:rsidRDefault="00825E0C" w:rsidP="00F119CC">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2015年11月，国际局模拟了卖出日元</w:t>
      </w:r>
      <w:r w:rsidRPr="00D937D6">
        <w:rPr>
          <w:rFonts w:ascii="SimSun" w:hAnsi="SimSun"/>
          <w:sz w:val="21"/>
          <w:szCs w:val="21"/>
        </w:rPr>
        <w:t>(JPY)</w:t>
      </w:r>
      <w:r w:rsidRPr="00D937D6">
        <w:rPr>
          <w:rFonts w:ascii="SimSun" w:hAnsi="SimSun" w:hint="eastAsia"/>
          <w:sz w:val="21"/>
          <w:szCs w:val="21"/>
        </w:rPr>
        <w:t>、欧元</w:t>
      </w:r>
      <w:r w:rsidRPr="00D937D6">
        <w:rPr>
          <w:rFonts w:ascii="SimSun" w:hAnsi="SimSun"/>
          <w:sz w:val="21"/>
          <w:szCs w:val="21"/>
        </w:rPr>
        <w:t>(EUR)</w:t>
      </w:r>
      <w:r w:rsidRPr="00D937D6">
        <w:rPr>
          <w:rFonts w:ascii="SimSun" w:hAnsi="SimSun" w:hint="eastAsia"/>
          <w:sz w:val="21"/>
          <w:szCs w:val="21"/>
        </w:rPr>
        <w:t>和美元</w:t>
      </w:r>
      <w:r w:rsidRPr="00D937D6">
        <w:rPr>
          <w:rFonts w:ascii="SimSun" w:hAnsi="SimSun"/>
          <w:sz w:val="21"/>
          <w:szCs w:val="21"/>
        </w:rPr>
        <w:t>(USD)</w:t>
      </w:r>
      <w:r w:rsidRPr="00D937D6">
        <w:rPr>
          <w:rFonts w:ascii="SimSun" w:hAnsi="SimSun" w:hint="eastAsia"/>
          <w:sz w:val="21"/>
          <w:szCs w:val="21"/>
        </w:rPr>
        <w:t>以买入瑞士法郎</w:t>
      </w:r>
      <w:r w:rsidRPr="00D937D6">
        <w:rPr>
          <w:rFonts w:ascii="SimSun" w:hAnsi="SimSun"/>
          <w:sz w:val="21"/>
          <w:szCs w:val="21"/>
        </w:rPr>
        <w:t>(CHF)</w:t>
      </w:r>
      <w:r w:rsidRPr="00D937D6">
        <w:rPr>
          <w:rFonts w:ascii="SimSun" w:hAnsi="SimSun" w:hint="eastAsia"/>
          <w:sz w:val="21"/>
          <w:szCs w:val="21"/>
        </w:rPr>
        <w:t>的招标过程</w:t>
      </w:r>
      <w:r w:rsidR="001A14B9" w:rsidRPr="00D937D6">
        <w:rPr>
          <w:rFonts w:ascii="SimSun" w:hAnsi="SimSun" w:hint="eastAsia"/>
          <w:sz w:val="21"/>
          <w:szCs w:val="21"/>
        </w:rPr>
        <w:t>，对2015年11月至2016年12月这段时间使用远期购买协议</w:t>
      </w:r>
      <w:r w:rsidR="00384408" w:rsidRPr="00D937D6">
        <w:rPr>
          <w:rFonts w:ascii="SimSun" w:hAnsi="SimSun" w:hint="eastAsia"/>
          <w:sz w:val="21"/>
          <w:szCs w:val="21"/>
        </w:rPr>
        <w:t>。</w:t>
      </w:r>
      <w:r w:rsidR="001A14B9" w:rsidRPr="00D937D6">
        <w:rPr>
          <w:rFonts w:ascii="SimSun" w:hAnsi="SimSun" w:hint="eastAsia"/>
          <w:sz w:val="21"/>
          <w:szCs w:val="21"/>
        </w:rPr>
        <w:t>模拟的目的是为更好地</w:t>
      </w:r>
      <w:r w:rsidR="00BE78FE" w:rsidRPr="00D937D6">
        <w:rPr>
          <w:rFonts w:ascii="SimSun" w:hAnsi="SimSun" w:hint="eastAsia"/>
          <w:sz w:val="21"/>
          <w:szCs w:val="21"/>
        </w:rPr>
        <w:t>了解</w:t>
      </w:r>
      <w:r w:rsidR="001A14B9" w:rsidRPr="00D937D6">
        <w:rPr>
          <w:rFonts w:ascii="SimSun" w:hAnsi="SimSun" w:hint="eastAsia"/>
          <w:sz w:val="21"/>
          <w:szCs w:val="21"/>
        </w:rPr>
        <w:t>如果国际局</w:t>
      </w:r>
      <w:r w:rsidR="00BE78FE" w:rsidRPr="00D937D6">
        <w:rPr>
          <w:rFonts w:ascii="SimSun" w:hAnsi="SimSun" w:hint="eastAsia"/>
          <w:sz w:val="21"/>
          <w:szCs w:val="21"/>
        </w:rPr>
        <w:t>采取</w:t>
      </w:r>
      <w:r w:rsidR="001A14B9" w:rsidRPr="00D937D6">
        <w:rPr>
          <w:rFonts w:ascii="SimSun" w:hAnsi="SimSun" w:hint="eastAsia"/>
          <w:sz w:val="21"/>
          <w:szCs w:val="21"/>
        </w:rPr>
        <w:t>对</w:t>
      </w:r>
      <w:proofErr w:type="gramStart"/>
      <w:r w:rsidR="001A14B9" w:rsidRPr="00D937D6">
        <w:rPr>
          <w:rFonts w:ascii="SimSun" w:hAnsi="SimSun" w:hint="eastAsia"/>
          <w:sz w:val="21"/>
          <w:szCs w:val="21"/>
        </w:rPr>
        <w:t>冲战略</w:t>
      </w:r>
      <w:proofErr w:type="gramEnd"/>
      <w:r w:rsidR="001A14B9" w:rsidRPr="00D937D6">
        <w:rPr>
          <w:rFonts w:ascii="SimSun" w:hAnsi="SimSun" w:hint="eastAsia"/>
          <w:sz w:val="21"/>
          <w:szCs w:val="21"/>
        </w:rPr>
        <w:t>并签订此种协议后将会涉及的过程。模拟还</w:t>
      </w:r>
      <w:r w:rsidR="00B179F2" w:rsidRPr="00D937D6">
        <w:rPr>
          <w:rFonts w:ascii="SimSun" w:hAnsi="SimSun" w:hint="eastAsia"/>
          <w:sz w:val="21"/>
          <w:szCs w:val="21"/>
        </w:rPr>
        <w:t>就</w:t>
      </w:r>
      <w:r w:rsidR="001A14B9" w:rsidRPr="00D937D6">
        <w:rPr>
          <w:rFonts w:ascii="SimSun" w:hAnsi="SimSun" w:hint="eastAsia"/>
          <w:sz w:val="21"/>
          <w:szCs w:val="21"/>
        </w:rPr>
        <w:t>签订远期购买合约所将产生</w:t>
      </w:r>
      <w:r w:rsidR="00B179F2" w:rsidRPr="00D937D6">
        <w:rPr>
          <w:rFonts w:ascii="SimSun" w:hAnsi="SimSun" w:hint="eastAsia"/>
          <w:sz w:val="21"/>
          <w:szCs w:val="21"/>
        </w:rPr>
        <w:t>的</w:t>
      </w:r>
      <w:r w:rsidR="001A14B9" w:rsidRPr="00D937D6">
        <w:rPr>
          <w:rFonts w:ascii="SimSun" w:hAnsi="SimSun" w:hint="eastAsia"/>
          <w:sz w:val="21"/>
          <w:szCs w:val="21"/>
        </w:rPr>
        <w:t>费用</w:t>
      </w:r>
      <w:r w:rsidR="00B179F2" w:rsidRPr="00D937D6">
        <w:rPr>
          <w:rFonts w:ascii="SimSun" w:hAnsi="SimSun" w:hint="eastAsia"/>
          <w:sz w:val="21"/>
          <w:szCs w:val="21"/>
        </w:rPr>
        <w:t>提供了</w:t>
      </w:r>
      <w:r w:rsidR="001A14B9" w:rsidRPr="00D937D6">
        <w:rPr>
          <w:rFonts w:ascii="SimSun" w:hAnsi="SimSun" w:hint="eastAsia"/>
          <w:sz w:val="21"/>
          <w:szCs w:val="21"/>
        </w:rPr>
        <w:t>宝贵信息。</w:t>
      </w:r>
    </w:p>
    <w:p w:rsidR="001A14B9" w:rsidRPr="00D937D6" w:rsidRDefault="00B179F2" w:rsidP="00961013">
      <w:pPr>
        <w:pStyle w:val="4"/>
        <w:rPr>
          <w:rFonts w:ascii="SimSun" w:hAnsi="SimSun"/>
          <w:i w:val="0"/>
          <w:sz w:val="21"/>
          <w:szCs w:val="21"/>
          <w:u w:val="single"/>
        </w:rPr>
      </w:pPr>
      <w:r w:rsidRPr="00D937D6">
        <w:rPr>
          <w:rFonts w:ascii="SimSun" w:hAnsi="SimSun" w:hint="eastAsia"/>
          <w:i w:val="0"/>
          <w:sz w:val="21"/>
          <w:szCs w:val="21"/>
          <w:u w:val="single"/>
        </w:rPr>
        <w:t>不同货币现金</w:t>
      </w:r>
      <w:proofErr w:type="gramStart"/>
      <w:r w:rsidRPr="00D937D6">
        <w:rPr>
          <w:rFonts w:ascii="SimSun" w:hAnsi="SimSun" w:hint="eastAsia"/>
          <w:i w:val="0"/>
          <w:sz w:val="21"/>
          <w:szCs w:val="21"/>
          <w:u w:val="single"/>
        </w:rPr>
        <w:t>流预测</w:t>
      </w:r>
      <w:proofErr w:type="gramEnd"/>
      <w:r w:rsidRPr="00D937D6">
        <w:rPr>
          <w:rFonts w:ascii="SimSun" w:hAnsi="SimSun" w:hint="eastAsia"/>
          <w:i w:val="0"/>
          <w:sz w:val="21"/>
          <w:szCs w:val="21"/>
          <w:u w:val="single"/>
        </w:rPr>
        <w:t>的最新情况</w:t>
      </w:r>
    </w:p>
    <w:p w:rsidR="001A14B9" w:rsidRPr="00D937D6" w:rsidRDefault="00B179F2" w:rsidP="001A14B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如文件</w:t>
      </w:r>
      <w:r w:rsidRPr="00D937D6">
        <w:rPr>
          <w:rFonts w:ascii="SimSun" w:hAnsi="SimSun"/>
          <w:sz w:val="21"/>
          <w:szCs w:val="21"/>
        </w:rPr>
        <w:t>WO/PBC/24/INF.3</w:t>
      </w:r>
      <w:r w:rsidRPr="00D937D6">
        <w:rPr>
          <w:rFonts w:ascii="SimSun" w:hAnsi="SimSun" w:hint="eastAsia"/>
          <w:sz w:val="21"/>
          <w:szCs w:val="21"/>
        </w:rPr>
        <w:t>第18至21段所说，WIPO</w:t>
      </w:r>
      <w:r w:rsidR="00F45BFE">
        <w:rPr>
          <w:rFonts w:ascii="SimSun" w:hAnsi="SimSun" w:hint="eastAsia"/>
          <w:sz w:val="21"/>
          <w:szCs w:val="21"/>
        </w:rPr>
        <w:t>以</w:t>
      </w:r>
      <w:r w:rsidRPr="00D937D6">
        <w:rPr>
          <w:rFonts w:ascii="SimSun" w:hAnsi="SimSun" w:hint="eastAsia"/>
          <w:sz w:val="21"/>
          <w:szCs w:val="21"/>
        </w:rPr>
        <w:t>每种货币(日元、欧元和美元)收取现金的情况没有规律，难以预测</w:t>
      </w:r>
      <w:r w:rsidR="001A14B9" w:rsidRPr="00D937D6">
        <w:rPr>
          <w:rFonts w:ascii="SimSun" w:hAnsi="SimSun" w:hint="eastAsia"/>
          <w:sz w:val="21"/>
          <w:szCs w:val="21"/>
        </w:rPr>
        <w:t>。</w:t>
      </w:r>
      <w:r w:rsidRPr="00D937D6">
        <w:rPr>
          <w:rFonts w:ascii="SimSun" w:hAnsi="SimSun" w:hint="eastAsia"/>
          <w:sz w:val="21"/>
          <w:szCs w:val="21"/>
        </w:rPr>
        <w:t>如果国际局要签订远期合约每月卖出特定金额的每种货币，而在合约约定日期，只要所收到的三种货币中的一种金额不足，</w:t>
      </w:r>
      <w:r w:rsidR="00BE78FE" w:rsidRPr="00D937D6">
        <w:rPr>
          <w:rFonts w:ascii="SimSun" w:hAnsi="SimSun" w:hint="eastAsia"/>
          <w:sz w:val="21"/>
          <w:szCs w:val="21"/>
        </w:rPr>
        <w:t>就可能因必须卖出瑞郎或其他货币以获取所需金额的日元、欧元或美元而导致汇兑损失。此外，持有超出所需金额的</w:t>
      </w:r>
      <w:proofErr w:type="gramStart"/>
      <w:r w:rsidR="00BE78FE" w:rsidRPr="00D937D6">
        <w:rPr>
          <w:rFonts w:ascii="SimSun" w:hAnsi="SimSun" w:hint="eastAsia"/>
          <w:sz w:val="21"/>
          <w:szCs w:val="21"/>
        </w:rPr>
        <w:t>非瑞郎货币</w:t>
      </w:r>
      <w:proofErr w:type="gramEnd"/>
      <w:r w:rsidR="00BE78FE" w:rsidRPr="00D937D6">
        <w:rPr>
          <w:rFonts w:ascii="SimSun" w:hAnsi="SimSun" w:hint="eastAsia"/>
          <w:sz w:val="21"/>
          <w:szCs w:val="21"/>
        </w:rPr>
        <w:t>可能造成汇兑损失或收益。国际局自2015年11月起一直在按日期追踪货币收款的详细情况。该信息将与2014/15年的信息进行对比，以便帮助国际局估算每月可承担的卖出每种货币的金额，如果PCT大会决定采取对冲的话。</w:t>
      </w:r>
    </w:p>
    <w:p w:rsidR="001A14B9" w:rsidRPr="00D937D6" w:rsidRDefault="00C27874" w:rsidP="001A14B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此外，如文件</w:t>
      </w:r>
      <w:r w:rsidRPr="00D937D6">
        <w:rPr>
          <w:rFonts w:ascii="SimSun" w:hAnsi="SimSun"/>
          <w:sz w:val="21"/>
          <w:szCs w:val="21"/>
        </w:rPr>
        <w:t>WO/PBC/24/INF.3</w:t>
      </w:r>
      <w:r w:rsidRPr="00D937D6">
        <w:rPr>
          <w:rFonts w:ascii="SimSun" w:hAnsi="SimSun" w:hint="eastAsia"/>
          <w:sz w:val="21"/>
          <w:szCs w:val="21"/>
        </w:rPr>
        <w:t>所说，对</w:t>
      </w:r>
      <w:proofErr w:type="gramStart"/>
      <w:r w:rsidRPr="00D937D6">
        <w:rPr>
          <w:rFonts w:ascii="SimSun" w:hAnsi="SimSun" w:hint="eastAsia"/>
          <w:sz w:val="21"/>
          <w:szCs w:val="21"/>
        </w:rPr>
        <w:t>冲政策</w:t>
      </w:r>
      <w:proofErr w:type="gramEnd"/>
      <w:r w:rsidRPr="00D937D6">
        <w:rPr>
          <w:rFonts w:ascii="SimSun" w:hAnsi="SimSun" w:hint="eastAsia"/>
          <w:sz w:val="21"/>
          <w:szCs w:val="21"/>
        </w:rPr>
        <w:t>是否可行，限制其的因素是这三种货币的每种货币是否有充足资金能满足该货币的预期支出。WIPO有大量债务必须以美元和欧元结算。因此在远期合约期间，以这些货币付给WIPO的费用并不能全部换成瑞郎。如文件</w:t>
      </w:r>
      <w:r w:rsidRPr="00D937D6">
        <w:rPr>
          <w:rFonts w:ascii="SimSun" w:hAnsi="SimSun"/>
          <w:sz w:val="21"/>
          <w:szCs w:val="21"/>
        </w:rPr>
        <w:t>WO/PBC/24/INF.3</w:t>
      </w:r>
      <w:r w:rsidRPr="00D937D6">
        <w:rPr>
          <w:rFonts w:ascii="SimSun" w:hAnsi="SimSun" w:hint="eastAsia"/>
          <w:sz w:val="21"/>
          <w:szCs w:val="21"/>
        </w:rPr>
        <w:t>第12段所说，45%的美元收款</w:t>
      </w:r>
      <w:r w:rsidR="0012396B" w:rsidRPr="00D937D6">
        <w:rPr>
          <w:rFonts w:ascii="SimSun" w:hAnsi="SimSun" w:hint="eastAsia"/>
          <w:sz w:val="21"/>
          <w:szCs w:val="21"/>
        </w:rPr>
        <w:t>和40%的欧元收款要用于满足WIPO在2014年和2015年上半年的运营需求。对这些需求的持续追踪正在继续，将通过追踪结果来判断对</w:t>
      </w:r>
      <w:proofErr w:type="gramStart"/>
      <w:r w:rsidR="0012396B" w:rsidRPr="00D937D6">
        <w:rPr>
          <w:rFonts w:ascii="SimSun" w:hAnsi="SimSun" w:hint="eastAsia"/>
          <w:sz w:val="21"/>
          <w:szCs w:val="21"/>
        </w:rPr>
        <w:t>冲战略</w:t>
      </w:r>
      <w:proofErr w:type="gramEnd"/>
      <w:r w:rsidR="0012396B" w:rsidRPr="00D937D6">
        <w:rPr>
          <w:rFonts w:ascii="SimSun" w:hAnsi="SimSun" w:hint="eastAsia"/>
          <w:sz w:val="21"/>
          <w:szCs w:val="21"/>
        </w:rPr>
        <w:t>的影响。</w:t>
      </w:r>
    </w:p>
    <w:p w:rsidR="001A14B9" w:rsidRPr="00D937D6" w:rsidRDefault="00041370" w:rsidP="00961013">
      <w:pPr>
        <w:pStyle w:val="4"/>
        <w:rPr>
          <w:rFonts w:ascii="SimSun" w:hAnsi="SimSun"/>
          <w:i w:val="0"/>
          <w:sz w:val="21"/>
          <w:szCs w:val="21"/>
          <w:u w:val="single"/>
        </w:rPr>
      </w:pPr>
      <w:r w:rsidRPr="00D937D6">
        <w:rPr>
          <w:rFonts w:ascii="SimSun" w:hAnsi="SimSun" w:hint="eastAsia"/>
          <w:i w:val="0"/>
          <w:sz w:val="21"/>
          <w:szCs w:val="21"/>
          <w:u w:val="single"/>
        </w:rPr>
        <w:t>对</w:t>
      </w:r>
      <w:r w:rsidR="0012396B" w:rsidRPr="00D937D6">
        <w:rPr>
          <w:rFonts w:ascii="SimSun" w:hAnsi="SimSun" w:hint="eastAsia"/>
          <w:i w:val="0"/>
          <w:sz w:val="21"/>
          <w:szCs w:val="21"/>
          <w:u w:val="single"/>
        </w:rPr>
        <w:t>PCT收入影响的最新情况</w:t>
      </w:r>
    </w:p>
    <w:p w:rsidR="001A14B9" w:rsidRPr="00D937D6" w:rsidRDefault="000D223A" w:rsidP="001A14B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在PCT目前的等值数额程序下，国际局能够定期调整</w:t>
      </w:r>
      <w:proofErr w:type="gramStart"/>
      <w:r w:rsidRPr="00D937D6">
        <w:rPr>
          <w:rFonts w:ascii="SimSun" w:hAnsi="SimSun" w:hint="eastAsia"/>
          <w:sz w:val="21"/>
          <w:szCs w:val="21"/>
        </w:rPr>
        <w:t>非瑞郎货币</w:t>
      </w:r>
      <w:proofErr w:type="gramEnd"/>
      <w:r w:rsidRPr="00D937D6">
        <w:rPr>
          <w:rFonts w:ascii="SimSun" w:hAnsi="SimSun" w:hint="eastAsia"/>
          <w:sz w:val="21"/>
          <w:szCs w:val="21"/>
        </w:rPr>
        <w:t>的等值支付数额，以期使其他货币的付款金额与PCT大会以瑞</w:t>
      </w:r>
      <w:proofErr w:type="gramStart"/>
      <w:r w:rsidRPr="00D937D6">
        <w:rPr>
          <w:rFonts w:ascii="SimSun" w:hAnsi="SimSun" w:hint="eastAsia"/>
          <w:sz w:val="21"/>
          <w:szCs w:val="21"/>
        </w:rPr>
        <w:t>郎确定</w:t>
      </w:r>
      <w:proofErr w:type="gramEnd"/>
      <w:r w:rsidRPr="00D937D6">
        <w:rPr>
          <w:rFonts w:ascii="SimSun" w:hAnsi="SimSun" w:hint="eastAsia"/>
          <w:sz w:val="21"/>
          <w:szCs w:val="21"/>
        </w:rPr>
        <w:t>的支付金额保持一致</w:t>
      </w:r>
      <w:r w:rsidR="001A14B9" w:rsidRPr="00D937D6">
        <w:rPr>
          <w:rFonts w:ascii="SimSun" w:hAnsi="SimSun" w:hint="eastAsia"/>
          <w:sz w:val="21"/>
          <w:szCs w:val="21"/>
        </w:rPr>
        <w:t>。</w:t>
      </w:r>
      <w:r w:rsidRPr="00D937D6">
        <w:rPr>
          <w:rFonts w:ascii="SimSun" w:hAnsi="SimSun" w:hint="eastAsia"/>
          <w:sz w:val="21"/>
          <w:szCs w:val="21"/>
        </w:rPr>
        <w:t>但是，如</w:t>
      </w:r>
      <w:proofErr w:type="gramStart"/>
      <w:r w:rsidRPr="00D937D6">
        <w:rPr>
          <w:rFonts w:ascii="SimSun" w:hAnsi="SimSun" w:hint="eastAsia"/>
          <w:sz w:val="21"/>
          <w:szCs w:val="21"/>
        </w:rPr>
        <w:t>上述第5</w:t>
      </w:r>
      <w:proofErr w:type="gramEnd"/>
      <w:r w:rsidRPr="00D937D6">
        <w:rPr>
          <w:rFonts w:ascii="SimSun" w:hAnsi="SimSun" w:hint="eastAsia"/>
          <w:sz w:val="21"/>
          <w:szCs w:val="21"/>
        </w:rPr>
        <w:t>段所说，在拟议的对</w:t>
      </w:r>
      <w:proofErr w:type="gramStart"/>
      <w:r w:rsidRPr="00D937D6">
        <w:rPr>
          <w:rFonts w:ascii="SimSun" w:hAnsi="SimSun" w:hint="eastAsia"/>
          <w:sz w:val="21"/>
          <w:szCs w:val="21"/>
        </w:rPr>
        <w:t>冲安排</w:t>
      </w:r>
      <w:proofErr w:type="gramEnd"/>
      <w:r w:rsidRPr="00D937D6">
        <w:rPr>
          <w:rFonts w:ascii="SimSun" w:hAnsi="SimSun" w:hint="eastAsia"/>
          <w:sz w:val="21"/>
          <w:szCs w:val="21"/>
        </w:rPr>
        <w:t>下，以美元、日元和欧元</w:t>
      </w:r>
      <w:r w:rsidR="00D76FDE" w:rsidRPr="00D937D6">
        <w:rPr>
          <w:rFonts w:ascii="SimSun" w:hAnsi="SimSun" w:hint="eastAsia"/>
          <w:sz w:val="21"/>
          <w:szCs w:val="21"/>
        </w:rPr>
        <w:t>支付的金额将在12个月时间内固定不变，所基于的是通过远期购买合约加权平衡以便反映每月须卖出金额的平均汇率(混合对冲汇率)。因此在12个月的</w:t>
      </w:r>
      <w:proofErr w:type="gramStart"/>
      <w:r w:rsidR="00D76FDE" w:rsidRPr="00D937D6">
        <w:rPr>
          <w:rFonts w:ascii="SimSun" w:hAnsi="SimSun" w:hint="eastAsia"/>
          <w:sz w:val="21"/>
          <w:szCs w:val="21"/>
        </w:rPr>
        <w:t>对冲期内</w:t>
      </w:r>
      <w:proofErr w:type="gramEnd"/>
      <w:r w:rsidR="00D76FDE" w:rsidRPr="00D937D6">
        <w:rPr>
          <w:rFonts w:ascii="SimSun" w:hAnsi="SimSun" w:hint="eastAsia"/>
          <w:sz w:val="21"/>
          <w:szCs w:val="21"/>
        </w:rPr>
        <w:t>，WIPO将无法修改等值支付的金额。</w:t>
      </w:r>
    </w:p>
    <w:p w:rsidR="00D76FDE" w:rsidRPr="00D937D6" w:rsidRDefault="00D76FDE" w:rsidP="001A14B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国际局已经开始分析新做法将对2015年11月</w:t>
      </w:r>
      <w:r w:rsidR="00041370" w:rsidRPr="00D937D6">
        <w:rPr>
          <w:rFonts w:ascii="SimSun" w:hAnsi="SimSun" w:hint="eastAsia"/>
          <w:sz w:val="21"/>
          <w:szCs w:val="21"/>
        </w:rPr>
        <w:t>以后</w:t>
      </w:r>
      <w:r w:rsidRPr="00D937D6">
        <w:rPr>
          <w:rFonts w:ascii="SimSun" w:hAnsi="SimSun" w:hint="eastAsia"/>
          <w:sz w:val="21"/>
          <w:szCs w:val="21"/>
        </w:rPr>
        <w:t>的PCT费用收入金额</w:t>
      </w:r>
      <w:r w:rsidR="00041370" w:rsidRPr="00D937D6">
        <w:rPr>
          <w:rFonts w:ascii="SimSun" w:hAnsi="SimSun" w:hint="eastAsia"/>
          <w:sz w:val="21"/>
          <w:szCs w:val="21"/>
        </w:rPr>
        <w:t>产生的影响，同时估算新做法将在2014/15两年期内产生的影响。这项分析将至关重要，能帮助成员国了解拟议对</w:t>
      </w:r>
      <w:proofErr w:type="gramStart"/>
      <w:r w:rsidR="00041370" w:rsidRPr="00D937D6">
        <w:rPr>
          <w:rFonts w:ascii="SimSun" w:hAnsi="SimSun" w:hint="eastAsia"/>
          <w:sz w:val="21"/>
          <w:szCs w:val="21"/>
        </w:rPr>
        <w:t>冲战略</w:t>
      </w:r>
      <w:proofErr w:type="gramEnd"/>
      <w:r w:rsidR="00041370" w:rsidRPr="00D937D6">
        <w:rPr>
          <w:rFonts w:ascii="SimSun" w:hAnsi="SimSun" w:hint="eastAsia"/>
          <w:sz w:val="21"/>
          <w:szCs w:val="21"/>
        </w:rPr>
        <w:t>对PCT费用收入的潜在影响以及由此对整个组织预算产生的潜在影响。</w:t>
      </w:r>
    </w:p>
    <w:p w:rsidR="00041370" w:rsidRPr="00D937D6" w:rsidRDefault="00D611E5" w:rsidP="00961013">
      <w:pPr>
        <w:pStyle w:val="4"/>
        <w:rPr>
          <w:rFonts w:ascii="SimSun" w:hAnsi="SimSun"/>
          <w:i w:val="0"/>
          <w:sz w:val="21"/>
          <w:szCs w:val="21"/>
          <w:u w:val="single"/>
        </w:rPr>
      </w:pPr>
      <w:r w:rsidRPr="00D937D6">
        <w:rPr>
          <w:rFonts w:ascii="SimSun" w:hAnsi="SimSun" w:hint="eastAsia"/>
          <w:i w:val="0"/>
          <w:sz w:val="21"/>
          <w:szCs w:val="21"/>
          <w:u w:val="single"/>
        </w:rPr>
        <w:t>依照IPSAS制定汇率调整追踪模型</w:t>
      </w:r>
    </w:p>
    <w:p w:rsidR="00041370" w:rsidRPr="00D937D6" w:rsidRDefault="00B27ED1" w:rsidP="00041370">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《国际公共部门会计准则》(IPSAS)列出了有关如何在WIPO的财务报表里体现汇兑损益的重要规则</w:t>
      </w:r>
      <w:r w:rsidR="00041370" w:rsidRPr="00D937D6">
        <w:rPr>
          <w:rFonts w:ascii="SimSun" w:hAnsi="SimSun" w:hint="eastAsia"/>
          <w:sz w:val="21"/>
          <w:szCs w:val="21"/>
        </w:rPr>
        <w:t>。</w:t>
      </w:r>
      <w:r w:rsidR="009D1263" w:rsidRPr="00D937D6">
        <w:rPr>
          <w:rFonts w:ascii="SimSun" w:hAnsi="SimSun" w:hint="eastAsia"/>
          <w:sz w:val="21"/>
          <w:szCs w:val="21"/>
        </w:rPr>
        <w:t>这些规则的使用由于必须采用</w:t>
      </w:r>
      <w:r w:rsidRPr="00D937D6">
        <w:rPr>
          <w:rFonts w:ascii="SimSun" w:hAnsi="SimSun" w:hint="eastAsia"/>
          <w:sz w:val="21"/>
          <w:szCs w:val="21"/>
        </w:rPr>
        <w:t>联合国</w:t>
      </w:r>
      <w:proofErr w:type="gramStart"/>
      <w:r w:rsidRPr="00D937D6">
        <w:rPr>
          <w:rFonts w:ascii="SimSun" w:hAnsi="SimSun" w:hint="eastAsia"/>
          <w:sz w:val="21"/>
          <w:szCs w:val="21"/>
        </w:rPr>
        <w:t>业务汇率</w:t>
      </w:r>
      <w:proofErr w:type="gramEnd"/>
      <w:r w:rsidRPr="00D937D6">
        <w:rPr>
          <w:rFonts w:ascii="SimSun" w:hAnsi="SimSun" w:hint="eastAsia"/>
          <w:sz w:val="21"/>
          <w:szCs w:val="21"/>
        </w:rPr>
        <w:t>(UNORE)</w:t>
      </w:r>
      <w:r w:rsidR="009D1263" w:rsidRPr="00D937D6">
        <w:rPr>
          <w:rFonts w:ascii="SimSun" w:hAnsi="SimSun" w:hint="eastAsia"/>
          <w:sz w:val="21"/>
          <w:szCs w:val="21"/>
        </w:rPr>
        <w:t>记录</w:t>
      </w:r>
      <w:proofErr w:type="gramStart"/>
      <w:r w:rsidR="009D1263" w:rsidRPr="00D937D6">
        <w:rPr>
          <w:rFonts w:ascii="SimSun" w:hAnsi="SimSun" w:hint="eastAsia"/>
          <w:sz w:val="21"/>
          <w:szCs w:val="21"/>
        </w:rPr>
        <w:t>非瑞郎货币</w:t>
      </w:r>
      <w:proofErr w:type="gramEnd"/>
      <w:r w:rsidR="009D1263" w:rsidRPr="00D937D6">
        <w:rPr>
          <w:rFonts w:ascii="SimSun" w:hAnsi="SimSun" w:hint="eastAsia"/>
          <w:sz w:val="21"/>
          <w:szCs w:val="21"/>
        </w:rPr>
        <w:t>交易变得更为复杂，因为UNORE是按月或每半月来定，而银行采用的汇率是按日来定，甚至经常一天之内多次浮动。</w:t>
      </w:r>
      <w:proofErr w:type="gramStart"/>
      <w:r w:rsidR="009D1263" w:rsidRPr="00D937D6">
        <w:rPr>
          <w:rFonts w:ascii="SimSun" w:hAnsi="SimSun" w:hint="eastAsia"/>
          <w:sz w:val="21"/>
          <w:szCs w:val="21"/>
        </w:rPr>
        <w:t>银行汇率</w:t>
      </w:r>
      <w:proofErr w:type="gramEnd"/>
      <w:r w:rsidR="009D1263" w:rsidRPr="00D937D6">
        <w:rPr>
          <w:rFonts w:ascii="SimSun" w:hAnsi="SimSun" w:hint="eastAsia"/>
          <w:sz w:val="21"/>
          <w:szCs w:val="21"/>
        </w:rPr>
        <w:t>和UNORE</w:t>
      </w:r>
      <w:proofErr w:type="gramStart"/>
      <w:r w:rsidR="009D1263" w:rsidRPr="00D937D6">
        <w:rPr>
          <w:rFonts w:ascii="SimSun" w:hAnsi="SimSun" w:hint="eastAsia"/>
          <w:sz w:val="21"/>
          <w:szCs w:val="21"/>
        </w:rPr>
        <w:t>之间</w:t>
      </w:r>
      <w:r w:rsidR="00916B58" w:rsidRPr="00D937D6">
        <w:rPr>
          <w:rFonts w:ascii="SimSun" w:hAnsi="SimSun" w:hint="eastAsia"/>
          <w:sz w:val="21"/>
          <w:szCs w:val="21"/>
        </w:rPr>
        <w:t>因此</w:t>
      </w:r>
      <w:proofErr w:type="gramEnd"/>
      <w:r w:rsidR="00916B58" w:rsidRPr="00D937D6">
        <w:rPr>
          <w:rFonts w:ascii="SimSun" w:hAnsi="SimSun" w:hint="eastAsia"/>
          <w:sz w:val="21"/>
          <w:szCs w:val="21"/>
        </w:rPr>
        <w:t>存在差额，并由此导致汇兑差额，必须体现在账面上。</w:t>
      </w:r>
    </w:p>
    <w:p w:rsidR="00041370" w:rsidRPr="00D937D6" w:rsidRDefault="007E17E8" w:rsidP="00041370">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在顾问的协助下制定了一个模型，使国际局能通过单一</w:t>
      </w:r>
      <w:proofErr w:type="gramStart"/>
      <w:r w:rsidRPr="00D937D6">
        <w:rPr>
          <w:rFonts w:ascii="SimSun" w:hAnsi="SimSun" w:hint="eastAsia"/>
          <w:sz w:val="21"/>
          <w:szCs w:val="21"/>
        </w:rPr>
        <w:t>一</w:t>
      </w:r>
      <w:proofErr w:type="gramEnd"/>
      <w:r w:rsidRPr="00D937D6">
        <w:rPr>
          <w:rFonts w:ascii="SimSun" w:hAnsi="SimSun" w:hint="eastAsia"/>
          <w:sz w:val="21"/>
          <w:szCs w:val="21"/>
        </w:rPr>
        <w:t>张表格追踪要求本组织记录在账的所有</w:t>
      </w:r>
      <w:r w:rsidR="00636D38" w:rsidRPr="00D937D6">
        <w:rPr>
          <w:rFonts w:ascii="SimSun" w:hAnsi="SimSun" w:hint="eastAsia"/>
          <w:sz w:val="21"/>
          <w:szCs w:val="21"/>
        </w:rPr>
        <w:t>汇兑</w:t>
      </w:r>
      <w:r w:rsidRPr="00D937D6">
        <w:rPr>
          <w:rFonts w:ascii="SimSun" w:hAnsi="SimSun" w:hint="eastAsia"/>
          <w:sz w:val="21"/>
          <w:szCs w:val="21"/>
        </w:rPr>
        <w:t>调整及其对收支和资产</w:t>
      </w:r>
      <w:proofErr w:type="gramStart"/>
      <w:r w:rsidRPr="00D937D6">
        <w:rPr>
          <w:rFonts w:ascii="SimSun" w:hAnsi="SimSun" w:hint="eastAsia"/>
          <w:sz w:val="21"/>
          <w:szCs w:val="21"/>
        </w:rPr>
        <w:t>负债值</w:t>
      </w:r>
      <w:proofErr w:type="gramEnd"/>
      <w:r w:rsidRPr="00D937D6">
        <w:rPr>
          <w:rFonts w:ascii="SimSun" w:hAnsi="SimSun" w:hint="eastAsia"/>
          <w:sz w:val="21"/>
          <w:szCs w:val="21"/>
        </w:rPr>
        <w:t>的影响</w:t>
      </w:r>
      <w:r w:rsidR="00041370" w:rsidRPr="00D937D6">
        <w:rPr>
          <w:rFonts w:ascii="SimSun" w:hAnsi="SimSun" w:hint="eastAsia"/>
          <w:sz w:val="21"/>
          <w:szCs w:val="21"/>
        </w:rPr>
        <w:t>。</w:t>
      </w:r>
      <w:r w:rsidRPr="00D937D6">
        <w:rPr>
          <w:rFonts w:ascii="SimSun" w:hAnsi="SimSun" w:hint="eastAsia"/>
          <w:sz w:val="21"/>
          <w:szCs w:val="21"/>
        </w:rPr>
        <w:t>国际局正在使用该模型追踪2015年11月以来的变化，</w:t>
      </w:r>
      <w:r w:rsidR="00636D38" w:rsidRPr="00D937D6">
        <w:rPr>
          <w:rFonts w:ascii="SimSun" w:hAnsi="SimSun" w:hint="eastAsia"/>
          <w:sz w:val="21"/>
          <w:szCs w:val="21"/>
        </w:rPr>
        <w:t>然后将回溯式追踪如果国际局在2014年11月至2015年10月进行</w:t>
      </w:r>
      <w:proofErr w:type="gramStart"/>
      <w:r w:rsidR="00636D38" w:rsidRPr="00D937D6">
        <w:rPr>
          <w:rFonts w:ascii="SimSun" w:hAnsi="SimSun" w:hint="eastAsia"/>
          <w:sz w:val="21"/>
          <w:szCs w:val="21"/>
        </w:rPr>
        <w:t>对冲会导致</w:t>
      </w:r>
      <w:proofErr w:type="gramEnd"/>
      <w:r w:rsidR="00636D38" w:rsidRPr="00D937D6">
        <w:rPr>
          <w:rFonts w:ascii="SimSun" w:hAnsi="SimSun" w:hint="eastAsia"/>
          <w:sz w:val="21"/>
          <w:szCs w:val="21"/>
        </w:rPr>
        <w:t>的必要调整。</w:t>
      </w:r>
    </w:p>
    <w:p w:rsidR="00041370" w:rsidRPr="00D937D6" w:rsidRDefault="00D611E5" w:rsidP="00961013">
      <w:pPr>
        <w:pStyle w:val="4"/>
        <w:rPr>
          <w:rFonts w:ascii="SimSun" w:hAnsi="SimSun"/>
          <w:i w:val="0"/>
          <w:sz w:val="21"/>
          <w:szCs w:val="21"/>
          <w:u w:val="single"/>
        </w:rPr>
      </w:pPr>
      <w:r w:rsidRPr="00D937D6">
        <w:rPr>
          <w:rFonts w:ascii="SimSun" w:hAnsi="SimSun" w:hint="eastAsia"/>
          <w:i w:val="0"/>
          <w:sz w:val="21"/>
          <w:szCs w:val="21"/>
          <w:u w:val="single"/>
        </w:rPr>
        <w:t>未来工作</w:t>
      </w:r>
    </w:p>
    <w:p w:rsidR="00041370" w:rsidRPr="00D937D6" w:rsidRDefault="00636D38" w:rsidP="00041370">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w:t>
      </w:r>
      <w:r w:rsidR="006E135C" w:rsidRPr="00D937D6">
        <w:rPr>
          <w:rFonts w:ascii="SimSun" w:hAnsi="SimSun" w:hint="eastAsia"/>
          <w:sz w:val="21"/>
          <w:szCs w:val="21"/>
        </w:rPr>
        <w:t>打算聘请</w:t>
      </w:r>
      <w:r w:rsidRPr="00D937D6">
        <w:rPr>
          <w:rFonts w:ascii="SimSun" w:hAnsi="SimSun" w:hint="eastAsia"/>
          <w:sz w:val="21"/>
          <w:szCs w:val="21"/>
        </w:rPr>
        <w:t>一名外聘顾问，协助国际局实施WIPO新的投资政策</w:t>
      </w:r>
      <w:r w:rsidR="006E135C" w:rsidRPr="00D937D6">
        <w:rPr>
          <w:rFonts w:ascii="SimSun" w:hAnsi="SimSun" w:hint="eastAsia"/>
          <w:sz w:val="21"/>
          <w:szCs w:val="21"/>
        </w:rPr>
        <w:t>和开展其他工作，并协助国际局处理有关外汇和可能的对</w:t>
      </w:r>
      <w:proofErr w:type="gramStart"/>
      <w:r w:rsidR="006E135C" w:rsidRPr="00D937D6">
        <w:rPr>
          <w:rFonts w:ascii="SimSun" w:hAnsi="SimSun" w:hint="eastAsia"/>
          <w:sz w:val="21"/>
          <w:szCs w:val="21"/>
        </w:rPr>
        <w:t>冲战略</w:t>
      </w:r>
      <w:proofErr w:type="gramEnd"/>
      <w:r w:rsidR="006E135C" w:rsidRPr="00D937D6">
        <w:rPr>
          <w:rFonts w:ascii="SimSun" w:hAnsi="SimSun" w:hint="eastAsia"/>
          <w:sz w:val="21"/>
          <w:szCs w:val="21"/>
        </w:rPr>
        <w:t>的问题</w:t>
      </w:r>
      <w:r w:rsidR="00041370" w:rsidRPr="00D937D6">
        <w:rPr>
          <w:rFonts w:ascii="SimSun" w:hAnsi="SimSun" w:hint="eastAsia"/>
          <w:sz w:val="21"/>
          <w:szCs w:val="21"/>
        </w:rPr>
        <w:t>。</w:t>
      </w:r>
      <w:r w:rsidR="006E135C" w:rsidRPr="00D937D6">
        <w:rPr>
          <w:rFonts w:ascii="SimSun" w:hAnsi="SimSun" w:hint="eastAsia"/>
          <w:sz w:val="21"/>
          <w:szCs w:val="21"/>
        </w:rPr>
        <w:t>招聘正在进行，投递申请的审议已经完成，预计将于2016年3月选定顾问。</w:t>
      </w:r>
    </w:p>
    <w:p w:rsidR="00041370" w:rsidRPr="00D937D6" w:rsidRDefault="00521562" w:rsidP="00041370">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在该外聘顾问的帮助下，国际局将仔细分析三种货币的现金流预期和固定PCT费用等值金额的影响</w:t>
      </w:r>
      <w:r w:rsidR="00041370" w:rsidRPr="00D937D6">
        <w:rPr>
          <w:rFonts w:ascii="SimSun" w:hAnsi="SimSun" w:hint="eastAsia"/>
          <w:sz w:val="21"/>
          <w:szCs w:val="21"/>
        </w:rPr>
        <w:t>。</w:t>
      </w:r>
      <w:r w:rsidRPr="00D937D6">
        <w:rPr>
          <w:rFonts w:ascii="SimSun" w:hAnsi="SimSun" w:hint="eastAsia"/>
          <w:sz w:val="21"/>
          <w:szCs w:val="21"/>
        </w:rPr>
        <w:t>国际局将考虑这一分析的结果、模拟远期购买合同所得的信息以及根据IPSAS规则追踪汇兑调整的经验总结，向工作组提交一份提案，供其在2017年的会议上</w:t>
      </w:r>
      <w:r w:rsidR="00A45789" w:rsidRPr="00D937D6">
        <w:rPr>
          <w:rFonts w:ascii="SimSun" w:hAnsi="SimSun" w:hint="eastAsia"/>
          <w:sz w:val="21"/>
          <w:szCs w:val="21"/>
        </w:rPr>
        <w:t>讨论是否实施对冲战略。</w:t>
      </w:r>
    </w:p>
    <w:p w:rsidR="002928D3" w:rsidRPr="00D937D6" w:rsidRDefault="00A45789" w:rsidP="00D937D6">
      <w:pPr>
        <w:pStyle w:val="3"/>
        <w:spacing w:before="360" w:afterLines="50" w:after="120" w:line="340" w:lineRule="atLeast"/>
        <w:rPr>
          <w:rFonts w:ascii="SimHei" w:eastAsia="SimHei" w:hAnsi="SimHei"/>
          <w:sz w:val="24"/>
          <w:szCs w:val="24"/>
          <w:u w:val="none"/>
        </w:rPr>
      </w:pPr>
      <w:r w:rsidRPr="00D937D6">
        <w:rPr>
          <w:rFonts w:ascii="SimHei" w:eastAsia="SimHei" w:hAnsi="SimHei" w:hint="eastAsia"/>
          <w:sz w:val="24"/>
          <w:szCs w:val="24"/>
          <w:u w:val="none"/>
        </w:rPr>
        <w:t>对费用转交采用“净额清算”结构</w:t>
      </w:r>
    </w:p>
    <w:p w:rsidR="00A45789" w:rsidRPr="00D937D6" w:rsidRDefault="00A45789" w:rsidP="00A45789">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净额清算的定义</w:t>
      </w:r>
    </w:p>
    <w:p w:rsidR="006E77F3" w:rsidRPr="00D937D6" w:rsidRDefault="00A45789" w:rsidP="00A45789">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“净额清算”是一种使正值(付款)和负值(收款)</w:t>
      </w:r>
      <w:r w:rsidR="00CE3C1C" w:rsidRPr="00D937D6">
        <w:rPr>
          <w:rFonts w:ascii="SimSun" w:hAnsi="SimSun" w:hint="eastAsia"/>
          <w:sz w:val="21"/>
          <w:szCs w:val="21"/>
        </w:rPr>
        <w:t>相抵，使二者部分或</w:t>
      </w:r>
      <w:r w:rsidR="00A310CD" w:rsidRPr="00D937D6">
        <w:rPr>
          <w:rFonts w:ascii="SimSun" w:hAnsi="SimSun" w:hint="eastAsia"/>
          <w:sz w:val="21"/>
          <w:szCs w:val="21"/>
        </w:rPr>
        <w:t>全部</w:t>
      </w:r>
      <w:r w:rsidR="00CE3C1C" w:rsidRPr="00D937D6">
        <w:rPr>
          <w:rFonts w:ascii="SimSun" w:hAnsi="SimSun" w:hint="eastAsia"/>
          <w:sz w:val="21"/>
          <w:szCs w:val="21"/>
        </w:rPr>
        <w:t>抵消</w:t>
      </w:r>
      <w:r w:rsidRPr="00D937D6">
        <w:rPr>
          <w:rFonts w:ascii="SimSun" w:hAnsi="SimSun" w:hint="eastAsia"/>
          <w:sz w:val="21"/>
          <w:szCs w:val="21"/>
        </w:rPr>
        <w:t>的</w:t>
      </w:r>
      <w:r w:rsidR="00A310CD" w:rsidRPr="00D937D6">
        <w:rPr>
          <w:rFonts w:ascii="SimSun" w:hAnsi="SimSun" w:hint="eastAsia"/>
          <w:sz w:val="21"/>
          <w:szCs w:val="21"/>
        </w:rPr>
        <w:t>结算</w:t>
      </w:r>
      <w:r w:rsidRPr="00D937D6">
        <w:rPr>
          <w:rFonts w:ascii="SimSun" w:hAnsi="SimSun" w:hint="eastAsia"/>
          <w:sz w:val="21"/>
          <w:szCs w:val="21"/>
        </w:rPr>
        <w:t>机制。</w:t>
      </w:r>
      <w:r w:rsidR="00A310CD" w:rsidRPr="00D937D6">
        <w:rPr>
          <w:rFonts w:ascii="SimSun" w:hAnsi="SimSun" w:hint="eastAsia"/>
          <w:sz w:val="21"/>
          <w:szCs w:val="21"/>
        </w:rPr>
        <w:t>净额清算过程是将参与方</w:t>
      </w:r>
      <w:r w:rsidRPr="00D937D6">
        <w:rPr>
          <w:rFonts w:ascii="SimSun" w:hAnsi="SimSun" w:hint="eastAsia"/>
          <w:sz w:val="21"/>
          <w:szCs w:val="21"/>
        </w:rPr>
        <w:t>的所有交易合并，</w:t>
      </w:r>
      <w:r w:rsidR="006B3904" w:rsidRPr="00D937D6">
        <w:rPr>
          <w:rFonts w:ascii="SimSun" w:hAnsi="SimSun" w:hint="eastAsia"/>
          <w:sz w:val="21"/>
          <w:szCs w:val="21"/>
        </w:rPr>
        <w:t>以“净额”为基础在</w:t>
      </w:r>
      <w:r w:rsidR="00DC392B" w:rsidRPr="00D937D6">
        <w:rPr>
          <w:rFonts w:ascii="SimSun" w:hAnsi="SimSun" w:hint="eastAsia"/>
          <w:sz w:val="21"/>
          <w:szCs w:val="21"/>
        </w:rPr>
        <w:t>参与方之间</w:t>
      </w:r>
      <w:r w:rsidR="006B3904" w:rsidRPr="00D937D6">
        <w:rPr>
          <w:rFonts w:ascii="SimSun" w:hAnsi="SimSun" w:hint="eastAsia"/>
          <w:sz w:val="21"/>
          <w:szCs w:val="21"/>
        </w:rPr>
        <w:t>进行结算</w:t>
      </w:r>
      <w:r w:rsidRPr="00D937D6">
        <w:rPr>
          <w:rFonts w:ascii="SimSun" w:hAnsi="SimSun" w:hint="eastAsia"/>
          <w:sz w:val="21"/>
          <w:szCs w:val="21"/>
        </w:rPr>
        <w:t>，通常</w:t>
      </w:r>
      <w:r w:rsidR="006B3904" w:rsidRPr="00D937D6">
        <w:rPr>
          <w:rFonts w:ascii="SimSun" w:hAnsi="SimSun" w:hint="eastAsia"/>
          <w:sz w:val="21"/>
          <w:szCs w:val="21"/>
        </w:rPr>
        <w:t>采用</w:t>
      </w:r>
      <w:r w:rsidRPr="00D937D6">
        <w:rPr>
          <w:rFonts w:ascii="SimSun" w:hAnsi="SimSun" w:hint="eastAsia"/>
          <w:sz w:val="21"/>
          <w:szCs w:val="21"/>
        </w:rPr>
        <w:t>一次性收付</w:t>
      </w:r>
      <w:r w:rsidR="006B3904" w:rsidRPr="00D937D6">
        <w:rPr>
          <w:rFonts w:ascii="SimSun" w:hAnsi="SimSun" w:hint="eastAsia"/>
          <w:sz w:val="21"/>
          <w:szCs w:val="21"/>
        </w:rPr>
        <w:t>的方式</w:t>
      </w:r>
      <w:r w:rsidRPr="00D937D6">
        <w:rPr>
          <w:rFonts w:ascii="SimSun" w:hAnsi="SimSun" w:hint="eastAsia"/>
          <w:sz w:val="21"/>
          <w:szCs w:val="21"/>
        </w:rPr>
        <w:t>。</w:t>
      </w:r>
      <w:r w:rsidR="006B3904" w:rsidRPr="00D937D6">
        <w:rPr>
          <w:rFonts w:ascii="SimSun" w:hAnsi="SimSun" w:hint="eastAsia"/>
          <w:sz w:val="21"/>
          <w:szCs w:val="21"/>
        </w:rPr>
        <w:t>对净额清算过程</w:t>
      </w:r>
      <w:r w:rsidRPr="00D937D6">
        <w:rPr>
          <w:rFonts w:ascii="SimSun" w:hAnsi="SimSun" w:hint="eastAsia"/>
          <w:sz w:val="21"/>
          <w:szCs w:val="21"/>
        </w:rPr>
        <w:t>使用净额清算软件系统进行管理</w:t>
      </w:r>
      <w:r w:rsidR="00E7481F" w:rsidRPr="00D937D6">
        <w:rPr>
          <w:rFonts w:ascii="SimSun" w:hAnsi="SimSun" w:hint="eastAsia"/>
          <w:sz w:val="21"/>
          <w:szCs w:val="21"/>
        </w:rPr>
        <w:t>。</w:t>
      </w:r>
    </w:p>
    <w:p w:rsidR="007E5190" w:rsidRPr="00D937D6" w:rsidRDefault="006B3904" w:rsidP="00A7299C">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对PCT费用</w:t>
      </w:r>
      <w:r w:rsidR="002D49CF" w:rsidRPr="00D937D6">
        <w:rPr>
          <w:rFonts w:ascii="SimSun" w:hAnsi="SimSun" w:hint="eastAsia"/>
          <w:sz w:val="21"/>
          <w:szCs w:val="21"/>
        </w:rPr>
        <w:t>采取可能的净额清算，所涉及的过程是受理局把来自申请人的国际申请费和检索费转交给国际局</w:t>
      </w:r>
      <w:r w:rsidR="004F3572" w:rsidRPr="00D937D6">
        <w:rPr>
          <w:rFonts w:ascii="SimSun" w:hAnsi="SimSun" w:hint="eastAsia"/>
          <w:sz w:val="21"/>
          <w:szCs w:val="21"/>
        </w:rPr>
        <w:t>。</w:t>
      </w:r>
      <w:r w:rsidR="002D49CF" w:rsidRPr="00D937D6">
        <w:rPr>
          <w:rFonts w:ascii="SimSun" w:hAnsi="SimSun" w:hint="eastAsia"/>
          <w:sz w:val="21"/>
          <w:szCs w:val="21"/>
        </w:rPr>
        <w:t>检索费随后由国际局转交给国际检索单位。受理局转交费用通常是一月一次，在规定日期进行，而且如果</w:t>
      </w:r>
      <w:r w:rsidR="00565E73" w:rsidRPr="00D937D6">
        <w:rPr>
          <w:rFonts w:ascii="SimSun" w:hAnsi="SimSun" w:hint="eastAsia"/>
          <w:sz w:val="21"/>
          <w:szCs w:val="21"/>
        </w:rPr>
        <w:t>所收取的当地货币可以自由兑换成瑞郎，则是以这种当地货币转交。对于同时作为国际检索单位的受理局，对每一种货币，相应付款都</w:t>
      </w:r>
      <w:r w:rsidR="00F5222A" w:rsidRPr="00D937D6">
        <w:rPr>
          <w:rFonts w:ascii="SimSun" w:hAnsi="SimSun" w:hint="eastAsia"/>
          <w:sz w:val="21"/>
          <w:szCs w:val="21"/>
        </w:rPr>
        <w:t>包含</w:t>
      </w:r>
      <w:r w:rsidR="00565E73" w:rsidRPr="00D937D6">
        <w:rPr>
          <w:rFonts w:ascii="SimSun" w:hAnsi="SimSun" w:hint="eastAsia"/>
          <w:sz w:val="21"/>
          <w:szCs w:val="21"/>
        </w:rPr>
        <w:t>作为受理局收取的国际申请费总额</w:t>
      </w:r>
      <w:r w:rsidR="00F5222A" w:rsidRPr="00D937D6">
        <w:rPr>
          <w:rFonts w:ascii="SimSun" w:hAnsi="SimSun" w:hint="eastAsia"/>
          <w:sz w:val="21"/>
          <w:szCs w:val="21"/>
        </w:rPr>
        <w:t>(受理局“欠”国际局的钱)</w:t>
      </w:r>
      <w:r w:rsidR="00565E73" w:rsidRPr="00D937D6">
        <w:rPr>
          <w:rFonts w:ascii="SimSun" w:hAnsi="SimSun" w:hint="eastAsia"/>
          <w:sz w:val="21"/>
          <w:szCs w:val="21"/>
        </w:rPr>
        <w:t>与付给国际检索单位</w:t>
      </w:r>
      <w:r w:rsidR="00F5222A" w:rsidRPr="00D937D6">
        <w:rPr>
          <w:rFonts w:ascii="SimSun" w:hAnsi="SimSun" w:hint="eastAsia"/>
          <w:sz w:val="21"/>
          <w:szCs w:val="21"/>
        </w:rPr>
        <w:t>的检索费总额(国际局“欠”国际检索单位的钱)之间的差额。</w:t>
      </w:r>
      <w:r w:rsidR="00074C63" w:rsidRPr="00D937D6">
        <w:rPr>
          <w:rFonts w:ascii="SimSun" w:hAnsi="SimSun" w:hint="eastAsia"/>
          <w:sz w:val="21"/>
          <w:szCs w:val="21"/>
        </w:rPr>
        <w:t>如果</w:t>
      </w:r>
      <w:r w:rsidR="001E011F" w:rsidRPr="00D937D6">
        <w:rPr>
          <w:rFonts w:ascii="SimSun" w:hAnsi="SimSun" w:hint="eastAsia"/>
          <w:sz w:val="21"/>
          <w:szCs w:val="21"/>
        </w:rPr>
        <w:t>一笔</w:t>
      </w:r>
      <w:proofErr w:type="gramStart"/>
      <w:r w:rsidR="001E011F" w:rsidRPr="00D937D6">
        <w:rPr>
          <w:rFonts w:ascii="SimSun" w:hAnsi="SimSun" w:hint="eastAsia"/>
          <w:sz w:val="21"/>
          <w:szCs w:val="21"/>
        </w:rPr>
        <w:t>特定货币</w:t>
      </w:r>
      <w:proofErr w:type="gramEnd"/>
      <w:r w:rsidR="001E011F" w:rsidRPr="00D937D6">
        <w:rPr>
          <w:rFonts w:ascii="SimSun" w:hAnsi="SimSun" w:hint="eastAsia"/>
          <w:sz w:val="21"/>
          <w:szCs w:val="21"/>
        </w:rPr>
        <w:t>的净额应付给国际检索单位，国际局将在收到受理局付款不久后，连同受理局交来的款项必要信息，一并转交给国际检索单位。</w:t>
      </w:r>
      <w:r w:rsidR="00E60526" w:rsidRPr="00D937D6">
        <w:rPr>
          <w:rFonts w:ascii="SimSun" w:hAnsi="SimSun" w:hint="eastAsia"/>
          <w:sz w:val="21"/>
          <w:szCs w:val="21"/>
        </w:rPr>
        <w:t>因此，对含有PCT费用集中支付的“净额清算”结构进行管理，要求国际局与有关局之间定期交付款项。文件</w:t>
      </w:r>
      <w:r w:rsidR="00E60526" w:rsidRPr="00D937D6">
        <w:rPr>
          <w:rFonts w:ascii="SimSun" w:hAnsi="SimSun"/>
          <w:sz w:val="21"/>
          <w:szCs w:val="21"/>
        </w:rPr>
        <w:t>PCT/WG/8/15</w:t>
      </w:r>
      <w:r w:rsidR="00E60526" w:rsidRPr="00D937D6">
        <w:rPr>
          <w:rFonts w:ascii="SimSun" w:hAnsi="SimSun" w:hint="eastAsia"/>
          <w:sz w:val="21"/>
          <w:szCs w:val="21"/>
        </w:rPr>
        <w:t>附件一第37至44段提供了更多有关“净额清算”的信息。</w:t>
      </w:r>
    </w:p>
    <w:p w:rsidR="00E60526" w:rsidRPr="00D937D6" w:rsidRDefault="00E60526" w:rsidP="00A7299C">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在预期采用的“净额清算”结构下，不必再使用细则</w:t>
      </w:r>
      <w:r w:rsidRPr="00D937D6">
        <w:rPr>
          <w:rFonts w:ascii="SimSun" w:hAnsi="SimSun"/>
          <w:sz w:val="21"/>
          <w:szCs w:val="21"/>
        </w:rPr>
        <w:t>16.1(e)</w:t>
      </w:r>
      <w:r w:rsidRPr="00D937D6">
        <w:rPr>
          <w:rFonts w:ascii="SimSun" w:hAnsi="SimSun" w:hint="eastAsia"/>
          <w:sz w:val="21"/>
          <w:szCs w:val="21"/>
        </w:rPr>
        <w:t>的程序，因为国际检索单位总会全额收到以国际检索单位固定货币所付的检索费。</w:t>
      </w:r>
    </w:p>
    <w:p w:rsidR="006B3904" w:rsidRPr="00D937D6" w:rsidRDefault="006B3904" w:rsidP="006B3904">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工作组的讨论</w:t>
      </w:r>
    </w:p>
    <w:p w:rsidR="007E5190" w:rsidRPr="00D937D6" w:rsidRDefault="00DC392B" w:rsidP="00871043">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如提交给2015年5月工作组第八届会议的文件</w:t>
      </w:r>
      <w:r w:rsidRPr="00D937D6">
        <w:rPr>
          <w:rFonts w:ascii="SimSun" w:hAnsi="SimSun"/>
          <w:sz w:val="21"/>
          <w:szCs w:val="21"/>
        </w:rPr>
        <w:t>PCT/WG/8/15</w:t>
      </w:r>
      <w:r w:rsidRPr="00D937D6">
        <w:rPr>
          <w:rFonts w:ascii="SimSun" w:hAnsi="SimSun" w:hint="eastAsia"/>
          <w:sz w:val="21"/>
          <w:szCs w:val="21"/>
        </w:rPr>
        <w:t>第13段所列，国际局已经表示，将考虑就通函</w:t>
      </w:r>
      <w:r w:rsidRPr="00D937D6">
        <w:rPr>
          <w:rFonts w:ascii="SimSun" w:hAnsi="SimSun"/>
          <w:sz w:val="21"/>
          <w:szCs w:val="21"/>
        </w:rPr>
        <w:t>C.PCT</w:t>
      </w:r>
      <w:r w:rsidR="00BC4E9D">
        <w:rPr>
          <w:rFonts w:ascii="SimSun" w:hAnsi="SimSun" w:hint="eastAsia"/>
          <w:sz w:val="21"/>
          <w:szCs w:val="21"/>
        </w:rPr>
        <w:t xml:space="preserve"> </w:t>
      </w:r>
      <w:r w:rsidRPr="00D937D6">
        <w:rPr>
          <w:rFonts w:ascii="SimSun" w:hAnsi="SimSun"/>
          <w:sz w:val="21"/>
          <w:szCs w:val="21"/>
        </w:rPr>
        <w:t>1440</w:t>
      </w:r>
      <w:r w:rsidRPr="00D937D6">
        <w:rPr>
          <w:rFonts w:ascii="SimSun" w:hAnsi="SimSun" w:hint="eastAsia"/>
          <w:sz w:val="21"/>
          <w:szCs w:val="21"/>
        </w:rPr>
        <w:t>提出的评论意见，就针对受理局、国际检索单位和国际局之间的所有PCT费用转交可能采用的“净额清算”结构进一步起草提案，以期提交一份详细提案，供工作组在2016年下届会议上讨论</w:t>
      </w:r>
      <w:r w:rsidR="009C11E9" w:rsidRPr="00D937D6">
        <w:rPr>
          <w:rFonts w:ascii="SimSun" w:hAnsi="SimSun" w:hint="eastAsia"/>
          <w:sz w:val="21"/>
          <w:szCs w:val="21"/>
        </w:rPr>
        <w:t>。</w:t>
      </w:r>
      <w:r w:rsidRPr="00D937D6">
        <w:rPr>
          <w:rFonts w:ascii="SimSun" w:hAnsi="SimSun" w:hint="eastAsia"/>
          <w:sz w:val="21"/>
          <w:szCs w:val="21"/>
        </w:rPr>
        <w:t>工作组第八届会议有关“净额清算”问题的讨论总结见《主席总结》</w:t>
      </w:r>
      <w:r w:rsidR="00B63526" w:rsidRPr="00D937D6">
        <w:rPr>
          <w:rFonts w:ascii="SimSun" w:hAnsi="SimSun"/>
          <w:sz w:val="21"/>
          <w:szCs w:val="21"/>
        </w:rPr>
        <w:t>(</w:t>
      </w:r>
      <w:r w:rsidR="00B63526" w:rsidRPr="00D937D6">
        <w:rPr>
          <w:rFonts w:ascii="SimSun" w:hAnsi="SimSun" w:hint="eastAsia"/>
          <w:sz w:val="21"/>
          <w:szCs w:val="21"/>
        </w:rPr>
        <w:t>文件</w:t>
      </w:r>
      <w:r w:rsidR="00B63526" w:rsidRPr="00D937D6">
        <w:rPr>
          <w:rFonts w:ascii="SimSun" w:hAnsi="SimSun"/>
          <w:sz w:val="21"/>
          <w:szCs w:val="21"/>
        </w:rPr>
        <w:t>PCT/WG/8/25)</w:t>
      </w:r>
      <w:r w:rsidRPr="00D937D6">
        <w:rPr>
          <w:rFonts w:ascii="SimSun" w:hAnsi="SimSun" w:hint="eastAsia"/>
          <w:sz w:val="21"/>
          <w:szCs w:val="21"/>
        </w:rPr>
        <w:t>第32至34段：</w:t>
      </w:r>
    </w:p>
    <w:p w:rsidR="00B63526" w:rsidRPr="00D937D6" w:rsidRDefault="00B63526" w:rsidP="00B63526">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“32.</w:t>
      </w:r>
      <w:r w:rsidRPr="00D937D6">
        <w:rPr>
          <w:rFonts w:ascii="SimSun" w:hAnsi="SimSun" w:hint="eastAsia"/>
          <w:sz w:val="21"/>
          <w:szCs w:val="21"/>
        </w:rPr>
        <w:tab/>
        <w:t>一些代表团普遍支持对受理局、国际检索单位和国际局之间的所有PCT费用交易转而采取一种‘净额清算结构’的提案，但是也指出，在能够就此事项</w:t>
      </w:r>
      <w:proofErr w:type="gramStart"/>
      <w:r w:rsidRPr="00D937D6">
        <w:rPr>
          <w:rFonts w:ascii="SimSun" w:hAnsi="SimSun" w:hint="eastAsia"/>
          <w:sz w:val="21"/>
          <w:szCs w:val="21"/>
        </w:rPr>
        <w:t>作出</w:t>
      </w:r>
      <w:proofErr w:type="gramEnd"/>
      <w:r w:rsidRPr="00D937D6">
        <w:rPr>
          <w:rFonts w:ascii="SimSun" w:hAnsi="SimSun" w:hint="eastAsia"/>
          <w:sz w:val="21"/>
          <w:szCs w:val="21"/>
        </w:rPr>
        <w:t>决定之前还需了解更多信息。</w:t>
      </w:r>
    </w:p>
    <w:p w:rsidR="00B63526" w:rsidRPr="00D937D6" w:rsidRDefault="00B63526" w:rsidP="00B63526">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33.</w:t>
      </w:r>
      <w:r w:rsidRPr="00D937D6">
        <w:rPr>
          <w:rFonts w:ascii="SimSun" w:hAnsi="SimSun" w:hint="eastAsia"/>
          <w:sz w:val="21"/>
          <w:szCs w:val="21"/>
        </w:rPr>
        <w:tab/>
        <w:t>有一个代表团表示不能支持净额清算结构提案，因为它担心这会给受理局带来额外的工作。</w:t>
      </w:r>
    </w:p>
    <w:p w:rsidR="00B63526" w:rsidRPr="00D937D6" w:rsidRDefault="00B63526" w:rsidP="00B63526">
      <w:pPr>
        <w:pStyle w:val="ONUME"/>
        <w:numPr>
          <w:ilvl w:val="0"/>
          <w:numId w:val="0"/>
        </w:numPr>
        <w:overflowPunct w:val="0"/>
        <w:spacing w:afterLines="50" w:after="120" w:line="340" w:lineRule="atLeast"/>
        <w:ind w:left="568"/>
        <w:jc w:val="both"/>
        <w:rPr>
          <w:rFonts w:ascii="SimSun" w:hAnsi="SimSun"/>
          <w:sz w:val="21"/>
          <w:szCs w:val="21"/>
        </w:rPr>
      </w:pPr>
      <w:r w:rsidRPr="00D937D6">
        <w:rPr>
          <w:rFonts w:ascii="SimSun" w:hAnsi="SimSun" w:hint="eastAsia"/>
          <w:sz w:val="21"/>
          <w:szCs w:val="21"/>
        </w:rPr>
        <w:t>34.</w:t>
      </w:r>
      <w:r w:rsidRPr="00D937D6">
        <w:rPr>
          <w:rFonts w:ascii="SimSun" w:hAnsi="SimSun" w:hint="eastAsia"/>
          <w:sz w:val="21"/>
          <w:szCs w:val="21"/>
        </w:rPr>
        <w:tab/>
        <w:t>有一个代表团表示希望尽快采用净额清算结构，并提到了其作为国际检索单位的积极经验，还谈及了一个正在进行的试点项目。根据这一项目，它从某一受理局‘经由’国际局收到了检索费用。它还指出，它的期望是，如果将这种净额清算结构与从受理局‘经由’国际局电子转移检索副本至国际检索单位(</w:t>
      </w:r>
      <w:proofErr w:type="spellStart"/>
      <w:r w:rsidRPr="00D937D6">
        <w:rPr>
          <w:rFonts w:ascii="SimSun" w:hAnsi="SimSun" w:hint="eastAsia"/>
          <w:sz w:val="21"/>
          <w:szCs w:val="21"/>
        </w:rPr>
        <w:t>eSearchCopy</w:t>
      </w:r>
      <w:proofErr w:type="spellEnd"/>
      <w:r w:rsidRPr="00D937D6">
        <w:rPr>
          <w:rFonts w:ascii="SimSun" w:hAnsi="SimSun" w:hint="eastAsia"/>
          <w:sz w:val="21"/>
          <w:szCs w:val="21"/>
        </w:rPr>
        <w:t>)的做法结合采用的话，将会取得最大的效益。”</w:t>
      </w:r>
    </w:p>
    <w:p w:rsidR="00B63526" w:rsidRPr="00D937D6" w:rsidRDefault="00B63526" w:rsidP="00B63526">
      <w:pPr>
        <w:pStyle w:val="3"/>
        <w:spacing w:afterLines="50" w:after="120" w:line="340" w:lineRule="atLeast"/>
        <w:rPr>
          <w:rFonts w:ascii="SimHei" w:eastAsia="SimHei" w:hAnsi="SimHei"/>
          <w:sz w:val="21"/>
          <w:szCs w:val="21"/>
          <w:u w:val="none"/>
        </w:rPr>
      </w:pPr>
      <w:r w:rsidRPr="00D937D6">
        <w:rPr>
          <w:rFonts w:ascii="SimHei" w:eastAsia="SimHei" w:hAnsi="SimHei" w:hint="eastAsia"/>
          <w:sz w:val="21"/>
          <w:szCs w:val="21"/>
          <w:u w:val="none"/>
        </w:rPr>
        <w:t>最新情况</w:t>
      </w:r>
    </w:p>
    <w:p w:rsidR="00B63526" w:rsidRPr="00D937D6" w:rsidRDefault="00B63526" w:rsidP="00871043">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实施“净额清算”结构</w:t>
      </w:r>
      <w:r w:rsidR="00100240" w:rsidRPr="00D937D6">
        <w:rPr>
          <w:rFonts w:ascii="SimSun" w:hAnsi="SimSun" w:hint="eastAsia"/>
          <w:sz w:val="21"/>
          <w:szCs w:val="21"/>
        </w:rPr>
        <w:t>的工作</w:t>
      </w:r>
      <w:r w:rsidRPr="00D937D6">
        <w:rPr>
          <w:rFonts w:ascii="SimSun" w:hAnsi="SimSun" w:hint="eastAsia"/>
          <w:sz w:val="21"/>
          <w:szCs w:val="21"/>
        </w:rPr>
        <w:t>须待上述第17段提及的顾问招聘完毕后才能有进展，该顾问的任务将包括</w:t>
      </w:r>
      <w:r w:rsidR="00100240" w:rsidRPr="00D937D6">
        <w:rPr>
          <w:rFonts w:ascii="SimSun" w:hAnsi="SimSun" w:hint="eastAsia"/>
          <w:sz w:val="21"/>
          <w:szCs w:val="21"/>
        </w:rPr>
        <w:t>详细分析</w:t>
      </w:r>
      <w:bookmarkStart w:id="5" w:name="_GoBack"/>
      <w:bookmarkEnd w:id="5"/>
      <w:r w:rsidRPr="00D937D6">
        <w:rPr>
          <w:rFonts w:ascii="SimSun" w:hAnsi="SimSun" w:hint="eastAsia"/>
          <w:sz w:val="21"/>
          <w:szCs w:val="21"/>
        </w:rPr>
        <w:t>针对受理局、国际检索单位和国际局之间的所有PCT费用转交可能采用的“净额清算”结构的影响。</w:t>
      </w:r>
    </w:p>
    <w:p w:rsidR="00100240" w:rsidRPr="00D937D6" w:rsidRDefault="00100240" w:rsidP="00871043">
      <w:pPr>
        <w:pStyle w:val="ONUME"/>
        <w:tabs>
          <w:tab w:val="clear" w:pos="567"/>
        </w:tabs>
        <w:overflowPunct w:val="0"/>
        <w:spacing w:afterLines="50" w:after="120" w:line="340" w:lineRule="atLeast"/>
        <w:jc w:val="both"/>
        <w:rPr>
          <w:rFonts w:ascii="SimSun" w:hAnsi="SimSun"/>
          <w:sz w:val="21"/>
          <w:szCs w:val="21"/>
        </w:rPr>
      </w:pPr>
      <w:r w:rsidRPr="00D937D6">
        <w:rPr>
          <w:rFonts w:ascii="SimSun" w:hAnsi="SimSun" w:hint="eastAsia"/>
          <w:sz w:val="21"/>
          <w:szCs w:val="21"/>
        </w:rPr>
        <w:t>国际局将考虑这一分析结果，向工作组提交一份提案，供其在2017年的会议上讨论是否实施净额清算结构。</w:t>
      </w:r>
    </w:p>
    <w:p w:rsidR="008B2289" w:rsidRPr="00A51F10" w:rsidRDefault="00100240" w:rsidP="00B938D2">
      <w:pPr>
        <w:pStyle w:val="ONUME"/>
        <w:numPr>
          <w:ilvl w:val="0"/>
          <w:numId w:val="0"/>
        </w:numPr>
        <w:spacing w:afterLines="50" w:after="120" w:line="340" w:lineRule="atLeast"/>
        <w:ind w:left="5534"/>
        <w:jc w:val="both"/>
        <w:rPr>
          <w:rFonts w:ascii="KaiTi" w:eastAsia="KaiTi"/>
          <w:sz w:val="21"/>
        </w:rPr>
      </w:pPr>
      <w:r>
        <w:rPr>
          <w:rFonts w:ascii="KaiTi" w:eastAsia="KaiTi" w:hint="eastAsia"/>
          <w:i/>
          <w:sz w:val="21"/>
        </w:rPr>
        <w:t>25</w:t>
      </w:r>
      <w:r w:rsidR="00E52809" w:rsidRPr="00A51F10">
        <w:rPr>
          <w:rFonts w:ascii="KaiTi" w:eastAsia="KaiTi" w:hint="eastAsia"/>
          <w:i/>
          <w:sz w:val="21"/>
        </w:rPr>
        <w:t>.</w:t>
      </w:r>
      <w:r w:rsidR="00E52809" w:rsidRPr="00A51F10">
        <w:rPr>
          <w:rFonts w:ascii="KaiTi" w:eastAsia="KaiTi" w:hint="eastAsia"/>
          <w:i/>
          <w:sz w:val="21"/>
        </w:rPr>
        <w:tab/>
      </w:r>
      <w:r w:rsidR="00F74BF2" w:rsidRPr="00A51F10">
        <w:rPr>
          <w:rFonts w:ascii="KaiTi" w:eastAsia="KaiTi" w:hint="eastAsia"/>
          <w:i/>
          <w:sz w:val="21"/>
        </w:rPr>
        <w:t>请工作组注意本文件的内容。</w:t>
      </w:r>
    </w:p>
    <w:p w:rsidR="00E52809" w:rsidRDefault="00E52809" w:rsidP="00F603C3">
      <w:pPr>
        <w:pStyle w:val="Endofdocument-Annex"/>
        <w:ind w:leftChars="2515" w:left="5533" w:firstLineChars="250" w:firstLine="525"/>
        <w:rPr>
          <w:rFonts w:ascii="SimSun"/>
          <w:sz w:val="21"/>
        </w:rPr>
      </w:pPr>
    </w:p>
    <w:p w:rsidR="009D16E4" w:rsidRDefault="009D16E4" w:rsidP="00F603C3">
      <w:pPr>
        <w:pStyle w:val="Endofdocument-Annex"/>
        <w:ind w:leftChars="2515" w:left="5533" w:firstLineChars="250" w:firstLine="525"/>
        <w:rPr>
          <w:rFonts w:ascii="SimSun"/>
          <w:sz w:val="21"/>
        </w:rPr>
      </w:pPr>
    </w:p>
    <w:p w:rsidR="009D16E4" w:rsidRPr="00A51F10" w:rsidRDefault="009D16E4" w:rsidP="00F603C3">
      <w:pPr>
        <w:pStyle w:val="Endofdocument-Annex"/>
        <w:ind w:leftChars="2515" w:left="5533" w:firstLineChars="250" w:firstLine="525"/>
        <w:rPr>
          <w:rFonts w:ascii="SimSun"/>
          <w:sz w:val="21"/>
        </w:rPr>
      </w:pPr>
    </w:p>
    <w:p w:rsidR="005F065B" w:rsidRPr="005F065B" w:rsidRDefault="00F74BF2" w:rsidP="006B3904">
      <w:pPr>
        <w:pStyle w:val="Endofdocument-Annex"/>
        <w:spacing w:afterLines="50" w:after="120" w:line="340" w:lineRule="atLeast"/>
        <w:rPr>
          <w:rFonts w:ascii="KaiTi" w:eastAsia="KaiTi" w:hAnsi="KaiTi"/>
          <w:sz w:val="21"/>
        </w:rPr>
      </w:pPr>
      <w:r w:rsidRPr="00A51F10">
        <w:rPr>
          <w:rFonts w:ascii="KaiTi" w:eastAsia="KaiTi" w:hAnsi="KaiTi"/>
          <w:sz w:val="21"/>
        </w:rPr>
        <w:t>[</w:t>
      </w:r>
      <w:r w:rsidR="006B3904">
        <w:rPr>
          <w:rFonts w:ascii="KaiTi" w:eastAsia="KaiTi" w:hAnsi="KaiTi" w:hint="eastAsia"/>
          <w:sz w:val="21"/>
        </w:rPr>
        <w:t>文件完</w:t>
      </w:r>
      <w:r w:rsidR="00BA2152" w:rsidRPr="00A51F10">
        <w:rPr>
          <w:rFonts w:ascii="KaiTi" w:eastAsia="KaiTi" w:hAnsi="KaiTi"/>
          <w:sz w:val="21"/>
        </w:rPr>
        <w:t>]</w:t>
      </w:r>
    </w:p>
    <w:sectPr w:rsidR="005F065B" w:rsidRPr="005F065B" w:rsidSect="0088423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D1" w:rsidRDefault="00B27ED1">
      <w:r>
        <w:separator/>
      </w:r>
    </w:p>
  </w:endnote>
  <w:endnote w:type="continuationSeparator" w:id="0">
    <w:p w:rsidR="00B27ED1" w:rsidRDefault="00B27ED1" w:rsidP="003B38C1">
      <w:r>
        <w:separator/>
      </w:r>
    </w:p>
    <w:p w:rsidR="00B27ED1" w:rsidRPr="003B38C1" w:rsidRDefault="00B27ED1" w:rsidP="003B38C1">
      <w:pPr>
        <w:spacing w:after="60"/>
        <w:rPr>
          <w:sz w:val="17"/>
        </w:rPr>
      </w:pPr>
      <w:r>
        <w:rPr>
          <w:sz w:val="17"/>
        </w:rPr>
        <w:t>[Endnote continued from previous page]</w:t>
      </w:r>
    </w:p>
  </w:endnote>
  <w:endnote w:type="continuationNotice" w:id="1">
    <w:p w:rsidR="00B27ED1" w:rsidRPr="003B38C1" w:rsidRDefault="00B27E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D1" w:rsidRDefault="00B27ED1">
      <w:r>
        <w:separator/>
      </w:r>
    </w:p>
  </w:footnote>
  <w:footnote w:type="continuationSeparator" w:id="0">
    <w:p w:rsidR="00B27ED1" w:rsidRDefault="00B27ED1" w:rsidP="008B60B2">
      <w:r>
        <w:separator/>
      </w:r>
    </w:p>
    <w:p w:rsidR="00B27ED1" w:rsidRPr="00ED77FB" w:rsidRDefault="00B27ED1" w:rsidP="008B60B2">
      <w:pPr>
        <w:spacing w:after="60"/>
        <w:rPr>
          <w:sz w:val="17"/>
          <w:szCs w:val="17"/>
        </w:rPr>
      </w:pPr>
      <w:r w:rsidRPr="00ED77FB">
        <w:rPr>
          <w:sz w:val="17"/>
          <w:szCs w:val="17"/>
        </w:rPr>
        <w:t>[Footnote continued from previous page]</w:t>
      </w:r>
    </w:p>
  </w:footnote>
  <w:footnote w:type="continuationNotice" w:id="1">
    <w:p w:rsidR="00B27ED1" w:rsidRPr="00ED77FB" w:rsidRDefault="00B27E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D1" w:rsidRPr="00E52809" w:rsidRDefault="00B27ED1" w:rsidP="00477D6B">
    <w:pPr>
      <w:jc w:val="right"/>
      <w:rPr>
        <w:rFonts w:ascii="SimSun" w:hAnsi="SimSun"/>
        <w:sz w:val="21"/>
        <w:lang w:val="fr-FR"/>
      </w:rPr>
    </w:pPr>
    <w:r w:rsidRPr="00E52809">
      <w:rPr>
        <w:rFonts w:ascii="SimSun" w:hAnsi="SimSun"/>
        <w:sz w:val="21"/>
        <w:lang w:val="fr-FR"/>
      </w:rPr>
      <w:t>PCT/WG/</w:t>
    </w:r>
    <w:r>
      <w:rPr>
        <w:rFonts w:ascii="SimSun" w:hAnsi="SimSun" w:hint="eastAsia"/>
        <w:sz w:val="21"/>
        <w:lang w:val="fr-FR"/>
      </w:rPr>
      <w:t>9</w:t>
    </w:r>
    <w:r w:rsidRPr="00E52809">
      <w:rPr>
        <w:rFonts w:ascii="SimSun" w:hAnsi="SimSun"/>
        <w:sz w:val="21"/>
        <w:lang w:val="fr-FR"/>
      </w:rPr>
      <w:t>/</w:t>
    </w:r>
    <w:r w:rsidR="00884234">
      <w:rPr>
        <w:rFonts w:ascii="SimSun" w:hAnsi="SimSun" w:hint="eastAsia"/>
        <w:sz w:val="21"/>
        <w:lang w:val="fr-FR"/>
      </w:rPr>
      <w:t>9</w:t>
    </w:r>
  </w:p>
  <w:p w:rsidR="00B27ED1" w:rsidRPr="00E52809" w:rsidRDefault="00B27ED1" w:rsidP="00477D6B">
    <w:pPr>
      <w:jc w:val="right"/>
      <w:rPr>
        <w:rFonts w:ascii="SimSun" w:hAnsi="SimSun"/>
        <w:sz w:val="21"/>
        <w:lang w:val="fr-FR"/>
      </w:rPr>
    </w:pPr>
    <w:r w:rsidRPr="00E52809">
      <w:rPr>
        <w:rFonts w:ascii="SimSun" w:hAnsi="SimSun" w:hint="eastAsia"/>
        <w:sz w:val="21"/>
        <w:lang w:val="fr-FR"/>
      </w:rPr>
      <w:t>第</w:t>
    </w:r>
    <w:r w:rsidRPr="00E52809">
      <w:rPr>
        <w:rFonts w:ascii="SimSun" w:hAnsi="SimSun"/>
        <w:sz w:val="21"/>
      </w:rPr>
      <w:fldChar w:fldCharType="begin"/>
    </w:r>
    <w:r w:rsidRPr="00E52809">
      <w:rPr>
        <w:rFonts w:ascii="SimSun" w:hAnsi="SimSun"/>
        <w:sz w:val="21"/>
        <w:lang w:val="fr-FR"/>
      </w:rPr>
      <w:instrText xml:space="preserve"> PAGE  \* MERGEFORMAT </w:instrText>
    </w:r>
    <w:r w:rsidRPr="00E52809">
      <w:rPr>
        <w:rFonts w:ascii="SimSun" w:hAnsi="SimSun"/>
        <w:sz w:val="21"/>
      </w:rPr>
      <w:fldChar w:fldCharType="separate"/>
    </w:r>
    <w:r w:rsidR="00BC4E9D">
      <w:rPr>
        <w:rFonts w:ascii="SimSun" w:hAnsi="SimSun"/>
        <w:noProof/>
        <w:sz w:val="21"/>
        <w:lang w:val="fr-FR"/>
      </w:rPr>
      <w:t>4</w:t>
    </w:r>
    <w:r w:rsidRPr="00E52809">
      <w:rPr>
        <w:rFonts w:ascii="SimSun" w:hAnsi="SimSun"/>
        <w:sz w:val="21"/>
      </w:rPr>
      <w:fldChar w:fldCharType="end"/>
    </w:r>
    <w:r w:rsidRPr="00E52809">
      <w:rPr>
        <w:rFonts w:ascii="SimSun" w:hAnsi="SimSun" w:hint="eastAsia"/>
        <w:sz w:val="21"/>
      </w:rPr>
      <w:t>页</w:t>
    </w:r>
  </w:p>
  <w:p w:rsidR="00B27ED1" w:rsidRPr="00E52809" w:rsidRDefault="00B27ED1" w:rsidP="00477D6B">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ED1" w:rsidRPr="00E52809" w:rsidRDefault="00B27ED1" w:rsidP="00F2447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996F55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B9474EC"/>
    <w:multiLevelType w:val="hybridMultilevel"/>
    <w:tmpl w:val="9EA48C3A"/>
    <w:lvl w:ilvl="0" w:tplc="AAA02A7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num>
  <w:num w:numId="5">
    <w:abstractNumId w:val="0"/>
  </w:num>
  <w:num w:numId="6">
    <w:abstractNumId w:val="0"/>
  </w:num>
  <w:num w:numId="7">
    <w:abstractNumId w:val="2"/>
  </w:num>
  <w:num w:numId="8">
    <w:abstractNumId w:val="0"/>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E0"/>
    <w:rsid w:val="00001DFB"/>
    <w:rsid w:val="000034D9"/>
    <w:rsid w:val="00004EF0"/>
    <w:rsid w:val="00004FE9"/>
    <w:rsid w:val="000069BF"/>
    <w:rsid w:val="0001107A"/>
    <w:rsid w:val="00012B02"/>
    <w:rsid w:val="00016CDD"/>
    <w:rsid w:val="0001710E"/>
    <w:rsid w:val="00023936"/>
    <w:rsid w:val="000243CD"/>
    <w:rsid w:val="00025F82"/>
    <w:rsid w:val="00027E18"/>
    <w:rsid w:val="00030039"/>
    <w:rsid w:val="00030F1C"/>
    <w:rsid w:val="000319B8"/>
    <w:rsid w:val="00031A65"/>
    <w:rsid w:val="00036E24"/>
    <w:rsid w:val="00037E84"/>
    <w:rsid w:val="00041370"/>
    <w:rsid w:val="00041CBA"/>
    <w:rsid w:val="00043061"/>
    <w:rsid w:val="00043707"/>
    <w:rsid w:val="00043CAA"/>
    <w:rsid w:val="00045C7B"/>
    <w:rsid w:val="000469F5"/>
    <w:rsid w:val="00047C3E"/>
    <w:rsid w:val="0005099A"/>
    <w:rsid w:val="0005389E"/>
    <w:rsid w:val="00054162"/>
    <w:rsid w:val="0005451D"/>
    <w:rsid w:val="00055976"/>
    <w:rsid w:val="00056535"/>
    <w:rsid w:val="00060DB3"/>
    <w:rsid w:val="000636E0"/>
    <w:rsid w:val="00066F2A"/>
    <w:rsid w:val="00070F54"/>
    <w:rsid w:val="00071497"/>
    <w:rsid w:val="00074C63"/>
    <w:rsid w:val="000753AE"/>
    <w:rsid w:val="00075432"/>
    <w:rsid w:val="000824CB"/>
    <w:rsid w:val="000838FC"/>
    <w:rsid w:val="00083974"/>
    <w:rsid w:val="00084D38"/>
    <w:rsid w:val="00084DB6"/>
    <w:rsid w:val="00090580"/>
    <w:rsid w:val="000968ED"/>
    <w:rsid w:val="000A065F"/>
    <w:rsid w:val="000A1D0F"/>
    <w:rsid w:val="000A5C19"/>
    <w:rsid w:val="000A6321"/>
    <w:rsid w:val="000A7AF7"/>
    <w:rsid w:val="000B0FF8"/>
    <w:rsid w:val="000B2E42"/>
    <w:rsid w:val="000B557B"/>
    <w:rsid w:val="000B6B56"/>
    <w:rsid w:val="000C04FE"/>
    <w:rsid w:val="000C0847"/>
    <w:rsid w:val="000C1514"/>
    <w:rsid w:val="000C315B"/>
    <w:rsid w:val="000C3B2B"/>
    <w:rsid w:val="000C5DAA"/>
    <w:rsid w:val="000C6F8E"/>
    <w:rsid w:val="000D0BDD"/>
    <w:rsid w:val="000D0F04"/>
    <w:rsid w:val="000D223A"/>
    <w:rsid w:val="000D24E0"/>
    <w:rsid w:val="000D2A81"/>
    <w:rsid w:val="000D5575"/>
    <w:rsid w:val="000D744D"/>
    <w:rsid w:val="000D7BC3"/>
    <w:rsid w:val="000E01D0"/>
    <w:rsid w:val="000E17AF"/>
    <w:rsid w:val="000E21E1"/>
    <w:rsid w:val="000E5337"/>
    <w:rsid w:val="000E67DD"/>
    <w:rsid w:val="000E6A90"/>
    <w:rsid w:val="000F4377"/>
    <w:rsid w:val="000F5E56"/>
    <w:rsid w:val="00100240"/>
    <w:rsid w:val="00105529"/>
    <w:rsid w:val="00105C67"/>
    <w:rsid w:val="00105D9C"/>
    <w:rsid w:val="00106320"/>
    <w:rsid w:val="00106D67"/>
    <w:rsid w:val="00110AAB"/>
    <w:rsid w:val="0011162E"/>
    <w:rsid w:val="00111FDE"/>
    <w:rsid w:val="00113159"/>
    <w:rsid w:val="00115FC8"/>
    <w:rsid w:val="00116060"/>
    <w:rsid w:val="0011610A"/>
    <w:rsid w:val="0012396B"/>
    <w:rsid w:val="001258D3"/>
    <w:rsid w:val="0012774F"/>
    <w:rsid w:val="00127CCE"/>
    <w:rsid w:val="0013038A"/>
    <w:rsid w:val="00130E3E"/>
    <w:rsid w:val="00130FA6"/>
    <w:rsid w:val="0013143A"/>
    <w:rsid w:val="0013170B"/>
    <w:rsid w:val="0013293B"/>
    <w:rsid w:val="001360CB"/>
    <w:rsid w:val="001362EE"/>
    <w:rsid w:val="001428E7"/>
    <w:rsid w:val="001446BA"/>
    <w:rsid w:val="0014666A"/>
    <w:rsid w:val="00147ED7"/>
    <w:rsid w:val="00150712"/>
    <w:rsid w:val="001537CB"/>
    <w:rsid w:val="00160542"/>
    <w:rsid w:val="001615BA"/>
    <w:rsid w:val="00163175"/>
    <w:rsid w:val="00164AF3"/>
    <w:rsid w:val="00164EA0"/>
    <w:rsid w:val="00164F77"/>
    <w:rsid w:val="0016690B"/>
    <w:rsid w:val="00170127"/>
    <w:rsid w:val="0017026C"/>
    <w:rsid w:val="00170ED1"/>
    <w:rsid w:val="0017139F"/>
    <w:rsid w:val="00171935"/>
    <w:rsid w:val="00171E7A"/>
    <w:rsid w:val="001739AF"/>
    <w:rsid w:val="00174009"/>
    <w:rsid w:val="0018156F"/>
    <w:rsid w:val="00182FA3"/>
    <w:rsid w:val="001830BF"/>
    <w:rsid w:val="001832A6"/>
    <w:rsid w:val="00183EF6"/>
    <w:rsid w:val="00185093"/>
    <w:rsid w:val="001911DE"/>
    <w:rsid w:val="00191B7D"/>
    <w:rsid w:val="00191C6D"/>
    <w:rsid w:val="00193C18"/>
    <w:rsid w:val="00194ED7"/>
    <w:rsid w:val="00195A9E"/>
    <w:rsid w:val="0019726A"/>
    <w:rsid w:val="001A14B9"/>
    <w:rsid w:val="001A6C69"/>
    <w:rsid w:val="001B06C1"/>
    <w:rsid w:val="001B08C8"/>
    <w:rsid w:val="001B1688"/>
    <w:rsid w:val="001B1A1C"/>
    <w:rsid w:val="001B1D3B"/>
    <w:rsid w:val="001B5356"/>
    <w:rsid w:val="001B5C21"/>
    <w:rsid w:val="001B6316"/>
    <w:rsid w:val="001B7FCB"/>
    <w:rsid w:val="001C4BBB"/>
    <w:rsid w:val="001D1C0B"/>
    <w:rsid w:val="001D7C4A"/>
    <w:rsid w:val="001E011F"/>
    <w:rsid w:val="001E07A5"/>
    <w:rsid w:val="001E4032"/>
    <w:rsid w:val="001E44C8"/>
    <w:rsid w:val="001E67EA"/>
    <w:rsid w:val="001F5460"/>
    <w:rsid w:val="001F7F0E"/>
    <w:rsid w:val="002058BF"/>
    <w:rsid w:val="0020685E"/>
    <w:rsid w:val="002133E3"/>
    <w:rsid w:val="00213441"/>
    <w:rsid w:val="00216A39"/>
    <w:rsid w:val="00221DBD"/>
    <w:rsid w:val="0022531F"/>
    <w:rsid w:val="00227033"/>
    <w:rsid w:val="002334B6"/>
    <w:rsid w:val="00241173"/>
    <w:rsid w:val="00241573"/>
    <w:rsid w:val="00241F6C"/>
    <w:rsid w:val="00242E6A"/>
    <w:rsid w:val="00243BBC"/>
    <w:rsid w:val="00244AEA"/>
    <w:rsid w:val="00245E46"/>
    <w:rsid w:val="0024684E"/>
    <w:rsid w:val="002514D8"/>
    <w:rsid w:val="002535E2"/>
    <w:rsid w:val="00257670"/>
    <w:rsid w:val="0026064D"/>
    <w:rsid w:val="002634C4"/>
    <w:rsid w:val="002641B7"/>
    <w:rsid w:val="0026514A"/>
    <w:rsid w:val="00266D53"/>
    <w:rsid w:val="002711D4"/>
    <w:rsid w:val="00275BC7"/>
    <w:rsid w:val="00277998"/>
    <w:rsid w:val="00281504"/>
    <w:rsid w:val="00283E84"/>
    <w:rsid w:val="00287024"/>
    <w:rsid w:val="0029027E"/>
    <w:rsid w:val="00290E4B"/>
    <w:rsid w:val="00290E8C"/>
    <w:rsid w:val="002923F8"/>
    <w:rsid w:val="00292873"/>
    <w:rsid w:val="002928D3"/>
    <w:rsid w:val="00293FAD"/>
    <w:rsid w:val="002947B8"/>
    <w:rsid w:val="00295313"/>
    <w:rsid w:val="002964CA"/>
    <w:rsid w:val="002A448B"/>
    <w:rsid w:val="002A4D1C"/>
    <w:rsid w:val="002A5283"/>
    <w:rsid w:val="002A71B3"/>
    <w:rsid w:val="002B192D"/>
    <w:rsid w:val="002C0B31"/>
    <w:rsid w:val="002C67BA"/>
    <w:rsid w:val="002C7ABD"/>
    <w:rsid w:val="002D1BA1"/>
    <w:rsid w:val="002D2107"/>
    <w:rsid w:val="002D49CF"/>
    <w:rsid w:val="002D4D21"/>
    <w:rsid w:val="002D4D70"/>
    <w:rsid w:val="002E673A"/>
    <w:rsid w:val="002F1FE6"/>
    <w:rsid w:val="002F4E68"/>
    <w:rsid w:val="002F5CDB"/>
    <w:rsid w:val="002F6BAE"/>
    <w:rsid w:val="002F6E01"/>
    <w:rsid w:val="00301557"/>
    <w:rsid w:val="00301B7D"/>
    <w:rsid w:val="00310898"/>
    <w:rsid w:val="00312F7F"/>
    <w:rsid w:val="0031401F"/>
    <w:rsid w:val="0031492A"/>
    <w:rsid w:val="0031570A"/>
    <w:rsid w:val="00315CD1"/>
    <w:rsid w:val="003160BF"/>
    <w:rsid w:val="0032301A"/>
    <w:rsid w:val="00330BC7"/>
    <w:rsid w:val="00330D6D"/>
    <w:rsid w:val="003327A0"/>
    <w:rsid w:val="00337C65"/>
    <w:rsid w:val="00342E56"/>
    <w:rsid w:val="00350038"/>
    <w:rsid w:val="00352939"/>
    <w:rsid w:val="0035728F"/>
    <w:rsid w:val="00361450"/>
    <w:rsid w:val="00361D35"/>
    <w:rsid w:val="00365E28"/>
    <w:rsid w:val="003673CF"/>
    <w:rsid w:val="00370BFC"/>
    <w:rsid w:val="00374FD6"/>
    <w:rsid w:val="003767D3"/>
    <w:rsid w:val="00380578"/>
    <w:rsid w:val="0038206F"/>
    <w:rsid w:val="00382262"/>
    <w:rsid w:val="00382565"/>
    <w:rsid w:val="00383076"/>
    <w:rsid w:val="00384408"/>
    <w:rsid w:val="003845C1"/>
    <w:rsid w:val="00385204"/>
    <w:rsid w:val="003854C9"/>
    <w:rsid w:val="00396363"/>
    <w:rsid w:val="003A140C"/>
    <w:rsid w:val="003A1C96"/>
    <w:rsid w:val="003A431B"/>
    <w:rsid w:val="003A5D27"/>
    <w:rsid w:val="003A67BD"/>
    <w:rsid w:val="003A6F89"/>
    <w:rsid w:val="003A7095"/>
    <w:rsid w:val="003B0FB6"/>
    <w:rsid w:val="003B2D0A"/>
    <w:rsid w:val="003B38C1"/>
    <w:rsid w:val="003B3BAB"/>
    <w:rsid w:val="003B3BE4"/>
    <w:rsid w:val="003C4191"/>
    <w:rsid w:val="003C43D8"/>
    <w:rsid w:val="003C4C89"/>
    <w:rsid w:val="003C61DE"/>
    <w:rsid w:val="003C6A77"/>
    <w:rsid w:val="003D0CCE"/>
    <w:rsid w:val="003D348D"/>
    <w:rsid w:val="003D5CF7"/>
    <w:rsid w:val="003E08B3"/>
    <w:rsid w:val="003E1037"/>
    <w:rsid w:val="003E1046"/>
    <w:rsid w:val="003E1B4C"/>
    <w:rsid w:val="003E1E46"/>
    <w:rsid w:val="003E6742"/>
    <w:rsid w:val="003E6DCC"/>
    <w:rsid w:val="003F354F"/>
    <w:rsid w:val="003F3D31"/>
    <w:rsid w:val="00401DC7"/>
    <w:rsid w:val="00401F30"/>
    <w:rsid w:val="004036B6"/>
    <w:rsid w:val="004065BE"/>
    <w:rsid w:val="004067E6"/>
    <w:rsid w:val="004100B8"/>
    <w:rsid w:val="004121FC"/>
    <w:rsid w:val="004127D8"/>
    <w:rsid w:val="004135EC"/>
    <w:rsid w:val="00413963"/>
    <w:rsid w:val="00413ABC"/>
    <w:rsid w:val="00423E3E"/>
    <w:rsid w:val="004246B5"/>
    <w:rsid w:val="00427AF4"/>
    <w:rsid w:val="004354AC"/>
    <w:rsid w:val="0043748C"/>
    <w:rsid w:val="00441085"/>
    <w:rsid w:val="00441FD1"/>
    <w:rsid w:val="004426C0"/>
    <w:rsid w:val="00447159"/>
    <w:rsid w:val="00451A48"/>
    <w:rsid w:val="00452EB8"/>
    <w:rsid w:val="004551C7"/>
    <w:rsid w:val="004555AD"/>
    <w:rsid w:val="00457884"/>
    <w:rsid w:val="00461A2A"/>
    <w:rsid w:val="004647DA"/>
    <w:rsid w:val="0046564F"/>
    <w:rsid w:val="0046787E"/>
    <w:rsid w:val="004713ED"/>
    <w:rsid w:val="00474062"/>
    <w:rsid w:val="004777A6"/>
    <w:rsid w:val="00477A02"/>
    <w:rsid w:val="00477D6B"/>
    <w:rsid w:val="0048554D"/>
    <w:rsid w:val="00487FFB"/>
    <w:rsid w:val="00490014"/>
    <w:rsid w:val="0049150E"/>
    <w:rsid w:val="00491D98"/>
    <w:rsid w:val="004939D3"/>
    <w:rsid w:val="00493DF3"/>
    <w:rsid w:val="00493EBE"/>
    <w:rsid w:val="00494D18"/>
    <w:rsid w:val="004A1094"/>
    <w:rsid w:val="004A24DD"/>
    <w:rsid w:val="004A73DA"/>
    <w:rsid w:val="004A7BE5"/>
    <w:rsid w:val="004B069F"/>
    <w:rsid w:val="004B4CBF"/>
    <w:rsid w:val="004B5245"/>
    <w:rsid w:val="004B53CF"/>
    <w:rsid w:val="004B60AD"/>
    <w:rsid w:val="004C008F"/>
    <w:rsid w:val="004C07FE"/>
    <w:rsid w:val="004C0A09"/>
    <w:rsid w:val="004C30B8"/>
    <w:rsid w:val="004C313D"/>
    <w:rsid w:val="004C5FB4"/>
    <w:rsid w:val="004D384C"/>
    <w:rsid w:val="004D5708"/>
    <w:rsid w:val="004D64F5"/>
    <w:rsid w:val="004E05BC"/>
    <w:rsid w:val="004E242D"/>
    <w:rsid w:val="004E6BF4"/>
    <w:rsid w:val="004F00D5"/>
    <w:rsid w:val="004F15BA"/>
    <w:rsid w:val="004F2AB0"/>
    <w:rsid w:val="004F3572"/>
    <w:rsid w:val="004F4501"/>
    <w:rsid w:val="00500C0C"/>
    <w:rsid w:val="005016F6"/>
    <w:rsid w:val="005019B2"/>
    <w:rsid w:val="005019FF"/>
    <w:rsid w:val="005051C5"/>
    <w:rsid w:val="005051E2"/>
    <w:rsid w:val="00514E77"/>
    <w:rsid w:val="005154A4"/>
    <w:rsid w:val="00515C2F"/>
    <w:rsid w:val="00515DB0"/>
    <w:rsid w:val="00521562"/>
    <w:rsid w:val="00523AFD"/>
    <w:rsid w:val="00525004"/>
    <w:rsid w:val="0053057A"/>
    <w:rsid w:val="00530AB6"/>
    <w:rsid w:val="00532774"/>
    <w:rsid w:val="00532C67"/>
    <w:rsid w:val="00542934"/>
    <w:rsid w:val="00547ED7"/>
    <w:rsid w:val="00550B06"/>
    <w:rsid w:val="00553460"/>
    <w:rsid w:val="005542EA"/>
    <w:rsid w:val="00560A29"/>
    <w:rsid w:val="00565E73"/>
    <w:rsid w:val="00567B78"/>
    <w:rsid w:val="00573E8C"/>
    <w:rsid w:val="005746F1"/>
    <w:rsid w:val="00574F94"/>
    <w:rsid w:val="00575427"/>
    <w:rsid w:val="00577BFE"/>
    <w:rsid w:val="00580E7F"/>
    <w:rsid w:val="00582611"/>
    <w:rsid w:val="0058456E"/>
    <w:rsid w:val="005876E7"/>
    <w:rsid w:val="00590781"/>
    <w:rsid w:val="005926FD"/>
    <w:rsid w:val="00594122"/>
    <w:rsid w:val="005943A7"/>
    <w:rsid w:val="00594661"/>
    <w:rsid w:val="00597F52"/>
    <w:rsid w:val="005A3BFA"/>
    <w:rsid w:val="005A5AE7"/>
    <w:rsid w:val="005B16AC"/>
    <w:rsid w:val="005B6BB9"/>
    <w:rsid w:val="005B74A1"/>
    <w:rsid w:val="005C6649"/>
    <w:rsid w:val="005D0C03"/>
    <w:rsid w:val="005D203D"/>
    <w:rsid w:val="005D3CA1"/>
    <w:rsid w:val="005D5CC1"/>
    <w:rsid w:val="005E37AB"/>
    <w:rsid w:val="005E62CF"/>
    <w:rsid w:val="005E662D"/>
    <w:rsid w:val="005E6938"/>
    <w:rsid w:val="005E6C6F"/>
    <w:rsid w:val="005E7AD0"/>
    <w:rsid w:val="005F065B"/>
    <w:rsid w:val="005F1362"/>
    <w:rsid w:val="005F7D55"/>
    <w:rsid w:val="00604CA9"/>
    <w:rsid w:val="00605827"/>
    <w:rsid w:val="00607E77"/>
    <w:rsid w:val="00610398"/>
    <w:rsid w:val="00613562"/>
    <w:rsid w:val="00614302"/>
    <w:rsid w:val="006172C5"/>
    <w:rsid w:val="00620B06"/>
    <w:rsid w:val="00620CD3"/>
    <w:rsid w:val="00624610"/>
    <w:rsid w:val="00627E5A"/>
    <w:rsid w:val="006328A6"/>
    <w:rsid w:val="00633635"/>
    <w:rsid w:val="00633DAF"/>
    <w:rsid w:val="00635133"/>
    <w:rsid w:val="00636D38"/>
    <w:rsid w:val="00636FF5"/>
    <w:rsid w:val="00637379"/>
    <w:rsid w:val="0064042E"/>
    <w:rsid w:val="00640C29"/>
    <w:rsid w:val="006443E4"/>
    <w:rsid w:val="00644FF4"/>
    <w:rsid w:val="0064526E"/>
    <w:rsid w:val="00646050"/>
    <w:rsid w:val="00655430"/>
    <w:rsid w:val="00655969"/>
    <w:rsid w:val="006562D4"/>
    <w:rsid w:val="00663621"/>
    <w:rsid w:val="006649DF"/>
    <w:rsid w:val="00665895"/>
    <w:rsid w:val="00667745"/>
    <w:rsid w:val="006713CA"/>
    <w:rsid w:val="00671469"/>
    <w:rsid w:val="006746FB"/>
    <w:rsid w:val="0067606D"/>
    <w:rsid w:val="00676C5C"/>
    <w:rsid w:val="00677A44"/>
    <w:rsid w:val="00685246"/>
    <w:rsid w:val="0069050E"/>
    <w:rsid w:val="00690C89"/>
    <w:rsid w:val="00690ED6"/>
    <w:rsid w:val="00691728"/>
    <w:rsid w:val="00694FCA"/>
    <w:rsid w:val="006A0A20"/>
    <w:rsid w:val="006A2651"/>
    <w:rsid w:val="006A613E"/>
    <w:rsid w:val="006B04BC"/>
    <w:rsid w:val="006B3904"/>
    <w:rsid w:val="006B4FBC"/>
    <w:rsid w:val="006B53CA"/>
    <w:rsid w:val="006B7F97"/>
    <w:rsid w:val="006C48E7"/>
    <w:rsid w:val="006C571F"/>
    <w:rsid w:val="006D5E3E"/>
    <w:rsid w:val="006E12CD"/>
    <w:rsid w:val="006E135C"/>
    <w:rsid w:val="006E2DB1"/>
    <w:rsid w:val="006E4D05"/>
    <w:rsid w:val="006E64BC"/>
    <w:rsid w:val="006E77F3"/>
    <w:rsid w:val="006F1E7E"/>
    <w:rsid w:val="006F1F68"/>
    <w:rsid w:val="006F346D"/>
    <w:rsid w:val="00703329"/>
    <w:rsid w:val="00704722"/>
    <w:rsid w:val="0070571D"/>
    <w:rsid w:val="0070645A"/>
    <w:rsid w:val="00707322"/>
    <w:rsid w:val="0071065B"/>
    <w:rsid w:val="007145AF"/>
    <w:rsid w:val="007147FD"/>
    <w:rsid w:val="00714A1E"/>
    <w:rsid w:val="00714FAA"/>
    <w:rsid w:val="0071509E"/>
    <w:rsid w:val="00715171"/>
    <w:rsid w:val="0071568D"/>
    <w:rsid w:val="00716087"/>
    <w:rsid w:val="00722185"/>
    <w:rsid w:val="00725754"/>
    <w:rsid w:val="007262BA"/>
    <w:rsid w:val="00734013"/>
    <w:rsid w:val="00735758"/>
    <w:rsid w:val="00737306"/>
    <w:rsid w:val="007375B7"/>
    <w:rsid w:val="00746294"/>
    <w:rsid w:val="00751040"/>
    <w:rsid w:val="00751D58"/>
    <w:rsid w:val="0075356E"/>
    <w:rsid w:val="00753B2F"/>
    <w:rsid w:val="00754E0F"/>
    <w:rsid w:val="00756044"/>
    <w:rsid w:val="00763F9E"/>
    <w:rsid w:val="00767769"/>
    <w:rsid w:val="00770D12"/>
    <w:rsid w:val="0077374D"/>
    <w:rsid w:val="00773DCC"/>
    <w:rsid w:val="0078123E"/>
    <w:rsid w:val="007832FA"/>
    <w:rsid w:val="00784FBA"/>
    <w:rsid w:val="00786DFD"/>
    <w:rsid w:val="00792D2A"/>
    <w:rsid w:val="007937D5"/>
    <w:rsid w:val="00797274"/>
    <w:rsid w:val="007972D3"/>
    <w:rsid w:val="00797C6A"/>
    <w:rsid w:val="007A15BF"/>
    <w:rsid w:val="007A496D"/>
    <w:rsid w:val="007A5FFF"/>
    <w:rsid w:val="007A7DA3"/>
    <w:rsid w:val="007B21A2"/>
    <w:rsid w:val="007B51CB"/>
    <w:rsid w:val="007C22E4"/>
    <w:rsid w:val="007C29AD"/>
    <w:rsid w:val="007C2ACC"/>
    <w:rsid w:val="007C3790"/>
    <w:rsid w:val="007C632B"/>
    <w:rsid w:val="007D1613"/>
    <w:rsid w:val="007D2298"/>
    <w:rsid w:val="007D4A8B"/>
    <w:rsid w:val="007D5100"/>
    <w:rsid w:val="007D743B"/>
    <w:rsid w:val="007E070C"/>
    <w:rsid w:val="007E17E8"/>
    <w:rsid w:val="007E5190"/>
    <w:rsid w:val="007E5AC2"/>
    <w:rsid w:val="007E6847"/>
    <w:rsid w:val="007E7B0D"/>
    <w:rsid w:val="007F0DC5"/>
    <w:rsid w:val="007F5AE4"/>
    <w:rsid w:val="007F625B"/>
    <w:rsid w:val="00800C2D"/>
    <w:rsid w:val="008037CC"/>
    <w:rsid w:val="00804017"/>
    <w:rsid w:val="00804275"/>
    <w:rsid w:val="008113F8"/>
    <w:rsid w:val="00811578"/>
    <w:rsid w:val="0081419C"/>
    <w:rsid w:val="008147BE"/>
    <w:rsid w:val="00820247"/>
    <w:rsid w:val="00821A23"/>
    <w:rsid w:val="00825E0C"/>
    <w:rsid w:val="00827A38"/>
    <w:rsid w:val="00830BDC"/>
    <w:rsid w:val="00831F6A"/>
    <w:rsid w:val="00834842"/>
    <w:rsid w:val="00835E2B"/>
    <w:rsid w:val="0083617A"/>
    <w:rsid w:val="00841642"/>
    <w:rsid w:val="008428CE"/>
    <w:rsid w:val="00842AF2"/>
    <w:rsid w:val="00842B53"/>
    <w:rsid w:val="00843E80"/>
    <w:rsid w:val="008458DE"/>
    <w:rsid w:val="00847EF3"/>
    <w:rsid w:val="00850876"/>
    <w:rsid w:val="00851045"/>
    <w:rsid w:val="0085264E"/>
    <w:rsid w:val="00856649"/>
    <w:rsid w:val="0085726B"/>
    <w:rsid w:val="00857616"/>
    <w:rsid w:val="00857A9E"/>
    <w:rsid w:val="00860598"/>
    <w:rsid w:val="00862197"/>
    <w:rsid w:val="00863285"/>
    <w:rsid w:val="00863620"/>
    <w:rsid w:val="00863F84"/>
    <w:rsid w:val="00864A6A"/>
    <w:rsid w:val="008651FA"/>
    <w:rsid w:val="00865801"/>
    <w:rsid w:val="008668BB"/>
    <w:rsid w:val="00866D61"/>
    <w:rsid w:val="008673A8"/>
    <w:rsid w:val="0086788A"/>
    <w:rsid w:val="00871043"/>
    <w:rsid w:val="00871D67"/>
    <w:rsid w:val="00874E38"/>
    <w:rsid w:val="0087656B"/>
    <w:rsid w:val="00880454"/>
    <w:rsid w:val="008829A9"/>
    <w:rsid w:val="00884234"/>
    <w:rsid w:val="00886BDA"/>
    <w:rsid w:val="0089567E"/>
    <w:rsid w:val="00895E1E"/>
    <w:rsid w:val="008973EC"/>
    <w:rsid w:val="008A0B80"/>
    <w:rsid w:val="008A68EA"/>
    <w:rsid w:val="008A6E7D"/>
    <w:rsid w:val="008B0D51"/>
    <w:rsid w:val="008B2289"/>
    <w:rsid w:val="008B2CC1"/>
    <w:rsid w:val="008B2DC4"/>
    <w:rsid w:val="008B340F"/>
    <w:rsid w:val="008B4400"/>
    <w:rsid w:val="008B47B8"/>
    <w:rsid w:val="008B5E7D"/>
    <w:rsid w:val="008B60B2"/>
    <w:rsid w:val="008B63DB"/>
    <w:rsid w:val="008C1A67"/>
    <w:rsid w:val="008C26AF"/>
    <w:rsid w:val="008C38C9"/>
    <w:rsid w:val="008C473F"/>
    <w:rsid w:val="008C5423"/>
    <w:rsid w:val="008C679D"/>
    <w:rsid w:val="008D0566"/>
    <w:rsid w:val="008D0E6D"/>
    <w:rsid w:val="008D1324"/>
    <w:rsid w:val="008D1D71"/>
    <w:rsid w:val="008D43A8"/>
    <w:rsid w:val="008D704C"/>
    <w:rsid w:val="008D764C"/>
    <w:rsid w:val="008E1FA9"/>
    <w:rsid w:val="008E43D0"/>
    <w:rsid w:val="008F3FAA"/>
    <w:rsid w:val="00900687"/>
    <w:rsid w:val="0090731E"/>
    <w:rsid w:val="00907E91"/>
    <w:rsid w:val="00915B74"/>
    <w:rsid w:val="0091606A"/>
    <w:rsid w:val="00916B58"/>
    <w:rsid w:val="00916EE2"/>
    <w:rsid w:val="0092130A"/>
    <w:rsid w:val="009214F7"/>
    <w:rsid w:val="0092300D"/>
    <w:rsid w:val="00923451"/>
    <w:rsid w:val="00923787"/>
    <w:rsid w:val="00924C08"/>
    <w:rsid w:val="00926468"/>
    <w:rsid w:val="00927C98"/>
    <w:rsid w:val="009302A0"/>
    <w:rsid w:val="009330F1"/>
    <w:rsid w:val="00933A8B"/>
    <w:rsid w:val="00933D59"/>
    <w:rsid w:val="00934E19"/>
    <w:rsid w:val="0095223E"/>
    <w:rsid w:val="00952537"/>
    <w:rsid w:val="00952631"/>
    <w:rsid w:val="00953A41"/>
    <w:rsid w:val="00954CDF"/>
    <w:rsid w:val="00954E6C"/>
    <w:rsid w:val="00956798"/>
    <w:rsid w:val="0096090C"/>
    <w:rsid w:val="00960DEC"/>
    <w:rsid w:val="00961013"/>
    <w:rsid w:val="00961D03"/>
    <w:rsid w:val="00963578"/>
    <w:rsid w:val="00964255"/>
    <w:rsid w:val="00964E48"/>
    <w:rsid w:val="00966153"/>
    <w:rsid w:val="00966510"/>
    <w:rsid w:val="00966A22"/>
    <w:rsid w:val="0096722F"/>
    <w:rsid w:val="00970719"/>
    <w:rsid w:val="00971057"/>
    <w:rsid w:val="00972EFB"/>
    <w:rsid w:val="0097315E"/>
    <w:rsid w:val="009748B7"/>
    <w:rsid w:val="00976A5C"/>
    <w:rsid w:val="009777F9"/>
    <w:rsid w:val="00977884"/>
    <w:rsid w:val="009778D2"/>
    <w:rsid w:val="00980843"/>
    <w:rsid w:val="00982798"/>
    <w:rsid w:val="00983214"/>
    <w:rsid w:val="00985FB7"/>
    <w:rsid w:val="00991FC5"/>
    <w:rsid w:val="00993CC2"/>
    <w:rsid w:val="00994DCE"/>
    <w:rsid w:val="0099614A"/>
    <w:rsid w:val="009974D0"/>
    <w:rsid w:val="009975D9"/>
    <w:rsid w:val="009A0BF7"/>
    <w:rsid w:val="009A2BDF"/>
    <w:rsid w:val="009A3567"/>
    <w:rsid w:val="009B0679"/>
    <w:rsid w:val="009B3B0A"/>
    <w:rsid w:val="009B494D"/>
    <w:rsid w:val="009C11E9"/>
    <w:rsid w:val="009C1F30"/>
    <w:rsid w:val="009C3990"/>
    <w:rsid w:val="009C3DE0"/>
    <w:rsid w:val="009D1263"/>
    <w:rsid w:val="009D16E4"/>
    <w:rsid w:val="009D2317"/>
    <w:rsid w:val="009D2622"/>
    <w:rsid w:val="009D5DEA"/>
    <w:rsid w:val="009D5F0D"/>
    <w:rsid w:val="009D7AF5"/>
    <w:rsid w:val="009D7C8B"/>
    <w:rsid w:val="009E08BC"/>
    <w:rsid w:val="009E1514"/>
    <w:rsid w:val="009E2791"/>
    <w:rsid w:val="009E3F6F"/>
    <w:rsid w:val="009E5C4B"/>
    <w:rsid w:val="009F3C03"/>
    <w:rsid w:val="009F4684"/>
    <w:rsid w:val="009F499F"/>
    <w:rsid w:val="009F4B1D"/>
    <w:rsid w:val="009F6198"/>
    <w:rsid w:val="009F7A8A"/>
    <w:rsid w:val="009F7EDD"/>
    <w:rsid w:val="00A005E9"/>
    <w:rsid w:val="00A01C78"/>
    <w:rsid w:val="00A04B6F"/>
    <w:rsid w:val="00A051A0"/>
    <w:rsid w:val="00A054AE"/>
    <w:rsid w:val="00A05528"/>
    <w:rsid w:val="00A069ED"/>
    <w:rsid w:val="00A06F9F"/>
    <w:rsid w:val="00A13858"/>
    <w:rsid w:val="00A139EF"/>
    <w:rsid w:val="00A17DAB"/>
    <w:rsid w:val="00A214DF"/>
    <w:rsid w:val="00A23F15"/>
    <w:rsid w:val="00A24118"/>
    <w:rsid w:val="00A269F0"/>
    <w:rsid w:val="00A309E9"/>
    <w:rsid w:val="00A310CD"/>
    <w:rsid w:val="00A353DC"/>
    <w:rsid w:val="00A37F5A"/>
    <w:rsid w:val="00A42D8D"/>
    <w:rsid w:val="00A42DAF"/>
    <w:rsid w:val="00A440CD"/>
    <w:rsid w:val="00A45789"/>
    <w:rsid w:val="00A45BD8"/>
    <w:rsid w:val="00A4754F"/>
    <w:rsid w:val="00A51F10"/>
    <w:rsid w:val="00A54123"/>
    <w:rsid w:val="00A54F8E"/>
    <w:rsid w:val="00A6107C"/>
    <w:rsid w:val="00A63010"/>
    <w:rsid w:val="00A63ABA"/>
    <w:rsid w:val="00A64665"/>
    <w:rsid w:val="00A65086"/>
    <w:rsid w:val="00A707D7"/>
    <w:rsid w:val="00A7299C"/>
    <w:rsid w:val="00A72F30"/>
    <w:rsid w:val="00A72F46"/>
    <w:rsid w:val="00A75287"/>
    <w:rsid w:val="00A75E5E"/>
    <w:rsid w:val="00A77270"/>
    <w:rsid w:val="00A80BD4"/>
    <w:rsid w:val="00A813B6"/>
    <w:rsid w:val="00A8194B"/>
    <w:rsid w:val="00A82820"/>
    <w:rsid w:val="00A84964"/>
    <w:rsid w:val="00A866F1"/>
    <w:rsid w:val="00A869B7"/>
    <w:rsid w:val="00A90633"/>
    <w:rsid w:val="00A90FB0"/>
    <w:rsid w:val="00A92EEF"/>
    <w:rsid w:val="00A9304F"/>
    <w:rsid w:val="00A958EE"/>
    <w:rsid w:val="00AA23CF"/>
    <w:rsid w:val="00AA4220"/>
    <w:rsid w:val="00AA5AD8"/>
    <w:rsid w:val="00AA5F0A"/>
    <w:rsid w:val="00AA65A8"/>
    <w:rsid w:val="00AA71CE"/>
    <w:rsid w:val="00AA799A"/>
    <w:rsid w:val="00AB19F5"/>
    <w:rsid w:val="00AB1FCE"/>
    <w:rsid w:val="00AB2CC8"/>
    <w:rsid w:val="00AC0295"/>
    <w:rsid w:val="00AC1A35"/>
    <w:rsid w:val="00AC205C"/>
    <w:rsid w:val="00AC217A"/>
    <w:rsid w:val="00AC21ED"/>
    <w:rsid w:val="00AC31B5"/>
    <w:rsid w:val="00AC3FBB"/>
    <w:rsid w:val="00AC5013"/>
    <w:rsid w:val="00AC58C9"/>
    <w:rsid w:val="00AD6A05"/>
    <w:rsid w:val="00AE02EE"/>
    <w:rsid w:val="00AE10C7"/>
    <w:rsid w:val="00AE1DBE"/>
    <w:rsid w:val="00AE27BE"/>
    <w:rsid w:val="00AE6ADC"/>
    <w:rsid w:val="00AE6BE2"/>
    <w:rsid w:val="00AF0A6B"/>
    <w:rsid w:val="00AF0A7B"/>
    <w:rsid w:val="00AF755A"/>
    <w:rsid w:val="00AF7B63"/>
    <w:rsid w:val="00B0053A"/>
    <w:rsid w:val="00B02F5A"/>
    <w:rsid w:val="00B03DD3"/>
    <w:rsid w:val="00B05A69"/>
    <w:rsid w:val="00B0605E"/>
    <w:rsid w:val="00B113FE"/>
    <w:rsid w:val="00B11439"/>
    <w:rsid w:val="00B120B8"/>
    <w:rsid w:val="00B12826"/>
    <w:rsid w:val="00B16667"/>
    <w:rsid w:val="00B179F2"/>
    <w:rsid w:val="00B20F73"/>
    <w:rsid w:val="00B25169"/>
    <w:rsid w:val="00B27ED1"/>
    <w:rsid w:val="00B34629"/>
    <w:rsid w:val="00B3523E"/>
    <w:rsid w:val="00B35888"/>
    <w:rsid w:val="00B368CE"/>
    <w:rsid w:val="00B415F9"/>
    <w:rsid w:val="00B435D9"/>
    <w:rsid w:val="00B462E7"/>
    <w:rsid w:val="00B52662"/>
    <w:rsid w:val="00B5453D"/>
    <w:rsid w:val="00B564F5"/>
    <w:rsid w:val="00B6171A"/>
    <w:rsid w:val="00B63526"/>
    <w:rsid w:val="00B63EA2"/>
    <w:rsid w:val="00B65447"/>
    <w:rsid w:val="00B7211F"/>
    <w:rsid w:val="00B748E2"/>
    <w:rsid w:val="00B75728"/>
    <w:rsid w:val="00B75FE6"/>
    <w:rsid w:val="00B76BC5"/>
    <w:rsid w:val="00B77548"/>
    <w:rsid w:val="00B777A9"/>
    <w:rsid w:val="00B82D7F"/>
    <w:rsid w:val="00B84A83"/>
    <w:rsid w:val="00B8524D"/>
    <w:rsid w:val="00B86756"/>
    <w:rsid w:val="00B87DFE"/>
    <w:rsid w:val="00B9110F"/>
    <w:rsid w:val="00B91E7F"/>
    <w:rsid w:val="00B938D2"/>
    <w:rsid w:val="00B94257"/>
    <w:rsid w:val="00B954A6"/>
    <w:rsid w:val="00B95D72"/>
    <w:rsid w:val="00B9734B"/>
    <w:rsid w:val="00B977FB"/>
    <w:rsid w:val="00BA2152"/>
    <w:rsid w:val="00BA679C"/>
    <w:rsid w:val="00BA6D82"/>
    <w:rsid w:val="00BB04B0"/>
    <w:rsid w:val="00BB0E75"/>
    <w:rsid w:val="00BB2F0B"/>
    <w:rsid w:val="00BB4F3B"/>
    <w:rsid w:val="00BB6A23"/>
    <w:rsid w:val="00BB71B0"/>
    <w:rsid w:val="00BC05F2"/>
    <w:rsid w:val="00BC4836"/>
    <w:rsid w:val="00BC497D"/>
    <w:rsid w:val="00BC4E9D"/>
    <w:rsid w:val="00BC6EB1"/>
    <w:rsid w:val="00BC792F"/>
    <w:rsid w:val="00BD292B"/>
    <w:rsid w:val="00BD29C6"/>
    <w:rsid w:val="00BD44F9"/>
    <w:rsid w:val="00BD5FCD"/>
    <w:rsid w:val="00BD7490"/>
    <w:rsid w:val="00BE3495"/>
    <w:rsid w:val="00BE777C"/>
    <w:rsid w:val="00BE78FE"/>
    <w:rsid w:val="00BF5AA1"/>
    <w:rsid w:val="00C011FE"/>
    <w:rsid w:val="00C01234"/>
    <w:rsid w:val="00C06551"/>
    <w:rsid w:val="00C06620"/>
    <w:rsid w:val="00C100BA"/>
    <w:rsid w:val="00C108A9"/>
    <w:rsid w:val="00C11BFE"/>
    <w:rsid w:val="00C126F2"/>
    <w:rsid w:val="00C14910"/>
    <w:rsid w:val="00C14B9E"/>
    <w:rsid w:val="00C14D03"/>
    <w:rsid w:val="00C218AB"/>
    <w:rsid w:val="00C23705"/>
    <w:rsid w:val="00C24078"/>
    <w:rsid w:val="00C252EF"/>
    <w:rsid w:val="00C255D6"/>
    <w:rsid w:val="00C2783E"/>
    <w:rsid w:val="00C27874"/>
    <w:rsid w:val="00C27F96"/>
    <w:rsid w:val="00C32995"/>
    <w:rsid w:val="00C36386"/>
    <w:rsid w:val="00C36676"/>
    <w:rsid w:val="00C372A3"/>
    <w:rsid w:val="00C375F4"/>
    <w:rsid w:val="00C4540C"/>
    <w:rsid w:val="00C462E2"/>
    <w:rsid w:val="00C507F1"/>
    <w:rsid w:val="00C51065"/>
    <w:rsid w:val="00C51B36"/>
    <w:rsid w:val="00C52361"/>
    <w:rsid w:val="00C604BC"/>
    <w:rsid w:val="00C61313"/>
    <w:rsid w:val="00C64AB6"/>
    <w:rsid w:val="00C65738"/>
    <w:rsid w:val="00C65F9D"/>
    <w:rsid w:val="00C710DA"/>
    <w:rsid w:val="00C8005A"/>
    <w:rsid w:val="00C8217E"/>
    <w:rsid w:val="00C846AF"/>
    <w:rsid w:val="00C877C6"/>
    <w:rsid w:val="00C90C07"/>
    <w:rsid w:val="00CA07AB"/>
    <w:rsid w:val="00CA1929"/>
    <w:rsid w:val="00CA4894"/>
    <w:rsid w:val="00CA4FF0"/>
    <w:rsid w:val="00CA5D18"/>
    <w:rsid w:val="00CB1D51"/>
    <w:rsid w:val="00CB4B1E"/>
    <w:rsid w:val="00CB61D4"/>
    <w:rsid w:val="00CC0BF3"/>
    <w:rsid w:val="00CC2466"/>
    <w:rsid w:val="00CC2B5F"/>
    <w:rsid w:val="00CC7257"/>
    <w:rsid w:val="00CD017C"/>
    <w:rsid w:val="00CD2539"/>
    <w:rsid w:val="00CD3C4C"/>
    <w:rsid w:val="00CD7B3B"/>
    <w:rsid w:val="00CE1CDB"/>
    <w:rsid w:val="00CE3C1C"/>
    <w:rsid w:val="00CE46AD"/>
    <w:rsid w:val="00CE4DD3"/>
    <w:rsid w:val="00CE7122"/>
    <w:rsid w:val="00CE7EB8"/>
    <w:rsid w:val="00CF3207"/>
    <w:rsid w:val="00CF36D9"/>
    <w:rsid w:val="00CF45AC"/>
    <w:rsid w:val="00CF5C28"/>
    <w:rsid w:val="00CF7313"/>
    <w:rsid w:val="00D041B6"/>
    <w:rsid w:val="00D046E4"/>
    <w:rsid w:val="00D04A5B"/>
    <w:rsid w:val="00D06F48"/>
    <w:rsid w:val="00D145AC"/>
    <w:rsid w:val="00D15E5F"/>
    <w:rsid w:val="00D165C1"/>
    <w:rsid w:val="00D16DE3"/>
    <w:rsid w:val="00D1745A"/>
    <w:rsid w:val="00D22587"/>
    <w:rsid w:val="00D22BDD"/>
    <w:rsid w:val="00D25CCE"/>
    <w:rsid w:val="00D26440"/>
    <w:rsid w:val="00D26BAB"/>
    <w:rsid w:val="00D27B74"/>
    <w:rsid w:val="00D315D9"/>
    <w:rsid w:val="00D31890"/>
    <w:rsid w:val="00D31BB0"/>
    <w:rsid w:val="00D3265F"/>
    <w:rsid w:val="00D40C6D"/>
    <w:rsid w:val="00D40C9F"/>
    <w:rsid w:val="00D41DAE"/>
    <w:rsid w:val="00D43311"/>
    <w:rsid w:val="00D439F9"/>
    <w:rsid w:val="00D45252"/>
    <w:rsid w:val="00D5008D"/>
    <w:rsid w:val="00D50395"/>
    <w:rsid w:val="00D566B5"/>
    <w:rsid w:val="00D57BD5"/>
    <w:rsid w:val="00D611E5"/>
    <w:rsid w:val="00D61361"/>
    <w:rsid w:val="00D6456E"/>
    <w:rsid w:val="00D71B4D"/>
    <w:rsid w:val="00D72DCA"/>
    <w:rsid w:val="00D76C48"/>
    <w:rsid w:val="00D76FDE"/>
    <w:rsid w:val="00D804ED"/>
    <w:rsid w:val="00D862AF"/>
    <w:rsid w:val="00D877DC"/>
    <w:rsid w:val="00D91335"/>
    <w:rsid w:val="00D932DE"/>
    <w:rsid w:val="00D937D6"/>
    <w:rsid w:val="00D93A8F"/>
    <w:rsid w:val="00D93D55"/>
    <w:rsid w:val="00D96108"/>
    <w:rsid w:val="00D9636A"/>
    <w:rsid w:val="00D9719C"/>
    <w:rsid w:val="00DA2E1C"/>
    <w:rsid w:val="00DA4B59"/>
    <w:rsid w:val="00DA5172"/>
    <w:rsid w:val="00DB164C"/>
    <w:rsid w:val="00DB221B"/>
    <w:rsid w:val="00DB347A"/>
    <w:rsid w:val="00DB5750"/>
    <w:rsid w:val="00DC0367"/>
    <w:rsid w:val="00DC0CDD"/>
    <w:rsid w:val="00DC0EF6"/>
    <w:rsid w:val="00DC3429"/>
    <w:rsid w:val="00DC392B"/>
    <w:rsid w:val="00DC4F39"/>
    <w:rsid w:val="00DD0AD6"/>
    <w:rsid w:val="00DD1AF8"/>
    <w:rsid w:val="00DD5A50"/>
    <w:rsid w:val="00DE471D"/>
    <w:rsid w:val="00DE6A69"/>
    <w:rsid w:val="00DF00A3"/>
    <w:rsid w:val="00DF07E5"/>
    <w:rsid w:val="00DF38F6"/>
    <w:rsid w:val="00DF520E"/>
    <w:rsid w:val="00DF6264"/>
    <w:rsid w:val="00E00723"/>
    <w:rsid w:val="00E03522"/>
    <w:rsid w:val="00E06493"/>
    <w:rsid w:val="00E07D2E"/>
    <w:rsid w:val="00E10A67"/>
    <w:rsid w:val="00E10AAA"/>
    <w:rsid w:val="00E10F12"/>
    <w:rsid w:val="00E13169"/>
    <w:rsid w:val="00E13548"/>
    <w:rsid w:val="00E2003A"/>
    <w:rsid w:val="00E206A2"/>
    <w:rsid w:val="00E25FFE"/>
    <w:rsid w:val="00E335FE"/>
    <w:rsid w:val="00E33777"/>
    <w:rsid w:val="00E36065"/>
    <w:rsid w:val="00E37EA2"/>
    <w:rsid w:val="00E37F7C"/>
    <w:rsid w:val="00E41C52"/>
    <w:rsid w:val="00E41CB0"/>
    <w:rsid w:val="00E4277A"/>
    <w:rsid w:val="00E428B4"/>
    <w:rsid w:val="00E44BBF"/>
    <w:rsid w:val="00E47C43"/>
    <w:rsid w:val="00E52809"/>
    <w:rsid w:val="00E54957"/>
    <w:rsid w:val="00E55DAE"/>
    <w:rsid w:val="00E566AF"/>
    <w:rsid w:val="00E60526"/>
    <w:rsid w:val="00E65668"/>
    <w:rsid w:val="00E67CDC"/>
    <w:rsid w:val="00E7117A"/>
    <w:rsid w:val="00E7481F"/>
    <w:rsid w:val="00E81046"/>
    <w:rsid w:val="00E81506"/>
    <w:rsid w:val="00E851B1"/>
    <w:rsid w:val="00E8688F"/>
    <w:rsid w:val="00E911B1"/>
    <w:rsid w:val="00E9232D"/>
    <w:rsid w:val="00E938A6"/>
    <w:rsid w:val="00E94990"/>
    <w:rsid w:val="00E95EDD"/>
    <w:rsid w:val="00E979D1"/>
    <w:rsid w:val="00E97F95"/>
    <w:rsid w:val="00EA0142"/>
    <w:rsid w:val="00EA0D50"/>
    <w:rsid w:val="00EA3D32"/>
    <w:rsid w:val="00EA4099"/>
    <w:rsid w:val="00EA5FAF"/>
    <w:rsid w:val="00EA72EF"/>
    <w:rsid w:val="00EA78AC"/>
    <w:rsid w:val="00EB219A"/>
    <w:rsid w:val="00EB24A0"/>
    <w:rsid w:val="00EB6071"/>
    <w:rsid w:val="00EC1CF7"/>
    <w:rsid w:val="00EC2DF3"/>
    <w:rsid w:val="00EC49EC"/>
    <w:rsid w:val="00EC4BB4"/>
    <w:rsid w:val="00EC4E49"/>
    <w:rsid w:val="00EC5EE8"/>
    <w:rsid w:val="00EC6291"/>
    <w:rsid w:val="00EC73FE"/>
    <w:rsid w:val="00EC7D26"/>
    <w:rsid w:val="00ED2A52"/>
    <w:rsid w:val="00ED380D"/>
    <w:rsid w:val="00ED77FB"/>
    <w:rsid w:val="00EE320E"/>
    <w:rsid w:val="00EE3BF6"/>
    <w:rsid w:val="00EE45FA"/>
    <w:rsid w:val="00EE4E1A"/>
    <w:rsid w:val="00EE500B"/>
    <w:rsid w:val="00EE7C06"/>
    <w:rsid w:val="00EF1485"/>
    <w:rsid w:val="00EF23C6"/>
    <w:rsid w:val="00EF37B4"/>
    <w:rsid w:val="00EF6BD7"/>
    <w:rsid w:val="00F01084"/>
    <w:rsid w:val="00F01F77"/>
    <w:rsid w:val="00F041C2"/>
    <w:rsid w:val="00F05AFD"/>
    <w:rsid w:val="00F06FE8"/>
    <w:rsid w:val="00F119CC"/>
    <w:rsid w:val="00F13826"/>
    <w:rsid w:val="00F21ACE"/>
    <w:rsid w:val="00F23348"/>
    <w:rsid w:val="00F24471"/>
    <w:rsid w:val="00F308E0"/>
    <w:rsid w:val="00F30B22"/>
    <w:rsid w:val="00F314FA"/>
    <w:rsid w:val="00F31535"/>
    <w:rsid w:val="00F31DCF"/>
    <w:rsid w:val="00F3369B"/>
    <w:rsid w:val="00F33996"/>
    <w:rsid w:val="00F376EC"/>
    <w:rsid w:val="00F40D12"/>
    <w:rsid w:val="00F40EAE"/>
    <w:rsid w:val="00F416CB"/>
    <w:rsid w:val="00F428C7"/>
    <w:rsid w:val="00F42D36"/>
    <w:rsid w:val="00F42FE0"/>
    <w:rsid w:val="00F4492E"/>
    <w:rsid w:val="00F45BFE"/>
    <w:rsid w:val="00F46A61"/>
    <w:rsid w:val="00F46EB7"/>
    <w:rsid w:val="00F47364"/>
    <w:rsid w:val="00F51958"/>
    <w:rsid w:val="00F5222A"/>
    <w:rsid w:val="00F57343"/>
    <w:rsid w:val="00F603C3"/>
    <w:rsid w:val="00F622A4"/>
    <w:rsid w:val="00F66152"/>
    <w:rsid w:val="00F6734B"/>
    <w:rsid w:val="00F72385"/>
    <w:rsid w:val="00F7284C"/>
    <w:rsid w:val="00F73824"/>
    <w:rsid w:val="00F739E3"/>
    <w:rsid w:val="00F749B5"/>
    <w:rsid w:val="00F74BF2"/>
    <w:rsid w:val="00F77167"/>
    <w:rsid w:val="00F8032C"/>
    <w:rsid w:val="00F823AC"/>
    <w:rsid w:val="00F82417"/>
    <w:rsid w:val="00F8379B"/>
    <w:rsid w:val="00F85AEC"/>
    <w:rsid w:val="00F96ABA"/>
    <w:rsid w:val="00F971B8"/>
    <w:rsid w:val="00FA2900"/>
    <w:rsid w:val="00FA2D8F"/>
    <w:rsid w:val="00FA3D9B"/>
    <w:rsid w:val="00FA424C"/>
    <w:rsid w:val="00FA4A39"/>
    <w:rsid w:val="00FA60AA"/>
    <w:rsid w:val="00FB1BAF"/>
    <w:rsid w:val="00FB22D5"/>
    <w:rsid w:val="00FB425D"/>
    <w:rsid w:val="00FB55FD"/>
    <w:rsid w:val="00FB575D"/>
    <w:rsid w:val="00FB6CE8"/>
    <w:rsid w:val="00FB6FEE"/>
    <w:rsid w:val="00FC133F"/>
    <w:rsid w:val="00FC37F9"/>
    <w:rsid w:val="00FC44DF"/>
    <w:rsid w:val="00FC558C"/>
    <w:rsid w:val="00FC6F39"/>
    <w:rsid w:val="00FD08A9"/>
    <w:rsid w:val="00FD66D8"/>
    <w:rsid w:val="00FD6B06"/>
    <w:rsid w:val="00FD6C31"/>
    <w:rsid w:val="00FE022C"/>
    <w:rsid w:val="00FE65E2"/>
    <w:rsid w:val="00FE6966"/>
    <w:rsid w:val="00FF0BB3"/>
    <w:rsid w:val="00FF1227"/>
    <w:rsid w:val="00FF259E"/>
    <w:rsid w:val="00FF3B71"/>
    <w:rsid w:val="00FF6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2"/>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2">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 w:type="table" w:styleId="af4">
    <w:name w:val="Table Grid"/>
    <w:basedOn w:val="a2"/>
    <w:rsid w:val="00EF6BD7"/>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尾注文本 Char"/>
    <w:basedOn w:val="a1"/>
    <w:link w:val="a7"/>
    <w:rsid w:val="00DA4B59"/>
    <w:rPr>
      <w:rFonts w:ascii="Arial" w:hAnsi="Arial" w:cs="Arial"/>
      <w:sz w:val="18"/>
    </w:rPr>
  </w:style>
  <w:style w:type="paragraph" w:styleId="af5">
    <w:name w:val="List Paragraph"/>
    <w:basedOn w:val="a0"/>
    <w:uiPriority w:val="34"/>
    <w:qFormat/>
    <w:rsid w:val="00DA4B59"/>
    <w:pPr>
      <w:ind w:firstLineChars="200" w:firstLine="420"/>
    </w:pPr>
    <w:rPr>
      <w:szCs w:val="22"/>
    </w:rPr>
  </w:style>
  <w:style w:type="character" w:customStyle="1" w:styleId="ONUMEChar">
    <w:name w:val="ONUM E Char"/>
    <w:basedOn w:val="a1"/>
    <w:link w:val="ONUME"/>
    <w:rsid w:val="00B6352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link w:val="Char0"/>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2"/>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2">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 w:type="character" w:styleId="af3">
    <w:name w:val="Strong"/>
    <w:basedOn w:val="a1"/>
    <w:uiPriority w:val="22"/>
    <w:qFormat/>
    <w:rsid w:val="006746FB"/>
    <w:rPr>
      <w:b/>
      <w:bCs/>
    </w:rPr>
  </w:style>
  <w:style w:type="character" w:customStyle="1" w:styleId="1Char">
    <w:name w:val="标题 1 Char"/>
    <w:basedOn w:val="a1"/>
    <w:link w:val="1"/>
    <w:rsid w:val="00532774"/>
    <w:rPr>
      <w:rFonts w:ascii="Arial" w:hAnsi="Arial" w:cs="Arial"/>
      <w:b/>
      <w:bCs/>
      <w:caps/>
      <w:kern w:val="32"/>
      <w:sz w:val="22"/>
      <w:szCs w:val="32"/>
    </w:rPr>
  </w:style>
  <w:style w:type="table" w:styleId="af4">
    <w:name w:val="Table Grid"/>
    <w:basedOn w:val="a2"/>
    <w:rsid w:val="00EF6BD7"/>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尾注文本 Char"/>
    <w:basedOn w:val="a1"/>
    <w:link w:val="a7"/>
    <w:rsid w:val="00DA4B59"/>
    <w:rPr>
      <w:rFonts w:ascii="Arial" w:hAnsi="Arial" w:cs="Arial"/>
      <w:sz w:val="18"/>
    </w:rPr>
  </w:style>
  <w:style w:type="paragraph" w:styleId="af5">
    <w:name w:val="List Paragraph"/>
    <w:basedOn w:val="a0"/>
    <w:uiPriority w:val="34"/>
    <w:qFormat/>
    <w:rsid w:val="00DA4B59"/>
    <w:pPr>
      <w:ind w:firstLineChars="200" w:firstLine="420"/>
    </w:pPr>
    <w:rPr>
      <w:szCs w:val="22"/>
    </w:rPr>
  </w:style>
  <w:style w:type="character" w:customStyle="1" w:styleId="ONUMEChar">
    <w:name w:val="ONUM E Char"/>
    <w:basedOn w:val="a1"/>
    <w:link w:val="ONUME"/>
    <w:rsid w:val="00B6352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834056419">
      <w:bodyDiv w:val="1"/>
      <w:marLeft w:val="0"/>
      <w:marRight w:val="0"/>
      <w:marTop w:val="0"/>
      <w:marBottom w:val="0"/>
      <w:divBdr>
        <w:top w:val="none" w:sz="0" w:space="0" w:color="auto"/>
        <w:left w:val="none" w:sz="0" w:space="0" w:color="auto"/>
        <w:bottom w:val="none" w:sz="0" w:space="0" w:color="auto"/>
        <w:right w:val="none" w:sz="0" w:space="0" w:color="auto"/>
      </w:divBdr>
      <w:divsChild>
        <w:div w:id="1850363735">
          <w:marLeft w:val="0"/>
          <w:marRight w:val="0"/>
          <w:marTop w:val="0"/>
          <w:marBottom w:val="0"/>
          <w:divBdr>
            <w:top w:val="none" w:sz="0" w:space="0" w:color="auto"/>
            <w:left w:val="none" w:sz="0" w:space="0" w:color="auto"/>
            <w:bottom w:val="none" w:sz="0" w:space="0" w:color="auto"/>
            <w:right w:val="none" w:sz="0" w:space="0" w:color="auto"/>
          </w:divBdr>
          <w:divsChild>
            <w:div w:id="1852451135">
              <w:marLeft w:val="0"/>
              <w:marRight w:val="0"/>
              <w:marTop w:val="0"/>
              <w:marBottom w:val="0"/>
              <w:divBdr>
                <w:top w:val="none" w:sz="0" w:space="0" w:color="auto"/>
                <w:left w:val="none" w:sz="0" w:space="0" w:color="auto"/>
                <w:bottom w:val="none" w:sz="0" w:space="0" w:color="auto"/>
                <w:right w:val="none" w:sz="0" w:space="0" w:color="auto"/>
              </w:divBdr>
              <w:divsChild>
                <w:div w:id="2114473762">
                  <w:marLeft w:val="0"/>
                  <w:marRight w:val="0"/>
                  <w:marTop w:val="0"/>
                  <w:marBottom w:val="0"/>
                  <w:divBdr>
                    <w:top w:val="none" w:sz="0" w:space="0" w:color="auto"/>
                    <w:left w:val="none" w:sz="0" w:space="0" w:color="auto"/>
                    <w:bottom w:val="none" w:sz="0" w:space="0" w:color="auto"/>
                    <w:right w:val="none" w:sz="0" w:space="0" w:color="auto"/>
                  </w:divBdr>
                  <w:divsChild>
                    <w:div w:id="1692753766">
                      <w:marLeft w:val="0"/>
                      <w:marRight w:val="0"/>
                      <w:marTop w:val="0"/>
                      <w:marBottom w:val="0"/>
                      <w:divBdr>
                        <w:top w:val="none" w:sz="0" w:space="0" w:color="auto"/>
                        <w:left w:val="none" w:sz="0" w:space="0" w:color="auto"/>
                        <w:bottom w:val="none" w:sz="0" w:space="0" w:color="auto"/>
                        <w:right w:val="none" w:sz="0" w:space="0" w:color="auto"/>
                      </w:divBdr>
                      <w:divsChild>
                        <w:div w:id="1355377828">
                          <w:marLeft w:val="0"/>
                          <w:marRight w:val="0"/>
                          <w:marTop w:val="0"/>
                          <w:marBottom w:val="0"/>
                          <w:divBdr>
                            <w:top w:val="none" w:sz="0" w:space="0" w:color="auto"/>
                            <w:left w:val="none" w:sz="0" w:space="0" w:color="auto"/>
                            <w:bottom w:val="none" w:sz="0" w:space="0" w:color="auto"/>
                            <w:right w:val="none" w:sz="0" w:space="0" w:color="auto"/>
                          </w:divBdr>
                          <w:divsChild>
                            <w:div w:id="1031616491">
                              <w:marLeft w:val="0"/>
                              <w:marRight w:val="0"/>
                              <w:marTop w:val="75"/>
                              <w:marBottom w:val="75"/>
                              <w:divBdr>
                                <w:top w:val="none" w:sz="0" w:space="0" w:color="auto"/>
                                <w:left w:val="none" w:sz="0" w:space="0" w:color="auto"/>
                                <w:bottom w:val="none" w:sz="0" w:space="0" w:color="auto"/>
                                <w:right w:val="none" w:sz="0" w:space="0" w:color="auto"/>
                              </w:divBdr>
                              <w:divsChild>
                                <w:div w:id="56519682">
                                  <w:marLeft w:val="0"/>
                                  <w:marRight w:val="0"/>
                                  <w:marTop w:val="0"/>
                                  <w:marBottom w:val="0"/>
                                  <w:divBdr>
                                    <w:top w:val="none" w:sz="0" w:space="0" w:color="auto"/>
                                    <w:left w:val="none" w:sz="0" w:space="0" w:color="auto"/>
                                    <w:bottom w:val="none" w:sz="0" w:space="0" w:color="auto"/>
                                    <w:right w:val="none" w:sz="0" w:space="0" w:color="auto"/>
                                  </w:divBdr>
                                  <w:divsChild>
                                    <w:div w:id="627049032">
                                      <w:marLeft w:val="0"/>
                                      <w:marRight w:val="0"/>
                                      <w:marTop w:val="0"/>
                                      <w:marBottom w:val="0"/>
                                      <w:divBdr>
                                        <w:top w:val="none" w:sz="0" w:space="0" w:color="auto"/>
                                        <w:left w:val="none" w:sz="0" w:space="0" w:color="auto"/>
                                        <w:bottom w:val="none" w:sz="0" w:space="0" w:color="auto"/>
                                        <w:right w:val="none" w:sz="0" w:space="0" w:color="auto"/>
                                      </w:divBdr>
                                      <w:divsChild>
                                        <w:div w:id="1631203222">
                                          <w:marLeft w:val="0"/>
                                          <w:marRight w:val="0"/>
                                          <w:marTop w:val="0"/>
                                          <w:marBottom w:val="75"/>
                                          <w:divBdr>
                                            <w:top w:val="none" w:sz="0" w:space="0" w:color="auto"/>
                                            <w:left w:val="none" w:sz="0" w:space="0" w:color="auto"/>
                                            <w:bottom w:val="none" w:sz="0" w:space="0" w:color="auto"/>
                                            <w:right w:val="none" w:sz="0" w:space="0" w:color="auto"/>
                                          </w:divBdr>
                                          <w:divsChild>
                                            <w:div w:id="1975867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EFE6A-4135-48A8-9B1B-B76F9432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5</Pages>
  <Words>4137</Words>
  <Characters>710</Characters>
  <Application>Microsoft Office Word</Application>
  <DocSecurity>0</DocSecurity>
  <Lines>5</Lines>
  <Paragraphs>9</Paragraphs>
  <ScaleCrop>false</ScaleCrop>
  <HeadingPairs>
    <vt:vector size="2" baseType="variant">
      <vt:variant>
        <vt:lpstr>Title</vt:lpstr>
      </vt:variant>
      <vt:variant>
        <vt:i4>1</vt:i4>
      </vt:variant>
    </vt:vector>
  </HeadingPairs>
  <TitlesOfParts>
    <vt:vector size="1" baseType="lpstr">
      <vt:lpstr>PCT/WG/9/8</vt:lpstr>
    </vt:vector>
  </TitlesOfParts>
  <Company>WIPO</Company>
  <LinksUpToDate>false</LinksUpToDate>
  <CharactersWithSpaces>4838</CharactersWithSpaces>
  <SharedDoc>false</SharedDoc>
  <HLinks>
    <vt:vector size="12" baseType="variant">
      <vt:variant>
        <vt:i4>1507381</vt:i4>
      </vt:variant>
      <vt:variant>
        <vt:i4>0</vt:i4>
      </vt:variant>
      <vt:variant>
        <vt:i4>0</vt:i4>
      </vt:variant>
      <vt:variant>
        <vt:i4>5</vt:i4>
      </vt:variant>
      <vt:variant>
        <vt:lpwstr>\\Wipogvafs01\DAT1\OrgPctLdev\Shared\WIPO meetings - PCT\PCT-WG-07\02 Documents\01 English\01 Drafts\www.wipo.int\tad\en</vt:lpwstr>
      </vt:variant>
      <vt:variant>
        <vt:lpwstr/>
      </vt:variant>
      <vt:variant>
        <vt:i4>2097245</vt:i4>
      </vt:variant>
      <vt:variant>
        <vt:i4>0</vt:i4>
      </vt:variant>
      <vt:variant>
        <vt:i4>0</vt:i4>
      </vt:variant>
      <vt:variant>
        <vt:i4>5</vt:i4>
      </vt:variant>
      <vt:variant>
        <vt:lpwstr>http://www.wipo.int/global_ip/en/activities/technicalassistance/index.html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PCT/WG/9/8</dc:title>
  <dc:subject>PCT技术援助的协调</dc:subject>
  <dc:creator>ZHOU Zhe</dc:creator>
  <cp:lastModifiedBy>Yanmei Li</cp:lastModifiedBy>
  <cp:revision>20</cp:revision>
  <cp:lastPrinted>2016-04-05T12:04:00Z</cp:lastPrinted>
  <dcterms:created xsi:type="dcterms:W3CDTF">2016-03-21T15:29:00Z</dcterms:created>
  <dcterms:modified xsi:type="dcterms:W3CDTF">2016-04-05T13:23:00Z</dcterms:modified>
</cp:coreProperties>
</file>