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E52B" w14:textId="77777777" w:rsidR="00165FBD" w:rsidRDefault="00C91BB2">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365836C8" wp14:editId="713A719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72E2F0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0DF6801" w14:textId="706EA397" w:rsidR="00165FBD" w:rsidRPr="009B5D9F" w:rsidRDefault="00C91BB2" w:rsidP="00784A98">
      <w:pPr>
        <w:bidi w:val="0"/>
        <w:rPr>
          <w:rFonts w:ascii="Arial Black" w:hAnsi="Arial Black"/>
          <w:caps/>
          <w:sz w:val="15"/>
          <w:szCs w:val="15"/>
          <w:lang w:val="fr-CH"/>
        </w:rPr>
      </w:pPr>
      <w:bookmarkStart w:id="0" w:name="Original"/>
      <w:r>
        <w:rPr>
          <w:rFonts w:ascii="Arial Black" w:hAnsi="Arial Black"/>
          <w:caps/>
          <w:sz w:val="15"/>
          <w:szCs w:val="15"/>
        </w:rPr>
        <w:t>DLT/</w:t>
      </w:r>
      <w:r w:rsidR="00784A98">
        <w:rPr>
          <w:rFonts w:ascii="Arial Black" w:hAnsi="Arial Black"/>
          <w:caps/>
          <w:sz w:val="15"/>
          <w:szCs w:val="15"/>
        </w:rPr>
        <w:t>DC</w:t>
      </w:r>
      <w:r>
        <w:rPr>
          <w:rFonts w:ascii="Arial Black" w:hAnsi="Arial Black"/>
          <w:caps/>
          <w:sz w:val="15"/>
          <w:szCs w:val="15"/>
        </w:rPr>
        <w:t>/</w:t>
      </w:r>
      <w:r w:rsidR="005D6055">
        <w:rPr>
          <w:rFonts w:ascii="Arial Black" w:hAnsi="Arial Black"/>
          <w:caps/>
          <w:sz w:val="15"/>
          <w:szCs w:val="15"/>
        </w:rPr>
        <w:t>9</w:t>
      </w:r>
    </w:p>
    <w:p w14:paraId="75A5CFD8" w14:textId="74C3629C" w:rsidR="00165FBD" w:rsidRDefault="00C91BB2">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 xml:space="preserve">الأصل: </w:t>
      </w:r>
      <w:r w:rsidR="00037D09">
        <w:rPr>
          <w:rFonts w:asciiTheme="minorHAnsi" w:hAnsiTheme="minorHAnsi" w:cstheme="minorHAnsi" w:hint="cs"/>
          <w:b/>
          <w:bCs/>
          <w:caps/>
          <w:sz w:val="15"/>
          <w:szCs w:val="15"/>
          <w:rtl/>
        </w:rPr>
        <w:t>بالإنكليزية</w:t>
      </w:r>
    </w:p>
    <w:p w14:paraId="7523775E" w14:textId="426E67A6" w:rsidR="00165FBD" w:rsidRDefault="00C91BB2">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التاريخ:</w:t>
      </w:r>
      <w:r w:rsidR="009B5D9F">
        <w:rPr>
          <w:rFonts w:asciiTheme="minorHAnsi" w:hAnsiTheme="minorHAnsi" w:cstheme="minorHAnsi" w:hint="cs"/>
          <w:b/>
          <w:bCs/>
          <w:caps/>
          <w:sz w:val="15"/>
          <w:szCs w:val="15"/>
          <w:rtl/>
        </w:rPr>
        <w:t xml:space="preserve"> 11 نوفمبر </w:t>
      </w:r>
      <w:r w:rsidR="00037D09">
        <w:rPr>
          <w:rFonts w:asciiTheme="minorHAnsi" w:hAnsiTheme="minorHAnsi" w:cstheme="minorHAnsi" w:hint="cs"/>
          <w:b/>
          <w:bCs/>
          <w:caps/>
          <w:sz w:val="15"/>
          <w:szCs w:val="15"/>
          <w:rtl/>
        </w:rPr>
        <w:t>2024</w:t>
      </w:r>
    </w:p>
    <w:p w14:paraId="6CA7528C" w14:textId="77777777" w:rsidR="00165FBD" w:rsidRDefault="00C91BB2">
      <w:pPr>
        <w:outlineLvl w:val="1"/>
        <w:rPr>
          <w:b/>
          <w:bCs/>
          <w:caps/>
          <w:kern w:val="32"/>
          <w:sz w:val="32"/>
          <w:szCs w:val="32"/>
          <w:rtl/>
        </w:rPr>
      </w:pPr>
      <w:bookmarkStart w:id="2" w:name="_Toc163061806"/>
      <w:bookmarkStart w:id="3" w:name="_Toc163062320"/>
      <w:bookmarkStart w:id="4" w:name="_Toc163062849"/>
      <w:bookmarkEnd w:id="1"/>
      <w:r>
        <w:rPr>
          <w:rFonts w:hint="cs"/>
          <w:b/>
          <w:bCs/>
          <w:caps/>
          <w:kern w:val="32"/>
          <w:sz w:val="32"/>
          <w:szCs w:val="32"/>
          <w:rtl/>
        </w:rPr>
        <w:t>المؤتمر الدبلوماسي المعني بإبرام واعتماد معاهدة بشأن قانون التصاميم</w:t>
      </w:r>
      <w:bookmarkEnd w:id="2"/>
      <w:bookmarkEnd w:id="3"/>
      <w:bookmarkEnd w:id="4"/>
    </w:p>
    <w:p w14:paraId="6A16B95F" w14:textId="77777777" w:rsidR="00165FBD" w:rsidRDefault="00165FBD">
      <w:pPr>
        <w:outlineLvl w:val="1"/>
        <w:rPr>
          <w:b/>
          <w:bCs/>
          <w:caps/>
          <w:kern w:val="32"/>
          <w:sz w:val="32"/>
          <w:szCs w:val="32"/>
          <w:rtl/>
        </w:rPr>
      </w:pPr>
    </w:p>
    <w:p w14:paraId="04D25CBD" w14:textId="77777777" w:rsidR="00165FBD" w:rsidRDefault="00C91BB2">
      <w:pPr>
        <w:spacing w:after="720"/>
        <w:outlineLvl w:val="1"/>
        <w:rPr>
          <w:rFonts w:asciiTheme="minorHAnsi" w:hAnsiTheme="minorHAnsi" w:cstheme="minorHAnsi"/>
          <w:bCs/>
          <w:sz w:val="24"/>
          <w:szCs w:val="24"/>
        </w:rPr>
      </w:pPr>
      <w:bookmarkStart w:id="5" w:name="_Toc163061807"/>
      <w:bookmarkStart w:id="6" w:name="_Toc163062321"/>
      <w:bookmarkStart w:id="7" w:name="_Toc163062850"/>
      <w:r>
        <w:rPr>
          <w:rFonts w:asciiTheme="minorHAnsi" w:hAnsiTheme="minorHAnsi" w:cstheme="minorHAnsi" w:hint="cs"/>
          <w:bCs/>
          <w:sz w:val="24"/>
          <w:szCs w:val="24"/>
          <w:rtl/>
        </w:rPr>
        <w:t xml:space="preserve">الرياض،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11 </w:t>
      </w:r>
      <w:r w:rsidR="00784A98">
        <w:rPr>
          <w:rFonts w:asciiTheme="minorHAnsi" w:hAnsiTheme="minorHAnsi" w:cstheme="minorHAnsi" w:hint="cs"/>
          <w:bCs/>
          <w:sz w:val="24"/>
          <w:szCs w:val="24"/>
          <w:rtl/>
        </w:rPr>
        <w:t xml:space="preserve">إلى </w:t>
      </w:r>
      <w:r>
        <w:rPr>
          <w:rFonts w:asciiTheme="minorHAnsi" w:hAnsiTheme="minorHAnsi" w:cstheme="minorHAnsi" w:hint="cs"/>
          <w:bCs/>
          <w:sz w:val="24"/>
          <w:szCs w:val="24"/>
          <w:rtl/>
        </w:rPr>
        <w:t>22</w:t>
      </w:r>
      <w:r w:rsidR="00784A98">
        <w:rPr>
          <w:rFonts w:asciiTheme="minorHAnsi" w:hAnsiTheme="minorHAnsi" w:cstheme="minorHAnsi" w:hint="cs"/>
          <w:bCs/>
          <w:sz w:val="24"/>
          <w:szCs w:val="24"/>
          <w:rtl/>
        </w:rPr>
        <w:t xml:space="preserve"> </w:t>
      </w:r>
      <w:r>
        <w:rPr>
          <w:rFonts w:asciiTheme="minorHAnsi" w:hAnsiTheme="minorHAnsi" w:cstheme="minorHAnsi" w:hint="cs"/>
          <w:bCs/>
          <w:sz w:val="24"/>
          <w:szCs w:val="24"/>
          <w:rtl/>
        </w:rPr>
        <w:t>نوفمبر 202</w:t>
      </w:r>
      <w:r w:rsidR="00784A98">
        <w:rPr>
          <w:rFonts w:asciiTheme="minorHAnsi" w:hAnsiTheme="minorHAnsi" w:cstheme="minorHAnsi" w:hint="cs"/>
          <w:bCs/>
          <w:sz w:val="24"/>
          <w:szCs w:val="24"/>
          <w:rtl/>
        </w:rPr>
        <w:t>4</w:t>
      </w:r>
      <w:bookmarkEnd w:id="5"/>
      <w:bookmarkEnd w:id="6"/>
      <w:bookmarkEnd w:id="7"/>
    </w:p>
    <w:p w14:paraId="153C6F5E" w14:textId="1FA64239" w:rsidR="00165FBD" w:rsidRDefault="005568C3">
      <w:pPr>
        <w:spacing w:after="360"/>
        <w:outlineLvl w:val="0"/>
        <w:rPr>
          <w:rFonts w:asciiTheme="minorHAnsi" w:hAnsiTheme="minorHAnsi" w:cstheme="minorHAnsi"/>
          <w:caps/>
          <w:sz w:val="24"/>
        </w:rPr>
      </w:pPr>
      <w:bookmarkStart w:id="8" w:name="_Toc163061808"/>
      <w:bookmarkStart w:id="9" w:name="_Toc163062322"/>
      <w:bookmarkStart w:id="10" w:name="_Toc163062851"/>
      <w:bookmarkStart w:id="11" w:name="TitleOfDoc"/>
      <w:r w:rsidRPr="005568C3">
        <w:rPr>
          <w:rFonts w:asciiTheme="minorHAnsi" w:hAnsiTheme="minorHAnsi"/>
          <w:caps/>
          <w:sz w:val="28"/>
          <w:szCs w:val="24"/>
          <w:rtl/>
        </w:rPr>
        <w:t>قرار</w:t>
      </w:r>
      <w:r w:rsidR="005D6055">
        <w:rPr>
          <w:rFonts w:asciiTheme="minorHAnsi" w:hAnsiTheme="minorHAnsi" w:hint="cs"/>
          <w:caps/>
          <w:sz w:val="28"/>
          <w:szCs w:val="24"/>
          <w:rtl/>
          <w:lang w:val="fr-CH" w:bidi="ar-SY"/>
        </w:rPr>
        <w:t>ات</w:t>
      </w:r>
      <w:r w:rsidRPr="005568C3">
        <w:rPr>
          <w:rFonts w:asciiTheme="minorHAnsi" w:hAnsiTheme="minorHAnsi"/>
          <w:caps/>
          <w:sz w:val="28"/>
          <w:szCs w:val="24"/>
          <w:rtl/>
        </w:rPr>
        <w:t xml:space="preserve"> تكميلي</w:t>
      </w:r>
      <w:r w:rsidR="005D6055">
        <w:rPr>
          <w:rFonts w:asciiTheme="minorHAnsi" w:hAnsiTheme="minorHAnsi" w:hint="cs"/>
          <w:caps/>
          <w:sz w:val="28"/>
          <w:szCs w:val="24"/>
          <w:rtl/>
        </w:rPr>
        <w:t>ة</w:t>
      </w:r>
      <w:r w:rsidRPr="005568C3">
        <w:rPr>
          <w:rFonts w:asciiTheme="minorHAnsi" w:hAnsiTheme="minorHAnsi"/>
          <w:caps/>
          <w:sz w:val="28"/>
          <w:szCs w:val="24"/>
          <w:rtl/>
        </w:rPr>
        <w:t xml:space="preserve"> للمعاهدة المقترح اعتمادها من قبل المؤتمر الدبلوماسي</w:t>
      </w:r>
      <w:bookmarkEnd w:id="8"/>
      <w:bookmarkEnd w:id="9"/>
      <w:bookmarkEnd w:id="10"/>
    </w:p>
    <w:p w14:paraId="4A891F2C" w14:textId="205630E3" w:rsidR="00165FBD" w:rsidRDefault="005D6055">
      <w:pPr>
        <w:spacing w:after="1040"/>
        <w:rPr>
          <w:rFonts w:asciiTheme="minorHAnsi" w:hAnsiTheme="minorHAnsi"/>
          <w:iCs/>
          <w:rtl/>
        </w:rPr>
      </w:pPr>
      <w:bookmarkStart w:id="12" w:name="Prepared"/>
      <w:bookmarkEnd w:id="11"/>
      <w:bookmarkEnd w:id="12"/>
      <w:r w:rsidRPr="005D6055">
        <w:rPr>
          <w:rFonts w:asciiTheme="minorHAnsi" w:hAnsiTheme="minorHAnsi"/>
          <w:iCs/>
          <w:rtl/>
          <w:lang w:val="fr-CH" w:bidi="ar-SY"/>
        </w:rPr>
        <w:t>اقتراح من وفدي اليابان وجمهورية كوريا</w:t>
      </w:r>
    </w:p>
    <w:p w14:paraId="2BFD683D" w14:textId="5D34CD80" w:rsidR="009B5D9F" w:rsidRDefault="005D6055" w:rsidP="00037D09">
      <w:pPr>
        <w:pStyle w:val="BodyText"/>
        <w:rPr>
          <w:rtl/>
        </w:rPr>
      </w:pPr>
      <w:r w:rsidRPr="005D6055">
        <w:rPr>
          <w:rtl/>
        </w:rPr>
        <w:t>أحال وفدا اليابان وجمهورية كوريا إلى أمانة المؤتمر الدبلوماسي الاقتراح الوارد في مرفق هذه الوثيقة.</w:t>
      </w:r>
    </w:p>
    <w:p w14:paraId="5416B423" w14:textId="77777777" w:rsidR="005D6055" w:rsidRDefault="005D6055" w:rsidP="00037D09">
      <w:pPr>
        <w:pStyle w:val="BodyText"/>
        <w:rPr>
          <w:rtl/>
        </w:rPr>
      </w:pPr>
    </w:p>
    <w:p w14:paraId="21E08605" w14:textId="63C7E42E" w:rsidR="009B5D9F" w:rsidRDefault="009B5D9F" w:rsidP="009B5D9F">
      <w:pPr>
        <w:pStyle w:val="Endofdocument-Annex"/>
        <w:rPr>
          <w:rtl/>
        </w:rPr>
      </w:pPr>
      <w:r>
        <w:rPr>
          <w:rFonts w:hint="cs"/>
          <w:rtl/>
        </w:rPr>
        <w:t>[يلي ذلك المرفق]</w:t>
      </w:r>
    </w:p>
    <w:p w14:paraId="6D23A3AE" w14:textId="77777777" w:rsidR="005C34F0" w:rsidRDefault="005C34F0" w:rsidP="00037D09">
      <w:pPr>
        <w:pStyle w:val="BodyText"/>
        <w:rPr>
          <w:rtl/>
        </w:rPr>
      </w:pPr>
    </w:p>
    <w:p w14:paraId="2B4DF546" w14:textId="77777777" w:rsidR="009B5D9F" w:rsidRDefault="009B5D9F" w:rsidP="00037D09">
      <w:pPr>
        <w:pStyle w:val="BodyText"/>
        <w:rPr>
          <w:rtl/>
        </w:rPr>
        <w:sectPr w:rsidR="009B5D9F">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pPr>
    </w:p>
    <w:p w14:paraId="3B3DE39E" w14:textId="48BF17AB" w:rsidR="005D6055" w:rsidRPr="005D6055" w:rsidRDefault="005D6055" w:rsidP="005D6055">
      <w:pPr>
        <w:pStyle w:val="BodyText"/>
        <w:spacing w:after="720"/>
        <w:jc w:val="center"/>
        <w:rPr>
          <w:rFonts w:asciiTheme="minorHAnsi" w:hAnsiTheme="minorHAnsi" w:cstheme="minorHAnsi"/>
          <w:b/>
          <w:bCs/>
          <w:sz w:val="28"/>
          <w:szCs w:val="21"/>
          <w:rtl/>
        </w:rPr>
      </w:pPr>
      <w:bookmarkStart w:id="13" w:name="_Toc163062858"/>
      <w:r w:rsidRPr="005D6055">
        <w:rPr>
          <w:b/>
          <w:bCs/>
          <w:i/>
          <w:caps/>
          <w:sz w:val="28"/>
          <w:szCs w:val="28"/>
          <w:rtl/>
        </w:rPr>
        <w:lastRenderedPageBreak/>
        <w:t>قرار بشأن المادة 1"8"</w:t>
      </w:r>
      <w:r>
        <w:rPr>
          <w:b/>
          <w:bCs/>
          <w:i/>
          <w:caps/>
          <w:sz w:val="28"/>
          <w:szCs w:val="28"/>
        </w:rPr>
        <w:br/>
      </w:r>
      <w:r w:rsidRPr="005D6055">
        <w:rPr>
          <w:rFonts w:asciiTheme="minorHAnsi" w:hAnsiTheme="minorHAnsi" w:cstheme="minorHAnsi"/>
          <w:b/>
          <w:bCs/>
          <w:sz w:val="28"/>
          <w:szCs w:val="28"/>
          <w:rtl/>
        </w:rPr>
        <w:t>بشأن عبارة "إجراء مباشَر لدى المكتب"</w:t>
      </w:r>
    </w:p>
    <w:p w14:paraId="4DFB7D7C" w14:textId="1C9EA25B" w:rsidR="009B5D9F" w:rsidRDefault="005D6055" w:rsidP="009B5D9F">
      <w:pPr>
        <w:jc w:val="center"/>
        <w:rPr>
          <w:i/>
          <w:iCs/>
        </w:rPr>
      </w:pPr>
      <w:r w:rsidRPr="005D6055">
        <w:rPr>
          <w:i/>
          <w:iCs/>
          <w:rtl/>
        </w:rPr>
        <w:t>اقتراح من وفدي اليابان وجمهورية كوريا</w:t>
      </w:r>
    </w:p>
    <w:p w14:paraId="52BF8D55" w14:textId="77777777" w:rsidR="005D6055" w:rsidRDefault="005D6055" w:rsidP="009B5D9F">
      <w:pPr>
        <w:jc w:val="center"/>
        <w:rPr>
          <w:i/>
          <w:iCs/>
        </w:rPr>
      </w:pPr>
    </w:p>
    <w:p w14:paraId="4A843CE2" w14:textId="77777777" w:rsidR="005D6055" w:rsidRPr="005D6055" w:rsidRDefault="005D6055" w:rsidP="005D6055">
      <w:pPr>
        <w:rPr>
          <w:b/>
          <w:bCs/>
          <w:i/>
          <w:iCs/>
          <w:rtl/>
        </w:rPr>
      </w:pPr>
      <w:r w:rsidRPr="005D6055">
        <w:rPr>
          <w:rFonts w:hint="cs"/>
          <w:b/>
          <w:bCs/>
          <w:i/>
          <w:iCs/>
          <w:rtl/>
        </w:rPr>
        <w:t>مزيد من التوضيح بشأن عبارة "إجراء مباشَر لدى المكتب" بما يتماشى مع معاهدة قانون البراءات ومعاهدة سنغافورة</w:t>
      </w:r>
    </w:p>
    <w:p w14:paraId="5461CFF2" w14:textId="77777777" w:rsidR="005D6055" w:rsidRDefault="005D6055" w:rsidP="009B5D9F">
      <w:pPr>
        <w:jc w:val="center"/>
        <w:rPr>
          <w:i/>
          <w:iCs/>
        </w:rPr>
      </w:pPr>
    </w:p>
    <w:p w14:paraId="3BC72CE7" w14:textId="77777777" w:rsidR="005D6055" w:rsidRPr="005D6055" w:rsidRDefault="005D6055" w:rsidP="005D6055">
      <w:pPr>
        <w:pStyle w:val="BodyText"/>
        <w:ind w:firstLine="562"/>
        <w:rPr>
          <w:rtl/>
        </w:rPr>
      </w:pPr>
      <w:r w:rsidRPr="005D6055">
        <w:rPr>
          <w:rFonts w:hint="cs"/>
          <w:rtl/>
        </w:rPr>
        <w:t xml:space="preserve">لما كان الاقتراح الأساسي لمعاهدة قانون التصاميم يتبع نفس هيكل وأغراض معاهدة قانون البراءات ومعاهدة سنغافورة بشأن قانون العلامات، فإننا نرى أن عبارة "إجراء مباشر لدى المكتب" الواردة في المادة 1"8" من معاهدة قانون التصاميم لا تشمل الإجراءات القضائية المباشَرة بموجب القانون المطبّق أو التشريعات المعمول بها في الأطراف المتعاقدة. </w:t>
      </w:r>
    </w:p>
    <w:p w14:paraId="57347C89" w14:textId="77777777" w:rsidR="005D6055" w:rsidRPr="005D6055" w:rsidRDefault="005D6055" w:rsidP="005D6055">
      <w:pPr>
        <w:pStyle w:val="BodyText"/>
        <w:ind w:firstLine="562"/>
        <w:rPr>
          <w:rtl/>
        </w:rPr>
      </w:pPr>
      <w:r w:rsidRPr="005D6055">
        <w:rPr>
          <w:rFonts w:hint="cs"/>
          <w:rtl/>
        </w:rPr>
        <w:t>ويتماشى ذلك مع البيان والقرار المعتمدين في كل من المؤتمر الدبلوماسي المعني باعتماد معاهدة قانون البراءات</w:t>
      </w:r>
      <w:r w:rsidRPr="005D6055">
        <w:rPr>
          <w:vertAlign w:val="superscript"/>
        </w:rPr>
        <w:footnoteReference w:id="2"/>
      </w:r>
      <w:r w:rsidRPr="005D6055">
        <w:rPr>
          <w:vertAlign w:val="superscript"/>
        </w:rPr>
        <w:footnoteReference w:id="3"/>
      </w:r>
      <w:r w:rsidRPr="005D6055">
        <w:rPr>
          <w:rFonts w:hint="cs"/>
          <w:rtl/>
        </w:rPr>
        <w:t xml:space="preserve">  والمؤتمر الدبلوماسي المعني باعتماد نص معدل لمعاهدة قانون العلامات.</w:t>
      </w:r>
      <w:r w:rsidRPr="005D6055">
        <w:rPr>
          <w:vertAlign w:val="superscript"/>
        </w:rPr>
        <w:footnoteReference w:id="4"/>
      </w:r>
    </w:p>
    <w:p w14:paraId="258E754E" w14:textId="77777777" w:rsidR="005D6055" w:rsidRPr="005D6055" w:rsidRDefault="005D6055" w:rsidP="005D6055">
      <w:pPr>
        <w:pStyle w:val="BodyText"/>
        <w:ind w:firstLine="562"/>
        <w:rPr>
          <w:rtl/>
        </w:rPr>
      </w:pPr>
      <w:r w:rsidRPr="005D6055">
        <w:rPr>
          <w:rFonts w:hint="cs"/>
          <w:rtl/>
        </w:rPr>
        <w:t>ولذلك، يُقترح أن يصدر المؤتمر الدبلوماسي القرار التكميلي التالي للمعاهدة:</w:t>
      </w:r>
    </w:p>
    <w:p w14:paraId="0773200A" w14:textId="2BB05E3C" w:rsidR="005D6055" w:rsidRDefault="005D6055" w:rsidP="005D6055">
      <w:pPr>
        <w:pStyle w:val="BodyText"/>
        <w:ind w:left="562"/>
        <w:rPr>
          <w:i/>
          <w:iCs/>
          <w:color w:val="0070C0"/>
          <w:u w:val="single"/>
          <w:rtl/>
        </w:rPr>
      </w:pPr>
      <w:r w:rsidRPr="005D6055">
        <w:rPr>
          <w:rFonts w:hint="cs"/>
          <w:i/>
          <w:iCs/>
          <w:color w:val="0070C0"/>
          <w:u w:val="single"/>
          <w:rtl/>
          <w:lang w:bidi="ar-SY"/>
        </w:rPr>
        <w:t>"</w:t>
      </w:r>
      <w:r w:rsidRPr="005D6055">
        <w:rPr>
          <w:rFonts w:hint="cs"/>
          <w:i/>
          <w:iCs/>
          <w:color w:val="0070C0"/>
          <w:u w:val="single"/>
          <w:rtl/>
        </w:rPr>
        <w:t>عند اعتماد المعاهدة، أكّد المؤتمر الدبلوماسي أن عبارة "إجراء مباشَر لدى المكتب" الواردة في المادة 1"8" لا تشمل الإجراءات القضائية المباشَرة بناء على القانون المطبق."</w:t>
      </w:r>
      <w:r w:rsidRPr="005D6055">
        <w:rPr>
          <w:rFonts w:hint="cs"/>
          <w:i/>
          <w:iCs/>
          <w:color w:val="0070C0"/>
          <w:u w:val="single"/>
          <w:rtl/>
        </w:rPr>
        <w:cr/>
      </w:r>
    </w:p>
    <w:p w14:paraId="0C9A7ECC" w14:textId="77777777" w:rsidR="005D6055" w:rsidRDefault="005D6055" w:rsidP="005D6055">
      <w:pPr>
        <w:pStyle w:val="BodyText"/>
        <w:ind w:left="562"/>
        <w:rPr>
          <w:i/>
          <w:iCs/>
          <w:color w:val="0070C0"/>
          <w:u w:val="single"/>
          <w:rtl/>
        </w:rPr>
        <w:sectPr w:rsidR="005D6055" w:rsidSect="005519F2">
          <w:headerReference w:type="default" r:id="rId13"/>
          <w:headerReference w:type="first" r:id="rId14"/>
          <w:endnotePr>
            <w:numFmt w:val="decimal"/>
          </w:endnotePr>
          <w:pgSz w:w="11907" w:h="16840" w:code="9"/>
          <w:pgMar w:top="567" w:right="1418" w:bottom="1418" w:left="1134" w:header="510" w:footer="1021" w:gutter="0"/>
          <w:pgNumType w:start="1"/>
          <w:cols w:space="720"/>
          <w:titlePg/>
          <w:bidi/>
          <w:rtlGutter/>
          <w:docGrid w:linePitch="299"/>
        </w:sectPr>
      </w:pPr>
    </w:p>
    <w:p w14:paraId="2C953246" w14:textId="77777777" w:rsidR="005D6055" w:rsidRPr="005D6055" w:rsidRDefault="005D6055" w:rsidP="005D6055">
      <w:pPr>
        <w:pStyle w:val="BodyText"/>
        <w:spacing w:after="720"/>
        <w:jc w:val="center"/>
        <w:rPr>
          <w:b/>
          <w:bCs/>
          <w:sz w:val="28"/>
          <w:szCs w:val="28"/>
          <w:rtl/>
        </w:rPr>
      </w:pPr>
      <w:bookmarkStart w:id="14" w:name="_Hlk181264869"/>
      <w:r w:rsidRPr="005D6055">
        <w:rPr>
          <w:rFonts w:hint="cs"/>
          <w:b/>
          <w:bCs/>
          <w:sz w:val="28"/>
          <w:szCs w:val="28"/>
          <w:rtl/>
        </w:rPr>
        <w:lastRenderedPageBreak/>
        <w:t>قرار بشأن المواد 15 و16 و19</w:t>
      </w:r>
    </w:p>
    <w:bookmarkEnd w:id="14"/>
    <w:p w14:paraId="71822154" w14:textId="77777777" w:rsidR="005D6055" w:rsidRPr="005D6055" w:rsidRDefault="005D6055" w:rsidP="005D6055">
      <w:pPr>
        <w:pStyle w:val="BodyText"/>
        <w:spacing w:after="720"/>
        <w:jc w:val="center"/>
        <w:rPr>
          <w:i/>
          <w:iCs/>
          <w:rtl/>
        </w:rPr>
      </w:pPr>
      <w:r w:rsidRPr="005D6055">
        <w:rPr>
          <w:rFonts w:hint="cs"/>
          <w:i/>
          <w:iCs/>
          <w:rtl/>
        </w:rPr>
        <w:t>اقتراح من وفدي اليابان وجمهورية كوريا</w:t>
      </w:r>
    </w:p>
    <w:p w14:paraId="5E4CB357" w14:textId="77777777" w:rsidR="005D6055" w:rsidRDefault="005D6055" w:rsidP="005D6055">
      <w:pPr>
        <w:jc w:val="both"/>
        <w:rPr>
          <w:rFonts w:asciiTheme="minorHAnsi" w:hAnsiTheme="minorHAnsi" w:cstheme="minorHAnsi"/>
          <w:b/>
          <w:bCs/>
          <w:sz w:val="24"/>
          <w:szCs w:val="24"/>
          <w:rtl/>
        </w:rPr>
        <w:sectPr w:rsidR="005D6055" w:rsidSect="009135B4">
          <w:headerReference w:type="first" r:id="rId15"/>
          <w:endnotePr>
            <w:numFmt w:val="decimal"/>
          </w:endnotePr>
          <w:pgSz w:w="11907" w:h="16840" w:code="9"/>
          <w:pgMar w:top="567" w:right="1418" w:bottom="1418" w:left="1134" w:header="510" w:footer="1021" w:gutter="0"/>
          <w:cols w:space="720"/>
          <w:titlePg/>
          <w:bidi/>
          <w:rtlGutter/>
          <w:docGrid w:linePitch="299"/>
        </w:sectPr>
      </w:pPr>
      <w:bookmarkStart w:id="15" w:name="_Hlk170404914"/>
    </w:p>
    <w:p w14:paraId="3F88FB27" w14:textId="77777777" w:rsidR="005D6055" w:rsidRDefault="005D6055" w:rsidP="005D6055">
      <w:pPr>
        <w:jc w:val="both"/>
        <w:rPr>
          <w:rFonts w:asciiTheme="minorHAnsi" w:hAnsiTheme="minorHAnsi" w:cstheme="minorHAnsi"/>
          <w:b/>
          <w:bCs/>
          <w:sz w:val="24"/>
          <w:szCs w:val="24"/>
          <w:rtl/>
        </w:rPr>
        <w:sectPr w:rsidR="005D6055" w:rsidSect="005D6055">
          <w:endnotePr>
            <w:numFmt w:val="decimal"/>
          </w:endnotePr>
          <w:type w:val="continuous"/>
          <w:pgSz w:w="11907" w:h="16840" w:code="9"/>
          <w:pgMar w:top="567" w:right="1418" w:bottom="1418" w:left="1134" w:header="510" w:footer="1021" w:gutter="0"/>
          <w:pgNumType w:start="1"/>
          <w:cols w:space="720"/>
          <w:titlePg/>
          <w:bidi/>
          <w:rtlGutter/>
          <w:docGrid w:linePitch="299"/>
        </w:sect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568C3" w:rsidRPr="005568C3" w14:paraId="0BAA4952" w14:textId="77777777" w:rsidTr="005D6055">
        <w:tc>
          <w:tcPr>
            <w:tcW w:w="9345" w:type="dxa"/>
            <w:shd w:val="clear" w:color="auto" w:fill="auto"/>
          </w:tcPr>
          <w:p w14:paraId="05FBBF33" w14:textId="77777777" w:rsidR="005D6055" w:rsidRPr="00E45E8B" w:rsidRDefault="005D6055" w:rsidP="005D6055">
            <w:pPr>
              <w:jc w:val="both"/>
              <w:rPr>
                <w:rFonts w:asciiTheme="minorHAnsi" w:hAnsiTheme="minorHAnsi" w:cstheme="minorHAnsi"/>
                <w:b/>
                <w:bCs/>
                <w:sz w:val="24"/>
                <w:szCs w:val="24"/>
                <w:rtl/>
              </w:rPr>
            </w:pPr>
            <w:r w:rsidRPr="00E45E8B">
              <w:rPr>
                <w:rFonts w:asciiTheme="minorHAnsi" w:hAnsiTheme="minorHAnsi" w:cstheme="minorHAnsi"/>
                <w:b/>
                <w:bCs/>
                <w:sz w:val="24"/>
                <w:szCs w:val="24"/>
                <w:rtl/>
              </w:rPr>
              <w:t>فقط للأطراف المتعاقدة التي لديها نظام للتصاميم ذات الصلة</w:t>
            </w:r>
          </w:p>
          <w:bookmarkEnd w:id="15"/>
          <w:p w14:paraId="4A819FDD" w14:textId="77777777" w:rsidR="005D6055" w:rsidRDefault="005D6055" w:rsidP="000475C9">
            <w:pPr>
              <w:ind w:firstLine="567"/>
              <w:jc w:val="both"/>
              <w:rPr>
                <w:rFonts w:asciiTheme="minorHAnsi" w:hAnsiTheme="minorHAnsi" w:cstheme="minorHAnsi"/>
                <w:sz w:val="24"/>
                <w:szCs w:val="24"/>
                <w:rtl/>
              </w:rPr>
            </w:pPr>
          </w:p>
          <w:p w14:paraId="3258971F" w14:textId="5997274E" w:rsidR="005568C3" w:rsidRPr="005568C3" w:rsidRDefault="005D6055" w:rsidP="005D6055">
            <w:pPr>
              <w:ind w:firstLine="567"/>
              <w:jc w:val="both"/>
              <w:rPr>
                <w:rFonts w:asciiTheme="minorHAnsi" w:hAnsiTheme="minorHAnsi" w:cstheme="minorHAnsi"/>
                <w:rtl/>
              </w:rPr>
            </w:pPr>
            <w:r w:rsidRPr="005D6055">
              <w:rPr>
                <w:rFonts w:asciiTheme="minorHAnsi" w:hAnsiTheme="minorHAnsi" w:cstheme="minorHAnsi" w:hint="cs"/>
                <w:sz w:val="24"/>
                <w:szCs w:val="24"/>
                <w:rtl/>
              </w:rPr>
              <w:t>يجدر التشديد على أن الاقتراح التالي بشأن قرار يمكن أن يوفّر، بمجرد اعتماده، عناصر توضيحية تكميلية في تفسير المواد 15 و16 و19 من معاهدة قانون التصاميم فقط فيما يتعلق بالأطراف المتعاقدة التي لديها "نظام للتصاميم ذات الصلة</w:t>
            </w:r>
            <w:r w:rsidRPr="005D6055">
              <w:rPr>
                <w:rFonts w:asciiTheme="minorHAnsi" w:hAnsiTheme="minorHAnsi" w:cstheme="minorHAnsi"/>
                <w:i/>
                <w:iCs/>
                <w:sz w:val="24"/>
                <w:szCs w:val="24"/>
                <w:u w:val="single"/>
                <w:vertAlign w:val="superscript"/>
              </w:rPr>
              <w:footnoteReference w:id="5"/>
            </w:r>
            <w:r w:rsidRPr="005D6055">
              <w:rPr>
                <w:rFonts w:asciiTheme="minorHAnsi" w:hAnsiTheme="minorHAnsi" w:cstheme="minorHAnsi" w:hint="cs"/>
                <w:sz w:val="24"/>
                <w:szCs w:val="24"/>
                <w:rtl/>
              </w:rPr>
              <w:t>" ونظام حماية مماثل في ولاياتها القضائية، ولن يؤثر على تطبيق معاهدة قانون التصاميم أو نفاذها فيما يخص الأطراف المتعاقدة التي ليس لديها نظام من هذا القبيل.</w:t>
            </w:r>
          </w:p>
        </w:tc>
      </w:tr>
    </w:tbl>
    <w:p w14:paraId="0D1FB7F5" w14:textId="77777777" w:rsidR="005568C3" w:rsidRDefault="005568C3" w:rsidP="005568C3">
      <w:pPr>
        <w:pStyle w:val="BodyText"/>
      </w:pPr>
    </w:p>
    <w:p w14:paraId="75FC2048" w14:textId="539D7320" w:rsidR="005568C3" w:rsidRPr="005568C3" w:rsidRDefault="005D6055" w:rsidP="005568C3">
      <w:pPr>
        <w:pStyle w:val="BodyText"/>
        <w:rPr>
          <w:b/>
          <w:bCs/>
          <w:sz w:val="24"/>
          <w:szCs w:val="24"/>
          <w:rtl/>
        </w:rPr>
      </w:pPr>
      <w:r w:rsidRPr="005D6055">
        <w:rPr>
          <w:b/>
          <w:bCs/>
          <w:sz w:val="24"/>
          <w:szCs w:val="24"/>
          <w:rtl/>
        </w:rPr>
        <w:t>قرار مقترح تكميلي للمعاهدة من المؤتمر الدبلوماسي</w:t>
      </w:r>
    </w:p>
    <w:p w14:paraId="22243BFD" w14:textId="77777777" w:rsidR="005D6055" w:rsidRPr="005D6055" w:rsidRDefault="005D6055" w:rsidP="005D6055">
      <w:pPr>
        <w:pStyle w:val="BodyText"/>
        <w:ind w:firstLine="562"/>
        <w:rPr>
          <w:rtl/>
        </w:rPr>
      </w:pPr>
      <w:r w:rsidRPr="005D6055">
        <w:rPr>
          <w:rFonts w:hint="cs"/>
          <w:rtl/>
        </w:rPr>
        <w:t>يقترح أن يصدر المؤتمر الدبلوماسي القرار التالي التكميلي لمعاهدة قانون التصاميم بشأن المادة 15 (التماس لتدوين ترخيص أو تأمين عيني) والمادة 16 (التماس لتعديل تدوين ترخيص أو تأمين عيني أو إلغائه) والمادة 19 (التماس تدوين تغيير في الملكية).</w:t>
      </w:r>
    </w:p>
    <w:p w14:paraId="16463BAE" w14:textId="77777777" w:rsidR="005D6055" w:rsidRPr="005D6055" w:rsidRDefault="005D6055" w:rsidP="005D6055">
      <w:pPr>
        <w:pStyle w:val="BodyText"/>
        <w:ind w:left="562"/>
        <w:rPr>
          <w:i/>
          <w:iCs/>
          <w:color w:val="0070C0"/>
          <w:u w:val="single"/>
          <w:rtl/>
        </w:rPr>
      </w:pPr>
      <w:r w:rsidRPr="005D6055">
        <w:rPr>
          <w:rFonts w:hint="cs"/>
          <w:i/>
          <w:iCs/>
          <w:color w:val="0070C0"/>
          <w:u w:val="single"/>
          <w:rtl/>
        </w:rPr>
        <w:t>"عند اعتماد المواد 15(4) و16(3) و19(6)، أكّد المؤتمر الدبلوماسي أن هذه الفقرات لا تستبعد إمكانية أن يشترط الطرف المتعاقد الذي لديه نظام للتصاميم ذات الصلة تقديم التماس جماعي للتسجيلات ذات الصلة وفقاً لقانونه المطبّق."</w:t>
      </w:r>
    </w:p>
    <w:p w14:paraId="4CA199A6" w14:textId="77777777" w:rsidR="005568C3" w:rsidRPr="005568C3" w:rsidRDefault="005568C3" w:rsidP="005568C3">
      <w:pPr>
        <w:pStyle w:val="BodyText"/>
        <w:rPr>
          <w:b/>
          <w:bCs/>
          <w:rtl/>
        </w:rPr>
      </w:pPr>
      <w:r w:rsidRPr="005568C3">
        <w:rPr>
          <w:rFonts w:hint="cs"/>
          <w:b/>
          <w:bCs/>
          <w:rtl/>
        </w:rPr>
        <w:t>معلومات أساسية</w:t>
      </w:r>
    </w:p>
    <w:p w14:paraId="194BF81D" w14:textId="77777777" w:rsidR="005D6055" w:rsidRPr="005D6055" w:rsidRDefault="005D6055" w:rsidP="005D6055">
      <w:pPr>
        <w:pStyle w:val="BodyText"/>
        <w:ind w:firstLine="562"/>
        <w:rPr>
          <w:rtl/>
        </w:rPr>
      </w:pPr>
      <w:bookmarkStart w:id="16" w:name="_Hlk160527044"/>
      <w:r w:rsidRPr="005D6055">
        <w:rPr>
          <w:rFonts w:hint="cs"/>
          <w:rtl/>
        </w:rPr>
        <w:t>يعزى السبب في اشتراط تقديم التماس جماعي في بعض الولايات القضائية إلى وجود "نظام للتصاميم ذات الصلة</w:t>
      </w:r>
      <w:r w:rsidRPr="005D6055">
        <w:rPr>
          <w:vertAlign w:val="superscript"/>
        </w:rPr>
        <w:footnoteReference w:id="6"/>
      </w:r>
      <w:r w:rsidRPr="005D6055">
        <w:rPr>
          <w:rFonts w:hint="cs"/>
          <w:rtl/>
        </w:rPr>
        <w:t xml:space="preserve">"  أو نظام مماثل لحماية التصاميم بموجب قوانينها المطبّقة. </w:t>
      </w:r>
    </w:p>
    <w:p w14:paraId="75D23595" w14:textId="77777777" w:rsidR="005D6055" w:rsidRPr="005D6055" w:rsidRDefault="005D6055" w:rsidP="005D6055">
      <w:pPr>
        <w:pStyle w:val="BodyText"/>
        <w:ind w:firstLine="562"/>
        <w:rPr>
          <w:rtl/>
        </w:rPr>
      </w:pPr>
      <w:r w:rsidRPr="005D6055">
        <w:rPr>
          <w:rFonts w:hint="cs"/>
          <w:rtl/>
        </w:rPr>
        <w:t xml:space="preserve">في اليابان، على سبيل المثال، يحمي النظام الأشكال المتعددة للتصاميم المستمدة من مفهوم تصميمي واحد والتي تكون ذات قيمة متكافئة. ويمكن للمبدعين أو أصحاب التسجيلات الاستفادة من ذلك النظام لتوسيع نطاق الحماية. </w:t>
      </w:r>
    </w:p>
    <w:p w14:paraId="1C5E8C7E" w14:textId="787D7A91" w:rsidR="005D6055" w:rsidRDefault="005D6055" w:rsidP="005D6055">
      <w:pPr>
        <w:pStyle w:val="BodyText"/>
        <w:ind w:firstLine="562"/>
        <w:rPr>
          <w:rtl/>
        </w:rPr>
      </w:pPr>
      <w:r w:rsidRPr="005D6055">
        <w:rPr>
          <w:rFonts w:hint="cs"/>
          <w:rtl/>
        </w:rPr>
        <w:t>ولكن، من حيث المبدأ، يحظر قانون التصاميم الياباني "إصدار براءات مزدوجة"، ويجب رفض أي تصميم مماثل بناءً على التصميم المماثل السابق. وكما هو مبيَّن في الصورة أدناه، يتعارض نطاقا التصميمين الصناعيين (التصميم الرئيسي والتصميم ذي الصلة). ولذلك، فإن "نظام التصاميم ذات الصلة" هو استثناء من هذا الحظر.</w:t>
      </w:r>
    </w:p>
    <w:p w14:paraId="7251B567" w14:textId="0008AFF4" w:rsidR="005D6055" w:rsidRDefault="005D6055" w:rsidP="005D6055">
      <w:pPr>
        <w:pStyle w:val="BodyText"/>
        <w:ind w:firstLine="562"/>
        <w:rPr>
          <w:rtl/>
        </w:rPr>
      </w:pPr>
      <w:r>
        <w:rPr>
          <w:rFonts w:eastAsia="MS Mincho"/>
          <w:noProof/>
          <w:lang w:eastAsia="en-US"/>
        </w:rPr>
        <w:lastRenderedPageBreak/>
        <w:drawing>
          <wp:inline distT="0" distB="0" distL="0" distR="0" wp14:anchorId="6852CBCD" wp14:editId="3DAE866B">
            <wp:extent cx="5544000" cy="2148256"/>
            <wp:effectExtent l="0" t="0" r="0" b="4445"/>
            <wp:docPr id="572595790" name="Picture 15" descr="A diagram of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95790" name="Picture 15" descr="A diagram of a circ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4000" cy="2148256"/>
                    </a:xfrm>
                    <a:prstGeom prst="rect">
                      <a:avLst/>
                    </a:prstGeom>
                    <a:noFill/>
                  </pic:spPr>
                </pic:pic>
              </a:graphicData>
            </a:graphic>
          </wp:inline>
        </w:drawing>
      </w:r>
    </w:p>
    <w:p w14:paraId="651E19C8" w14:textId="45553EA9" w:rsidR="005D6055" w:rsidRDefault="005D6055" w:rsidP="005D6055">
      <w:pPr>
        <w:pStyle w:val="BodyText"/>
        <w:ind w:firstLine="562"/>
        <w:rPr>
          <w:rtl/>
        </w:rPr>
      </w:pPr>
      <w:r w:rsidRPr="005D6055">
        <w:rPr>
          <w:rFonts w:hint="cs"/>
          <w:rtl/>
        </w:rPr>
        <w:t>وينطوي هذا النظام الخاص على بعض القيود. فلا يجوز فصل التصميم الرئيسي عن التصاميم ذات الصلة به طوال فترة عمرهما. وبعبارة أخرى، يجب دائماً تسجيل التصميم الرئيسي والتصاميم ذات الصلة به باسم صاحب التسجيل نفسه، ويجب ألا تُنقل ملكية التصميم الرئيسي بمعزل عن التصاميم ذات الصلة به. ولذلك يجب على البلدان التي لديها هذا النظام أن تشترط تقديم التماس جماعي للتدوين فيما يتعلق بالتصميم الرئيسي والتصاميم ذات الصلة به.</w:t>
      </w:r>
    </w:p>
    <w:p w14:paraId="6D51F2AF" w14:textId="77777777" w:rsidR="00C06F8B" w:rsidRPr="005D6055" w:rsidRDefault="00C06F8B" w:rsidP="005D6055">
      <w:pPr>
        <w:pStyle w:val="BodyText"/>
        <w:ind w:firstLine="562"/>
        <w:rPr>
          <w:rtl/>
        </w:rPr>
      </w:pPr>
    </w:p>
    <w:bookmarkEnd w:id="13"/>
    <w:bookmarkEnd w:id="16"/>
    <w:p w14:paraId="1F432896" w14:textId="1690933C" w:rsidR="00A36CCD" w:rsidRDefault="00A36CCD" w:rsidP="00A36CCD">
      <w:pPr>
        <w:pStyle w:val="Endofdocument-Annex"/>
        <w:rPr>
          <w:rtl/>
        </w:rPr>
      </w:pPr>
      <w:r>
        <w:rPr>
          <w:rFonts w:hint="cs"/>
          <w:rtl/>
        </w:rPr>
        <w:t>[نهاية المرفق والوثيقة]</w:t>
      </w:r>
    </w:p>
    <w:sectPr w:rsidR="00A36CCD" w:rsidSect="00C06F8B">
      <w:headerReference w:type="default" r:id="rId17"/>
      <w:footnotePr>
        <w:numRestart w:val="eachSect"/>
      </w:footnotePr>
      <w:endnotePr>
        <w:numFmt w:val="decimal"/>
      </w:endnotePr>
      <w:type w:val="continuous"/>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844B5" w14:textId="77777777" w:rsidR="000A3B9A" w:rsidRDefault="000A3B9A">
      <w:r>
        <w:separator/>
      </w:r>
    </w:p>
  </w:endnote>
  <w:endnote w:type="continuationSeparator" w:id="0">
    <w:p w14:paraId="20AF0D4F" w14:textId="77777777" w:rsidR="000A3B9A" w:rsidRDefault="000A3B9A">
      <w:r>
        <w:separator/>
      </w:r>
    </w:p>
    <w:p w14:paraId="769E6065" w14:textId="77777777" w:rsidR="000A3B9A" w:rsidRDefault="000A3B9A">
      <w:pPr>
        <w:spacing w:after="60"/>
        <w:rPr>
          <w:sz w:val="17"/>
        </w:rPr>
      </w:pPr>
      <w:r>
        <w:rPr>
          <w:sz w:val="17"/>
        </w:rPr>
        <w:t>[Endnote continued from previous page]</w:t>
      </w:r>
    </w:p>
  </w:endnote>
  <w:endnote w:type="continuationNotice" w:id="1">
    <w:p w14:paraId="4E87D590" w14:textId="77777777" w:rsidR="000A3B9A" w:rsidRDefault="000A3B9A">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charset w:val="B2"/>
    <w:family w:val="auto"/>
    <w:pitch w:val="variable"/>
    <w:sig w:usb0="00002001" w:usb1="80000000" w:usb2="00000008" w:usb3="00000000" w:csb0="00000040"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A2FD6" w14:textId="77777777" w:rsidR="000A3B9A" w:rsidRDefault="000A3B9A">
      <w:r>
        <w:separator/>
      </w:r>
    </w:p>
  </w:footnote>
  <w:footnote w:type="continuationSeparator" w:id="0">
    <w:p w14:paraId="49807E7B" w14:textId="77777777" w:rsidR="000A3B9A" w:rsidRDefault="000A3B9A">
      <w:r>
        <w:separator/>
      </w:r>
    </w:p>
    <w:p w14:paraId="61810B99" w14:textId="77777777" w:rsidR="000A3B9A" w:rsidRDefault="000A3B9A">
      <w:pPr>
        <w:spacing w:after="60"/>
        <w:rPr>
          <w:sz w:val="17"/>
          <w:szCs w:val="17"/>
        </w:rPr>
      </w:pPr>
      <w:r>
        <w:rPr>
          <w:sz w:val="17"/>
          <w:szCs w:val="17"/>
        </w:rPr>
        <w:t>[Footnote continued from previous page]</w:t>
      </w:r>
    </w:p>
  </w:footnote>
  <w:footnote w:type="continuationNotice" w:id="1">
    <w:p w14:paraId="5321C059" w14:textId="77777777" w:rsidR="000A3B9A" w:rsidRDefault="000A3B9A">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 w:id="2">
    <w:p w14:paraId="66A0C7A4" w14:textId="77777777" w:rsidR="005D6055" w:rsidRPr="005D6055" w:rsidRDefault="005D6055" w:rsidP="005D6055">
      <w:pPr>
        <w:pStyle w:val="FootnoteText"/>
        <w:rPr>
          <w:rFonts w:asciiTheme="minorHAnsi" w:hAnsiTheme="minorHAnsi" w:cstheme="minorHAnsi"/>
          <w:rtl/>
        </w:rPr>
      </w:pPr>
      <w:r>
        <w:rPr>
          <w:rStyle w:val="FootnoteReference"/>
        </w:rPr>
        <w:footnoteRef/>
      </w:r>
      <w:r>
        <w:rPr>
          <w:rFonts w:hint="cs"/>
          <w:rtl/>
        </w:rPr>
        <w:t xml:space="preserve"> </w:t>
      </w:r>
      <w:r w:rsidRPr="005D6055">
        <w:rPr>
          <w:rFonts w:asciiTheme="minorHAnsi" w:hAnsiTheme="minorHAnsi" w:cstheme="minorHAnsi"/>
          <w:b/>
          <w:bCs/>
          <w:rtl/>
        </w:rPr>
        <w:t>البيانات المتفق عليها بشأن معاهدة قانون البراءات ولائحته التنفيذية.</w:t>
      </w:r>
    </w:p>
    <w:p w14:paraId="4BC4B096" w14:textId="454537BF" w:rsidR="005D6055" w:rsidRPr="005D6055" w:rsidRDefault="005D6055" w:rsidP="005D6055">
      <w:pPr>
        <w:pStyle w:val="FootnoteText"/>
        <w:rPr>
          <w:rFonts w:asciiTheme="minorHAnsi" w:hAnsiTheme="minorHAnsi" w:cstheme="minorHAnsi"/>
        </w:rPr>
      </w:pPr>
      <w:r w:rsidRPr="005D6055">
        <w:rPr>
          <w:rFonts w:asciiTheme="minorHAnsi" w:hAnsiTheme="minorHAnsi" w:cstheme="minorHAnsi"/>
          <w:i/>
          <w:iCs/>
          <w:rtl/>
          <w:lang w:val="fr-CH" w:bidi="ar-SY"/>
        </w:rPr>
        <w:t>"</w:t>
      </w:r>
      <w:r w:rsidRPr="005D6055">
        <w:rPr>
          <w:rFonts w:asciiTheme="minorHAnsi" w:hAnsiTheme="minorHAnsi" w:cstheme="minorHAnsi"/>
          <w:i/>
          <w:iCs/>
          <w:rtl/>
        </w:rPr>
        <w:t xml:space="preserve">1. </w:t>
      </w:r>
      <w:r w:rsidRPr="005D6055">
        <w:rPr>
          <w:rFonts w:asciiTheme="minorHAnsi" w:hAnsiTheme="minorHAnsi" w:cstheme="minorHAnsi"/>
          <w:rtl/>
        </w:rPr>
        <w:t>عند اعتماد البند "14" من المادة الأولى، كان في مفهوم المؤتمر الدبلوماسي أن عبارة "إجراء مباشر لدى المكتب" لا تشمل الإجراءات القضائية المباشرة بناء على القانون المطبق".</w:t>
      </w:r>
    </w:p>
  </w:footnote>
  <w:footnote w:id="3">
    <w:p w14:paraId="53B74C1F" w14:textId="77777777" w:rsidR="005D6055" w:rsidRPr="005D6055" w:rsidRDefault="005D6055" w:rsidP="005D6055">
      <w:pPr>
        <w:pStyle w:val="FootnoteText"/>
        <w:rPr>
          <w:rFonts w:asciiTheme="minorHAnsi" w:hAnsiTheme="minorHAnsi" w:cstheme="minorHAnsi"/>
          <w:rtl/>
        </w:rPr>
      </w:pPr>
      <w:r w:rsidRPr="005D6055">
        <w:rPr>
          <w:rStyle w:val="FootnoteReference"/>
          <w:rFonts w:asciiTheme="minorHAnsi" w:hAnsiTheme="minorHAnsi" w:cstheme="minorHAnsi"/>
          <w:sz w:val="18"/>
          <w:szCs w:val="18"/>
        </w:rPr>
        <w:footnoteRef/>
      </w:r>
      <w:r w:rsidRPr="005D6055">
        <w:rPr>
          <w:rFonts w:asciiTheme="minorHAnsi" w:hAnsiTheme="minorHAnsi" w:cstheme="minorHAnsi"/>
          <w:rtl/>
        </w:rPr>
        <w:t xml:space="preserve"> للاطلاع على مزيد من التوضيحات بشأن عبارة "إجراء مباشر لدى المكتب” في المؤتمر الدبلوماسي المعني باعتماد معاهدة قانون البراءات، انظر(ي) الفقرات من 2401 إلى 2408 من محاضره.</w:t>
      </w:r>
    </w:p>
    <w:p w14:paraId="39F0351A" w14:textId="77777777" w:rsidR="005D6055" w:rsidRPr="005D6055" w:rsidRDefault="005D6055" w:rsidP="005D6055">
      <w:pPr>
        <w:pStyle w:val="FootnoteText"/>
        <w:ind w:leftChars="100" w:left="220"/>
        <w:rPr>
          <w:rFonts w:asciiTheme="minorHAnsi" w:hAnsiTheme="minorHAnsi" w:cstheme="minorHAnsi"/>
          <w:b/>
          <w:bCs/>
          <w:rtl/>
        </w:rPr>
      </w:pPr>
      <w:r w:rsidRPr="005D6055">
        <w:rPr>
          <w:rFonts w:asciiTheme="minorHAnsi" w:hAnsiTheme="minorHAnsi" w:cstheme="minorHAnsi"/>
          <w:b/>
          <w:bCs/>
          <w:rtl/>
        </w:rPr>
        <w:t>محاضر المؤتمر الدبلوماسي المعني باعتماد معاهدة قانون البراءات</w:t>
      </w:r>
    </w:p>
    <w:p w14:paraId="4F31F93E" w14:textId="3C9F0D37" w:rsidR="005D6055" w:rsidRPr="005D6055" w:rsidRDefault="00857A12" w:rsidP="005D6055">
      <w:pPr>
        <w:pStyle w:val="FootnoteText"/>
        <w:ind w:leftChars="100" w:left="220"/>
        <w:rPr>
          <w:rFonts w:asciiTheme="minorHAnsi" w:hAnsiTheme="minorHAnsi" w:cstheme="minorHAnsi"/>
          <w:rtl/>
        </w:rPr>
      </w:pPr>
      <w:hyperlink r:id="rId1" w:history="1">
        <w:r w:rsidR="005D6055" w:rsidRPr="005D6055">
          <w:rPr>
            <w:rStyle w:val="Hyperlink"/>
            <w:rFonts w:asciiTheme="minorHAnsi" w:hAnsiTheme="minorHAnsi" w:cstheme="minorHAnsi"/>
          </w:rPr>
          <w:t>https://www.wipo.int/export/sites/www/treaties/en/docs/prep-docs/2000_june_Geneva_327-en.pdf</w:t>
        </w:r>
      </w:hyperlink>
    </w:p>
    <w:p w14:paraId="13E8C979" w14:textId="53ECDC74" w:rsidR="005D6055" w:rsidRPr="005D6055" w:rsidRDefault="005D6055" w:rsidP="005D6055">
      <w:pPr>
        <w:pStyle w:val="FootnoteText"/>
        <w:rPr>
          <w:rFonts w:asciiTheme="minorHAnsi" w:hAnsiTheme="minorHAnsi" w:cstheme="minorHAnsi"/>
        </w:rPr>
      </w:pPr>
      <w:r>
        <w:rPr>
          <w:rFonts w:asciiTheme="minorHAnsi" w:hAnsiTheme="minorHAnsi" w:cstheme="minorHAnsi" w:hint="cs"/>
          <w:i/>
          <w:iCs/>
          <w:rtl/>
        </w:rPr>
        <w:t>"</w:t>
      </w:r>
      <w:r w:rsidRPr="005D6055">
        <w:rPr>
          <w:rFonts w:asciiTheme="minorHAnsi" w:hAnsiTheme="minorHAnsi" w:cstheme="minorHAnsi"/>
          <w:i/>
          <w:iCs/>
          <w:rtl/>
        </w:rPr>
        <w:t>2402. وقال السيد هيرالد (أستراليا) إن الوفود التي أعربت عن اهتمامها بالبيان المتفق عليه الذي اقترحه وفد سويسرا ترغب في اقتراح الصياغة التالية: "عند اعتماد المادة 1"8" إلى "14" من هذه المعاهدة، كان من المفهوم أن عبارة "إجراء مباشر لدى المكتب" لا تشمل الإجراءات القضائية بموجب القانون المطبق".</w:t>
      </w:r>
      <w:r w:rsidRPr="005D6055">
        <w:rPr>
          <w:rFonts w:asciiTheme="minorHAnsi" w:hAnsiTheme="minorHAnsi" w:cstheme="minorHAnsi"/>
          <w:i/>
          <w:iCs/>
          <w:u w:val="single"/>
          <w:rtl/>
        </w:rPr>
        <w:t xml:space="preserve"> وقد أخذ هذا البيان في الاعتبار تنوع النظم القانونية بين المكاتب. وعلى وجه الخصوص، هناك تقسيم واضح في العديد من البلدان بين "المحاكم" و"المكتب". </w:t>
      </w:r>
      <w:r w:rsidRPr="005D6055">
        <w:rPr>
          <w:rFonts w:asciiTheme="minorHAnsi" w:hAnsiTheme="minorHAnsi" w:cstheme="minorHAnsi"/>
          <w:i/>
          <w:iCs/>
          <w:u w:val="single"/>
          <w:rtl/>
        </w:rPr>
        <w:t>في حين كان التمييز أقل وضوحاً في بلدان أخرى من حيث أن الهيئات القضائية هي رسمياً جزء من المكتب. والُقصد من عبارة "الإجراءات القضائية" أن تشمل إجراءات الهيئات الداخلية التي تكون فيها تلك الهيئات مشمولة بالقانون الإداري العام، ولكن ليس عندما تكون مشمولة بالقانون القضائي العام.</w:t>
      </w:r>
    </w:p>
  </w:footnote>
  <w:footnote w:id="4">
    <w:p w14:paraId="6485D1F7" w14:textId="77777777" w:rsidR="005D6055" w:rsidRPr="005D6055" w:rsidRDefault="005D6055" w:rsidP="005D6055">
      <w:pPr>
        <w:pStyle w:val="FootnoteText"/>
        <w:rPr>
          <w:rFonts w:asciiTheme="minorHAnsi" w:hAnsiTheme="minorHAnsi" w:cstheme="minorHAnsi"/>
          <w:rtl/>
        </w:rPr>
      </w:pPr>
      <w:r w:rsidRPr="005D6055">
        <w:rPr>
          <w:rStyle w:val="FootnoteReference"/>
          <w:rFonts w:asciiTheme="minorHAnsi" w:hAnsiTheme="minorHAnsi" w:cstheme="minorHAnsi"/>
          <w:sz w:val="18"/>
          <w:szCs w:val="18"/>
        </w:rPr>
        <w:footnoteRef/>
      </w:r>
      <w:r w:rsidRPr="005D6055">
        <w:rPr>
          <w:rFonts w:asciiTheme="minorHAnsi" w:hAnsiTheme="minorHAnsi" w:cstheme="minorHAnsi"/>
          <w:rtl/>
        </w:rPr>
        <w:t xml:space="preserve"> </w:t>
      </w:r>
      <w:r w:rsidRPr="005D6055">
        <w:rPr>
          <w:rFonts w:asciiTheme="minorHAnsi" w:hAnsiTheme="minorHAnsi" w:cstheme="minorHAnsi"/>
          <w:b/>
          <w:bCs/>
          <w:rtl/>
        </w:rPr>
        <w:t>قرار المؤتمر الدبلوماسي التكميلي لمعاهدة سنغافورة بشأن قانون العلامات ولائحتها التنفيذية</w:t>
      </w:r>
    </w:p>
    <w:p w14:paraId="0BED4362" w14:textId="33EDE2E9" w:rsidR="005D6055" w:rsidRPr="005D6055" w:rsidRDefault="005D6055" w:rsidP="005D6055">
      <w:pPr>
        <w:pStyle w:val="FootnoteText"/>
        <w:ind w:leftChars="100" w:left="220"/>
        <w:rPr>
          <w:rFonts w:asciiTheme="minorHAnsi" w:hAnsiTheme="minorHAnsi" w:cstheme="minorHAnsi"/>
        </w:rPr>
      </w:pPr>
      <w:r>
        <w:rPr>
          <w:rFonts w:asciiTheme="minorHAnsi" w:hAnsiTheme="minorHAnsi" w:cstheme="minorHAnsi" w:hint="cs"/>
          <w:i/>
          <w:iCs/>
          <w:rtl/>
        </w:rPr>
        <w:t>"</w:t>
      </w:r>
      <w:r w:rsidRPr="005D6055">
        <w:rPr>
          <w:rFonts w:asciiTheme="minorHAnsi" w:hAnsiTheme="minorHAnsi" w:cstheme="minorHAnsi"/>
          <w:i/>
          <w:iCs/>
          <w:rtl/>
        </w:rPr>
        <w:t xml:space="preserve">2. </w:t>
      </w:r>
      <w:r w:rsidRPr="005D6055">
        <w:rPr>
          <w:rFonts w:asciiTheme="minorHAnsi" w:hAnsiTheme="minorHAnsi" w:cstheme="minorHAnsi"/>
          <w:rtl/>
        </w:rPr>
        <w:t>وعند اعتماد المعاهدة، اتفق المؤتمر الدبلوماسي على أن عبارة "إجراء مباشَر لدى المكتب" الواردة في المادة 1"8" لا تشمل الإجراءات القضائية المباشَرة وفقا لتشريعات الأطراف المتعاقدة</w:t>
      </w:r>
      <w:r>
        <w:rPr>
          <w:rFonts w:asciiTheme="minorHAnsi" w:hAnsiTheme="minorHAnsi" w:cstheme="minorHAnsi" w:hint="cs"/>
          <w:rtl/>
        </w:rPr>
        <w:t>"</w:t>
      </w:r>
      <w:r w:rsidRPr="005D6055">
        <w:rPr>
          <w:rFonts w:asciiTheme="minorHAnsi" w:hAnsiTheme="minorHAnsi" w:cstheme="minorHAnsi"/>
          <w:rtl/>
        </w:rPr>
        <w:t>.</w:t>
      </w:r>
    </w:p>
  </w:footnote>
  <w:footnote w:id="5">
    <w:p w14:paraId="03F292C8" w14:textId="77777777" w:rsidR="005D6055" w:rsidRPr="005D6055" w:rsidRDefault="005D6055" w:rsidP="005D6055">
      <w:pPr>
        <w:pStyle w:val="FootnoteText"/>
        <w:jc w:val="both"/>
        <w:rPr>
          <w:rFonts w:asciiTheme="minorHAnsi" w:hAnsiTheme="minorHAnsi" w:cstheme="minorHAnsi"/>
          <w:rtl/>
        </w:rPr>
      </w:pPr>
      <w:r w:rsidRPr="005D6055">
        <w:rPr>
          <w:rStyle w:val="FootnoteReference"/>
          <w:rFonts w:asciiTheme="minorHAnsi" w:hAnsiTheme="minorHAnsi" w:cstheme="minorHAnsi"/>
          <w:sz w:val="18"/>
          <w:szCs w:val="18"/>
        </w:rPr>
        <w:footnoteRef/>
      </w:r>
      <w:r w:rsidRPr="005D6055">
        <w:rPr>
          <w:rFonts w:asciiTheme="minorHAnsi" w:hAnsiTheme="minorHAnsi" w:cstheme="minorHAnsi"/>
          <w:rtl/>
        </w:rPr>
        <w:t xml:space="preserve"> يمكن أيضاً العثور على معلومات عن نظام التصاميم ذات الصلة في بعض البلدان في دليل نظام لاهاي.</w:t>
      </w:r>
    </w:p>
    <w:p w14:paraId="0BF5A31B" w14:textId="4B4C9EE0" w:rsidR="005D6055" w:rsidRPr="005D6055" w:rsidRDefault="00857A12" w:rsidP="005D6055">
      <w:pPr>
        <w:pStyle w:val="FootnoteText"/>
        <w:ind w:leftChars="100" w:left="220"/>
        <w:rPr>
          <w:rFonts w:asciiTheme="minorHAnsi" w:hAnsiTheme="minorHAnsi" w:cstheme="minorHAnsi"/>
          <w:rtl/>
        </w:rPr>
      </w:pPr>
      <w:hyperlink r:id="rId2" w:anchor="r16" w:history="1">
        <w:r w:rsidR="005D6055" w:rsidRPr="005D6055">
          <w:rPr>
            <w:rStyle w:val="Hyperlink"/>
            <w:rFonts w:asciiTheme="minorHAnsi" w:hAnsiTheme="minorHAnsi" w:cstheme="minorHAnsi"/>
          </w:rPr>
          <w:t>https://www.wipo.int/hague/en/guide/ia.html#r16</w:t>
        </w:r>
      </w:hyperlink>
      <w:r w:rsidR="005D6055" w:rsidRPr="005D6055">
        <w:rPr>
          <w:rFonts w:asciiTheme="minorHAnsi" w:hAnsiTheme="minorHAnsi" w:cstheme="minorHAnsi"/>
          <w:rtl/>
        </w:rPr>
        <w:t xml:space="preserve"> </w:t>
      </w:r>
    </w:p>
    <w:p w14:paraId="697EE8DF" w14:textId="77777777" w:rsidR="005D6055" w:rsidRPr="005D6055" w:rsidRDefault="005D6055" w:rsidP="005D6055">
      <w:pPr>
        <w:pStyle w:val="FootnoteText"/>
        <w:ind w:leftChars="200" w:left="440"/>
        <w:rPr>
          <w:rFonts w:asciiTheme="minorHAnsi" w:hAnsiTheme="minorHAnsi" w:cstheme="minorHAnsi"/>
          <w:rtl/>
        </w:rPr>
      </w:pPr>
      <w:r w:rsidRPr="005D6055">
        <w:rPr>
          <w:rFonts w:asciiTheme="minorHAnsi" w:hAnsiTheme="minorHAnsi" w:cstheme="minorHAnsi"/>
          <w:rtl/>
        </w:rPr>
        <w:t xml:space="preserve">كيفية تقديم طلب دولي إلى المكتب الدولي - الإيداع الإلكتروني أو الاستمارة </w:t>
      </w:r>
      <w:r w:rsidRPr="005D6055">
        <w:rPr>
          <w:rFonts w:asciiTheme="minorHAnsi" w:hAnsiTheme="minorHAnsi" w:cstheme="minorHAnsi"/>
        </w:rPr>
        <w:t>DM/1</w:t>
      </w:r>
      <w:r w:rsidRPr="005D6055">
        <w:rPr>
          <w:rFonts w:asciiTheme="minorHAnsi" w:hAnsiTheme="minorHAnsi" w:cstheme="minorHAnsi"/>
          <w:rtl/>
        </w:rPr>
        <w:t>،</w:t>
      </w:r>
    </w:p>
    <w:p w14:paraId="44B89757" w14:textId="77777777" w:rsidR="005D6055" w:rsidRPr="005D6055" w:rsidRDefault="005D6055" w:rsidP="005D6055">
      <w:pPr>
        <w:pStyle w:val="FootnoteText"/>
        <w:ind w:leftChars="200" w:left="440"/>
        <w:rPr>
          <w:rFonts w:asciiTheme="minorHAnsi" w:hAnsiTheme="minorHAnsi" w:cstheme="minorHAnsi"/>
          <w:rtl/>
        </w:rPr>
      </w:pPr>
      <w:r w:rsidRPr="005D6055">
        <w:rPr>
          <w:rFonts w:asciiTheme="minorHAnsi" w:hAnsiTheme="minorHAnsi" w:cstheme="minorHAnsi"/>
          <w:rtl/>
        </w:rPr>
        <w:t>البند 16، اليابان و/أو جمهورية كوريا: التصاميم الرئيسية والتصاميم ذات الصلة.</w:t>
      </w:r>
    </w:p>
  </w:footnote>
  <w:footnote w:id="6">
    <w:p w14:paraId="72407EE2" w14:textId="77777777" w:rsidR="005D6055" w:rsidRPr="005D6055" w:rsidRDefault="005D6055" w:rsidP="005D6055">
      <w:pPr>
        <w:pStyle w:val="FootnoteText"/>
        <w:jc w:val="both"/>
        <w:rPr>
          <w:rFonts w:asciiTheme="minorHAnsi" w:hAnsiTheme="minorHAnsi" w:cstheme="minorHAnsi"/>
          <w:rtl/>
        </w:rPr>
      </w:pPr>
      <w:r w:rsidRPr="005D6055">
        <w:rPr>
          <w:rStyle w:val="FootnoteReference"/>
          <w:rFonts w:asciiTheme="minorHAnsi" w:hAnsiTheme="minorHAnsi" w:cstheme="minorHAnsi"/>
          <w:sz w:val="18"/>
          <w:szCs w:val="18"/>
        </w:rPr>
        <w:footnoteRef/>
      </w:r>
      <w:r w:rsidRPr="005D6055">
        <w:rPr>
          <w:rFonts w:asciiTheme="minorHAnsi" w:hAnsiTheme="minorHAnsi" w:cstheme="minorHAnsi"/>
          <w:rtl/>
        </w:rPr>
        <w:t xml:space="preserve"> غالباً ما ينشئ المصممون عدة أشكال مختلفة من التصميم نفسه في وقت واحد أو على مراحل، وفي مثل هذه الحالات لا يمكن حماية إبداعات المصمِّم بشكل كافٍ إذا لم تكن التصاميم الثانية واللاحقة محمية بسبب حظر "إصدار البراءات المزدوجة". ولذلك، تنص اليابان في قانونها على "نظام للتصاميم ذات الصلة" يجيز تسجيل هذه الأشكال المختلفة من أجل منع الآثار السلبية لحظر "إصدار البراءات المزدوجة"، مع فرض بعض القيود.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9CCE" w14:textId="049B7739" w:rsidR="00784A98" w:rsidRDefault="00C91BB2" w:rsidP="00784A98">
    <w:pPr>
      <w:jc w:val="right"/>
      <w:rPr>
        <w:caps/>
      </w:rPr>
    </w:pPr>
    <w:r>
      <w:rPr>
        <w:caps/>
      </w:rPr>
      <w:t>DLT</w:t>
    </w:r>
    <w:r w:rsidR="00784A98">
      <w:rPr>
        <w:caps/>
      </w:rPr>
      <w:t>/DC/</w:t>
    </w:r>
    <w:r w:rsidR="005D6055">
      <w:rPr>
        <w:caps/>
      </w:rPr>
      <w:t>9</w:t>
    </w:r>
  </w:p>
  <w:p w14:paraId="66AE2D48" w14:textId="3555C648" w:rsidR="005519F2" w:rsidRPr="002326AB" w:rsidRDefault="005519F2" w:rsidP="00784A98">
    <w:pPr>
      <w:jc w:val="right"/>
      <w:rPr>
        <w:caps/>
      </w:rPr>
    </w:pPr>
    <w:r>
      <w:t>Annex</w:t>
    </w:r>
  </w:p>
  <w:p w14:paraId="4DFC8E69" w14:textId="77777777"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549AB6CE" w14:textId="77777777" w:rsidR="00784A98" w:rsidRDefault="00784A98" w:rsidP="00784A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7E79" w14:textId="77777777" w:rsidR="005D6055" w:rsidRDefault="005D6055" w:rsidP="00784A98">
    <w:pPr>
      <w:jc w:val="right"/>
      <w:rPr>
        <w:caps/>
      </w:rPr>
    </w:pPr>
    <w:r>
      <w:rPr>
        <w:caps/>
      </w:rPr>
      <w:t>DLT/DC/9</w:t>
    </w:r>
  </w:p>
  <w:p w14:paraId="6E74CC35" w14:textId="77777777" w:rsidR="005D6055" w:rsidRPr="002326AB" w:rsidRDefault="005D6055" w:rsidP="00784A98">
    <w:pPr>
      <w:jc w:val="right"/>
      <w:rPr>
        <w:caps/>
      </w:rPr>
    </w:pPr>
    <w:r>
      <w:t>Annex</w:t>
    </w:r>
  </w:p>
  <w:p w14:paraId="11CB0ECF" w14:textId="77777777" w:rsidR="005D6055" w:rsidRDefault="005D6055"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3603D0EC" w14:textId="77777777" w:rsidR="005D6055" w:rsidRDefault="005D6055" w:rsidP="00784A9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732D" w14:textId="6AAA0788" w:rsidR="00906B7A" w:rsidRDefault="00906B7A">
    <w:pPr>
      <w:bidi w:val="0"/>
      <w:rPr>
        <w:caps/>
      </w:rPr>
    </w:pPr>
    <w:r>
      <w:rPr>
        <w:caps/>
      </w:rPr>
      <w:t>DLT/DC/</w:t>
    </w:r>
    <w:r w:rsidR="005D6055">
      <w:rPr>
        <w:caps/>
      </w:rPr>
      <w:t>9</w:t>
    </w:r>
  </w:p>
  <w:p w14:paraId="19D58F12" w14:textId="033D1446" w:rsidR="00906B7A" w:rsidRDefault="00906B7A">
    <w:pPr>
      <w:pStyle w:val="Header"/>
      <w:bidi w:val="0"/>
    </w:pPr>
    <w:r>
      <w:t>ANNEX</w:t>
    </w:r>
  </w:p>
  <w:p w14:paraId="73E4A966" w14:textId="37B10EDF" w:rsidR="00906B7A" w:rsidRDefault="00906B7A" w:rsidP="00906B7A">
    <w:pPr>
      <w:pStyle w:val="Header"/>
      <w:jc w:val="right"/>
      <w:rPr>
        <w:rtl/>
      </w:rPr>
    </w:pPr>
    <w:r>
      <w:rPr>
        <w:rFonts w:hint="cs"/>
        <w:rtl/>
      </w:rPr>
      <w:t>المرفق</w:t>
    </w:r>
  </w:p>
  <w:p w14:paraId="5C3AC96F" w14:textId="77777777" w:rsidR="00906B7A" w:rsidRDefault="00906B7A">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DD408" w14:textId="77777777" w:rsidR="009135B4" w:rsidRDefault="009135B4" w:rsidP="009135B4">
    <w:pPr>
      <w:jc w:val="right"/>
      <w:rPr>
        <w:caps/>
      </w:rPr>
    </w:pPr>
    <w:r>
      <w:rPr>
        <w:caps/>
      </w:rPr>
      <w:t>DLT/DC/9</w:t>
    </w:r>
  </w:p>
  <w:p w14:paraId="05A3B02D" w14:textId="3D9A5C32" w:rsidR="009135B4" w:rsidRDefault="009135B4" w:rsidP="009135B4">
    <w:pPr>
      <w:jc w:val="right"/>
      <w:rPr>
        <w:rtl/>
      </w:rPr>
    </w:pPr>
    <w:r>
      <w:t>Annex</w:t>
    </w:r>
  </w:p>
  <w:p w14:paraId="6E93AC8D" w14:textId="028B6484" w:rsidR="009135B4" w:rsidRDefault="00C06F8B" w:rsidP="009135B4">
    <w:pPr>
      <w:jc w:val="right"/>
      <w:rPr>
        <w:rtl/>
      </w:rPr>
    </w:pPr>
    <w:r>
      <w:rPr>
        <w:rFonts w:hint="cs"/>
        <w:rtl/>
      </w:rPr>
      <w:t>2</w:t>
    </w:r>
  </w:p>
  <w:p w14:paraId="2FFE96E3" w14:textId="77777777" w:rsidR="009135B4" w:rsidRDefault="009135B4" w:rsidP="009135B4">
    <w:pPr>
      <w:jc w:val="right"/>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986C" w14:textId="77777777" w:rsidR="009135B4" w:rsidRDefault="009135B4" w:rsidP="00784A98">
    <w:pPr>
      <w:jc w:val="right"/>
      <w:rPr>
        <w:caps/>
      </w:rPr>
    </w:pPr>
    <w:r>
      <w:rPr>
        <w:caps/>
      </w:rPr>
      <w:t>DLT/DC/9</w:t>
    </w:r>
  </w:p>
  <w:p w14:paraId="0F2415CE" w14:textId="45D195C7" w:rsidR="009135B4" w:rsidRDefault="009135B4" w:rsidP="00C06F8B">
    <w:pPr>
      <w:jc w:val="right"/>
      <w:rPr>
        <w:rtl/>
      </w:rPr>
    </w:pPr>
    <w:r>
      <w:t>Annex</w:t>
    </w:r>
  </w:p>
  <w:p w14:paraId="04AF79CA" w14:textId="4D6B9562" w:rsidR="00C06F8B" w:rsidRPr="00C06F8B" w:rsidRDefault="00C06F8B" w:rsidP="00C06F8B">
    <w:pPr>
      <w:jc w:val="right"/>
      <w:rPr>
        <w:caps/>
        <w:rtl/>
      </w:rPr>
    </w:pPr>
    <w:r>
      <w:rPr>
        <w:rFonts w:hint="cs"/>
        <w:rtl/>
      </w:rPr>
      <w:t>3</w:t>
    </w:r>
  </w:p>
  <w:p w14:paraId="76652BD1" w14:textId="77777777" w:rsidR="009135B4" w:rsidRDefault="009135B4" w:rsidP="00784A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4"/>
  </w:num>
  <w:num w:numId="2" w16cid:durableId="1654674513">
    <w:abstractNumId w:val="0"/>
  </w:num>
  <w:num w:numId="3" w16cid:durableId="586691658">
    <w:abstractNumId w:val="1"/>
  </w:num>
  <w:num w:numId="4" w16cid:durableId="1976596638">
    <w:abstractNumId w:val="5"/>
  </w:num>
  <w:num w:numId="5" w16cid:durableId="1441685017">
    <w:abstractNumId w:val="3"/>
  </w:num>
  <w:num w:numId="6" w16cid:durableId="20851056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6E"/>
    <w:rsid w:val="000259C5"/>
    <w:rsid w:val="00037D09"/>
    <w:rsid w:val="0005135C"/>
    <w:rsid w:val="000A3B9A"/>
    <w:rsid w:val="000B0670"/>
    <w:rsid w:val="000F43B1"/>
    <w:rsid w:val="001055A0"/>
    <w:rsid w:val="00106F84"/>
    <w:rsid w:val="00111F0E"/>
    <w:rsid w:val="00113269"/>
    <w:rsid w:val="00165FBD"/>
    <w:rsid w:val="00174E08"/>
    <w:rsid w:val="001C04F6"/>
    <w:rsid w:val="001C52F9"/>
    <w:rsid w:val="001E6680"/>
    <w:rsid w:val="0020046F"/>
    <w:rsid w:val="00204E8E"/>
    <w:rsid w:val="00207C56"/>
    <w:rsid w:val="00215752"/>
    <w:rsid w:val="00244E95"/>
    <w:rsid w:val="00262F42"/>
    <w:rsid w:val="00276C46"/>
    <w:rsid w:val="00343D56"/>
    <w:rsid w:val="00360E40"/>
    <w:rsid w:val="003819C3"/>
    <w:rsid w:val="003D379F"/>
    <w:rsid w:val="00461318"/>
    <w:rsid w:val="00480688"/>
    <w:rsid w:val="005240EE"/>
    <w:rsid w:val="005519F2"/>
    <w:rsid w:val="005568C3"/>
    <w:rsid w:val="005919FA"/>
    <w:rsid w:val="005C1D54"/>
    <w:rsid w:val="005C2BEE"/>
    <w:rsid w:val="005C34F0"/>
    <w:rsid w:val="005D6055"/>
    <w:rsid w:val="0064472E"/>
    <w:rsid w:val="00666F28"/>
    <w:rsid w:val="006D0BBF"/>
    <w:rsid w:val="0078245B"/>
    <w:rsid w:val="00784A98"/>
    <w:rsid w:val="007C06A8"/>
    <w:rsid w:val="00807EDE"/>
    <w:rsid w:val="0082247E"/>
    <w:rsid w:val="008365A8"/>
    <w:rsid w:val="00837724"/>
    <w:rsid w:val="00847705"/>
    <w:rsid w:val="00857A12"/>
    <w:rsid w:val="0087607F"/>
    <w:rsid w:val="00885073"/>
    <w:rsid w:val="008C4701"/>
    <w:rsid w:val="008F48F9"/>
    <w:rsid w:val="00906B7A"/>
    <w:rsid w:val="009135B4"/>
    <w:rsid w:val="0092280C"/>
    <w:rsid w:val="00931E6E"/>
    <w:rsid w:val="00932B7B"/>
    <w:rsid w:val="00940178"/>
    <w:rsid w:val="00954762"/>
    <w:rsid w:val="009B5D9F"/>
    <w:rsid w:val="009C2EF4"/>
    <w:rsid w:val="009E27D0"/>
    <w:rsid w:val="009F6632"/>
    <w:rsid w:val="00A128AF"/>
    <w:rsid w:val="00A24105"/>
    <w:rsid w:val="00A36CCD"/>
    <w:rsid w:val="00A504E7"/>
    <w:rsid w:val="00A71DB9"/>
    <w:rsid w:val="00AC6B1A"/>
    <w:rsid w:val="00B17D5C"/>
    <w:rsid w:val="00B403AD"/>
    <w:rsid w:val="00B62BCC"/>
    <w:rsid w:val="00B77A42"/>
    <w:rsid w:val="00B81C40"/>
    <w:rsid w:val="00BF5D9D"/>
    <w:rsid w:val="00C06F8B"/>
    <w:rsid w:val="00C4229D"/>
    <w:rsid w:val="00C46325"/>
    <w:rsid w:val="00C91BB2"/>
    <w:rsid w:val="00CD186E"/>
    <w:rsid w:val="00D00725"/>
    <w:rsid w:val="00D621DC"/>
    <w:rsid w:val="00D647A2"/>
    <w:rsid w:val="00DE4047"/>
    <w:rsid w:val="00EA5315"/>
    <w:rsid w:val="00EA76DD"/>
    <w:rsid w:val="00F507E7"/>
    <w:rsid w:val="00F71C32"/>
    <w:rsid w:val="00F86A9E"/>
    <w:rsid w:val="00FA7BA6"/>
    <w:rsid w:val="00FC097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52394"/>
  <w15:docId w15:val="{62B0E161-3ACD-4718-B626-D522AC5B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5C34F0"/>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5C34F0"/>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5C34F0"/>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5C34F0"/>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5C34F0"/>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5C34F0"/>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5C34F0"/>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5C34F0"/>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5C34F0"/>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5C34F0"/>
    <w:rPr>
      <w:rFonts w:ascii="Arial" w:eastAsia="SimSun" w:hAnsi="Arial" w:cs="Calibri"/>
      <w:sz w:val="22"/>
      <w:szCs w:val="22"/>
      <w:lang w:val="en-US" w:eastAsia="zh-CN"/>
    </w:rPr>
  </w:style>
  <w:style w:type="character" w:styleId="Hyperlink">
    <w:name w:val="Hyperlink"/>
    <w:basedOn w:val="DefaultParagraphFont"/>
    <w:uiPriority w:val="99"/>
    <w:unhideWhenUsed/>
    <w:rsid w:val="005C34F0"/>
    <w:rPr>
      <w:color w:val="0000FF" w:themeColor="hyperlink"/>
      <w:u w:val="single"/>
    </w:rPr>
  </w:style>
  <w:style w:type="paragraph" w:customStyle="1" w:styleId="NormalParaAR">
    <w:name w:val="Normal_Para_AR"/>
    <w:link w:val="NormalParaARChar"/>
    <w:rsid w:val="005C34F0"/>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5C34F0"/>
    <w:rPr>
      <w:rFonts w:ascii="Arabic Typesetting" w:hAnsi="Arabic Typesetting" w:cs="Arabic Typesetting"/>
      <w:sz w:val="36"/>
      <w:szCs w:val="36"/>
      <w:lang w:val="en-US" w:eastAsia="en-US"/>
    </w:rPr>
  </w:style>
  <w:style w:type="paragraph" w:customStyle="1" w:styleId="NumberedParaAR">
    <w:name w:val="Numbered_Para_AR"/>
    <w:basedOn w:val="NormalParaAR"/>
    <w:rsid w:val="005C34F0"/>
    <w:pPr>
      <w:numPr>
        <w:numId w:val="6"/>
      </w:numPr>
      <w:tabs>
        <w:tab w:val="clear" w:pos="567"/>
        <w:tab w:val="num" w:pos="360"/>
      </w:tabs>
      <w:ind w:left="720" w:hanging="360"/>
    </w:pPr>
  </w:style>
  <w:style w:type="paragraph" w:customStyle="1" w:styleId="DocumentCodeAR">
    <w:name w:val="Document_Code_AR"/>
    <w:basedOn w:val="Normal"/>
    <w:next w:val="DocumentLanguageAR"/>
    <w:rsid w:val="005C34F0"/>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5C34F0"/>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5C34F0"/>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5C34F0"/>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5C34F0"/>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5C34F0"/>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5C34F0"/>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5C34F0"/>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5C34F0"/>
    <w:pPr>
      <w:ind w:left="5534"/>
    </w:pPr>
    <w:rPr>
      <w:i/>
      <w:iCs/>
    </w:rPr>
  </w:style>
  <w:style w:type="paragraph" w:customStyle="1" w:styleId="EndofDocumentAR">
    <w:name w:val="End_of_Document_AR"/>
    <w:basedOn w:val="NormalParaAR"/>
    <w:next w:val="NormalParaAR"/>
    <w:rsid w:val="005C34F0"/>
    <w:pPr>
      <w:ind w:left="5534"/>
    </w:pPr>
  </w:style>
  <w:style w:type="paragraph" w:customStyle="1" w:styleId="Heading1AR">
    <w:name w:val="Heading_1_AR"/>
    <w:basedOn w:val="NormalParaAR"/>
    <w:next w:val="NormalParaAR"/>
    <w:rsid w:val="005C34F0"/>
    <w:pPr>
      <w:keepNext/>
      <w:spacing w:before="240" w:after="60" w:line="400" w:lineRule="exact"/>
    </w:pPr>
    <w:rPr>
      <w:bCs/>
      <w:sz w:val="40"/>
      <w:szCs w:val="40"/>
    </w:rPr>
  </w:style>
  <w:style w:type="paragraph" w:customStyle="1" w:styleId="Heading2AR">
    <w:name w:val="Heading_2_AR"/>
    <w:basedOn w:val="Heading1AR"/>
    <w:next w:val="NormalParaAR"/>
    <w:rsid w:val="005C34F0"/>
    <w:rPr>
      <w:bCs w:val="0"/>
    </w:rPr>
  </w:style>
  <w:style w:type="paragraph" w:customStyle="1" w:styleId="Heading3AR">
    <w:name w:val="Heading_3_AR"/>
    <w:basedOn w:val="Heading2AR"/>
    <w:next w:val="NormalParaAR"/>
    <w:rsid w:val="005C34F0"/>
    <w:pPr>
      <w:spacing w:before="120" w:line="360" w:lineRule="exact"/>
    </w:pPr>
    <w:rPr>
      <w:sz w:val="36"/>
      <w:szCs w:val="36"/>
      <w:u w:val="single"/>
    </w:rPr>
  </w:style>
  <w:style w:type="paragraph" w:customStyle="1" w:styleId="Heading4AR">
    <w:name w:val="Heading_4_AR"/>
    <w:basedOn w:val="Heading3AR"/>
    <w:next w:val="NormalParaAR"/>
    <w:rsid w:val="005C34F0"/>
    <w:rPr>
      <w:iCs/>
      <w:u w:val="none"/>
    </w:rPr>
  </w:style>
  <w:style w:type="paragraph" w:customStyle="1" w:styleId="DecisionInvitingPara">
    <w:name w:val="Decision Inviting Para."/>
    <w:basedOn w:val="Normal"/>
    <w:rsid w:val="005C34F0"/>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rsid w:val="005C34F0"/>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5C34F0"/>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5C34F0"/>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5C34F0"/>
  </w:style>
  <w:style w:type="paragraph" w:styleId="TOC2">
    <w:name w:val="toc 2"/>
    <w:basedOn w:val="Normal"/>
    <w:next w:val="Normal"/>
    <w:autoRedefine/>
    <w:uiPriority w:val="39"/>
    <w:unhideWhenUsed/>
    <w:rsid w:val="00F507E7"/>
    <w:pPr>
      <w:tabs>
        <w:tab w:val="left" w:pos="2267"/>
        <w:tab w:val="right" w:leader="dot" w:pos="9345"/>
      </w:tabs>
      <w:spacing w:after="100"/>
      <w:ind w:left="220"/>
    </w:pPr>
  </w:style>
  <w:style w:type="paragraph" w:customStyle="1" w:styleId="Heading2AL">
    <w:name w:val="Heading 2 AL"/>
    <w:basedOn w:val="Normal"/>
    <w:rsid w:val="005C34F0"/>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B62BCC"/>
    <w:rPr>
      <w:color w:val="605E5C"/>
      <w:shd w:val="clear" w:color="auto" w:fill="E1DFDD"/>
    </w:rPr>
  </w:style>
  <w:style w:type="paragraph" w:customStyle="1" w:styleId="TitleofDoc">
    <w:name w:val="Title of Doc"/>
    <w:basedOn w:val="Normal"/>
    <w:rsid w:val="005D6055"/>
    <w:pPr>
      <w:bidi w:val="0"/>
      <w:spacing w:before="1200"/>
      <w:jc w:val="center"/>
    </w:pPr>
    <w:rPr>
      <w:rFonts w:ascii="Times New Roman" w:eastAsia="Yu Mincho" w:hAnsi="Times New Roman" w:cs="Arial"/>
      <w:caps/>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hague/en/guide/ia.html" TargetMode="External"/><Relationship Id="rId1" Type="http://schemas.openxmlformats.org/officeDocument/2006/relationships/hyperlink" Target="https://www.wipo.int/export/sites/www/treaties/en/docs/prep-docs/2000_june_Geneva_327-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542</Words>
  <Characters>2905</Characters>
  <Application>Microsoft Office Word</Application>
  <DocSecurity>0</DocSecurity>
  <Lines>80</Lines>
  <Paragraphs>49</Paragraphs>
  <ScaleCrop>false</ScaleCrop>
  <HeadingPairs>
    <vt:vector size="2" baseType="variant">
      <vt:variant>
        <vt:lpstr>Title</vt:lpstr>
      </vt:variant>
      <vt:variant>
        <vt:i4>1</vt:i4>
      </vt:variant>
    </vt:vector>
  </HeadingPairs>
  <TitlesOfParts>
    <vt:vector size="1" baseType="lpstr">
      <vt:lpstr>DLT/DC/4 (Arabic)</vt:lpstr>
    </vt:vector>
  </TitlesOfParts>
  <Company>WIPO</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DLT/DC/9</dc:title>
  <dc:creator>MERZOUK Fawzi</dc:creator>
  <cp:keywords>FOR OFFICIAL USE ONLY</cp:keywords>
  <cp:lastModifiedBy>AHADI Ahmad</cp:lastModifiedBy>
  <cp:revision>8</cp:revision>
  <cp:lastPrinted>2024-10-31T10:17:00Z</cp:lastPrinted>
  <dcterms:created xsi:type="dcterms:W3CDTF">2024-10-31T10:16:00Z</dcterms:created>
  <dcterms:modified xsi:type="dcterms:W3CDTF">2024-11-06T10:32:00Z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