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17FF" w14:textId="77777777" w:rsidR="008B2CC1" w:rsidRPr="009D482C" w:rsidRDefault="0040540C" w:rsidP="002D5EF8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9D482C">
        <w:rPr>
          <w:noProof/>
          <w:lang w:val="fr-FR" w:eastAsia="fr-CH"/>
        </w:rPr>
        <w:drawing>
          <wp:inline distT="0" distB="0" distL="0" distR="0" wp14:anchorId="422C983B" wp14:editId="43D8E50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5944" w14:textId="41B335DF" w:rsidR="00B1090C" w:rsidRPr="009D482C" w:rsidRDefault="002D5EF8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9D482C">
        <w:rPr>
          <w:rFonts w:ascii="Arial Black" w:hAnsi="Arial Black"/>
          <w:caps/>
          <w:sz w:val="15"/>
          <w:lang w:val="fr-FR"/>
        </w:rPr>
        <w:t>DLT/2/PM/</w:t>
      </w:r>
      <w:bookmarkStart w:id="0" w:name="Code"/>
      <w:bookmarkEnd w:id="0"/>
      <w:r w:rsidR="00387818" w:rsidRPr="009D482C">
        <w:rPr>
          <w:rFonts w:ascii="Arial Black" w:hAnsi="Arial Black"/>
          <w:caps/>
          <w:sz w:val="15"/>
          <w:lang w:val="fr-FR"/>
        </w:rPr>
        <w:t>5</w:t>
      </w:r>
    </w:p>
    <w:p w14:paraId="7857786A" w14:textId="1A7DAEC7" w:rsidR="008B2CC1" w:rsidRPr="009D482C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9D482C">
        <w:rPr>
          <w:rFonts w:ascii="Arial Black" w:hAnsi="Arial Black"/>
          <w:caps/>
          <w:sz w:val="15"/>
          <w:lang w:val="fr-FR"/>
        </w:rPr>
        <w:t>ORIGINAL</w:t>
      </w:r>
      <w:r w:rsidR="001D50AD" w:rsidRPr="009D482C">
        <w:rPr>
          <w:rFonts w:ascii="Arial Black" w:hAnsi="Arial Black"/>
          <w:caps/>
          <w:sz w:val="15"/>
          <w:lang w:val="fr-FR"/>
        </w:rPr>
        <w:t> :</w:t>
      </w:r>
      <w:r w:rsidR="002956DE" w:rsidRPr="009D482C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387818" w:rsidRPr="009D482C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EB37E4E" w14:textId="3338F253" w:rsidR="008B2CC1" w:rsidRPr="009D482C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9D482C">
        <w:rPr>
          <w:rFonts w:ascii="Arial Black" w:hAnsi="Arial Black"/>
          <w:caps/>
          <w:sz w:val="15"/>
          <w:szCs w:val="15"/>
          <w:lang w:val="fr-FR"/>
        </w:rPr>
        <w:t>DATE</w:t>
      </w:r>
      <w:r w:rsidR="001D50AD" w:rsidRPr="009D482C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9D482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387818" w:rsidRPr="009D482C">
        <w:rPr>
          <w:rFonts w:ascii="Arial Black" w:hAnsi="Arial Black"/>
          <w:caps/>
          <w:sz w:val="15"/>
          <w:szCs w:val="15"/>
          <w:lang w:val="fr-FR"/>
        </w:rPr>
        <w:t>26 septembre 2023</w:t>
      </w:r>
    </w:p>
    <w:bookmarkEnd w:id="2"/>
    <w:p w14:paraId="570163A8" w14:textId="121C17DA" w:rsidR="003845C1" w:rsidRPr="009D482C" w:rsidRDefault="002D5EF8" w:rsidP="00387818">
      <w:pPr>
        <w:pStyle w:val="Title"/>
        <w:rPr>
          <w:lang w:val="fr-FR"/>
        </w:rPr>
      </w:pPr>
      <w:r w:rsidRPr="009D482C">
        <w:rPr>
          <w:lang w:val="fr-FR"/>
        </w:rPr>
        <w:t>Comité préparatoire de la Conférence diplomatique en vue de la conclusion et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adoption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un traité sur le droit des dessins et modèles (DLT)</w:t>
      </w:r>
    </w:p>
    <w:p w14:paraId="6B58FE64" w14:textId="6FDF13B8" w:rsidR="008B2CC1" w:rsidRPr="009D482C" w:rsidRDefault="002D5EF8" w:rsidP="00387818">
      <w:pPr>
        <w:spacing w:after="720"/>
        <w:outlineLvl w:val="1"/>
        <w:rPr>
          <w:b/>
          <w:sz w:val="24"/>
          <w:szCs w:val="24"/>
          <w:lang w:val="fr-FR"/>
        </w:rPr>
      </w:pPr>
      <w:r w:rsidRPr="009D482C">
        <w:rPr>
          <w:b/>
          <w:sz w:val="24"/>
          <w:szCs w:val="24"/>
          <w:lang w:val="fr-FR"/>
        </w:rPr>
        <w:t>Genève, 9 – 1</w:t>
      </w:r>
      <w:r w:rsidR="001D50AD" w:rsidRPr="009D482C">
        <w:rPr>
          <w:b/>
          <w:sz w:val="24"/>
          <w:szCs w:val="24"/>
          <w:lang w:val="fr-FR"/>
        </w:rPr>
        <w:t>1 octobre 20</w:t>
      </w:r>
      <w:r w:rsidRPr="009D482C">
        <w:rPr>
          <w:b/>
          <w:sz w:val="24"/>
          <w:szCs w:val="24"/>
          <w:lang w:val="fr-FR"/>
        </w:rPr>
        <w:t>23</w:t>
      </w:r>
    </w:p>
    <w:p w14:paraId="502444C7" w14:textId="1122D715" w:rsidR="008B2CC1" w:rsidRPr="009D482C" w:rsidRDefault="00387818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9D482C">
        <w:rPr>
          <w:caps/>
          <w:sz w:val="24"/>
          <w:lang w:val="fr-FR"/>
        </w:rPr>
        <w:t xml:space="preserve">Ordre du jour, dates et lieu de la </w:t>
      </w:r>
      <w:r w:rsidR="00A87548" w:rsidRPr="009D482C">
        <w:rPr>
          <w:caps/>
          <w:sz w:val="24"/>
          <w:lang w:val="fr-FR"/>
        </w:rPr>
        <w:t>c</w:t>
      </w:r>
      <w:r w:rsidRPr="009D482C">
        <w:rPr>
          <w:caps/>
          <w:sz w:val="24"/>
          <w:lang w:val="fr-FR"/>
        </w:rPr>
        <w:t>onférence diplomatique</w:t>
      </w:r>
    </w:p>
    <w:bookmarkEnd w:id="3"/>
    <w:p w14:paraId="1A6F6947" w14:textId="39F8C331" w:rsidR="008B2CC1" w:rsidRPr="009D482C" w:rsidRDefault="00494040" w:rsidP="00B1090C">
      <w:pPr>
        <w:spacing w:after="1040"/>
        <w:rPr>
          <w:i/>
          <w:lang w:val="fr-FR"/>
        </w:rPr>
      </w:pPr>
      <w:r>
        <w:rPr>
          <w:i/>
          <w:lang w:val="fr-FR"/>
        </w:rPr>
        <w:t xml:space="preserve">Document </w:t>
      </w:r>
      <w:r w:rsidR="00387818" w:rsidRPr="009D482C">
        <w:rPr>
          <w:i/>
          <w:lang w:val="fr-FR"/>
        </w:rPr>
        <w:t>établi par le Directeur général</w:t>
      </w:r>
    </w:p>
    <w:p w14:paraId="34505E00" w14:textId="0A32F2A8" w:rsidR="00387818" w:rsidRPr="009D482C" w:rsidRDefault="00387818">
      <w:pPr>
        <w:rPr>
          <w:lang w:val="fr-FR"/>
        </w:rPr>
      </w:pPr>
      <w:r w:rsidRPr="009D482C">
        <w:rPr>
          <w:lang w:val="fr-FR"/>
        </w:rPr>
        <w:br w:type="page"/>
      </w:r>
    </w:p>
    <w:p w14:paraId="133CDCEE" w14:textId="77F4B241" w:rsidR="00387818" w:rsidRPr="009D482C" w:rsidRDefault="00A87548" w:rsidP="00A87548">
      <w:pPr>
        <w:pStyle w:val="Heading2"/>
        <w:rPr>
          <w:lang w:val="fr-FR"/>
        </w:rPr>
      </w:pPr>
      <w:r w:rsidRPr="009D482C">
        <w:rPr>
          <w:lang w:val="fr-FR"/>
        </w:rPr>
        <w:lastRenderedPageBreak/>
        <w:t>Introduction</w:t>
      </w:r>
    </w:p>
    <w:p w14:paraId="20F4563A" w14:textId="131A7FE8" w:rsidR="00387818" w:rsidRPr="009D482C" w:rsidRDefault="00387818" w:rsidP="00A87548">
      <w:pPr>
        <w:pStyle w:val="ONUMFS"/>
        <w:rPr>
          <w:lang w:val="fr-FR"/>
        </w:rPr>
      </w:pPr>
      <w:r w:rsidRPr="009D482C">
        <w:rPr>
          <w:lang w:val="fr-FR"/>
        </w:rPr>
        <w:t>À sa cinquante</w:t>
      </w:r>
      <w:r w:rsidR="00494040">
        <w:rPr>
          <w:lang w:val="fr-FR"/>
        </w:rPr>
        <w:noBreakHyphen/>
      </w:r>
      <w:r w:rsidRPr="009D482C">
        <w:rPr>
          <w:lang w:val="fr-FR"/>
        </w:rPr>
        <w:t>cinqu</w:t>
      </w:r>
      <w:r w:rsidR="001D50AD" w:rsidRPr="009D482C">
        <w:rPr>
          <w:lang w:val="fr-FR"/>
        </w:rPr>
        <w:t>ième session</w:t>
      </w:r>
      <w:r w:rsidRPr="009D482C">
        <w:rPr>
          <w:lang w:val="fr-FR"/>
        </w:rPr>
        <w:t xml:space="preserve"> (30</w:t>
      </w:r>
      <w:r w:rsidRPr="009D482C">
        <w:rPr>
          <w:vertAlign w:val="superscript"/>
          <w:lang w:val="fr-FR"/>
        </w:rPr>
        <w:t>e</w:t>
      </w:r>
      <w:r w:rsidR="00494040">
        <w:rPr>
          <w:lang w:val="fr-FR"/>
        </w:rPr>
        <w:t> </w:t>
      </w:r>
      <w:r w:rsidRPr="009D482C">
        <w:rPr>
          <w:lang w:val="fr-FR"/>
        </w:rPr>
        <w:t>session extraordinaire) tenue à Genève du</w:t>
      </w:r>
      <w:r w:rsidR="00494040">
        <w:rPr>
          <w:lang w:val="fr-FR"/>
        </w:rPr>
        <w:t> </w:t>
      </w:r>
      <w:r w:rsidRPr="009D482C">
        <w:rPr>
          <w:lang w:val="fr-FR"/>
        </w:rPr>
        <w:t>14</w:t>
      </w:r>
      <w:r w:rsidR="00494040">
        <w:rPr>
          <w:lang w:val="fr-FR"/>
        </w:rPr>
        <w:t> </w:t>
      </w:r>
      <w:r w:rsidRPr="009D482C">
        <w:rPr>
          <w:lang w:val="fr-FR"/>
        </w:rPr>
        <w:t>au</w:t>
      </w:r>
      <w:r w:rsidR="00494040">
        <w:rPr>
          <w:lang w:val="fr-FR"/>
        </w:rPr>
        <w:t> </w:t>
      </w:r>
      <w:r w:rsidRPr="009D482C">
        <w:rPr>
          <w:lang w:val="fr-FR"/>
        </w:rPr>
        <w:t>2</w:t>
      </w:r>
      <w:r w:rsidR="001D50AD" w:rsidRPr="009D482C">
        <w:rPr>
          <w:lang w:val="fr-FR"/>
        </w:rPr>
        <w:t>2 octobre 20</w:t>
      </w:r>
      <w:r w:rsidRPr="009D482C">
        <w:rPr>
          <w:lang w:val="fr-FR"/>
        </w:rPr>
        <w:t>22,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Assemblée générale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Organisation Mondiale de la Propriété Intellectuelle</w:t>
      </w:r>
      <w:r w:rsidR="00494040">
        <w:rPr>
          <w:lang w:val="fr-FR"/>
        </w:rPr>
        <w:t> </w:t>
      </w:r>
      <w:r w:rsidRPr="009D482C">
        <w:rPr>
          <w:lang w:val="fr-FR"/>
        </w:rPr>
        <w:t xml:space="preserve">(OMPI) est convenue de ce qui suit (voir le </w:t>
      </w:r>
      <w:r w:rsidR="001D50AD" w:rsidRPr="009D482C">
        <w:rPr>
          <w:lang w:val="fr-FR"/>
        </w:rPr>
        <w:t>paragraphe 3</w:t>
      </w:r>
      <w:r w:rsidRPr="009D482C">
        <w:rPr>
          <w:lang w:val="fr-FR"/>
        </w:rPr>
        <w:t>09 du document</w:t>
      </w:r>
      <w:r w:rsidR="00494040">
        <w:rPr>
          <w:lang w:val="fr-FR"/>
        </w:rPr>
        <w:t> </w:t>
      </w:r>
      <w:r w:rsidRPr="009D482C">
        <w:rPr>
          <w:lang w:val="fr-FR"/>
        </w:rPr>
        <w:t>WO/GA/55/12)</w:t>
      </w:r>
      <w:r w:rsidR="001D50AD" w:rsidRPr="009D482C">
        <w:rPr>
          <w:lang w:val="fr-FR"/>
        </w:rPr>
        <w:t> :</w:t>
      </w:r>
    </w:p>
    <w:p w14:paraId="589CB8A6" w14:textId="6A4B4629" w:rsidR="00387818" w:rsidRPr="009D482C" w:rsidRDefault="00387818" w:rsidP="00A8754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9D482C">
        <w:rPr>
          <w:lang w:val="fr-FR"/>
        </w:rPr>
        <w:t>“L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Assemblée générale</w:t>
      </w:r>
      <w:r w:rsidR="001D50AD" w:rsidRPr="009D482C">
        <w:rPr>
          <w:lang w:val="fr-FR"/>
        </w:rPr>
        <w:t> :</w:t>
      </w:r>
    </w:p>
    <w:p w14:paraId="0F64A062" w14:textId="6492202E" w:rsidR="00387818" w:rsidRPr="009D482C" w:rsidRDefault="00A87548" w:rsidP="00A87548">
      <w:pPr>
        <w:pStyle w:val="ONUMFS"/>
        <w:numPr>
          <w:ilvl w:val="0"/>
          <w:numId w:val="0"/>
        </w:numPr>
        <w:ind w:left="1701" w:hanging="567"/>
        <w:contextualSpacing/>
        <w:rPr>
          <w:lang w:val="fr-FR"/>
        </w:rPr>
      </w:pPr>
      <w:r w:rsidRPr="009D482C">
        <w:rPr>
          <w:lang w:val="fr-FR"/>
        </w:rPr>
        <w:t>“a)</w:t>
      </w:r>
      <w:r w:rsidRPr="009D482C">
        <w:rPr>
          <w:lang w:val="fr-FR"/>
        </w:rPr>
        <w:tab/>
      </w:r>
      <w:r w:rsidR="00387818" w:rsidRPr="009D482C">
        <w:rPr>
          <w:lang w:val="fr-FR"/>
        </w:rPr>
        <w:t>a examiné le contenu du document</w:t>
      </w:r>
      <w:r w:rsidR="00494040">
        <w:rPr>
          <w:lang w:val="fr-FR"/>
        </w:rPr>
        <w:t> </w:t>
      </w:r>
      <w:r w:rsidR="00387818" w:rsidRPr="009D482C">
        <w:rPr>
          <w:lang w:val="fr-FR"/>
        </w:rPr>
        <w:t>WO/GA/55/</w:t>
      </w:r>
      <w:proofErr w:type="gramStart"/>
      <w:r w:rsidR="00387818" w:rsidRPr="009D482C">
        <w:rPr>
          <w:lang w:val="fr-FR"/>
        </w:rPr>
        <w:t>4;</w:t>
      </w:r>
      <w:proofErr w:type="gramEnd"/>
    </w:p>
    <w:p w14:paraId="22698E8B" w14:textId="30A8B824" w:rsidR="00387818" w:rsidRPr="009D482C" w:rsidRDefault="00A87548" w:rsidP="00A87548">
      <w:pPr>
        <w:pStyle w:val="ONUMFS"/>
        <w:numPr>
          <w:ilvl w:val="0"/>
          <w:numId w:val="0"/>
        </w:numPr>
        <w:ind w:left="1701" w:hanging="567"/>
        <w:contextualSpacing/>
        <w:rPr>
          <w:lang w:val="fr-FR"/>
        </w:rPr>
      </w:pPr>
      <w:r w:rsidRPr="009D482C">
        <w:rPr>
          <w:lang w:val="fr-FR"/>
        </w:rPr>
        <w:t>“b)</w:t>
      </w:r>
      <w:r w:rsidRPr="009D482C">
        <w:rPr>
          <w:lang w:val="fr-FR"/>
        </w:rPr>
        <w:tab/>
      </w:r>
      <w:r w:rsidR="00387818" w:rsidRPr="009D482C">
        <w:rPr>
          <w:lang w:val="fr-FR"/>
        </w:rPr>
        <w:t>a décidé de convoquer une conférence diplomatique en vue de la conclusion et de l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adoption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 xml:space="preserve">un traité sur le droit des dessins et modèles, qui se tiendra au plus tard </w:t>
      </w:r>
      <w:r w:rsidR="001D50AD" w:rsidRPr="009D482C">
        <w:rPr>
          <w:lang w:val="fr-FR"/>
        </w:rPr>
        <w:t>en </w:t>
      </w:r>
      <w:proofErr w:type="gramStart"/>
      <w:r w:rsidR="001D50AD" w:rsidRPr="009D482C">
        <w:rPr>
          <w:lang w:val="fr-FR"/>
        </w:rPr>
        <w:t>2024</w:t>
      </w:r>
      <w:r w:rsidR="00387818" w:rsidRPr="009D482C">
        <w:rPr>
          <w:lang w:val="fr-FR"/>
        </w:rPr>
        <w:t>;</w:t>
      </w:r>
      <w:proofErr w:type="gramEnd"/>
    </w:p>
    <w:p w14:paraId="468E3427" w14:textId="727C1AD4" w:rsidR="00387818" w:rsidRPr="009D482C" w:rsidRDefault="00A87548" w:rsidP="00A87548">
      <w:pPr>
        <w:pStyle w:val="ONUMFS"/>
        <w:numPr>
          <w:ilvl w:val="0"/>
          <w:numId w:val="0"/>
        </w:numPr>
        <w:ind w:left="1701" w:hanging="567"/>
        <w:contextualSpacing/>
        <w:rPr>
          <w:lang w:val="fr-FR"/>
        </w:rPr>
      </w:pPr>
      <w:r w:rsidRPr="009D482C">
        <w:rPr>
          <w:lang w:val="fr-FR"/>
        </w:rPr>
        <w:t>“c)</w:t>
      </w:r>
      <w:r w:rsidRPr="009D482C">
        <w:rPr>
          <w:lang w:val="fr-FR"/>
        </w:rPr>
        <w:tab/>
      </w:r>
      <w:r w:rsidR="00387818" w:rsidRPr="009D482C">
        <w:rPr>
          <w:lang w:val="fr-FR"/>
        </w:rPr>
        <w:t xml:space="preserve">a décidé de convoquer un comité préparatoire au cours du second semestre </w:t>
      </w:r>
      <w:r w:rsidR="001D50AD" w:rsidRPr="009D482C">
        <w:rPr>
          <w:lang w:val="fr-FR"/>
        </w:rPr>
        <w:t>de 2023</w:t>
      </w:r>
      <w:r w:rsidR="00387818" w:rsidRPr="009D482C">
        <w:rPr>
          <w:lang w:val="fr-FR"/>
        </w:rPr>
        <w:t>, afin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établir les modalités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organisation de la conférence diplomatiq</w:t>
      </w:r>
      <w:r w:rsidR="009D482C" w:rsidRPr="009D482C">
        <w:rPr>
          <w:lang w:val="fr-FR"/>
        </w:rPr>
        <w:t>ue.  Le</w:t>
      </w:r>
      <w:r w:rsidR="00387818" w:rsidRPr="009D482C">
        <w:rPr>
          <w:lang w:val="fr-FR"/>
        </w:rPr>
        <w:t xml:space="preserve"> comité préparatoire examinera à cette occasion le projet de règlement intérieur qui sera présenté pour adoption à la conférence diplomatique, la liste des personnes invitées à participer à la conférence, et le texte des projets de lettres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invitation, ainsi que tout autre document ou question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organisation concernant la conférence diplomatiq</w:t>
      </w:r>
      <w:r w:rsidR="009D482C" w:rsidRPr="009D482C">
        <w:rPr>
          <w:lang w:val="fr-FR"/>
        </w:rPr>
        <w:t>ue.  Le</w:t>
      </w:r>
      <w:r w:rsidR="00387818" w:rsidRPr="009D482C">
        <w:rPr>
          <w:lang w:val="fr-FR"/>
        </w:rPr>
        <w:t xml:space="preserve"> comité préparatoire approuvera également la proposition de base concernant les dispositions administratives et finales du </w:t>
      </w:r>
      <w:proofErr w:type="gramStart"/>
      <w:r w:rsidR="00387818" w:rsidRPr="009D482C">
        <w:rPr>
          <w:lang w:val="fr-FR"/>
        </w:rPr>
        <w:t>traité;</w:t>
      </w:r>
      <w:proofErr w:type="gramEnd"/>
    </w:p>
    <w:p w14:paraId="587384D9" w14:textId="64495195" w:rsidR="00387818" w:rsidRPr="009D482C" w:rsidRDefault="00A87548" w:rsidP="00A87548">
      <w:pPr>
        <w:pStyle w:val="ONUMFS"/>
        <w:numPr>
          <w:ilvl w:val="0"/>
          <w:numId w:val="0"/>
        </w:numPr>
        <w:ind w:left="1701" w:hanging="567"/>
        <w:contextualSpacing/>
        <w:rPr>
          <w:lang w:val="fr-FR"/>
        </w:rPr>
      </w:pPr>
      <w:r w:rsidRPr="009D482C">
        <w:rPr>
          <w:lang w:val="fr-FR"/>
        </w:rPr>
        <w:t>“d)</w:t>
      </w:r>
      <w:r w:rsidRPr="009D482C">
        <w:rPr>
          <w:lang w:val="fr-FR"/>
        </w:rPr>
        <w:tab/>
      </w:r>
      <w:r w:rsidR="00387818" w:rsidRPr="009D482C">
        <w:rPr>
          <w:lang w:val="fr-FR"/>
        </w:rPr>
        <w:t>a pris acte avec gratitude de la proposition de certains États membres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 xml:space="preserve">accueillir la conférence diplomatique au plus tard </w:t>
      </w:r>
      <w:r w:rsidR="001D50AD" w:rsidRPr="009D482C">
        <w:rPr>
          <w:lang w:val="fr-FR"/>
        </w:rPr>
        <w:t>en </w:t>
      </w:r>
      <w:proofErr w:type="gramStart"/>
      <w:r w:rsidR="001D50AD" w:rsidRPr="009D482C">
        <w:rPr>
          <w:lang w:val="fr-FR"/>
        </w:rPr>
        <w:t>2024</w:t>
      </w:r>
      <w:r w:rsidR="00387818" w:rsidRPr="009D482C">
        <w:rPr>
          <w:lang w:val="fr-FR"/>
        </w:rPr>
        <w:t>;</w:t>
      </w:r>
      <w:proofErr w:type="gramEnd"/>
    </w:p>
    <w:p w14:paraId="62BC5A03" w14:textId="31AE80D8" w:rsidR="00387818" w:rsidRPr="009D482C" w:rsidRDefault="00A87548" w:rsidP="00A87548">
      <w:pPr>
        <w:pStyle w:val="ONUMFS"/>
        <w:numPr>
          <w:ilvl w:val="0"/>
          <w:numId w:val="0"/>
        </w:numPr>
        <w:ind w:left="1701" w:hanging="567"/>
        <w:contextualSpacing/>
        <w:rPr>
          <w:lang w:val="fr-FR"/>
        </w:rPr>
      </w:pPr>
      <w:r w:rsidRPr="009D482C">
        <w:rPr>
          <w:lang w:val="fr-FR"/>
        </w:rPr>
        <w:t>“e)</w:t>
      </w:r>
      <w:r w:rsidRPr="009D482C">
        <w:rPr>
          <w:lang w:val="fr-FR"/>
        </w:rPr>
        <w:tab/>
      </w:r>
      <w:r w:rsidR="00387818" w:rsidRPr="009D482C">
        <w:rPr>
          <w:lang w:val="fr-FR"/>
        </w:rPr>
        <w:t>a chargé</w:t>
      </w:r>
      <w:r w:rsidR="001D50AD" w:rsidRPr="009D482C">
        <w:rPr>
          <w:lang w:val="fr-FR"/>
        </w:rPr>
        <w:t xml:space="preserve"> le SCT</w:t>
      </w:r>
      <w:r w:rsidR="00387818" w:rsidRPr="009D482C">
        <w:rPr>
          <w:lang w:val="fr-FR"/>
        </w:rPr>
        <w:t xml:space="preserve"> de se réunir en session extraordinaire pendant cinq</w:t>
      </w:r>
      <w:r w:rsidR="00273009" w:rsidRPr="009D482C">
        <w:rPr>
          <w:lang w:val="fr-FR"/>
        </w:rPr>
        <w:t> </w:t>
      </w:r>
      <w:r w:rsidR="00387818" w:rsidRPr="009D482C">
        <w:rPr>
          <w:lang w:val="fr-FR"/>
        </w:rPr>
        <w:t xml:space="preserve">jours au cours du second semestre </w:t>
      </w:r>
      <w:r w:rsidR="001D50AD" w:rsidRPr="009D482C">
        <w:rPr>
          <w:lang w:val="fr-FR"/>
        </w:rPr>
        <w:t>de 2023</w:t>
      </w:r>
      <w:r w:rsidR="00387818" w:rsidRPr="009D482C">
        <w:rPr>
          <w:lang w:val="fr-FR"/>
        </w:rPr>
        <w:t>, avant le comité préparatoire, afin de continuer à combler les lacunes existantes à un niveau suffisa</w:t>
      </w:r>
      <w:r w:rsidR="009D482C" w:rsidRPr="009D482C">
        <w:rPr>
          <w:lang w:val="fr-FR"/>
        </w:rPr>
        <w:t>nt.  Il</w:t>
      </w:r>
      <w:r w:rsidR="00387818" w:rsidRPr="009D482C">
        <w:rPr>
          <w:lang w:val="fr-FR"/>
        </w:rPr>
        <w:t xml:space="preserve"> est entendu que le comité préparatoire invitera les délégations et les </w:t>
      </w:r>
      <w:proofErr w:type="gramStart"/>
      <w:r w:rsidR="00387818" w:rsidRPr="009D482C">
        <w:rPr>
          <w:lang w:val="fr-FR"/>
        </w:rPr>
        <w:t>observateurs;</w:t>
      </w:r>
      <w:proofErr w:type="gramEnd"/>
    </w:p>
    <w:p w14:paraId="6ED6157B" w14:textId="5AAAF33B" w:rsidR="00387818" w:rsidRPr="009D482C" w:rsidRDefault="00A87548" w:rsidP="00A87548">
      <w:pPr>
        <w:pStyle w:val="ONUMFS"/>
        <w:numPr>
          <w:ilvl w:val="0"/>
          <w:numId w:val="0"/>
        </w:numPr>
        <w:ind w:left="1701" w:hanging="567"/>
        <w:rPr>
          <w:lang w:val="fr-FR"/>
        </w:rPr>
      </w:pPr>
      <w:r w:rsidRPr="009D482C">
        <w:rPr>
          <w:lang w:val="fr-FR"/>
        </w:rPr>
        <w:t>“f)</w:t>
      </w:r>
      <w:r w:rsidRPr="009D482C">
        <w:rPr>
          <w:lang w:val="fr-FR"/>
        </w:rPr>
        <w:tab/>
      </w:r>
      <w:r w:rsidR="00387818" w:rsidRPr="009D482C">
        <w:rPr>
          <w:lang w:val="fr-FR"/>
        </w:rPr>
        <w:t>est convenue que les documents SCT/35/2 et SCT/35/3, ainsi que la proposition examinée par l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Assemblée générale de l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 xml:space="preserve">OMPI </w:t>
      </w:r>
      <w:r w:rsidR="001D50AD" w:rsidRPr="009D482C">
        <w:rPr>
          <w:lang w:val="fr-FR"/>
        </w:rPr>
        <w:t>en 2019</w:t>
      </w:r>
      <w:r w:rsidR="00387818" w:rsidRPr="009D482C">
        <w:rPr>
          <w:lang w:val="fr-FR"/>
        </w:rPr>
        <w:t>, relatifs aux projets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articles et de règlement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exécution concernant le droit et la pratique en matière de dessins et modèles industriels, constitueront le texte des articles de fond de la proposition de base pour la conférence diplomatiq</w:t>
      </w:r>
      <w:r w:rsidR="009D482C" w:rsidRPr="009D482C">
        <w:rPr>
          <w:lang w:val="fr-FR"/>
        </w:rPr>
        <w:t>ue.  Le</w:t>
      </w:r>
      <w:r w:rsidR="00387818" w:rsidRPr="009D482C">
        <w:rPr>
          <w:lang w:val="fr-FR"/>
        </w:rPr>
        <w:t xml:space="preserve"> comité préparatoire incorporera dans la proposition de base les autres accords conclus par</w:t>
      </w:r>
      <w:r w:rsidR="001D50AD" w:rsidRPr="009D482C">
        <w:rPr>
          <w:lang w:val="fr-FR"/>
        </w:rPr>
        <w:t xml:space="preserve"> le SCT</w:t>
      </w:r>
      <w:r w:rsidR="00387818" w:rsidRPr="009D482C">
        <w:rPr>
          <w:lang w:val="fr-FR"/>
        </w:rPr>
        <w:t xml:space="preserve"> conformément au </w:t>
      </w:r>
      <w:r w:rsidR="001D50AD" w:rsidRPr="009D482C">
        <w:rPr>
          <w:lang w:val="fr-FR"/>
        </w:rPr>
        <w:t>point e)</w:t>
      </w:r>
      <w:r w:rsidR="00387818" w:rsidRPr="009D482C">
        <w:rPr>
          <w:lang w:val="fr-FR"/>
        </w:rPr>
        <w:t xml:space="preserve"> ci</w:t>
      </w:r>
      <w:r w:rsidR="00494040">
        <w:rPr>
          <w:lang w:val="fr-FR"/>
        </w:rPr>
        <w:noBreakHyphen/>
      </w:r>
      <w:r w:rsidR="00387818" w:rsidRPr="009D482C">
        <w:rPr>
          <w:lang w:val="fr-FR"/>
        </w:rPr>
        <w:t>dessus, étant entendu que tout État membre et la délégation spéciale de l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Union européenne pourront faire des propositions lors de la conférence diplomatique.</w:t>
      </w:r>
    </w:p>
    <w:p w14:paraId="2602FB35" w14:textId="3FA6A850" w:rsidR="00387818" w:rsidRPr="009D482C" w:rsidRDefault="00A87548" w:rsidP="00A87548">
      <w:pPr>
        <w:pStyle w:val="ONUMFS"/>
        <w:numPr>
          <w:ilvl w:val="0"/>
          <w:numId w:val="0"/>
        </w:numPr>
        <w:ind w:left="1701"/>
        <w:rPr>
          <w:lang w:val="fr-FR"/>
        </w:rPr>
      </w:pPr>
      <w:r w:rsidRPr="009D482C">
        <w:rPr>
          <w:lang w:val="fr-FR"/>
        </w:rPr>
        <w:t>“</w:t>
      </w:r>
      <w:r w:rsidR="00387818" w:rsidRPr="009D482C">
        <w:rPr>
          <w:lang w:val="fr-FR"/>
        </w:rPr>
        <w:t>L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Assemblée générale de l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OMPI a décidé de convoquer des conférences diplomatiques aux fins de la conclusion et de l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adoption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instruments juridiques internationaux relatifs à la propriété intellectuelle, aux ressources génétiques et aux savoirs traditionnels associés aux ressources génétiques, ainsi que d</w:t>
      </w:r>
      <w:r w:rsidR="001D50AD" w:rsidRPr="009D482C">
        <w:rPr>
          <w:lang w:val="fr-FR"/>
        </w:rPr>
        <w:t>’</w:t>
      </w:r>
      <w:r w:rsidR="00387818" w:rsidRPr="009D482C">
        <w:rPr>
          <w:lang w:val="fr-FR"/>
        </w:rPr>
        <w:t>un traité sur le droit des dessins et modèles, au plus tard en 2024.”</w:t>
      </w:r>
    </w:p>
    <w:p w14:paraId="5B6BECE7" w14:textId="1C04F6C3" w:rsidR="00387818" w:rsidRPr="009D482C" w:rsidRDefault="00387818" w:rsidP="00A87548">
      <w:pPr>
        <w:pStyle w:val="ONUMFS"/>
        <w:rPr>
          <w:szCs w:val="22"/>
          <w:lang w:val="fr-FR"/>
        </w:rPr>
      </w:pPr>
      <w:r w:rsidRPr="009D482C">
        <w:rPr>
          <w:lang w:val="fr-FR"/>
        </w:rPr>
        <w:t>Conformément à la décision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Assemblée générale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OMPI, le présent document contient un projet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ordre du jour, de dates et de lieu de la Conférence diplomatique en vue de la conclusion et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adoption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un traité sur le droit des dessins et modèles (DLT).</w:t>
      </w:r>
    </w:p>
    <w:p w14:paraId="566C5327" w14:textId="77777777" w:rsidR="00387818" w:rsidRPr="009D482C" w:rsidRDefault="00387818" w:rsidP="00A87548">
      <w:pPr>
        <w:pStyle w:val="Heading2"/>
        <w:rPr>
          <w:szCs w:val="22"/>
          <w:lang w:val="fr-FR"/>
        </w:rPr>
      </w:pPr>
      <w:r w:rsidRPr="009D482C">
        <w:rPr>
          <w:lang w:val="fr-FR"/>
        </w:rPr>
        <w:lastRenderedPageBreak/>
        <w:t>Ordre du jour de la conférence diplomatique</w:t>
      </w:r>
    </w:p>
    <w:p w14:paraId="14BED4F7" w14:textId="5F637493" w:rsidR="00387818" w:rsidRPr="009D482C" w:rsidRDefault="00387818" w:rsidP="00A87548">
      <w:pPr>
        <w:pStyle w:val="ONUMFS"/>
        <w:rPr>
          <w:szCs w:val="22"/>
          <w:lang w:val="fr-FR"/>
        </w:rPr>
      </w:pPr>
      <w:r w:rsidRPr="009D482C">
        <w:rPr>
          <w:lang w:val="fr-FR"/>
        </w:rPr>
        <w:t>Le projet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ordre du jour de la conférence diplomatique figure dans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 xml:space="preserve">annexe du présent </w:t>
      </w:r>
      <w:proofErr w:type="gramStart"/>
      <w:r w:rsidRPr="009D482C">
        <w:rPr>
          <w:lang w:val="fr-FR"/>
        </w:rPr>
        <w:t>document;  il</w:t>
      </w:r>
      <w:proofErr w:type="gramEnd"/>
      <w:r w:rsidRPr="009D482C">
        <w:rPr>
          <w:lang w:val="fr-FR"/>
        </w:rPr>
        <w:t xml:space="preserve"> est inspiré des ordres du jour des précédentes conférences diplomatiques tenues sous les auspices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OMPI.</w:t>
      </w:r>
    </w:p>
    <w:p w14:paraId="35871359" w14:textId="77777777" w:rsidR="00387818" w:rsidRPr="009D482C" w:rsidRDefault="00387818" w:rsidP="00A87548">
      <w:pPr>
        <w:pStyle w:val="Heading2"/>
        <w:rPr>
          <w:szCs w:val="22"/>
          <w:lang w:val="fr-FR"/>
        </w:rPr>
      </w:pPr>
      <w:r w:rsidRPr="009D482C">
        <w:rPr>
          <w:lang w:val="fr-FR"/>
        </w:rPr>
        <w:t>Dates et lieu de la conférence diplomatique</w:t>
      </w:r>
    </w:p>
    <w:p w14:paraId="19FE1DC4" w14:textId="70904BB1" w:rsidR="00387818" w:rsidRPr="009D482C" w:rsidRDefault="00387818" w:rsidP="00A87548">
      <w:pPr>
        <w:pStyle w:val="ONUMFS"/>
        <w:rPr>
          <w:rFonts w:eastAsia="Times New Roman"/>
          <w:szCs w:val="22"/>
          <w:lang w:val="fr-FR"/>
        </w:rPr>
      </w:pPr>
      <w:r w:rsidRPr="009D482C">
        <w:rPr>
          <w:lang w:val="fr-FR"/>
        </w:rPr>
        <w:t>Par une note verbale datée du 2</w:t>
      </w:r>
      <w:r w:rsidR="001D50AD" w:rsidRPr="009D482C">
        <w:rPr>
          <w:lang w:val="fr-FR"/>
        </w:rPr>
        <w:t>4 novembre 20</w:t>
      </w:r>
      <w:r w:rsidRPr="009D482C">
        <w:rPr>
          <w:lang w:val="fr-FR"/>
        </w:rPr>
        <w:t>22, le Gouvernement du Royaume d</w:t>
      </w:r>
      <w:r w:rsidR="001D50AD" w:rsidRPr="009D482C">
        <w:rPr>
          <w:lang w:val="fr-FR"/>
        </w:rPr>
        <w:t>’Arabie saoudite</w:t>
      </w:r>
      <w:r w:rsidRPr="009D482C">
        <w:rPr>
          <w:lang w:val="fr-FR"/>
        </w:rPr>
        <w:t xml:space="preserve"> a exprimé le souhait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accueillir la conférence diplomatique en vue de la conclusion et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adoption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un traité sur le droit des dessins et modèl</w:t>
      </w:r>
      <w:r w:rsidR="009D482C" w:rsidRPr="009D482C">
        <w:rPr>
          <w:lang w:val="fr-FR"/>
        </w:rPr>
        <w:t>es.  Au</w:t>
      </w:r>
      <w:r w:rsidRPr="009D482C">
        <w:rPr>
          <w:lang w:val="fr-FR"/>
        </w:rPr>
        <w:t xml:space="preserve"> regard du souhait exprimé par le Royaume d</w:t>
      </w:r>
      <w:r w:rsidR="001D50AD" w:rsidRPr="009D482C">
        <w:rPr>
          <w:lang w:val="fr-FR"/>
        </w:rPr>
        <w:t>’Arabie saoudite</w:t>
      </w:r>
      <w:r w:rsidRPr="009D482C">
        <w:rPr>
          <w:lang w:val="fr-FR"/>
        </w:rPr>
        <w:t xml:space="preserve">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accueillir la conférence diplomatique en vue de la conclusion et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adoption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un traité sur le droit des dessins et modèles, il est proposé que la conférence diplomatique se tienne à Riyad (Royaume d</w:t>
      </w:r>
      <w:r w:rsidR="001D50AD" w:rsidRPr="009D482C">
        <w:rPr>
          <w:lang w:val="fr-FR"/>
        </w:rPr>
        <w:t>’Arabie saoudite</w:t>
      </w:r>
      <w:r w:rsidRPr="009D482C">
        <w:rPr>
          <w:lang w:val="fr-FR"/>
        </w:rPr>
        <w:t>), du 11 au 2</w:t>
      </w:r>
      <w:r w:rsidR="001D50AD" w:rsidRPr="009D482C">
        <w:rPr>
          <w:lang w:val="fr-FR"/>
        </w:rPr>
        <w:t>2 novembre 20</w:t>
      </w:r>
      <w:r w:rsidRPr="009D482C">
        <w:rPr>
          <w:lang w:val="fr-FR"/>
        </w:rPr>
        <w:t>24.</w:t>
      </w:r>
    </w:p>
    <w:p w14:paraId="44C8B947" w14:textId="26D650C7" w:rsidR="00387818" w:rsidRPr="009D482C" w:rsidRDefault="00387818" w:rsidP="00A87548">
      <w:pPr>
        <w:pStyle w:val="ONUMFS"/>
        <w:ind w:left="5533"/>
        <w:rPr>
          <w:i/>
          <w:lang w:val="fr-FR"/>
        </w:rPr>
      </w:pPr>
      <w:r w:rsidRPr="009D482C">
        <w:rPr>
          <w:i/>
          <w:lang w:val="fr-FR"/>
        </w:rPr>
        <w:t>Le comité préparatoire est invité à approuver le projet d</w:t>
      </w:r>
      <w:r w:rsidR="001D50AD" w:rsidRPr="009D482C">
        <w:rPr>
          <w:i/>
          <w:lang w:val="fr-FR"/>
        </w:rPr>
        <w:t>’</w:t>
      </w:r>
      <w:r w:rsidRPr="009D482C">
        <w:rPr>
          <w:i/>
          <w:lang w:val="fr-FR"/>
        </w:rPr>
        <w:t>ordre du jour de la conférence diplomatique, ainsi que le lieu et les dates proposés pour la conférence diplomatique.</w:t>
      </w:r>
    </w:p>
    <w:p w14:paraId="6378A0CC" w14:textId="31F449A0" w:rsidR="00387818" w:rsidRPr="009D482C" w:rsidRDefault="00387818" w:rsidP="00A87548">
      <w:pPr>
        <w:pStyle w:val="Endofdocument-Annex"/>
      </w:pPr>
      <w:r w:rsidRPr="009D482C">
        <w:t>[L</w:t>
      </w:r>
      <w:r w:rsidR="001D50AD" w:rsidRPr="009D482C">
        <w:t>’</w:t>
      </w:r>
      <w:r w:rsidRPr="009D482C">
        <w:t>annexe suit]</w:t>
      </w:r>
    </w:p>
    <w:p w14:paraId="307F5631" w14:textId="77777777" w:rsidR="00A87548" w:rsidRPr="009D482C" w:rsidRDefault="00A87548" w:rsidP="00387818">
      <w:pPr>
        <w:spacing w:after="480"/>
        <w:rPr>
          <w:lang w:val="fr-FR"/>
        </w:rPr>
        <w:sectPr w:rsidR="00A87548" w:rsidRPr="009D482C" w:rsidSect="003878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6E1F617" w14:textId="017089F1" w:rsidR="00387818" w:rsidRPr="009D482C" w:rsidRDefault="00387818" w:rsidP="00387818">
      <w:pPr>
        <w:spacing w:after="480"/>
        <w:rPr>
          <w:szCs w:val="22"/>
          <w:lang w:val="fr-FR"/>
        </w:rPr>
      </w:pPr>
      <w:r w:rsidRPr="009D482C">
        <w:rPr>
          <w:lang w:val="fr-FR"/>
        </w:rPr>
        <w:lastRenderedPageBreak/>
        <w:t>PROJET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ORDRE DU JOUR DE LA CONFÉRENCE DIPLOMATIQUE</w:t>
      </w:r>
    </w:p>
    <w:p w14:paraId="55AAB881" w14:textId="284A9C7A" w:rsidR="00387818" w:rsidRPr="009D482C" w:rsidRDefault="00387818" w:rsidP="00A87548">
      <w:pPr>
        <w:pStyle w:val="ONUMFS"/>
        <w:numPr>
          <w:ilvl w:val="0"/>
          <w:numId w:val="9"/>
        </w:numPr>
        <w:ind w:left="567" w:hanging="567"/>
        <w:rPr>
          <w:szCs w:val="22"/>
          <w:lang w:val="fr-FR"/>
        </w:rPr>
      </w:pPr>
      <w:r w:rsidRPr="009D482C">
        <w:rPr>
          <w:lang w:val="fr-FR"/>
        </w:rPr>
        <w:t>Ouverture de la conférence par le Directeur général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OMPI</w:t>
      </w:r>
    </w:p>
    <w:p w14:paraId="1175194A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Examen et adoption du règlement intérieur</w:t>
      </w:r>
    </w:p>
    <w:p w14:paraId="5457D8FD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Élection du président de la conférence</w:t>
      </w:r>
    </w:p>
    <w:p w14:paraId="492C4916" w14:textId="2D51CD8C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Examen et adoption de l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ordre du jour</w:t>
      </w:r>
    </w:p>
    <w:p w14:paraId="42FCAF67" w14:textId="5CC76822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Élection des vice</w:t>
      </w:r>
      <w:r w:rsidR="00494040">
        <w:rPr>
          <w:lang w:val="fr-FR"/>
        </w:rPr>
        <w:noBreakHyphen/>
      </w:r>
      <w:r w:rsidRPr="009D482C">
        <w:rPr>
          <w:lang w:val="fr-FR"/>
        </w:rPr>
        <w:t>présidents de la conférence</w:t>
      </w:r>
    </w:p>
    <w:p w14:paraId="72E1D729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Élection des membres de la Commission de vérification des pouvoirs</w:t>
      </w:r>
    </w:p>
    <w:p w14:paraId="5D082A71" w14:textId="5ACBC163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Élection des membres du Comité de rédaction</w:t>
      </w:r>
    </w:p>
    <w:p w14:paraId="1D511648" w14:textId="55C6DFD6" w:rsidR="00387818" w:rsidRPr="009D482C" w:rsidRDefault="00387818" w:rsidP="00A87548">
      <w:pPr>
        <w:pStyle w:val="ONUMFS"/>
        <w:ind w:left="567" w:hanging="567"/>
        <w:rPr>
          <w:rFonts w:eastAsia="Times New Roman"/>
          <w:szCs w:val="22"/>
          <w:lang w:val="fr-FR"/>
        </w:rPr>
      </w:pPr>
      <w:r w:rsidRPr="009D482C">
        <w:rPr>
          <w:lang w:val="fr-FR"/>
        </w:rPr>
        <w:t>Élection du bureau de la Commission de vérification des pouvoirs, des Commissions principales et du Comité de rédaction</w:t>
      </w:r>
    </w:p>
    <w:p w14:paraId="4AD08AD8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Déclarations liminaires des délégations et des représentants des observateurs</w:t>
      </w:r>
    </w:p>
    <w:p w14:paraId="3D6B4D45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Examen du premier rapport de la Commission de vérification des pouvoirs</w:t>
      </w:r>
    </w:p>
    <w:p w14:paraId="588030DF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Examen des textes proposés par les commissions principales</w:t>
      </w:r>
    </w:p>
    <w:p w14:paraId="48DFCEED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Examen du deuxième rapport de la Commission de vérification des pouvoirs</w:t>
      </w:r>
    </w:p>
    <w:p w14:paraId="4D1233DC" w14:textId="64ED66B2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Adoption du traité et de son règlement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exécution</w:t>
      </w:r>
    </w:p>
    <w:p w14:paraId="4E5C6FFD" w14:textId="734F47D1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Adoption éventuelle de recommandations, de résolutions, de déclarations communes ou d</w:t>
      </w:r>
      <w:r w:rsidR="001D50AD" w:rsidRPr="009D482C">
        <w:rPr>
          <w:lang w:val="fr-FR"/>
        </w:rPr>
        <w:t>’</w:t>
      </w:r>
      <w:r w:rsidRPr="009D482C">
        <w:rPr>
          <w:lang w:val="fr-FR"/>
        </w:rPr>
        <w:t>un acte final</w:t>
      </w:r>
    </w:p>
    <w:p w14:paraId="4B411A6C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Déclarations de clôture des délégations et des représentants des observateurs</w:t>
      </w:r>
    </w:p>
    <w:p w14:paraId="1B9F6F16" w14:textId="77777777" w:rsidR="00387818" w:rsidRPr="009D482C" w:rsidRDefault="00387818" w:rsidP="00A87548">
      <w:pPr>
        <w:pStyle w:val="ONUMFS"/>
        <w:ind w:left="567" w:hanging="567"/>
        <w:rPr>
          <w:szCs w:val="22"/>
          <w:lang w:val="fr-FR"/>
        </w:rPr>
      </w:pPr>
      <w:r w:rsidRPr="009D482C">
        <w:rPr>
          <w:lang w:val="fr-FR"/>
        </w:rPr>
        <w:t>Clôture de la conférence par le président</w:t>
      </w:r>
      <w:r w:rsidRPr="009D482C">
        <w:rPr>
          <w:szCs w:val="22"/>
          <w:vertAlign w:val="superscript"/>
          <w:lang w:val="fr-FR"/>
        </w:rPr>
        <w:footnoteReference w:customMarkFollows="1" w:id="2"/>
        <w:sym w:font="Symbol" w:char="F02A"/>
      </w:r>
    </w:p>
    <w:p w14:paraId="5F93C389" w14:textId="16779575" w:rsidR="00387818" w:rsidRPr="009D482C" w:rsidRDefault="00387818" w:rsidP="00A87548">
      <w:pPr>
        <w:pStyle w:val="Endofdocument-Annex"/>
        <w:rPr>
          <w:rFonts w:eastAsia="Times New Roman"/>
          <w:szCs w:val="22"/>
        </w:rPr>
      </w:pPr>
      <w:r w:rsidRPr="009D482C">
        <w:t>[Fin de l</w:t>
      </w:r>
      <w:r w:rsidR="001D50AD" w:rsidRPr="009D482C">
        <w:t>’</w:t>
      </w:r>
      <w:r w:rsidRPr="009D482C">
        <w:t>annexe et du document]</w:t>
      </w:r>
    </w:p>
    <w:sectPr w:rsidR="00387818" w:rsidRPr="009D482C" w:rsidSect="00387818"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B6A3" w14:textId="77777777" w:rsidR="00387818" w:rsidRDefault="00387818">
      <w:r>
        <w:separator/>
      </w:r>
    </w:p>
  </w:endnote>
  <w:endnote w:type="continuationSeparator" w:id="0">
    <w:p w14:paraId="7034A951" w14:textId="77777777" w:rsidR="00387818" w:rsidRPr="009D30E6" w:rsidRDefault="0038781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F508C3A" w14:textId="77777777" w:rsidR="00387818" w:rsidRPr="009D30E6" w:rsidRDefault="0038781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3446AE8" w14:textId="77777777" w:rsidR="00387818" w:rsidRPr="009D30E6" w:rsidRDefault="0038781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7762" w14:textId="77777777" w:rsidR="00B14A8F" w:rsidRDefault="00B14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50DD" w14:textId="77777777" w:rsidR="00B14A8F" w:rsidRDefault="00B14A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4620" w14:textId="77777777" w:rsidR="00B14A8F" w:rsidRDefault="00B14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81B1" w14:textId="77777777" w:rsidR="00387818" w:rsidRDefault="00387818">
      <w:r>
        <w:separator/>
      </w:r>
    </w:p>
  </w:footnote>
  <w:footnote w:type="continuationSeparator" w:id="0">
    <w:p w14:paraId="456A8D63" w14:textId="77777777" w:rsidR="00387818" w:rsidRDefault="00387818" w:rsidP="007461F1">
      <w:r>
        <w:separator/>
      </w:r>
    </w:p>
    <w:p w14:paraId="23BEDE9E" w14:textId="77777777" w:rsidR="00387818" w:rsidRPr="009D30E6" w:rsidRDefault="0038781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AE32B7C" w14:textId="77777777" w:rsidR="00387818" w:rsidRPr="009D30E6" w:rsidRDefault="0038781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3D685A87" w14:textId="51108F1C" w:rsidR="00387818" w:rsidRPr="00A87548" w:rsidRDefault="00387818" w:rsidP="00387818">
      <w:pPr>
        <w:pStyle w:val="FootnoteText"/>
        <w:rPr>
          <w:szCs w:val="18"/>
        </w:rPr>
      </w:pPr>
      <w:r w:rsidRPr="00A87548">
        <w:rPr>
          <w:rStyle w:val="FootnoteReference"/>
          <w:szCs w:val="18"/>
        </w:rPr>
        <w:sym w:font="Symbol" w:char="F02A"/>
      </w:r>
      <w:r w:rsidRPr="00A87548">
        <w:rPr>
          <w:szCs w:val="18"/>
        </w:rPr>
        <w:tab/>
        <w:t>L</w:t>
      </w:r>
      <w:r w:rsidR="000A5B4F">
        <w:rPr>
          <w:szCs w:val="18"/>
        </w:rPr>
        <w:t>’</w:t>
      </w:r>
      <w:r w:rsidRPr="00A87548">
        <w:rPr>
          <w:szCs w:val="18"/>
        </w:rPr>
        <w:t>acte final, le cas échéant, et l</w:t>
      </w:r>
      <w:r w:rsidR="000A5B4F">
        <w:rPr>
          <w:szCs w:val="18"/>
        </w:rPr>
        <w:t>’</w:t>
      </w:r>
      <w:r w:rsidRPr="00A87548">
        <w:rPr>
          <w:szCs w:val="18"/>
        </w:rPr>
        <w:t>instrument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6245" w14:textId="77777777" w:rsidR="00B14A8F" w:rsidRDefault="00B14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530D" w14:textId="77777777" w:rsidR="00F16975" w:rsidRPr="00B45C15" w:rsidRDefault="00387818" w:rsidP="00477D6B">
    <w:pPr>
      <w:jc w:val="right"/>
      <w:rPr>
        <w:caps/>
      </w:rPr>
    </w:pPr>
    <w:bookmarkStart w:id="4" w:name="Code2"/>
    <w:bookmarkEnd w:id="4"/>
    <w:r>
      <w:rPr>
        <w:caps/>
      </w:rPr>
      <w:t>DLT/2/PM/5</w:t>
    </w:r>
  </w:p>
  <w:p w14:paraId="3D3A3E14" w14:textId="1DE6472F" w:rsidR="00574036" w:rsidRDefault="00F16975" w:rsidP="00A87548">
    <w:pPr>
      <w:spacing w:after="480"/>
      <w:jc w:val="right"/>
    </w:pPr>
    <w:proofErr w:type="gramStart"/>
    <w:r>
      <w:t>page</w:t>
    </w:r>
    <w:proofErr w:type="gramEnd"/>
    <w:r w:rsidR="00A8754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B86" w14:textId="77777777" w:rsidR="00B14A8F" w:rsidRDefault="00B14A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FFC1" w14:textId="77777777" w:rsidR="00A87548" w:rsidRPr="00B45C15" w:rsidRDefault="00A87548" w:rsidP="00A87548">
    <w:pPr>
      <w:jc w:val="right"/>
      <w:rPr>
        <w:caps/>
      </w:rPr>
    </w:pPr>
    <w:r>
      <w:rPr>
        <w:caps/>
      </w:rPr>
      <w:t>DLT/2/PM/5</w:t>
    </w:r>
  </w:p>
  <w:p w14:paraId="2D9787BC" w14:textId="34955109" w:rsidR="00A87548" w:rsidRDefault="00A87548" w:rsidP="00A87548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CD5ACC"/>
    <w:multiLevelType w:val="hybridMultilevel"/>
    <w:tmpl w:val="26E2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8300CC"/>
    <w:multiLevelType w:val="hybridMultilevel"/>
    <w:tmpl w:val="908CF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9780">
    <w:abstractNumId w:val="3"/>
  </w:num>
  <w:num w:numId="2" w16cid:durableId="533075414">
    <w:abstractNumId w:val="5"/>
  </w:num>
  <w:num w:numId="3" w16cid:durableId="1131753606">
    <w:abstractNumId w:val="0"/>
  </w:num>
  <w:num w:numId="4" w16cid:durableId="225144155">
    <w:abstractNumId w:val="6"/>
  </w:num>
  <w:num w:numId="5" w16cid:durableId="623120008">
    <w:abstractNumId w:val="1"/>
  </w:num>
  <w:num w:numId="6" w16cid:durableId="864253968">
    <w:abstractNumId w:val="4"/>
  </w:num>
  <w:num w:numId="7" w16cid:durableId="1707100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695150">
    <w:abstractNumId w:val="7"/>
  </w:num>
  <w:num w:numId="9" w16cid:durableId="1019041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18"/>
    <w:rsid w:val="00011B7D"/>
    <w:rsid w:val="00075432"/>
    <w:rsid w:val="0009458A"/>
    <w:rsid w:val="000A5B4F"/>
    <w:rsid w:val="000F5E56"/>
    <w:rsid w:val="001362EE"/>
    <w:rsid w:val="001832A6"/>
    <w:rsid w:val="00195C6E"/>
    <w:rsid w:val="001B266A"/>
    <w:rsid w:val="001B488E"/>
    <w:rsid w:val="001C6508"/>
    <w:rsid w:val="001D3D56"/>
    <w:rsid w:val="001D50AD"/>
    <w:rsid w:val="00240654"/>
    <w:rsid w:val="002634C4"/>
    <w:rsid w:val="00273009"/>
    <w:rsid w:val="002956DE"/>
    <w:rsid w:val="002D5EF8"/>
    <w:rsid w:val="002E4D1A"/>
    <w:rsid w:val="002F16BC"/>
    <w:rsid w:val="002F4E68"/>
    <w:rsid w:val="00322C0B"/>
    <w:rsid w:val="00381798"/>
    <w:rsid w:val="003845C1"/>
    <w:rsid w:val="00387818"/>
    <w:rsid w:val="003A67A3"/>
    <w:rsid w:val="004008A2"/>
    <w:rsid w:val="004025DF"/>
    <w:rsid w:val="0040540C"/>
    <w:rsid w:val="00423E3E"/>
    <w:rsid w:val="00427AF4"/>
    <w:rsid w:val="004647DA"/>
    <w:rsid w:val="00477D6B"/>
    <w:rsid w:val="00494040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D482C"/>
    <w:rsid w:val="009E3F6F"/>
    <w:rsid w:val="009F499F"/>
    <w:rsid w:val="00A11D74"/>
    <w:rsid w:val="00A87548"/>
    <w:rsid w:val="00AC0AE4"/>
    <w:rsid w:val="00AD61DB"/>
    <w:rsid w:val="00B1090C"/>
    <w:rsid w:val="00B14A8F"/>
    <w:rsid w:val="00B16101"/>
    <w:rsid w:val="00B35AF5"/>
    <w:rsid w:val="00B45C15"/>
    <w:rsid w:val="00BA0CCB"/>
    <w:rsid w:val="00BE0BE0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F64D1"/>
  <w15:docId w15:val="{CFD11227-7541-49C6-9681-A7485799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87548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A87548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387818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387818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styleId="FootnoteReference">
    <w:name w:val="footnote reference"/>
    <w:semiHidden/>
    <w:rsid w:val="0038781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87818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semiHidden/>
    <w:unhideWhenUsed/>
    <w:rsid w:val="009D4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2_PM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A306-F237-4F69-B05C-DE1E81E3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DLT_2_PM (F)</Template>
  <TotalTime>6</TotalTime>
  <Pages>4</Pages>
  <Words>852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DLT/2/PM/5</vt:lpstr>
      <vt:lpstr>Comité préparatoire de la Conférence diplomatique en vue de la conclusion et de </vt:lpstr>
      <vt:lpstr>    Genève, 9 – 11 octobre 2023</vt:lpstr>
      <vt:lpstr>    Introduction</vt:lpstr>
      <vt:lpstr>    Ordre du jour de la conférence diplomatique</vt:lpstr>
      <vt:lpstr>    Dates et lieu de la conférence diplomatique</vt:lpstr>
    </vt:vector>
  </TitlesOfParts>
  <Company>WIPO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DLT/2/PM/5</dc:title>
  <dc:creator>OLIVIÉ Karen</dc:creator>
  <cp:keywords>FOR OFFICIAL USE ONLY</cp:keywords>
  <cp:lastModifiedBy>AHADI Ahmad</cp:lastModifiedBy>
  <cp:revision>3</cp:revision>
  <cp:lastPrinted>2023-10-02T14:15:00Z</cp:lastPrinted>
  <dcterms:created xsi:type="dcterms:W3CDTF">2023-10-02T09:51:00Z</dcterms:created>
  <dcterms:modified xsi:type="dcterms:W3CDTF">2023-10-02T14:19:00Z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2023-10-02T09:06:06Z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cedd9e14-9b4e-4d2c-be04-9ec961736332</vt:lpwstr>
  </property>
  <property fmtid="{D5CDD505-2E9C-101B-9397-08002B2CF9AE}" pid="13" name="MSIP_Label_20773ee6-353b-4fb9-a59d-0b94c8c67bea_ContentBits">
    <vt:lpwstr>0</vt:lpwstr>
  </property>
</Properties>
</file>