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E213BD" w:rsidRDefault="00F756B0" w:rsidP="007D6FD4">
            <w:pPr>
              <w:pStyle w:val="DocumentCodeAR"/>
              <w:bidi/>
              <w:rPr>
                <w:rtl/>
              </w:rPr>
            </w:pPr>
            <w:r w:rsidRPr="00E213BD">
              <w:t>WIPO/GRTKF/IC/30/5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C15B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C15B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756B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756B0">
              <w:rPr>
                <w:rFonts w:hint="cs"/>
                <w:rtl/>
              </w:rPr>
              <w:t>9 مارس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756B0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F756B0">
        <w:rPr>
          <w:rFonts w:ascii="Cambria Math" w:hAnsi="Cambria Math" w:hint="cs"/>
          <w:rtl/>
        </w:rPr>
        <w:t>الثلاثون</w:t>
      </w:r>
    </w:p>
    <w:p w:rsidR="00D61541" w:rsidRPr="00D61541" w:rsidRDefault="00D61541" w:rsidP="00F756B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F756B0">
        <w:rPr>
          <w:rFonts w:hint="cs"/>
          <w:rtl/>
        </w:rPr>
        <w:t>30 مايو</w:t>
      </w:r>
      <w:r w:rsidR="007D6FD4">
        <w:rPr>
          <w:rFonts w:hint="cs"/>
          <w:rtl/>
        </w:rPr>
        <w:t xml:space="preserve"> إلى </w:t>
      </w:r>
      <w:r w:rsidR="00F756B0">
        <w:rPr>
          <w:rFonts w:hint="cs"/>
          <w:rtl/>
        </w:rPr>
        <w:t>3 يونيو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756B0" w:rsidP="00F756B0">
      <w:pPr>
        <w:pStyle w:val="DocumentTitleAR"/>
        <w:bidi/>
        <w:rPr>
          <w:rtl/>
        </w:rPr>
      </w:pPr>
      <w:r w:rsidRPr="00F756B0">
        <w:rPr>
          <w:rtl/>
        </w:rPr>
        <w:t>قائمة إرشادية بالقضايا العالقة التي ينبغي معالجتها/حلّها</w:t>
      </w:r>
    </w:p>
    <w:p w:rsidR="00D61541" w:rsidRDefault="00F756B0" w:rsidP="00931859">
      <w:pPr>
        <w:pStyle w:val="PreparedbyAR"/>
        <w:bidi/>
        <w:rPr>
          <w:rtl/>
        </w:rPr>
      </w:pPr>
      <w:r>
        <w:rPr>
          <w:rFonts w:hint="cs"/>
          <w:rtl/>
        </w:rPr>
        <w:t>وثيقة من إعداد الأمانة</w:t>
      </w:r>
    </w:p>
    <w:p w:rsidR="007B3B99" w:rsidRDefault="007B3B99" w:rsidP="007B3B99">
      <w:pPr>
        <w:pStyle w:val="NumberedParaAR"/>
      </w:pPr>
      <w:r>
        <w:rPr>
          <w:rFonts w:hint="cs"/>
          <w:rtl/>
        </w:rPr>
        <w:t xml:space="preserve">قررت </w:t>
      </w:r>
      <w:r w:rsidRPr="007B3B99">
        <w:rPr>
          <w:rtl/>
        </w:rPr>
        <w:t xml:space="preserve">اللجنة الحكومية الدولية المعنية بالملكية الفكرية والموارد الوراثية والمعارف التقليدية والفولكلور </w:t>
      </w:r>
      <w:r>
        <w:rPr>
          <w:rFonts w:hint="cs"/>
          <w:rtl/>
        </w:rPr>
        <w:t xml:space="preserve">للويبو </w:t>
      </w:r>
      <w:r w:rsidR="00896877">
        <w:rPr>
          <w:rFonts w:hint="cs"/>
          <w:rtl/>
        </w:rPr>
        <w:t xml:space="preserve">("اللجنة") </w:t>
      </w:r>
      <w:r w:rsidRPr="007B3B99">
        <w:rPr>
          <w:rtl/>
        </w:rPr>
        <w:t xml:space="preserve">في دورتها </w:t>
      </w:r>
      <w:r>
        <w:rPr>
          <w:rFonts w:hint="cs"/>
          <w:rtl/>
        </w:rPr>
        <w:t>التاسعة والعشرين</w:t>
      </w:r>
      <w:r w:rsidRPr="007B3B99">
        <w:rPr>
          <w:rtl/>
        </w:rPr>
        <w:t xml:space="preserve"> التي </w:t>
      </w:r>
      <w:r>
        <w:rPr>
          <w:rFonts w:hint="cs"/>
          <w:rtl/>
        </w:rPr>
        <w:t>ان</w:t>
      </w:r>
      <w:r w:rsidRPr="007B3B99">
        <w:rPr>
          <w:rtl/>
        </w:rPr>
        <w:t xml:space="preserve">عقدت من </w:t>
      </w:r>
      <w:r>
        <w:rPr>
          <w:rFonts w:hint="cs"/>
          <w:rtl/>
        </w:rPr>
        <w:t>15</w:t>
      </w:r>
      <w:r w:rsidRPr="007B3B99">
        <w:rPr>
          <w:rtl/>
        </w:rPr>
        <w:t xml:space="preserve"> إلى </w:t>
      </w:r>
      <w:r>
        <w:rPr>
          <w:rFonts w:hint="cs"/>
          <w:rtl/>
        </w:rPr>
        <w:t>19</w:t>
      </w:r>
      <w:r w:rsidRPr="007B3B99">
        <w:rPr>
          <w:rtl/>
        </w:rPr>
        <w:t xml:space="preserve"> </w:t>
      </w:r>
      <w:r>
        <w:rPr>
          <w:rFonts w:hint="cs"/>
          <w:rtl/>
        </w:rPr>
        <w:t>فبراير</w:t>
      </w:r>
      <w:r w:rsidRPr="007B3B99">
        <w:rPr>
          <w:rtl/>
        </w:rPr>
        <w:t xml:space="preserve"> </w:t>
      </w:r>
      <w:r>
        <w:rPr>
          <w:rFonts w:hint="cs"/>
          <w:rtl/>
        </w:rPr>
        <w:t>2016</w:t>
      </w:r>
      <w:r w:rsidRPr="007B3B99">
        <w:rPr>
          <w:rtl/>
        </w:rPr>
        <w:t xml:space="preserve"> أن</w:t>
      </w:r>
      <w:r>
        <w:rPr>
          <w:rFonts w:hint="cs"/>
          <w:rtl/>
        </w:rPr>
        <w:t xml:space="preserve"> تحيل إلى اللجنة في دورتها الثلاثين "</w:t>
      </w:r>
      <w:r w:rsidRPr="007B3B99">
        <w:rPr>
          <w:rtl/>
        </w:rPr>
        <w:t>قائمة إرشادية بالقضايا العالقة التي ينبغي معالجتها/حلّها</w:t>
      </w:r>
      <w:r>
        <w:rPr>
          <w:rFonts w:hint="cs"/>
          <w:rtl/>
        </w:rPr>
        <w:t xml:space="preserve"> في الدورة القادمة</w:t>
      </w:r>
      <w:r w:rsidR="00E27918">
        <w:rPr>
          <w:rFonts w:hint="cs"/>
          <w:rtl/>
        </w:rPr>
        <w:t>"</w:t>
      </w:r>
      <w:r w:rsidR="00896877">
        <w:rPr>
          <w:rFonts w:hint="cs"/>
          <w:rtl/>
        </w:rPr>
        <w:t xml:space="preserve"> ("القائمة")</w:t>
      </w:r>
      <w:r>
        <w:rPr>
          <w:rFonts w:hint="cs"/>
          <w:rtl/>
        </w:rPr>
        <w:t>، ووردت في مرفق قرارات اللجنة في دورتها التاسعة والعشرين.</w:t>
      </w:r>
    </w:p>
    <w:p w:rsidR="007B3B99" w:rsidRDefault="00E27918" w:rsidP="007B3B99">
      <w:pPr>
        <w:pStyle w:val="NumberedParaAR"/>
      </w:pPr>
      <w:r>
        <w:rPr>
          <w:rFonts w:hint="cs"/>
          <w:rtl/>
        </w:rPr>
        <w:t>و</w:t>
      </w:r>
      <w:r w:rsidR="007B3B99" w:rsidRPr="007B3B99">
        <w:rPr>
          <w:rtl/>
        </w:rPr>
        <w:t>عملا ب</w:t>
      </w:r>
      <w:r w:rsidR="007B3B99">
        <w:rPr>
          <w:rFonts w:hint="cs"/>
          <w:rtl/>
        </w:rPr>
        <w:t>ال</w:t>
      </w:r>
      <w:r w:rsidR="007B3B99" w:rsidRPr="007B3B99">
        <w:rPr>
          <w:rtl/>
        </w:rPr>
        <w:t>قرار</w:t>
      </w:r>
      <w:r w:rsidR="007B3B99">
        <w:rPr>
          <w:rFonts w:hint="cs"/>
          <w:rtl/>
          <w:lang w:bidi="ar-EG"/>
        </w:rPr>
        <w:t xml:space="preserve"> المذكور </w:t>
      </w:r>
      <w:r w:rsidR="007B3B99">
        <w:rPr>
          <w:rFonts w:hint="cs"/>
          <w:rtl/>
        </w:rPr>
        <w:t>أعلاه، ترد القائمة في مرفق هذه الوثيقة.</w:t>
      </w:r>
    </w:p>
    <w:p w:rsidR="007B3B99" w:rsidRDefault="00E27918" w:rsidP="007B3B99">
      <w:pPr>
        <w:pStyle w:val="DecisionParaAR"/>
      </w:pPr>
      <w:r>
        <w:rPr>
          <w:rFonts w:hint="cs"/>
          <w:rtl/>
        </w:rPr>
        <w:t xml:space="preserve">إن </w:t>
      </w:r>
      <w:r w:rsidR="007B3B99">
        <w:rPr>
          <w:rFonts w:hint="cs"/>
          <w:rtl/>
        </w:rPr>
        <w:t>اللجنة مدعوة إلى الإحاطة علما بالقائمة الواردة في المرفق.</w:t>
      </w:r>
    </w:p>
    <w:p w:rsidR="00896877" w:rsidRPr="00EB61EE" w:rsidRDefault="007B3B99" w:rsidP="00896877">
      <w:pPr>
        <w:pStyle w:val="DecisionParaAR"/>
        <w:numPr>
          <w:ilvl w:val="0"/>
          <w:numId w:val="0"/>
        </w:numPr>
        <w:ind w:left="5534"/>
        <w:rPr>
          <w:i w:val="0"/>
          <w:iCs w:val="0"/>
          <w:rtl/>
        </w:rPr>
        <w:sectPr w:rsidR="00896877" w:rsidRPr="00EB61EE" w:rsidSect="007F5540">
          <w:headerReference w:type="default" r:id="rId10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 w:rsidRPr="00EB61EE">
        <w:rPr>
          <w:i w:val="0"/>
          <w:iCs w:val="0"/>
          <w:rtl/>
        </w:rPr>
        <w:t>[يلي ذلك المرفق]</w:t>
      </w:r>
    </w:p>
    <w:p w:rsidR="00F7688E" w:rsidRPr="007F5540" w:rsidRDefault="00F7688E" w:rsidP="00F7688E">
      <w:pPr>
        <w:pStyle w:val="NormalParaAR"/>
        <w:jc w:val="center"/>
        <w:rPr>
          <w:b/>
          <w:bCs/>
          <w:sz w:val="40"/>
          <w:szCs w:val="40"/>
          <w:rtl/>
        </w:rPr>
      </w:pPr>
      <w:r w:rsidRPr="007F5540">
        <w:rPr>
          <w:rFonts w:hint="cs"/>
          <w:b/>
          <w:bCs/>
          <w:sz w:val="40"/>
          <w:szCs w:val="40"/>
          <w:rtl/>
        </w:rPr>
        <w:lastRenderedPageBreak/>
        <w:t>المرفق</w:t>
      </w:r>
    </w:p>
    <w:p w:rsidR="0041405C" w:rsidRPr="007F5540" w:rsidRDefault="00F7688E" w:rsidP="007B3B99">
      <w:pPr>
        <w:pStyle w:val="NormalParaAR"/>
        <w:spacing w:after="480"/>
        <w:jc w:val="center"/>
        <w:rPr>
          <w:b/>
          <w:bCs/>
          <w:sz w:val="40"/>
          <w:szCs w:val="40"/>
          <w:rtl/>
        </w:rPr>
      </w:pPr>
      <w:r w:rsidRPr="007F5540">
        <w:rPr>
          <w:rFonts w:hint="cs"/>
          <w:b/>
          <w:bCs/>
          <w:sz w:val="40"/>
          <w:szCs w:val="40"/>
          <w:rtl/>
        </w:rPr>
        <w:t>قائمة إرشادية بالقضايا ال</w:t>
      </w:r>
      <w:r w:rsidR="007B3B99">
        <w:rPr>
          <w:rFonts w:hint="cs"/>
          <w:b/>
          <w:bCs/>
          <w:sz w:val="40"/>
          <w:szCs w:val="40"/>
          <w:rtl/>
        </w:rPr>
        <w:t>عالقة التي ينبغي معالجتها/حلّها</w:t>
      </w:r>
    </w:p>
    <w:p w:rsidR="00F7688E" w:rsidRPr="00F7688E" w:rsidRDefault="00F7688E" w:rsidP="00F7688E">
      <w:pPr>
        <w:pStyle w:val="NormalParaAR"/>
        <w:rPr>
          <w:b/>
          <w:bCs/>
          <w:rtl/>
        </w:rPr>
      </w:pPr>
      <w:r>
        <w:rPr>
          <w:rFonts w:hint="cs"/>
          <w:rtl/>
        </w:rPr>
        <w:t>1</w:t>
      </w:r>
      <w:r w:rsidRPr="00F7688E">
        <w:rPr>
          <w:rFonts w:hint="cs"/>
          <w:b/>
          <w:bCs/>
          <w:rtl/>
        </w:rPr>
        <w:t>.</w:t>
      </w:r>
      <w:r w:rsidRPr="00F7688E">
        <w:rPr>
          <w:b/>
          <w:bCs/>
          <w:rtl/>
        </w:rPr>
        <w:tab/>
      </w:r>
      <w:r w:rsidRPr="00F7688E">
        <w:rPr>
          <w:rFonts w:hint="cs"/>
          <w:b/>
          <w:bCs/>
          <w:rtl/>
        </w:rPr>
        <w:t>قائمة المصطلحات</w:t>
      </w:r>
    </w:p>
    <w:p w:rsidR="00F7688E" w:rsidRPr="00F7688E" w:rsidRDefault="00F7688E" w:rsidP="00F7688E">
      <w:pPr>
        <w:pStyle w:val="NormalParaAR"/>
        <w:rPr>
          <w:b/>
          <w:bCs/>
          <w:rtl/>
        </w:rPr>
      </w:pPr>
      <w:r w:rsidRPr="00F7688E">
        <w:rPr>
          <w:rFonts w:hint="cs"/>
          <w:b/>
          <w:bCs/>
          <w:rtl/>
        </w:rPr>
        <w:t>2.</w:t>
      </w:r>
      <w:r w:rsidRPr="00F7688E">
        <w:rPr>
          <w:b/>
          <w:bCs/>
          <w:rtl/>
        </w:rPr>
        <w:tab/>
      </w:r>
      <w:r w:rsidRPr="00F7688E">
        <w:rPr>
          <w:rFonts w:hint="cs"/>
          <w:b/>
          <w:bCs/>
          <w:rtl/>
        </w:rPr>
        <w:t>الديباجة</w:t>
      </w:r>
    </w:p>
    <w:p w:rsidR="00F7688E" w:rsidRDefault="00F7688E" w:rsidP="00F7688E">
      <w:pPr>
        <w:pStyle w:val="NormalParaAR"/>
        <w:spacing w:after="0"/>
        <w:rPr>
          <w:b/>
          <w:bCs/>
          <w:rtl/>
        </w:rPr>
      </w:pPr>
      <w:r w:rsidRPr="00F7688E">
        <w:rPr>
          <w:rFonts w:hint="cs"/>
          <w:b/>
          <w:bCs/>
          <w:rtl/>
        </w:rPr>
        <w:t>3.</w:t>
      </w:r>
      <w:r w:rsidRPr="00F7688E">
        <w:rPr>
          <w:b/>
          <w:bCs/>
          <w:rtl/>
        </w:rPr>
        <w:tab/>
      </w:r>
      <w:r w:rsidRPr="00F7688E">
        <w:rPr>
          <w:rFonts w:hint="cs"/>
          <w:b/>
          <w:bCs/>
          <w:rtl/>
        </w:rPr>
        <w:t>أهداف السياسة العامة</w:t>
      </w:r>
    </w:p>
    <w:p w:rsidR="00F7688E" w:rsidRPr="00F7688E" w:rsidRDefault="00F7688E" w:rsidP="00F7688E">
      <w:pPr>
        <w:pStyle w:val="NormalParaAR"/>
        <w:spacing w:after="0"/>
        <w:rPr>
          <w:rtl/>
        </w:rPr>
      </w:pPr>
      <w:r>
        <w:rPr>
          <w:rFonts w:hint="cs"/>
          <w:b/>
          <w:bCs/>
          <w:rtl/>
        </w:rPr>
        <w:t>-</w:t>
      </w:r>
      <w:r w:rsidRPr="00F7688E">
        <w:rPr>
          <w:rtl/>
        </w:rPr>
        <w:tab/>
      </w:r>
      <w:r w:rsidRPr="00F7688E">
        <w:rPr>
          <w:rFonts w:hint="cs"/>
          <w:rtl/>
        </w:rPr>
        <w:t>الفعالية والشفافية</w:t>
      </w:r>
    </w:p>
    <w:p w:rsidR="00F7688E" w:rsidRDefault="00F7688E" w:rsidP="00F7688E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ما إذا كان ينبغي الإبقاء على التملّك غير المشروع في النص (وإذا أبقي عليه، كيف يُعرّف)</w:t>
      </w:r>
    </w:p>
    <w:p w:rsidR="00F7688E" w:rsidRDefault="00F7688E" w:rsidP="007F5540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التكامل/الدعم المتبادل مع الاتفاقات الدولية</w:t>
      </w:r>
    </w:p>
    <w:p w:rsidR="00F7688E" w:rsidRDefault="00F7688E" w:rsidP="00676537">
      <w:pPr>
        <w:pStyle w:val="NormalParaAR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676537">
        <w:rPr>
          <w:rFonts w:hint="cs"/>
          <w:rtl/>
        </w:rPr>
        <w:t>الوقاية/التقليل إلى أدنى حد ممكن من البراءات "التي تُمنح عن خطأ" (ما هو المصطلح المناسب)</w:t>
      </w:r>
    </w:p>
    <w:p w:rsidR="00676537" w:rsidRDefault="00676537" w:rsidP="00676537">
      <w:pPr>
        <w:pStyle w:val="NormalParaAR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Pr="00F7688E">
        <w:rPr>
          <w:rFonts w:hint="cs"/>
          <w:b/>
          <w:bCs/>
          <w:rtl/>
        </w:rPr>
        <w:t>.</w:t>
      </w:r>
      <w:r w:rsidRPr="00F7688E">
        <w:rPr>
          <w:b/>
          <w:bCs/>
          <w:rtl/>
        </w:rPr>
        <w:tab/>
      </w:r>
      <w:r>
        <w:rPr>
          <w:rFonts w:hint="cs"/>
          <w:b/>
          <w:bCs/>
          <w:rtl/>
        </w:rPr>
        <w:t>موضوع الحماية</w:t>
      </w:r>
    </w:p>
    <w:p w:rsidR="00676537" w:rsidRDefault="00676537" w:rsidP="0067653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هل ينبغي أن ينطبق الصك على:</w:t>
      </w:r>
    </w:p>
    <w:p w:rsidR="00676537" w:rsidRDefault="00676537" w:rsidP="00676537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أية حقوق من حقوق الملكية الفكرية أو الحق المرتبط بالبراءات فقط</w:t>
      </w:r>
    </w:p>
    <w:p w:rsidR="00676537" w:rsidRDefault="00676537" w:rsidP="0067653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بالإضافة إلى الموارد الوراثية، هل ينبغي أن ينطبق الصك أيضا على:</w:t>
      </w:r>
    </w:p>
    <w:p w:rsidR="00676537" w:rsidRDefault="00676537" w:rsidP="00676537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المشتقات</w:t>
      </w:r>
    </w:p>
    <w:p w:rsidR="00676537" w:rsidRDefault="00676537" w:rsidP="00676537">
      <w:pPr>
        <w:pStyle w:val="NormalParaAR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المعارف التقليدية المرتبطة بها/المعارف التقليدية المرتبطة بالموارد الوراثية</w:t>
      </w:r>
    </w:p>
    <w:p w:rsidR="00676537" w:rsidRDefault="00676537" w:rsidP="00676537">
      <w:pPr>
        <w:pStyle w:val="NormalParaAR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Pr="00F7688E">
        <w:rPr>
          <w:rFonts w:hint="cs"/>
          <w:b/>
          <w:bCs/>
          <w:rtl/>
        </w:rPr>
        <w:t>.</w:t>
      </w:r>
      <w:r w:rsidRPr="00F7688E">
        <w:rPr>
          <w:b/>
          <w:bCs/>
          <w:rtl/>
        </w:rPr>
        <w:tab/>
      </w:r>
      <w:r>
        <w:rPr>
          <w:rFonts w:hint="cs"/>
          <w:b/>
          <w:bCs/>
          <w:rtl/>
        </w:rPr>
        <w:t>شرط الكشف</w:t>
      </w:r>
    </w:p>
    <w:p w:rsidR="00676537" w:rsidRDefault="00676537" w:rsidP="0067653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مضمون الكشف</w:t>
      </w:r>
    </w:p>
    <w:p w:rsidR="00676537" w:rsidRDefault="00676537" w:rsidP="00676537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منشأ و/أو مصدر الموارد الوراثية</w:t>
      </w:r>
    </w:p>
    <w:p w:rsidR="00676537" w:rsidRDefault="00676537" w:rsidP="00C30E41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 xml:space="preserve">المعلومات الخاصة بالامتثال </w:t>
      </w:r>
      <w:r w:rsidRPr="00676537">
        <w:rPr>
          <w:rtl/>
        </w:rPr>
        <w:t>لشروط النفاذ وتقاسم المنافع</w:t>
      </w:r>
      <w:r w:rsidR="00C30E41">
        <w:rPr>
          <w:rFonts w:hint="cs"/>
          <w:rtl/>
        </w:rPr>
        <w:t xml:space="preserve">، </w:t>
      </w:r>
      <w:r w:rsidR="00C30E41" w:rsidRPr="00C30E41">
        <w:rPr>
          <w:rtl/>
        </w:rPr>
        <w:t>بما في ذلك الموافقة المسبقة المستنيرة</w:t>
      </w:r>
    </w:p>
    <w:p w:rsidR="00C30E41" w:rsidRDefault="00C30E41" w:rsidP="00C30E41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الاستثناءات والتقييدات</w:t>
      </w:r>
    </w:p>
    <w:p w:rsidR="00C30E41" w:rsidRDefault="00C30E41" w:rsidP="00C30E41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نوع الاستثناءات</w:t>
      </w:r>
    </w:p>
    <w:p w:rsidR="00C30E41" w:rsidRDefault="00C30E41" w:rsidP="00C30E41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الاستثناءات المرتبطة بالمصلحة العامة فقط</w:t>
      </w:r>
    </w:p>
    <w:p w:rsidR="00C30E41" w:rsidRDefault="00C30E41" w:rsidP="00C30E41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قابلية موضوع الموارد الوراثية و/أو مشتقاتها، </w:t>
      </w:r>
      <w:r w:rsidRPr="00C30E41">
        <w:rPr>
          <w:rtl/>
        </w:rPr>
        <w:t>بالصيغة التي وُجدت بها في الطبيعة أو عُزلت منها</w:t>
      </w:r>
      <w:r>
        <w:rPr>
          <w:rFonts w:hint="cs"/>
          <w:rtl/>
        </w:rPr>
        <w:t>، للحماية بموجب ملكية فكرية/براءة</w:t>
      </w:r>
    </w:p>
    <w:p w:rsidR="00C30E41" w:rsidRDefault="00C30E41" w:rsidP="00C30E41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عواقب عدم الامتثال</w:t>
      </w:r>
    </w:p>
    <w:p w:rsidR="00C30E41" w:rsidRDefault="00C30E41" w:rsidP="00C30E41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اتفاقات المعايير الدنيا و/أو القصوى</w:t>
      </w:r>
    </w:p>
    <w:p w:rsidR="00C30E41" w:rsidRDefault="00C30E41" w:rsidP="00C30E41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التدابير/الجزاءات داخل و/أو خارج نظام البراءات</w:t>
      </w:r>
    </w:p>
    <w:p w:rsidR="00C30E41" w:rsidRDefault="00C30E41" w:rsidP="00C30E41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شروط الإلغاء الجائزة</w:t>
      </w:r>
    </w:p>
    <w:p w:rsidR="005C5227" w:rsidRDefault="005C5227" w:rsidP="005C522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الغرض المنشود</w:t>
      </w:r>
    </w:p>
    <w:p w:rsidR="005C5227" w:rsidRDefault="005C5227" w:rsidP="005C5227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المطالبة بحماية اختراع بالاستناد مباشرة إلى الموضوع</w:t>
      </w:r>
    </w:p>
    <w:p w:rsidR="005C5227" w:rsidRDefault="005C5227" w:rsidP="005C5227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استعمال الموضوع</w:t>
      </w:r>
    </w:p>
    <w:p w:rsidR="005C5227" w:rsidRDefault="005C5227" w:rsidP="005C5227">
      <w:pPr>
        <w:pStyle w:val="NormalParaAR"/>
        <w:spacing w:after="0"/>
        <w:ind w:left="567"/>
        <w:rPr>
          <w:rtl/>
        </w:rPr>
      </w:pPr>
      <w:r>
        <w:rPr>
          <w:rFonts w:hint="cs"/>
        </w:rPr>
        <w:sym w:font="Symbol" w:char="F0B0"/>
      </w:r>
      <w:r>
        <w:rPr>
          <w:rtl/>
        </w:rPr>
        <w:tab/>
      </w:r>
      <w:r>
        <w:rPr>
          <w:rFonts w:hint="cs"/>
          <w:rtl/>
        </w:rPr>
        <w:t>الحاجة إلى النفاد المادي أو النفاذ إلى موضوع غير ملموس</w:t>
      </w:r>
    </w:p>
    <w:p w:rsidR="005C5227" w:rsidRDefault="005C5227" w:rsidP="005C522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العلاقة بالأنظمة الوطنية والمحلية للنفاذ وتقاسم المنافع</w:t>
      </w:r>
    </w:p>
    <w:p w:rsidR="005C5227" w:rsidRDefault="005C5227" w:rsidP="00A840F7">
      <w:pPr>
        <w:pStyle w:val="NormalParaAR"/>
        <w:ind w:left="567"/>
        <w:rPr>
          <w:rtl/>
        </w:rPr>
      </w:pPr>
      <w:r>
        <w:rPr>
          <w:rFonts w:hint="cs"/>
        </w:rPr>
        <w:lastRenderedPageBreak/>
        <w:sym w:font="Symbol" w:char="F0B0"/>
      </w:r>
      <w:r>
        <w:rPr>
          <w:rtl/>
        </w:rPr>
        <w:tab/>
      </w:r>
      <w:r>
        <w:rPr>
          <w:rFonts w:hint="cs"/>
          <w:rtl/>
        </w:rPr>
        <w:t>دور مكتب الملكية الفكرية/البراءات في تبليغ المعلومات الخاصة بالكشف إلى آلية تبادل المعلومات لا</w:t>
      </w:r>
      <w:r w:rsidRPr="005C5227">
        <w:rPr>
          <w:rtl/>
        </w:rPr>
        <w:t>تفاقية التنوع البيولوجي/المعاهدة الدولية بشأن الموارد الوراثية النباتية للأغذية والزراعة</w:t>
      </w:r>
    </w:p>
    <w:p w:rsidR="00A840F7" w:rsidRDefault="00A840F7" w:rsidP="00A840F7">
      <w:pPr>
        <w:pStyle w:val="NormalParaAR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6</w:t>
      </w:r>
      <w:r w:rsidRPr="00F7688E">
        <w:rPr>
          <w:rFonts w:hint="cs"/>
          <w:b/>
          <w:bCs/>
          <w:rtl/>
        </w:rPr>
        <w:t>.</w:t>
      </w:r>
      <w:r w:rsidRPr="00F7688E">
        <w:rPr>
          <w:b/>
          <w:bCs/>
          <w:rtl/>
        </w:rPr>
        <w:tab/>
      </w:r>
      <w:r>
        <w:rPr>
          <w:rFonts w:hint="cs"/>
          <w:b/>
          <w:bCs/>
          <w:rtl/>
        </w:rPr>
        <w:t>التدابير الدفاعية/عدم الكشف</w:t>
      </w:r>
    </w:p>
    <w:p w:rsidR="00A840F7" w:rsidRDefault="00A840F7" w:rsidP="00A840F7">
      <w:pPr>
        <w:pStyle w:val="NormalParaAR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النظر في الحاجة إلى المزيد من تدابير/أنظمة العناية الواجبة</w:t>
      </w:r>
    </w:p>
    <w:p w:rsidR="00A840F7" w:rsidRDefault="00A840F7" w:rsidP="00A840F7">
      <w:pPr>
        <w:pStyle w:val="NormalParaAR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7</w:t>
      </w:r>
      <w:r w:rsidRPr="00F7688E">
        <w:rPr>
          <w:rFonts w:hint="cs"/>
          <w:b/>
          <w:bCs/>
          <w:rtl/>
        </w:rPr>
        <w:t>.</w:t>
      </w:r>
      <w:r w:rsidRPr="00F7688E">
        <w:rPr>
          <w:b/>
          <w:bCs/>
          <w:rtl/>
        </w:rPr>
        <w:tab/>
      </w:r>
      <w:r>
        <w:rPr>
          <w:rFonts w:hint="cs"/>
          <w:b/>
          <w:bCs/>
          <w:rtl/>
        </w:rPr>
        <w:t>قواعد البيانات</w:t>
      </w:r>
    </w:p>
    <w:p w:rsidR="00A840F7" w:rsidRDefault="00A840F7" w:rsidP="00A840F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قواعد البيانات باعتبارها </w:t>
      </w:r>
      <w:r w:rsidR="001628B5">
        <w:rPr>
          <w:rFonts w:hint="cs"/>
          <w:rtl/>
        </w:rPr>
        <w:t xml:space="preserve">تدابير دفاعية أو </w:t>
      </w:r>
      <w:r>
        <w:rPr>
          <w:rFonts w:hint="cs"/>
          <w:rtl/>
        </w:rPr>
        <w:t>تدابير تكميلية لشرط الكشف</w:t>
      </w:r>
    </w:p>
    <w:p w:rsidR="00A840F7" w:rsidRDefault="00A840F7" w:rsidP="00A840F7">
      <w:pPr>
        <w:pStyle w:val="NormalParaAR"/>
        <w:spacing w:after="0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F5540">
        <w:rPr>
          <w:rFonts w:hint="cs"/>
          <w:rtl/>
        </w:rPr>
        <w:t>ال</w:t>
      </w:r>
      <w:r>
        <w:rPr>
          <w:rFonts w:hint="cs"/>
          <w:rtl/>
        </w:rPr>
        <w:t>ضمانات الخاصة بالمعارف التقليدية المحتفظ بها على نطاق واسع و/أو المتاحة للجمهور</w:t>
      </w:r>
    </w:p>
    <w:p w:rsidR="00A840F7" w:rsidRDefault="00A840F7" w:rsidP="00A840F7">
      <w:pPr>
        <w:pStyle w:val="NormalParaAR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العبء المفروض على أصحاب المعارف التقليدية والدول الأعضاء</w:t>
      </w:r>
    </w:p>
    <w:p w:rsidR="00A840F7" w:rsidRDefault="00A840F7" w:rsidP="00A840F7">
      <w:pPr>
        <w:pStyle w:val="NormalParaAR"/>
        <w:rPr>
          <w:b/>
          <w:bCs/>
          <w:rtl/>
        </w:rPr>
      </w:pPr>
      <w:r>
        <w:rPr>
          <w:rFonts w:hint="cs"/>
          <w:b/>
          <w:bCs/>
          <w:rtl/>
        </w:rPr>
        <w:t>8</w:t>
      </w:r>
      <w:r w:rsidRPr="00F7688E">
        <w:rPr>
          <w:rFonts w:hint="cs"/>
          <w:b/>
          <w:bCs/>
          <w:rtl/>
        </w:rPr>
        <w:t>.</w:t>
      </w:r>
      <w:r w:rsidRPr="00F7688E">
        <w:rPr>
          <w:b/>
          <w:bCs/>
          <w:rtl/>
        </w:rPr>
        <w:tab/>
      </w:r>
      <w:r>
        <w:rPr>
          <w:rFonts w:hint="cs"/>
          <w:b/>
          <w:bCs/>
          <w:rtl/>
        </w:rPr>
        <w:t>العلاقة بالاتفاقات الدولية، بما في ذلك معاهدة التعاون بشأن البراءات ومعاهدة قانون البراءات</w:t>
      </w:r>
    </w:p>
    <w:p w:rsidR="00A840F7" w:rsidRDefault="00A840F7" w:rsidP="00A840F7">
      <w:pPr>
        <w:pStyle w:val="NormalParaAR"/>
        <w:rPr>
          <w:b/>
          <w:bCs/>
          <w:rtl/>
        </w:rPr>
      </w:pPr>
      <w:r>
        <w:rPr>
          <w:rFonts w:hint="cs"/>
          <w:b/>
          <w:bCs/>
          <w:rtl/>
        </w:rPr>
        <w:t>9.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التعاون عبر الحدود</w:t>
      </w:r>
    </w:p>
    <w:p w:rsidR="00A840F7" w:rsidRPr="00A840F7" w:rsidRDefault="00A840F7" w:rsidP="00A840F7">
      <w:pPr>
        <w:pStyle w:val="NormalParaAR"/>
        <w:spacing w:after="480"/>
        <w:rPr>
          <w:b/>
          <w:bCs/>
          <w:rtl/>
        </w:rPr>
      </w:pPr>
      <w:r w:rsidRPr="00A840F7">
        <w:rPr>
          <w:rFonts w:hint="cs"/>
          <w:b/>
          <w:bCs/>
          <w:rtl/>
        </w:rPr>
        <w:t>10.</w:t>
      </w:r>
      <w:r w:rsidRPr="00A840F7">
        <w:rPr>
          <w:b/>
          <w:bCs/>
          <w:rtl/>
        </w:rPr>
        <w:tab/>
      </w:r>
      <w:r w:rsidRPr="00A840F7">
        <w:rPr>
          <w:rFonts w:hint="cs"/>
          <w:b/>
          <w:bCs/>
          <w:rtl/>
        </w:rPr>
        <w:t>المساعدة التقنية والتعاون وتكوين الكفاءات</w:t>
      </w:r>
    </w:p>
    <w:p w:rsidR="00676537" w:rsidRPr="00F7688E" w:rsidRDefault="00A840F7" w:rsidP="00A840F7">
      <w:pPr>
        <w:pStyle w:val="EndofDocumentAR"/>
      </w:pPr>
      <w:r>
        <w:rPr>
          <w:rFonts w:hint="cs"/>
          <w:rtl/>
        </w:rPr>
        <w:t>[نهاية المرفق والوثيقة]</w:t>
      </w:r>
    </w:p>
    <w:sectPr w:rsidR="00676537" w:rsidRPr="00F7688E" w:rsidSect="007F5540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21" w:rsidRDefault="00811421">
      <w:r>
        <w:separator/>
      </w:r>
    </w:p>
  </w:endnote>
  <w:endnote w:type="continuationSeparator" w:id="0">
    <w:p w:rsidR="00811421" w:rsidRDefault="0081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21" w:rsidRDefault="0081142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11421" w:rsidRDefault="0081142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BD" w:rsidRDefault="00E213BD" w:rsidP="006E72D2">
    <w:pPr>
      <w:pStyle w:val="Header"/>
      <w:bidi/>
      <w:jc w:val="right"/>
      <w:rPr>
        <w:noProof/>
        <w:rtl/>
      </w:rPr>
    </w:pPr>
    <w:r w:rsidRPr="00E213BD">
      <w:rPr>
        <w:noProof/>
      </w:rPr>
      <w:t>WIPO/GRTKF/IC/30/5</w:t>
    </w:r>
  </w:p>
  <w:p w:rsidR="006E72D2" w:rsidRDefault="00896877" w:rsidP="00E213BD">
    <w:pPr>
      <w:pStyle w:val="Header"/>
      <w:bidi/>
      <w:jc w:val="right"/>
      <w:rPr>
        <w:noProof/>
      </w:rPr>
    </w:pPr>
    <w:r>
      <w:rPr>
        <w:noProof/>
      </w:rPr>
      <w:t>Annex</w:t>
    </w:r>
  </w:p>
  <w:p w:rsidR="007F5540" w:rsidRDefault="007F5540" w:rsidP="00542508">
    <w:pPr>
      <w:pStyle w:val="Header"/>
      <w:bidi/>
      <w:jc w:val="right"/>
      <w:rPr>
        <w:rtl/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 w:rsidR="00896877">
      <w:rPr>
        <w:noProof/>
        <w:rtl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77" w:rsidRDefault="00896877" w:rsidP="006E72D2">
    <w:pPr>
      <w:pStyle w:val="Header"/>
      <w:bidi/>
      <w:jc w:val="right"/>
      <w:rPr>
        <w:noProof/>
        <w:rtl/>
      </w:rPr>
    </w:pPr>
    <w:r w:rsidRPr="00E213BD">
      <w:rPr>
        <w:noProof/>
      </w:rPr>
      <w:t>WIPO/GRTKF/IC/30/5</w:t>
    </w:r>
  </w:p>
  <w:p w:rsidR="00896877" w:rsidRDefault="00896877" w:rsidP="00E213BD">
    <w:pPr>
      <w:pStyle w:val="Header"/>
      <w:bidi/>
      <w:jc w:val="right"/>
      <w:rPr>
        <w:noProof/>
      </w:rPr>
    </w:pPr>
    <w:r>
      <w:rPr>
        <w:noProof/>
      </w:rPr>
      <w:t>Annex</w:t>
    </w:r>
  </w:p>
  <w:p w:rsidR="00896877" w:rsidRDefault="00896877" w:rsidP="00542508">
    <w:pPr>
      <w:pStyle w:val="Header"/>
      <w:bidi/>
      <w:jc w:val="right"/>
      <w:rPr>
        <w:rtl/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 w:rsidR="0010025B">
      <w:rPr>
        <w:noProof/>
        <w:rtl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77" w:rsidRDefault="00896877" w:rsidP="00896877">
    <w:pPr>
      <w:pStyle w:val="Header"/>
      <w:bidi/>
      <w:jc w:val="right"/>
      <w:rPr>
        <w:noProof/>
        <w:rtl/>
      </w:rPr>
    </w:pPr>
    <w:r w:rsidRPr="00E213BD">
      <w:rPr>
        <w:noProof/>
      </w:rPr>
      <w:t>WIPO/GRTKF/IC/30/5</w:t>
    </w:r>
  </w:p>
  <w:p w:rsidR="00896877" w:rsidRDefault="00896877" w:rsidP="00A65D1B">
    <w:pPr>
      <w:pStyle w:val="Header"/>
      <w:bidi/>
      <w:jc w:val="right"/>
      <w:rPr>
        <w:noProof/>
      </w:rPr>
    </w:pPr>
    <w:r>
      <w:rPr>
        <w:noProof/>
      </w:rPr>
      <w:t>ANNEX</w:t>
    </w:r>
  </w:p>
  <w:p w:rsidR="00896877" w:rsidRPr="00896877" w:rsidRDefault="00896877" w:rsidP="00896877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  <w:lang w:bidi="ar-EG"/>
      </w:rPr>
    </w:pPr>
    <w:r w:rsidRPr="00896877">
      <w:rPr>
        <w:rFonts w:ascii="Arabic Typesetting" w:hAnsi="Arabic Typesetting" w:cs="Arabic Typesetting"/>
        <w:noProof/>
        <w:sz w:val="36"/>
        <w:szCs w:val="36"/>
        <w:rtl/>
        <w:lang w:bidi="ar-EG"/>
      </w:rPr>
      <w:t>المرفق</w:t>
    </w:r>
  </w:p>
  <w:p w:rsidR="00896877" w:rsidRDefault="008968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991900"/>
    <w:multiLevelType w:val="hybridMultilevel"/>
    <w:tmpl w:val="2DD00ADE"/>
    <w:lvl w:ilvl="0" w:tplc="53184AAC">
      <w:start w:val="4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5462E"/>
    <w:multiLevelType w:val="hybridMultilevel"/>
    <w:tmpl w:val="37844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71E61"/>
    <w:multiLevelType w:val="hybridMultilevel"/>
    <w:tmpl w:val="C980C148"/>
    <w:lvl w:ilvl="0" w:tplc="C324EBCE">
      <w:start w:val="4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7214B97"/>
    <w:multiLevelType w:val="hybridMultilevel"/>
    <w:tmpl w:val="08AE79AA"/>
    <w:lvl w:ilvl="0" w:tplc="F6DACD86">
      <w:start w:val="4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1"/>
  </w:num>
  <w:num w:numId="5">
    <w:abstractNumId w:val="8"/>
  </w:num>
  <w:num w:numId="6">
    <w:abstractNumId w:val="22"/>
  </w:num>
  <w:num w:numId="7">
    <w:abstractNumId w:val="14"/>
  </w:num>
  <w:num w:numId="8">
    <w:abstractNumId w:val="20"/>
  </w:num>
  <w:num w:numId="9">
    <w:abstractNumId w:val="19"/>
  </w:num>
  <w:num w:numId="10">
    <w:abstractNumId w:val="23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8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2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377C8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25B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E9A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28B5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5A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2D3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278E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2EC2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05C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77C91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FB2"/>
    <w:rsid w:val="004B46D0"/>
    <w:rsid w:val="004B57B0"/>
    <w:rsid w:val="004B60CE"/>
    <w:rsid w:val="004B61C9"/>
    <w:rsid w:val="004C0B26"/>
    <w:rsid w:val="004C12FE"/>
    <w:rsid w:val="004C15B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1BC4"/>
    <w:rsid w:val="0052212E"/>
    <w:rsid w:val="00522E91"/>
    <w:rsid w:val="0052302D"/>
    <w:rsid w:val="005236A5"/>
    <w:rsid w:val="00526462"/>
    <w:rsid w:val="005266BD"/>
    <w:rsid w:val="0052772D"/>
    <w:rsid w:val="00530442"/>
    <w:rsid w:val="005333C9"/>
    <w:rsid w:val="00534AF0"/>
    <w:rsid w:val="00535060"/>
    <w:rsid w:val="00535738"/>
    <w:rsid w:val="005409EB"/>
    <w:rsid w:val="00540F30"/>
    <w:rsid w:val="005411C3"/>
    <w:rsid w:val="00541DD2"/>
    <w:rsid w:val="00542508"/>
    <w:rsid w:val="00542561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65FB"/>
    <w:rsid w:val="005674C3"/>
    <w:rsid w:val="00567990"/>
    <w:rsid w:val="00567C4C"/>
    <w:rsid w:val="00570B8B"/>
    <w:rsid w:val="005728C8"/>
    <w:rsid w:val="00573389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6B26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227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3CEE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4FB0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0A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230D"/>
    <w:rsid w:val="00653149"/>
    <w:rsid w:val="006531E4"/>
    <w:rsid w:val="00654505"/>
    <w:rsid w:val="006575ED"/>
    <w:rsid w:val="006578FD"/>
    <w:rsid w:val="00660060"/>
    <w:rsid w:val="006609AA"/>
    <w:rsid w:val="00662399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5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454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2D2"/>
    <w:rsid w:val="006E7572"/>
    <w:rsid w:val="006F2F22"/>
    <w:rsid w:val="006F434A"/>
    <w:rsid w:val="006F7974"/>
    <w:rsid w:val="00700A60"/>
    <w:rsid w:val="00705027"/>
    <w:rsid w:val="00710494"/>
    <w:rsid w:val="007117BD"/>
    <w:rsid w:val="00714DB7"/>
    <w:rsid w:val="00715129"/>
    <w:rsid w:val="007154CE"/>
    <w:rsid w:val="00715B25"/>
    <w:rsid w:val="00716020"/>
    <w:rsid w:val="00720860"/>
    <w:rsid w:val="00721087"/>
    <w:rsid w:val="00721530"/>
    <w:rsid w:val="00723422"/>
    <w:rsid w:val="00724D0E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4C6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3CC"/>
    <w:rsid w:val="007B2800"/>
    <w:rsid w:val="007B38F7"/>
    <w:rsid w:val="007B3B99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540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21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D4A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2FEE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1AEB"/>
    <w:rsid w:val="008920C2"/>
    <w:rsid w:val="00895702"/>
    <w:rsid w:val="00896877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BC6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3D3A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0F5"/>
    <w:rsid w:val="00A61365"/>
    <w:rsid w:val="00A61759"/>
    <w:rsid w:val="00A61B88"/>
    <w:rsid w:val="00A62C70"/>
    <w:rsid w:val="00A63982"/>
    <w:rsid w:val="00A65845"/>
    <w:rsid w:val="00A65A41"/>
    <w:rsid w:val="00A65D1B"/>
    <w:rsid w:val="00A666AA"/>
    <w:rsid w:val="00A671FC"/>
    <w:rsid w:val="00A70295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0F7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0A9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011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E41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A7C6C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587"/>
    <w:rsid w:val="00D329B9"/>
    <w:rsid w:val="00D33412"/>
    <w:rsid w:val="00D3482C"/>
    <w:rsid w:val="00D3664C"/>
    <w:rsid w:val="00D3683A"/>
    <w:rsid w:val="00D37468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0CB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543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3BD"/>
    <w:rsid w:val="00E244CA"/>
    <w:rsid w:val="00E2512D"/>
    <w:rsid w:val="00E2548C"/>
    <w:rsid w:val="00E2662B"/>
    <w:rsid w:val="00E26736"/>
    <w:rsid w:val="00E268AC"/>
    <w:rsid w:val="00E27918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2ECB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EA1"/>
    <w:rsid w:val="00EB24F2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1EE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6B0"/>
    <w:rsid w:val="00F75896"/>
    <w:rsid w:val="00F76666"/>
    <w:rsid w:val="00F7688E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4D3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688E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688E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BF41-9117-489C-AE3B-CA01319B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15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WIPO/GRTKF/IC/29/-- (Arabic)</vt:lpstr>
    </vt:vector>
  </TitlesOfParts>
  <Company>World Intellectual Property Organization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WIPO/GRTKF/IC/29/-- (Arabic)</dc:title>
  <dc:creator>MERZOUK Fawzi</dc:creator>
  <cp:lastModifiedBy>AHMIDOUCH Noureddine</cp:lastModifiedBy>
  <cp:revision>8</cp:revision>
  <cp:lastPrinted>2016-03-18T15:14:00Z</cp:lastPrinted>
  <dcterms:created xsi:type="dcterms:W3CDTF">2016-03-17T11:19:00Z</dcterms:created>
  <dcterms:modified xsi:type="dcterms:W3CDTF">2016-03-18T15:15:00Z</dcterms:modified>
</cp:coreProperties>
</file>