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716787">
            <w:pPr>
              <w:pStyle w:val="DocumentCodeAR"/>
              <w:bidi/>
              <w:rPr>
                <w:rtl/>
                <w:lang w:bidi="ar-EG"/>
              </w:rPr>
            </w:pPr>
            <w:r>
              <w:t>WIPO/GRTKF/IC/30/</w:t>
            </w:r>
            <w:r w:rsidR="00716787">
              <w:t>6</w:t>
            </w:r>
          </w:p>
        </w:tc>
      </w:tr>
      <w:tr w:rsidR="001667B6" w:rsidTr="00BF164F">
        <w:tc>
          <w:tcPr>
            <w:tcW w:w="9571" w:type="dxa"/>
            <w:gridSpan w:val="3"/>
          </w:tcPr>
          <w:p w:rsidR="001667B6" w:rsidRPr="00B6101C" w:rsidRDefault="00B6101C" w:rsidP="00716787">
            <w:pPr>
              <w:pStyle w:val="DocumentLanguageAR"/>
              <w:bidi/>
              <w:rPr>
                <w:rtl/>
              </w:rPr>
            </w:pPr>
            <w:r w:rsidRPr="00B6101C">
              <w:rPr>
                <w:rFonts w:hint="cs"/>
                <w:rtl/>
              </w:rPr>
              <w:t xml:space="preserve">الأصل: </w:t>
            </w:r>
            <w:r w:rsidR="00716787">
              <w:rPr>
                <w:rFonts w:hint="cs"/>
                <w:rtl/>
              </w:rPr>
              <w:t>بالإنكليزية</w:t>
            </w:r>
          </w:p>
        </w:tc>
      </w:tr>
      <w:tr w:rsidR="001667B6" w:rsidTr="00BF164F">
        <w:tc>
          <w:tcPr>
            <w:tcW w:w="9571" w:type="dxa"/>
            <w:gridSpan w:val="3"/>
          </w:tcPr>
          <w:p w:rsidR="001667B6" w:rsidRPr="00B6101C" w:rsidRDefault="00B6101C" w:rsidP="00716787">
            <w:pPr>
              <w:pStyle w:val="DocumentDateAR"/>
              <w:bidi/>
              <w:rPr>
                <w:rtl/>
              </w:rPr>
            </w:pPr>
            <w:r w:rsidRPr="00B6101C">
              <w:rPr>
                <w:rFonts w:hint="cs"/>
                <w:rtl/>
              </w:rPr>
              <w:t xml:space="preserve">التاريخ: </w:t>
            </w:r>
            <w:r w:rsidR="00716787">
              <w:rPr>
                <w:rFonts w:hint="cs"/>
                <w:rtl/>
              </w:rPr>
              <w:t>15</w:t>
            </w:r>
            <w:r w:rsidRPr="00B6101C">
              <w:rPr>
                <w:rFonts w:hint="cs"/>
                <w:rtl/>
              </w:rPr>
              <w:t xml:space="preserve"> </w:t>
            </w:r>
            <w:r w:rsidR="00716787">
              <w:rPr>
                <w:rFonts w:hint="cs"/>
                <w:rtl/>
              </w:rPr>
              <w:t>مارس</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15593C">
        <w:rPr>
          <w:rFonts w:ascii="Cambria Math" w:hAnsi="Cambria Math" w:hint="cs"/>
          <w:rtl/>
        </w:rPr>
        <w:t>الثلاثون</w:t>
      </w:r>
    </w:p>
    <w:p w:rsidR="00D61541" w:rsidRPr="00D61541" w:rsidRDefault="0015593C" w:rsidP="002C3B74">
      <w:pPr>
        <w:pStyle w:val="MeetingDatesAR"/>
        <w:bidi/>
        <w:rPr>
          <w:rtl/>
        </w:rPr>
      </w:pPr>
      <w:r w:rsidRPr="0015593C">
        <w:rPr>
          <w:rtl/>
        </w:rPr>
        <w:t>جنيف، من 30 مايو إلى 3 يونيو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16787" w:rsidP="00FB7EC9">
      <w:pPr>
        <w:pStyle w:val="DocumentTitleAR"/>
        <w:bidi/>
        <w:rPr>
          <w:rtl/>
        </w:rPr>
      </w:pPr>
      <w:r>
        <w:rPr>
          <w:rFonts w:hint="cs"/>
          <w:rtl/>
        </w:rPr>
        <w:t>توصية مشتركة بشأن الموارد الوراثية والمعارف التقليدية المرتبطة بها</w:t>
      </w:r>
    </w:p>
    <w:p w:rsidR="00D61541" w:rsidRPr="00D61541" w:rsidRDefault="00716787" w:rsidP="00931859">
      <w:pPr>
        <w:pStyle w:val="PreparedbyAR"/>
        <w:bidi/>
        <w:rPr>
          <w:rtl/>
        </w:rPr>
      </w:pPr>
      <w:r>
        <w:rPr>
          <w:rFonts w:hint="cs"/>
          <w:rtl/>
        </w:rPr>
        <w:t>وثيقة مقدمة من وفود كندا واليابان والنرويج وجمهورية كوريا والولايات المتحدة الأمريكية</w:t>
      </w:r>
    </w:p>
    <w:p w:rsidR="00716787" w:rsidRDefault="004635BE" w:rsidP="0005442C">
      <w:pPr>
        <w:pStyle w:val="NumberedParaAR"/>
      </w:pPr>
      <w:r>
        <w:rPr>
          <w:rFonts w:hint="cs"/>
          <w:rtl/>
        </w:rPr>
        <w:t>ف</w:t>
      </w:r>
      <w:r>
        <w:rPr>
          <w:rtl/>
        </w:rPr>
        <w:t xml:space="preserve">ي </w:t>
      </w:r>
      <w:r>
        <w:rPr>
          <w:rFonts w:hint="cs"/>
          <w:rtl/>
        </w:rPr>
        <w:t>14</w:t>
      </w:r>
      <w:r>
        <w:rPr>
          <w:rtl/>
        </w:rPr>
        <w:t xml:space="preserve"> </w:t>
      </w:r>
      <w:r>
        <w:rPr>
          <w:rFonts w:hint="cs"/>
          <w:rtl/>
        </w:rPr>
        <w:t>مارس</w:t>
      </w:r>
      <w:r>
        <w:rPr>
          <w:rtl/>
        </w:rPr>
        <w:t xml:space="preserve">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204177">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 xml:space="preserve">قدّم من جديد </w:t>
      </w:r>
      <w:r w:rsidRPr="004635BE">
        <w:rPr>
          <w:rtl/>
        </w:rPr>
        <w:t>"التوصية المشتركة بشأن الموارد الوراثية والمعارف التقليدية المرتبطة بها"</w:t>
      </w:r>
      <w:r>
        <w:rPr>
          <w:rtl/>
        </w:rPr>
        <w:t xml:space="preserve"> كما جاء</w:t>
      </w:r>
      <w:r>
        <w:rPr>
          <w:rFonts w:hint="cs"/>
          <w:rtl/>
        </w:rPr>
        <w:t>ت</w:t>
      </w:r>
      <w:r>
        <w:rPr>
          <w:rtl/>
        </w:rPr>
        <w:t xml:space="preserve"> في الوثيقة</w:t>
      </w:r>
      <w:r>
        <w:rPr>
          <w:rFonts w:hint="cs"/>
          <w:rtl/>
        </w:rPr>
        <w:t> </w:t>
      </w:r>
      <w:r>
        <w:t>WIPO/GRTKF/IC/29/5</w:t>
      </w:r>
      <w:r>
        <w:rPr>
          <w:rFonts w:hint="cs"/>
          <w:rtl/>
        </w:rPr>
        <w:t xml:space="preserve">، </w:t>
      </w:r>
      <w:r>
        <w:rPr>
          <w:rtl/>
        </w:rPr>
        <w:t xml:space="preserve">كي تناقشها الدورة </w:t>
      </w:r>
      <w:r>
        <w:rPr>
          <w:rFonts w:hint="cs"/>
          <w:rtl/>
        </w:rPr>
        <w:t>الثلاث</w:t>
      </w:r>
      <w:r w:rsidR="0005442C">
        <w:rPr>
          <w:rFonts w:hint="cs"/>
          <w:rtl/>
        </w:rPr>
        <w:t>و</w:t>
      </w:r>
      <w:bookmarkStart w:id="2" w:name="_GoBack"/>
      <w:bookmarkEnd w:id="2"/>
      <w:r>
        <w:rPr>
          <w:rFonts w:hint="cs"/>
          <w:rtl/>
        </w:rPr>
        <w:t>ن</w:t>
      </w:r>
      <w:r>
        <w:rPr>
          <w:rtl/>
        </w:rPr>
        <w:t xml:space="preserve"> للجنة الحكومية الدولية المعنية بالملكية الفكرية والموارد الوراثية والمعارف التقليدية والفولكلور (اللجنة) كوثيقة عمل </w:t>
      </w:r>
      <w:r w:rsidR="00204177">
        <w:rPr>
          <w:rFonts w:hint="cs"/>
          <w:rtl/>
        </w:rPr>
        <w:t>تحت</w:t>
      </w:r>
      <w:r>
        <w:rPr>
          <w:rtl/>
        </w:rPr>
        <w:t xml:space="preserve"> بند جدول الأعمال</w:t>
      </w:r>
      <w:r>
        <w:rPr>
          <w:rFonts w:hint="cs"/>
          <w:rtl/>
        </w:rPr>
        <w:t xml:space="preserve"> "</w:t>
      </w:r>
      <w:r>
        <w:rPr>
          <w:rtl/>
        </w:rPr>
        <w:t>الموارد الوراثية</w:t>
      </w:r>
      <w:r>
        <w:rPr>
          <w:rFonts w:hint="cs"/>
          <w:rtl/>
        </w:rPr>
        <w:t>".</w:t>
      </w:r>
    </w:p>
    <w:p w:rsidR="00716787" w:rsidRDefault="00716787" w:rsidP="00716787">
      <w:pPr>
        <w:pStyle w:val="NumberedParaAR"/>
      </w:pPr>
      <w:r>
        <w:rPr>
          <w:rFonts w:hint="cs"/>
          <w:rtl/>
        </w:rPr>
        <w:t>وبناء على الطلب المذكور أعلاه، يحتوي مرفق هذه الوثيقة على الاقتراح المشار إليه.</w:t>
      </w:r>
    </w:p>
    <w:p w:rsidR="00716787" w:rsidRDefault="00716787" w:rsidP="00716787">
      <w:pPr>
        <w:pStyle w:val="DecisionParaAR"/>
        <w:rPr>
          <w:rtl/>
        </w:rPr>
      </w:pPr>
      <w:r>
        <w:rPr>
          <w:rFonts w:hint="cs"/>
          <w:rtl/>
        </w:rPr>
        <w:t>إن اللجنة مدعوة إلى الإحاطة علما بهذه الوثيقة ومرفقها.</w:t>
      </w:r>
    </w:p>
    <w:p w:rsidR="00716787" w:rsidRDefault="00716787" w:rsidP="00716787">
      <w:pPr>
        <w:pStyle w:val="EndofDocumentAR"/>
        <w:rPr>
          <w:rtl/>
        </w:rPr>
      </w:pPr>
      <w:r>
        <w:rPr>
          <w:rFonts w:hint="cs"/>
          <w:rtl/>
        </w:rPr>
        <w:t>[يلي ذلك المرفق]</w:t>
      </w:r>
    </w:p>
    <w:p w:rsidR="00716787" w:rsidRDefault="00716787" w:rsidP="007F38D1">
      <w:pPr>
        <w:pStyle w:val="NormalParaAR"/>
        <w:rPr>
          <w:rtl/>
        </w:rPr>
        <w:sectPr w:rsidR="00716787" w:rsidSect="00EB7752">
          <w:headerReference w:type="default" r:id="rId10"/>
          <w:pgSz w:w="11907" w:h="16840" w:code="9"/>
          <w:pgMar w:top="567" w:right="1418" w:bottom="1418" w:left="1134" w:header="510" w:footer="1021" w:gutter="0"/>
          <w:cols w:space="720"/>
          <w:titlePg/>
          <w:docGrid w:linePitch="299"/>
        </w:sectPr>
      </w:pPr>
    </w:p>
    <w:p w:rsidR="00716787" w:rsidRPr="00FB2D8A" w:rsidRDefault="00716787" w:rsidP="00716787">
      <w:pPr>
        <w:pStyle w:val="NormalParaAR"/>
        <w:rPr>
          <w:sz w:val="40"/>
          <w:szCs w:val="40"/>
          <w:rtl/>
        </w:rPr>
      </w:pPr>
      <w:r w:rsidRPr="00FB2D8A">
        <w:rPr>
          <w:rFonts w:hint="cs"/>
          <w:sz w:val="40"/>
          <w:szCs w:val="40"/>
          <w:rtl/>
        </w:rPr>
        <w:lastRenderedPageBreak/>
        <w:t>توصية مشتركة بشأن الموارد الوراثية والمعارف التقليدية المرتبطة بها</w:t>
      </w:r>
    </w:p>
    <w:p w:rsidR="00716787" w:rsidRDefault="00716787" w:rsidP="00716787">
      <w:pPr>
        <w:pStyle w:val="NormalParaAR"/>
        <w:rPr>
          <w:rtl/>
        </w:rPr>
      </w:pPr>
      <w:r>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716787" w:rsidRDefault="00716787" w:rsidP="00716787">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716787" w:rsidRDefault="00716787" w:rsidP="00716787">
      <w:pPr>
        <w:pStyle w:val="NormalParaAR"/>
        <w:rPr>
          <w:rtl/>
        </w:rPr>
      </w:pPr>
      <w:r>
        <w:rPr>
          <w:rFonts w:hint="cs"/>
          <w:i/>
          <w:iCs/>
          <w:rtl/>
        </w:rPr>
        <w:t>وإذ تقرّان</w:t>
      </w:r>
      <w:r>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t xml:space="preserve"> </w:t>
      </w:r>
      <w:r>
        <w:rPr>
          <w:rFonts w:hint="cs"/>
          <w:rtl/>
        </w:rPr>
        <w:t xml:space="preserve">بطريقة تحقق الرفاه الاجتماعي والاقتصادي؛ </w:t>
      </w:r>
    </w:p>
    <w:p w:rsidR="00716787" w:rsidRDefault="00716787" w:rsidP="00716787">
      <w:pPr>
        <w:pStyle w:val="NormalParaAR"/>
        <w:rPr>
          <w:rtl/>
        </w:rPr>
      </w:pPr>
      <w:r w:rsidRPr="006F58DC">
        <w:rPr>
          <w:rFonts w:hint="cs"/>
          <w:i/>
          <w:iCs/>
          <w:rtl/>
        </w:rPr>
        <w:t>وإذ تشددان</w:t>
      </w:r>
      <w:r>
        <w:rPr>
          <w:rFonts w:hint="cs"/>
          <w:rtl/>
        </w:rPr>
        <w:t xml:space="preserve"> على الحاجة إلى منع منح البراءات عن خطأ لابتكارات أو اختراعات </w:t>
      </w:r>
      <w:r w:rsidRPr="00B625BE">
        <w:rPr>
          <w:rtl/>
        </w:rPr>
        <w:t xml:space="preserve">لا </w:t>
      </w:r>
      <w:r>
        <w:rPr>
          <w:rFonts w:hint="cs"/>
          <w:rtl/>
        </w:rPr>
        <w:t>تكون جديدة</w:t>
      </w:r>
      <w:r w:rsidRPr="00B625BE">
        <w:rPr>
          <w:rtl/>
        </w:rPr>
        <w:t xml:space="preserve"> أو لا تنطوي على نشاط ابتكاري </w:t>
      </w:r>
      <w:r>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716787" w:rsidRDefault="00716787" w:rsidP="00716787">
      <w:pPr>
        <w:pStyle w:val="NormalParaAR"/>
        <w:rPr>
          <w:rtl/>
        </w:rPr>
      </w:pPr>
      <w:r w:rsidRPr="006F58DC">
        <w:rPr>
          <w:rFonts w:hint="cs"/>
          <w:i/>
          <w:iCs/>
          <w:rtl/>
        </w:rPr>
        <w:t>وإذ تشددان أيضا</w:t>
      </w:r>
      <w:r>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716787" w:rsidRDefault="00716787" w:rsidP="00716787">
      <w:pPr>
        <w:pStyle w:val="NormalParaAR"/>
        <w:rPr>
          <w:rtl/>
        </w:rPr>
      </w:pPr>
      <w:r w:rsidRPr="006F58DC">
        <w:rPr>
          <w:rFonts w:hint="cs"/>
          <w:i/>
          <w:iCs/>
          <w:rtl/>
        </w:rPr>
        <w:t>توصيان</w:t>
      </w:r>
      <w:r>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716787" w:rsidRDefault="00716787" w:rsidP="00716787">
      <w:pPr>
        <w:pStyle w:val="NormalParaAR"/>
        <w:keepNext/>
        <w:rPr>
          <w:rtl/>
        </w:rPr>
      </w:pPr>
      <w:r>
        <w:rPr>
          <w:rFonts w:hint="cs"/>
          <w:rtl/>
        </w:rPr>
        <w:t>ترد التوصيات فيما يلي:</w:t>
      </w:r>
    </w:p>
    <w:p w:rsidR="00716787" w:rsidRDefault="00716787" w:rsidP="00716787">
      <w:pPr>
        <w:pStyle w:val="NumberedParaAR"/>
        <w:numPr>
          <w:ilvl w:val="0"/>
          <w:numId w:val="21"/>
        </w:numPr>
        <w:rPr>
          <w:rtl/>
        </w:rPr>
      </w:pPr>
      <w:r>
        <w:rPr>
          <w:rFonts w:hint="cs"/>
          <w:rtl/>
        </w:rPr>
        <w:t>تعريف المصطلحات</w:t>
      </w:r>
    </w:p>
    <w:p w:rsidR="00716787" w:rsidRDefault="00716787" w:rsidP="00716787">
      <w:pPr>
        <w:pStyle w:val="NormalParaAR"/>
        <w:rPr>
          <w:rtl/>
        </w:rPr>
      </w:pPr>
      <w:r>
        <w:rPr>
          <w:rFonts w:hint="cs"/>
          <w:rtl/>
        </w:rPr>
        <w:t>يقصد بعبارة "المادة الوراثية" مادة من أصل نباتي أو حيواني أو جرثومي أو من أصل آخر تحتوي على وحدات عاملة للوراثة.</w:t>
      </w:r>
    </w:p>
    <w:p w:rsidR="00716787" w:rsidRDefault="00716787" w:rsidP="00716787">
      <w:pPr>
        <w:pStyle w:val="NormalParaAR"/>
        <w:rPr>
          <w:rtl/>
        </w:rPr>
      </w:pPr>
      <w:r>
        <w:rPr>
          <w:rFonts w:hint="cs"/>
          <w:rtl/>
        </w:rPr>
        <w:t>يقصد بعبارة "الموارد الوراثية" أية مواد وراثية ذات قيمة فعلية أو محتملة.</w:t>
      </w:r>
    </w:p>
    <w:p w:rsidR="00716787" w:rsidRDefault="00716787" w:rsidP="00716787">
      <w:pPr>
        <w:pStyle w:val="NormalParaAR"/>
        <w:rPr>
          <w:rtl/>
        </w:rPr>
      </w:pPr>
      <w:r>
        <w:rPr>
          <w:rFonts w:hint="cs"/>
          <w:rtl/>
        </w:rPr>
        <w:t>يقصد بعبارة "الدولة العضو" دولة عضوا في المنظمة العالمية للملكية الفكرية.</w:t>
      </w:r>
    </w:p>
    <w:p w:rsidR="00716787" w:rsidRDefault="00716787" w:rsidP="00716787">
      <w:pPr>
        <w:pStyle w:val="NormalParaAR"/>
        <w:rPr>
          <w:rtl/>
        </w:rPr>
      </w:pPr>
      <w:r>
        <w:rPr>
          <w:rFonts w:hint="cs"/>
          <w:rtl/>
        </w:rPr>
        <w:t>يقصد بعبارة "مكتب البراءات" إدارة في دولة عضو مكلفة بمنح البراءات.</w:t>
      </w:r>
    </w:p>
    <w:p w:rsidR="00716787" w:rsidRDefault="00716787" w:rsidP="00716787">
      <w:pPr>
        <w:pStyle w:val="NormalParaAR"/>
        <w:rPr>
          <w:rtl/>
        </w:rPr>
      </w:pPr>
      <w:r>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716787" w:rsidRDefault="00716787" w:rsidP="00716787">
      <w:pPr>
        <w:pStyle w:val="NumberedParaAR"/>
        <w:keepNext/>
        <w:spacing w:before="120"/>
        <w:rPr>
          <w:rtl/>
        </w:rPr>
      </w:pPr>
      <w:r>
        <w:rPr>
          <w:rFonts w:hint="cs"/>
          <w:rtl/>
        </w:rPr>
        <w:lastRenderedPageBreak/>
        <w:t>الأهداف والمبادئ</w:t>
      </w:r>
    </w:p>
    <w:p w:rsidR="00716787" w:rsidRDefault="00716787" w:rsidP="00716787">
      <w:pPr>
        <w:pStyle w:val="NormalParaAR"/>
        <w:keepNext/>
        <w:rPr>
          <w:rtl/>
        </w:rPr>
      </w:pPr>
      <w:r>
        <w:rPr>
          <w:rFonts w:hint="cs"/>
          <w:rtl/>
        </w:rPr>
        <w:t>ينبغي أن تسعى الدول الأعضاء إلى ما يلي، عند حماية الموارد الوراثية والمعارف التقليدية المرتبطة بها:</w:t>
      </w:r>
    </w:p>
    <w:p w:rsidR="00716787" w:rsidRDefault="00716787" w:rsidP="00BC122F">
      <w:pPr>
        <w:pStyle w:val="NormalParaAR"/>
        <w:ind w:left="566" w:hanging="566"/>
        <w:rPr>
          <w:rtl/>
        </w:rPr>
      </w:pPr>
      <w:r>
        <w:rPr>
          <w:rFonts w:hint="cs"/>
          <w:rtl/>
        </w:rPr>
        <w:t>(</w:t>
      </w:r>
      <w:r w:rsidR="00BC122F">
        <w:rPr>
          <w:rFonts w:hint="cs"/>
          <w:rtl/>
        </w:rPr>
        <w:t>أ</w:t>
      </w:r>
      <w:r>
        <w:rPr>
          <w:rFonts w:hint="cs"/>
          <w:rtl/>
        </w:rPr>
        <w:t>)</w:t>
      </w:r>
      <w:r>
        <w:rPr>
          <w:rFonts w:hint="cs"/>
          <w:rtl/>
        </w:rPr>
        <w:tab/>
        <w:t xml:space="preserve">منع منح البراءات عن خطأ لاختراعات </w:t>
      </w:r>
      <w:r w:rsidRPr="006F58DC">
        <w:rPr>
          <w:rtl/>
        </w:rPr>
        <w:t xml:space="preserve">لا </w:t>
      </w:r>
      <w:r>
        <w:rPr>
          <w:rFonts w:hint="cs"/>
          <w:rtl/>
        </w:rPr>
        <w:t>تتمتع بالجدة</w:t>
      </w:r>
      <w:r w:rsidRPr="006F58DC">
        <w:rPr>
          <w:rtl/>
        </w:rPr>
        <w:t xml:space="preserve"> أو لا تنطوي على نشاط ابتكاري</w:t>
      </w:r>
      <w:r>
        <w:rPr>
          <w:rFonts w:hint="cs"/>
          <w:rtl/>
        </w:rPr>
        <w:t xml:space="preserve"> فيما يتعلق بالموارد الوراثية والمعارف التقليدية المرتبطة بها.</w:t>
      </w:r>
    </w:p>
    <w:p w:rsidR="00716787" w:rsidRDefault="00716787" w:rsidP="00BC122F">
      <w:pPr>
        <w:pStyle w:val="NormalParaAR"/>
        <w:ind w:left="566" w:hanging="566"/>
        <w:rPr>
          <w:rtl/>
        </w:rPr>
      </w:pPr>
      <w:r>
        <w:rPr>
          <w:rFonts w:hint="cs"/>
          <w:rtl/>
        </w:rPr>
        <w:t>(ب)</w:t>
      </w:r>
      <w:r>
        <w:rPr>
          <w:rFonts w:hint="cs"/>
          <w:rtl/>
        </w:rPr>
        <w:tab/>
      </w:r>
      <w:r w:rsidRPr="006D14F4">
        <w:rPr>
          <w:rFonts w:hint="cs"/>
          <w:rtl/>
        </w:rPr>
        <w:t xml:space="preserve">حماية الشعوب الأصلية والجماعات المحلية </w:t>
      </w:r>
      <w:r>
        <w:rPr>
          <w:rFonts w:hint="cs"/>
          <w:rtl/>
        </w:rPr>
        <w:t xml:space="preserve">من التقييدات التي قد تطرأ على الاستخدام التقليدي </w:t>
      </w:r>
      <w:r w:rsidRPr="006D14F4">
        <w:rPr>
          <w:rFonts w:hint="cs"/>
          <w:rtl/>
        </w:rPr>
        <w:t>لموارد</w:t>
      </w:r>
      <w:r>
        <w:rPr>
          <w:rFonts w:hint="cs"/>
          <w:rtl/>
        </w:rPr>
        <w:t>ها</w:t>
      </w:r>
      <w:r w:rsidRPr="006D14F4">
        <w:rPr>
          <w:rFonts w:hint="cs"/>
          <w:rtl/>
        </w:rPr>
        <w:t xml:space="preserve"> الوراثية ومعارف</w:t>
      </w:r>
      <w:r>
        <w:rPr>
          <w:rFonts w:hint="cs"/>
          <w:rtl/>
        </w:rPr>
        <w:t>ها</w:t>
      </w:r>
      <w:r w:rsidRPr="006D14F4">
        <w:rPr>
          <w:rFonts w:hint="cs"/>
          <w:rtl/>
        </w:rPr>
        <w:t xml:space="preserve"> التقليدية المرتبطة بها </w:t>
      </w:r>
      <w:r>
        <w:rPr>
          <w:rFonts w:hint="cs"/>
          <w:rtl/>
        </w:rPr>
        <w:t>من جراء</w:t>
      </w:r>
      <w:r w:rsidRPr="006D14F4">
        <w:rPr>
          <w:rFonts w:hint="cs"/>
          <w:rtl/>
        </w:rPr>
        <w:t xml:space="preserve"> منح براءات</w:t>
      </w:r>
      <w:r>
        <w:rPr>
          <w:rFonts w:hint="cs"/>
          <w:rtl/>
        </w:rPr>
        <w:t xml:space="preserve"> ب</w:t>
      </w:r>
      <w:r w:rsidRPr="006D14F4">
        <w:rPr>
          <w:rFonts w:hint="cs"/>
          <w:rtl/>
        </w:rPr>
        <w:t>شأنها</w:t>
      </w:r>
      <w:r>
        <w:rPr>
          <w:rFonts w:hint="cs"/>
          <w:rtl/>
        </w:rPr>
        <w:t xml:space="preserve"> عن خطأ</w:t>
      </w:r>
      <w:r w:rsidRPr="006D14F4">
        <w:rPr>
          <w:rFonts w:hint="cs"/>
          <w:rtl/>
        </w:rPr>
        <w:t>.</w:t>
      </w:r>
    </w:p>
    <w:p w:rsidR="00716787" w:rsidRPr="00B625BE" w:rsidRDefault="00716787" w:rsidP="00BC122F">
      <w:pPr>
        <w:pStyle w:val="NormalParaAR"/>
        <w:ind w:left="566" w:hanging="566"/>
        <w:rPr>
          <w:rtl/>
        </w:rPr>
      </w:pPr>
      <w:r>
        <w:rPr>
          <w:rFonts w:hint="cs"/>
          <w:rtl/>
        </w:rPr>
        <w:t>(ج)</w:t>
      </w:r>
      <w:r>
        <w:rPr>
          <w:rFonts w:hint="cs"/>
          <w:rtl/>
        </w:rPr>
        <w:tab/>
      </w:r>
      <w:r w:rsidRPr="00B625BE">
        <w:rPr>
          <w:rtl/>
        </w:rPr>
        <w:t xml:space="preserve">ضمان توافر المعلومات </w:t>
      </w:r>
      <w:r>
        <w:rPr>
          <w:rFonts w:hint="cs"/>
          <w:rtl/>
        </w:rPr>
        <w:t xml:space="preserve">المناسبة </w:t>
      </w:r>
      <w:r w:rsidRPr="00B625BE">
        <w:rPr>
          <w:rtl/>
        </w:rPr>
        <w:t>لدى مكاتب البراءات</w:t>
      </w:r>
      <w:r>
        <w:rPr>
          <w:rFonts w:hint="cs"/>
          <w:rtl/>
        </w:rPr>
        <w:t xml:space="preserve"> مما يكون ضروريا</w:t>
      </w:r>
      <w:r w:rsidRPr="00B625BE">
        <w:rPr>
          <w:rtl/>
        </w:rPr>
        <w:t xml:space="preserve"> لتتمكن من اتخاذ قرارات صائبة في منح</w:t>
      </w:r>
      <w:r w:rsidR="00BC122F">
        <w:rPr>
          <w:rFonts w:hint="cs"/>
          <w:rtl/>
        </w:rPr>
        <w:t> </w:t>
      </w:r>
      <w:r w:rsidRPr="00B625BE">
        <w:rPr>
          <w:rtl/>
        </w:rPr>
        <w:t>البراءات</w:t>
      </w:r>
      <w:r>
        <w:rPr>
          <w:rFonts w:hint="cs"/>
          <w:rtl/>
        </w:rPr>
        <w:t>.</w:t>
      </w:r>
    </w:p>
    <w:p w:rsidR="00716787" w:rsidRDefault="00716787" w:rsidP="00716787">
      <w:pPr>
        <w:pStyle w:val="NormalParaAR"/>
        <w:rPr>
          <w:rtl/>
        </w:rPr>
      </w:pPr>
      <w:r>
        <w:rPr>
          <w:rFonts w:hint="cs"/>
          <w:rtl/>
        </w:rPr>
        <w:t>(د)</w:t>
      </w:r>
      <w:r>
        <w:rPr>
          <w:rFonts w:hint="cs"/>
          <w:rtl/>
        </w:rPr>
        <w:tab/>
        <w:t>الحفاظ على حوافز الابتكار التي يكفلها نظام البراءات.</w:t>
      </w:r>
    </w:p>
    <w:p w:rsidR="00716787" w:rsidRDefault="00716787" w:rsidP="00716787">
      <w:pPr>
        <w:pStyle w:val="NumberedParaAR"/>
        <w:spacing w:before="120"/>
        <w:rPr>
          <w:rtl/>
        </w:rPr>
      </w:pPr>
      <w:r>
        <w:rPr>
          <w:rFonts w:hint="cs"/>
          <w:rtl/>
        </w:rPr>
        <w:t>منع منح البراءات عن خطأ</w:t>
      </w:r>
    </w:p>
    <w:p w:rsidR="00716787" w:rsidRDefault="00716787" w:rsidP="00716787">
      <w:pPr>
        <w:pStyle w:val="NormalParaAR"/>
        <w:rPr>
          <w:rtl/>
        </w:rPr>
      </w:pPr>
      <w:r>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716787" w:rsidRDefault="00716787" w:rsidP="00BC122F">
      <w:pPr>
        <w:pStyle w:val="NormalParaAR"/>
        <w:rPr>
          <w:rtl/>
        </w:rPr>
      </w:pPr>
      <w:r>
        <w:rPr>
          <w:rFonts w:hint="cs"/>
          <w:rtl/>
        </w:rPr>
        <w:t>(</w:t>
      </w:r>
      <w:r w:rsidR="00BC122F">
        <w:rPr>
          <w:rFonts w:hint="cs"/>
          <w:rtl/>
        </w:rPr>
        <w:t>أ</w:t>
      </w:r>
      <w:r>
        <w:rPr>
          <w:rFonts w:hint="cs"/>
          <w:rtl/>
        </w:rPr>
        <w:t>)</w:t>
      </w:r>
      <w:r>
        <w:rPr>
          <w:rFonts w:hint="cs"/>
          <w:rtl/>
        </w:rPr>
        <w:tab/>
        <w:t>تستبق اختراعا مطالبا به (انتفاء الجدة)؛</w:t>
      </w:r>
    </w:p>
    <w:p w:rsidR="00716787" w:rsidRDefault="00716787" w:rsidP="00716787">
      <w:pPr>
        <w:pStyle w:val="NormalParaAR"/>
        <w:rPr>
          <w:rtl/>
        </w:rPr>
      </w:pPr>
      <w:r>
        <w:rPr>
          <w:rFonts w:hint="cs"/>
          <w:rtl/>
        </w:rPr>
        <w:t>(ب)</w:t>
      </w:r>
      <w:r>
        <w:rPr>
          <w:rFonts w:hint="cs"/>
          <w:rtl/>
        </w:rPr>
        <w:tab/>
        <w:t>أو تجعل اختراعا مطالبا به بديهيا (البداهة أو انتفاء النشاط الابتكاري).</w:t>
      </w:r>
    </w:p>
    <w:p w:rsidR="00716787" w:rsidRDefault="00716787" w:rsidP="00716787">
      <w:pPr>
        <w:pStyle w:val="NumberedParaAR"/>
        <w:spacing w:before="120"/>
      </w:pPr>
      <w:r>
        <w:rPr>
          <w:rFonts w:hint="cs"/>
          <w:rtl/>
        </w:rPr>
        <w:t>تدابير الاعتراض</w:t>
      </w:r>
    </w:p>
    <w:p w:rsidR="00716787" w:rsidRDefault="00716787" w:rsidP="00716787">
      <w:pPr>
        <w:pStyle w:val="NumberedParaAR"/>
        <w:numPr>
          <w:ilvl w:val="0"/>
          <w:numId w:val="0"/>
        </w:numPr>
      </w:pPr>
      <w:r>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716787" w:rsidRDefault="00716787" w:rsidP="00716787">
      <w:pPr>
        <w:pStyle w:val="NumberedParaAR"/>
        <w:spacing w:before="120"/>
      </w:pPr>
      <w:r>
        <w:rPr>
          <w:rFonts w:hint="cs"/>
          <w:rtl/>
        </w:rPr>
        <w:t>تدابير الدعم</w:t>
      </w:r>
    </w:p>
    <w:p w:rsidR="00716787" w:rsidRDefault="00716787" w:rsidP="00BC122F">
      <w:pPr>
        <w:pStyle w:val="NumberedParaAR"/>
        <w:numPr>
          <w:ilvl w:val="0"/>
          <w:numId w:val="22"/>
        </w:numPr>
        <w:ind w:left="566" w:hanging="566"/>
        <w:rPr>
          <w:rtl/>
        </w:rPr>
      </w:pPr>
      <w:r>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716787" w:rsidRDefault="00716787" w:rsidP="00BC122F">
      <w:pPr>
        <w:pStyle w:val="NumberedParaAR"/>
        <w:ind w:left="566" w:hanging="566"/>
        <w:rPr>
          <w:rtl/>
        </w:rPr>
      </w:pPr>
      <w:r>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716787" w:rsidRDefault="00716787" w:rsidP="00BC122F">
      <w:pPr>
        <w:pStyle w:val="NumberedParaAR"/>
        <w:ind w:left="566" w:hanging="566"/>
        <w:rPr>
          <w:rtl/>
        </w:rPr>
      </w:pPr>
      <w:r>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716787" w:rsidRDefault="00716787" w:rsidP="00716787">
      <w:pPr>
        <w:pStyle w:val="NumberedParaAR"/>
        <w:keepNext/>
        <w:numPr>
          <w:ilvl w:val="0"/>
          <w:numId w:val="23"/>
        </w:numPr>
        <w:spacing w:before="120"/>
        <w:rPr>
          <w:rtl/>
        </w:rPr>
      </w:pPr>
      <w:r>
        <w:rPr>
          <w:rFonts w:hint="cs"/>
          <w:rtl/>
        </w:rPr>
        <w:lastRenderedPageBreak/>
        <w:t>التطبيق</w:t>
      </w:r>
    </w:p>
    <w:p w:rsidR="00716787" w:rsidRDefault="00716787" w:rsidP="00716787">
      <w:pPr>
        <w:pStyle w:val="NormalParaAR"/>
        <w:rPr>
          <w:rtl/>
        </w:rPr>
      </w:pPr>
      <w:r>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716787" w:rsidRPr="001667B6" w:rsidRDefault="00716787" w:rsidP="00716787">
      <w:pPr>
        <w:pStyle w:val="EndofDocumentAR"/>
      </w:pPr>
      <w:r>
        <w:rPr>
          <w:rFonts w:hint="cs"/>
          <w:rtl/>
        </w:rPr>
        <w:t>[نهاية المرفق والوثيقة]</w:t>
      </w:r>
    </w:p>
    <w:p w:rsidR="00CF79DF" w:rsidRDefault="00CF79DF" w:rsidP="007F38D1">
      <w:pPr>
        <w:pStyle w:val="NormalParaAR"/>
        <w:rPr>
          <w:rtl/>
          <w:lang w:bidi="ar-EG"/>
        </w:rPr>
      </w:pPr>
    </w:p>
    <w:p w:rsidR="00CF79DF" w:rsidRDefault="00CF79DF"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71678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07" w:rsidRDefault="00953107">
      <w:r>
        <w:separator/>
      </w:r>
    </w:p>
  </w:endnote>
  <w:endnote w:type="continuationSeparator" w:id="0">
    <w:p w:rsidR="00953107" w:rsidRDefault="0095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07" w:rsidRDefault="00953107" w:rsidP="009622BF">
      <w:pPr>
        <w:bidi/>
      </w:pPr>
      <w:bookmarkStart w:id="0" w:name="OLE_LINK1"/>
      <w:bookmarkStart w:id="1" w:name="OLE_LINK2"/>
      <w:r>
        <w:separator/>
      </w:r>
      <w:bookmarkEnd w:id="0"/>
      <w:bookmarkEnd w:id="1"/>
    </w:p>
  </w:footnote>
  <w:footnote w:type="continuationSeparator" w:id="0">
    <w:p w:rsidR="00953107" w:rsidRDefault="0095310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8D5779">
    <w:r w:rsidRPr="0015593C">
      <w:t>WIPO/GRTKF/IC/30/--</w:t>
    </w:r>
  </w:p>
  <w:p w:rsidR="002F77FC" w:rsidRDefault="002F77FC" w:rsidP="00D61541">
    <w:r>
      <w:fldChar w:fldCharType="begin"/>
    </w:r>
    <w:r>
      <w:instrText xml:space="preserve"> PAGE  \* MERGEFORMAT </w:instrText>
    </w:r>
    <w:r>
      <w:fldChar w:fldCharType="separate"/>
    </w:r>
    <w:r w:rsidR="00716787">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Default="00716787" w:rsidP="00716787">
    <w:r w:rsidRPr="0015593C">
      <w:t>WIPO/GRTKF/IC/30/</w:t>
    </w:r>
    <w:r>
      <w:t>6</w:t>
    </w:r>
  </w:p>
  <w:p w:rsidR="00716787" w:rsidRDefault="00716787" w:rsidP="00716787">
    <w:r>
      <w:t>Annex</w:t>
    </w:r>
  </w:p>
  <w:p w:rsidR="00716787" w:rsidRDefault="00716787" w:rsidP="00D61541">
    <w:r>
      <w:fldChar w:fldCharType="begin"/>
    </w:r>
    <w:r>
      <w:instrText xml:space="preserve"> PAGE  \* MERGEFORMAT </w:instrText>
    </w:r>
    <w:r>
      <w:fldChar w:fldCharType="separate"/>
    </w:r>
    <w:r w:rsidR="006B157B">
      <w:rPr>
        <w:noProof/>
      </w:rPr>
      <w:t>3</w:t>
    </w:r>
    <w:r>
      <w:fldChar w:fldCharType="end"/>
    </w:r>
  </w:p>
  <w:p w:rsidR="00716787" w:rsidRDefault="0071678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Pr="00D93F16" w:rsidRDefault="00716787" w:rsidP="00716787">
    <w:pPr>
      <w:pStyle w:val="Header"/>
      <w:rPr>
        <w:szCs w:val="22"/>
        <w:lang w:val="en-GB"/>
      </w:rPr>
    </w:pPr>
    <w:r w:rsidRPr="00D93F16">
      <w:rPr>
        <w:szCs w:val="22"/>
      </w:rPr>
      <w:t>WIPO/GRTKF/IC/</w:t>
    </w:r>
    <w:r>
      <w:rPr>
        <w:szCs w:val="22"/>
      </w:rPr>
      <w:t>30</w:t>
    </w:r>
    <w:r w:rsidRPr="00D93F16">
      <w:rPr>
        <w:szCs w:val="22"/>
      </w:rPr>
      <w:t>/</w:t>
    </w:r>
    <w:r>
      <w:rPr>
        <w:szCs w:val="22"/>
      </w:rPr>
      <w:t>6</w:t>
    </w:r>
  </w:p>
  <w:p w:rsidR="00716787" w:rsidRPr="006A5862" w:rsidRDefault="00716787" w:rsidP="00716787">
    <w:pPr>
      <w:pStyle w:val="Header"/>
      <w:rPr>
        <w:sz w:val="20"/>
        <w:lang w:val="en-GB"/>
      </w:rPr>
    </w:pPr>
    <w:r w:rsidRPr="00D93F16">
      <w:rPr>
        <w:szCs w:val="22"/>
        <w:lang w:val="en-GB"/>
      </w:rPr>
      <w:t>ANNEX</w:t>
    </w:r>
  </w:p>
  <w:p w:rsidR="00716787" w:rsidRPr="00647253" w:rsidRDefault="00716787" w:rsidP="00716787">
    <w:pPr>
      <w:pStyle w:val="Header"/>
      <w:spacing w:after="480"/>
      <w:rPr>
        <w:rFonts w:ascii="Arabic Typesetting" w:hAnsi="Arabic Typesetting" w:cs="Arabic Typesetting"/>
        <w:sz w:val="36"/>
        <w:szCs w:val="36"/>
      </w:rPr>
    </w:pPr>
    <w:r w:rsidRPr="00D93F16">
      <w:rPr>
        <w:rStyle w:val="PageNumbe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0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42C"/>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17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EDB"/>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AC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5B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57B"/>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787"/>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00E0"/>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10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01F"/>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78E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22F"/>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06DE-63CE-44C5-B166-50DEEF2D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18</TotalTime>
  <Pages>4</Pages>
  <Words>782</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CHADAREVIAN Diane</dc:creator>
  <cp:lastModifiedBy>CHADAREVIAN Diane</cp:lastModifiedBy>
  <cp:revision>13</cp:revision>
  <cp:lastPrinted>2016-03-29T12:32:00Z</cp:lastPrinted>
  <dcterms:created xsi:type="dcterms:W3CDTF">2016-03-29T09:52:00Z</dcterms:created>
  <dcterms:modified xsi:type="dcterms:W3CDTF">2016-03-29T12:32:00Z</dcterms:modified>
</cp:coreProperties>
</file>