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668A1CF8" w14:textId="77777777" w:rsidTr="00B6101C">
        <w:tc>
          <w:tcPr>
            <w:tcW w:w="4843" w:type="dxa"/>
            <w:tcBorders>
              <w:bottom w:val="single" w:sz="4" w:space="0" w:color="auto"/>
            </w:tcBorders>
          </w:tcPr>
          <w:p w14:paraId="3FF66A6D" w14:textId="77777777"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14:paraId="6B5DBE66" w14:textId="77777777"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19387E68" wp14:editId="2756273C">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065E30FD" w14:textId="77777777" w:rsidR="001667B6" w:rsidRPr="001667B6" w:rsidRDefault="001667B6" w:rsidP="001667B6">
            <w:pPr>
              <w:rPr>
                <w:b/>
                <w:bCs/>
                <w:sz w:val="40"/>
                <w:szCs w:val="40"/>
              </w:rPr>
            </w:pPr>
            <w:r>
              <w:rPr>
                <w:b/>
                <w:bCs/>
                <w:sz w:val="40"/>
                <w:szCs w:val="40"/>
              </w:rPr>
              <w:t>A</w:t>
            </w:r>
          </w:p>
        </w:tc>
      </w:tr>
      <w:tr w:rsidR="001667B6" w14:paraId="492E2FDD" w14:textId="77777777" w:rsidTr="00B6101C">
        <w:trPr>
          <w:trHeight w:val="333"/>
        </w:trPr>
        <w:tc>
          <w:tcPr>
            <w:tcW w:w="9571" w:type="dxa"/>
            <w:gridSpan w:val="3"/>
            <w:tcBorders>
              <w:top w:val="single" w:sz="4" w:space="0" w:color="auto"/>
            </w:tcBorders>
            <w:vAlign w:val="bottom"/>
          </w:tcPr>
          <w:p w14:paraId="5B8645BC" w14:textId="1F743567" w:rsidR="00B6101C" w:rsidRPr="00B6101C" w:rsidRDefault="00772E46" w:rsidP="004135CC">
            <w:pPr>
              <w:pStyle w:val="DocumentCodeAR"/>
              <w:bidi/>
              <w:rPr>
                <w:rtl/>
              </w:rPr>
            </w:pPr>
            <w:r>
              <w:t>WIPO/GRTKF/IC</w:t>
            </w:r>
            <w:r w:rsidR="00100F97">
              <w:t>/</w:t>
            </w:r>
            <w:r w:rsidR="004135CC">
              <w:t>30</w:t>
            </w:r>
            <w:r w:rsidR="00D0339A">
              <w:t>/INF/10</w:t>
            </w:r>
          </w:p>
        </w:tc>
      </w:tr>
      <w:tr w:rsidR="001667B6" w14:paraId="6AFB0E45" w14:textId="77777777" w:rsidTr="00BF164F">
        <w:tc>
          <w:tcPr>
            <w:tcW w:w="9571" w:type="dxa"/>
            <w:gridSpan w:val="3"/>
          </w:tcPr>
          <w:p w14:paraId="0BEF00B6" w14:textId="77777777" w:rsidR="001667B6" w:rsidRPr="00B6101C" w:rsidRDefault="00D0339A" w:rsidP="00FB7EC9">
            <w:pPr>
              <w:pStyle w:val="DocumentLanguageAR"/>
              <w:bidi/>
              <w:rPr>
                <w:rtl/>
              </w:rPr>
            </w:pPr>
            <w:r>
              <w:rPr>
                <w:rFonts w:hint="cs"/>
                <w:rtl/>
              </w:rPr>
              <w:t>الأصل: بالإنكليزية</w:t>
            </w:r>
          </w:p>
        </w:tc>
      </w:tr>
      <w:tr w:rsidR="001667B6" w14:paraId="3379E731" w14:textId="77777777" w:rsidTr="00BF164F">
        <w:tc>
          <w:tcPr>
            <w:tcW w:w="9571" w:type="dxa"/>
            <w:gridSpan w:val="3"/>
          </w:tcPr>
          <w:p w14:paraId="3C5F6A32" w14:textId="336D545A" w:rsidR="001667B6" w:rsidRPr="00B6101C" w:rsidRDefault="00B6101C" w:rsidP="004135CC">
            <w:pPr>
              <w:pStyle w:val="DocumentDateAR"/>
              <w:bidi/>
              <w:rPr>
                <w:rtl/>
              </w:rPr>
            </w:pPr>
            <w:r w:rsidRPr="00B6101C">
              <w:rPr>
                <w:rFonts w:hint="cs"/>
                <w:rtl/>
              </w:rPr>
              <w:t xml:space="preserve">التاريخ: </w:t>
            </w:r>
            <w:r w:rsidR="004135CC">
              <w:rPr>
                <w:rFonts w:hint="cs"/>
                <w:rtl/>
              </w:rPr>
              <w:t>3 مارس</w:t>
            </w:r>
            <w:r w:rsidRPr="00B6101C">
              <w:rPr>
                <w:rFonts w:hint="cs"/>
                <w:rtl/>
              </w:rPr>
              <w:t xml:space="preserve"> </w:t>
            </w:r>
            <w:r w:rsidR="00190B6D">
              <w:rPr>
                <w:rFonts w:hint="cs"/>
                <w:rtl/>
              </w:rPr>
              <w:t>201</w:t>
            </w:r>
            <w:r w:rsidR="00D0339A">
              <w:rPr>
                <w:rFonts w:hint="cs"/>
                <w:rtl/>
              </w:rPr>
              <w:t>6</w:t>
            </w:r>
          </w:p>
        </w:tc>
      </w:tr>
    </w:tbl>
    <w:p w14:paraId="66A71346" w14:textId="77777777" w:rsidR="000F5E56" w:rsidRDefault="000F5E56" w:rsidP="001667B6">
      <w:pPr>
        <w:bidi/>
        <w:spacing w:line="360" w:lineRule="exact"/>
        <w:rPr>
          <w:rFonts w:ascii="Arabic Typesetting" w:hAnsi="Arabic Typesetting" w:cs="Arabic Typesetting"/>
          <w:sz w:val="36"/>
          <w:szCs w:val="36"/>
          <w:rtl/>
        </w:rPr>
      </w:pPr>
    </w:p>
    <w:p w14:paraId="329B416B" w14:textId="77777777" w:rsidR="001667B6" w:rsidRDefault="001667B6" w:rsidP="001667B6">
      <w:pPr>
        <w:bidi/>
        <w:spacing w:line="360" w:lineRule="exact"/>
        <w:rPr>
          <w:rFonts w:ascii="Arabic Typesetting" w:hAnsi="Arabic Typesetting" w:cs="Arabic Typesetting"/>
          <w:sz w:val="36"/>
          <w:szCs w:val="36"/>
          <w:rtl/>
        </w:rPr>
      </w:pPr>
    </w:p>
    <w:p w14:paraId="0929694F" w14:textId="77777777" w:rsidR="00F27305" w:rsidRDefault="00F27305" w:rsidP="00F27305">
      <w:pPr>
        <w:bidi/>
        <w:spacing w:line="360" w:lineRule="exact"/>
        <w:rPr>
          <w:rFonts w:ascii="Arabic Typesetting" w:hAnsi="Arabic Typesetting" w:cs="Arabic Typesetting"/>
          <w:sz w:val="36"/>
          <w:szCs w:val="36"/>
          <w:rtl/>
        </w:rPr>
      </w:pPr>
    </w:p>
    <w:p w14:paraId="14B9C176" w14:textId="77777777"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14:paraId="353F8377" w14:textId="77777777" w:rsidR="001667B6" w:rsidRDefault="001667B6" w:rsidP="001667B6">
      <w:pPr>
        <w:bidi/>
        <w:spacing w:line="360" w:lineRule="exact"/>
        <w:rPr>
          <w:rFonts w:ascii="Arabic Typesetting" w:hAnsi="Arabic Typesetting" w:cs="Arabic Typesetting"/>
          <w:sz w:val="36"/>
          <w:szCs w:val="36"/>
          <w:rtl/>
        </w:rPr>
      </w:pPr>
    </w:p>
    <w:p w14:paraId="60A33D87" w14:textId="2B5068AA" w:rsidR="001667B6" w:rsidRPr="00783D11" w:rsidRDefault="00F27305" w:rsidP="004135CC">
      <w:pPr>
        <w:pStyle w:val="MeetingSessionAR"/>
        <w:bidi/>
        <w:rPr>
          <w:rFonts w:ascii="Cambria Math" w:hAnsi="Cambria Math"/>
          <w:rtl/>
        </w:rPr>
      </w:pPr>
      <w:r w:rsidRPr="00783D11">
        <w:rPr>
          <w:rFonts w:ascii="Cambria Math" w:hAnsi="Cambria Math"/>
          <w:rtl/>
        </w:rPr>
        <w:t xml:space="preserve">الدورة </w:t>
      </w:r>
      <w:r w:rsidR="004135CC">
        <w:rPr>
          <w:rFonts w:ascii="Cambria Math" w:hAnsi="Cambria Math" w:hint="cs"/>
          <w:rtl/>
        </w:rPr>
        <w:t>الثلاثون</w:t>
      </w:r>
    </w:p>
    <w:p w14:paraId="717C40F4" w14:textId="1D93C20B" w:rsidR="00D61541" w:rsidRPr="00D61541" w:rsidRDefault="00D61541" w:rsidP="004135CC">
      <w:pPr>
        <w:pStyle w:val="MeetingDatesAR"/>
        <w:bidi/>
        <w:rPr>
          <w:rtl/>
        </w:rPr>
      </w:pPr>
      <w:r w:rsidRPr="00D61541">
        <w:rPr>
          <w:rFonts w:hint="cs"/>
          <w:rtl/>
        </w:rPr>
        <w:t xml:space="preserve">جنيف، من </w:t>
      </w:r>
      <w:r w:rsidR="004135CC">
        <w:rPr>
          <w:rFonts w:hint="cs"/>
          <w:rtl/>
        </w:rPr>
        <w:t>30 مايو إلى 3 يونيو</w:t>
      </w:r>
      <w:r w:rsidR="006011D1">
        <w:rPr>
          <w:rFonts w:hint="cs"/>
          <w:rtl/>
        </w:rPr>
        <w:t xml:space="preserve"> </w:t>
      </w:r>
      <w:r w:rsidR="00D0339A">
        <w:rPr>
          <w:rFonts w:hint="cs"/>
          <w:rtl/>
        </w:rPr>
        <w:t>2016</w:t>
      </w:r>
    </w:p>
    <w:p w14:paraId="46D4B379" w14:textId="77777777" w:rsidR="00D61541" w:rsidRDefault="00D61541" w:rsidP="00D61541">
      <w:pPr>
        <w:bidi/>
        <w:spacing w:line="360" w:lineRule="exact"/>
        <w:rPr>
          <w:rFonts w:ascii="Arabic Typesetting" w:hAnsi="Arabic Typesetting" w:cs="Arabic Typesetting"/>
          <w:sz w:val="36"/>
          <w:szCs w:val="36"/>
          <w:rtl/>
        </w:rPr>
      </w:pPr>
    </w:p>
    <w:p w14:paraId="68F5F2E9" w14:textId="77777777" w:rsidR="00D61541" w:rsidRDefault="00D61541" w:rsidP="00D61541">
      <w:pPr>
        <w:bidi/>
        <w:spacing w:line="360" w:lineRule="exact"/>
        <w:rPr>
          <w:rFonts w:ascii="Arabic Typesetting" w:hAnsi="Arabic Typesetting" w:cs="Arabic Typesetting"/>
          <w:sz w:val="36"/>
          <w:szCs w:val="36"/>
          <w:rtl/>
        </w:rPr>
      </w:pPr>
    </w:p>
    <w:p w14:paraId="3E74B933" w14:textId="24380DF8" w:rsidR="00D61541" w:rsidRPr="0050230E" w:rsidRDefault="00C77B1F" w:rsidP="0050230E">
      <w:pPr>
        <w:pStyle w:val="DocumentTitleAR"/>
        <w:bidi/>
        <w:rPr>
          <w:rtl/>
          <w:lang w:bidi="ar-EG"/>
        </w:rPr>
      </w:pPr>
      <w:r w:rsidRPr="0050230E">
        <w:rPr>
          <w:rFonts w:hint="cs"/>
          <w:rtl/>
        </w:rPr>
        <w:t xml:space="preserve">استعراض </w:t>
      </w:r>
      <w:r w:rsidRPr="0050230E">
        <w:rPr>
          <w:rFonts w:hint="cs"/>
          <w:rtl/>
          <w:lang w:bidi="ar-EG"/>
        </w:rPr>
        <w:t xml:space="preserve">تقني </w:t>
      </w:r>
      <w:r w:rsidR="00A570E8" w:rsidRPr="0050230E">
        <w:rPr>
          <w:rFonts w:hint="cs"/>
          <w:rtl/>
          <w:lang w:bidi="ar-EG"/>
        </w:rPr>
        <w:t xml:space="preserve">لقضايا رئيسية </w:t>
      </w:r>
      <w:r w:rsidR="0050230E" w:rsidRPr="0050230E">
        <w:rPr>
          <w:rFonts w:hint="cs"/>
          <w:rtl/>
          <w:lang w:bidi="ar-EG"/>
        </w:rPr>
        <w:t>متصلة</w:t>
      </w:r>
      <w:r w:rsidR="00A570E8" w:rsidRPr="0050230E">
        <w:rPr>
          <w:rFonts w:hint="cs"/>
          <w:rtl/>
          <w:lang w:bidi="ar-EG"/>
        </w:rPr>
        <w:t xml:space="preserve"> بالملكية الفكرية في صكوك الويبو </w:t>
      </w:r>
      <w:r w:rsidR="0050230E" w:rsidRPr="0050230E">
        <w:rPr>
          <w:rFonts w:hint="cs"/>
          <w:rtl/>
          <w:lang w:bidi="ar-EG"/>
        </w:rPr>
        <w:t xml:space="preserve">بشأن </w:t>
      </w:r>
      <w:r w:rsidR="00A570E8" w:rsidRPr="0050230E">
        <w:rPr>
          <w:rFonts w:hint="cs"/>
          <w:rtl/>
          <w:lang w:bidi="ar-EG"/>
        </w:rPr>
        <w:t>الموارد الوراثية والمعارف التقليدية وأشكال التعبير الثقافي التقليدي</w:t>
      </w:r>
      <w:r w:rsidR="00A570E8" w:rsidRPr="0050230E">
        <w:rPr>
          <w:rtl/>
          <w:lang w:bidi="ar-EG"/>
        </w:rPr>
        <w:br/>
      </w:r>
      <w:r w:rsidR="00A570E8" w:rsidRPr="0050230E">
        <w:rPr>
          <w:rFonts w:hint="cs"/>
          <w:rtl/>
          <w:lang w:bidi="ar-EG"/>
        </w:rPr>
        <w:t xml:space="preserve">من إعداد </w:t>
      </w:r>
      <w:r w:rsidR="0050230E">
        <w:rPr>
          <w:rFonts w:hint="cs"/>
          <w:rtl/>
          <w:lang w:bidi="ar-EG"/>
        </w:rPr>
        <w:t>الأستاذ جيمس أناي</w:t>
      </w:r>
      <w:r w:rsidR="00A570E8" w:rsidRPr="0050230E">
        <w:rPr>
          <w:rFonts w:hint="cs"/>
          <w:rtl/>
          <w:lang w:bidi="ar-EG"/>
        </w:rPr>
        <w:t>ا</w:t>
      </w:r>
    </w:p>
    <w:p w14:paraId="1EF1AA3A" w14:textId="77777777" w:rsidR="00D61541" w:rsidRPr="00D61541" w:rsidRDefault="00A570E8" w:rsidP="00931859">
      <w:pPr>
        <w:pStyle w:val="PreparedbyAR"/>
        <w:bidi/>
        <w:rPr>
          <w:rtl/>
          <w:lang w:bidi="ar-EG"/>
        </w:rPr>
      </w:pPr>
      <w:r w:rsidRPr="0050230E">
        <w:rPr>
          <w:rFonts w:hint="cs"/>
          <w:rtl/>
        </w:rPr>
        <w:t xml:space="preserve">وثيقة إعلامية قدمتها أمانة </w:t>
      </w:r>
      <w:r w:rsidRPr="0050230E">
        <w:rPr>
          <w:rtl/>
        </w:rPr>
        <w:t>منتدى الأمم المتحدة الدائم المعني بقضايا الشعوب الأصلية</w:t>
      </w:r>
    </w:p>
    <w:p w14:paraId="381C3E99" w14:textId="6CD3CA34" w:rsidR="00D61541" w:rsidRDefault="00317C52" w:rsidP="00AA3C8A">
      <w:pPr>
        <w:pStyle w:val="NumberedParaAR"/>
      </w:pPr>
      <w:r>
        <w:rPr>
          <w:rFonts w:hint="cs"/>
          <w:rtl/>
        </w:rPr>
        <w:t>أوصى</w:t>
      </w:r>
      <w:r w:rsidR="00A570E8">
        <w:rPr>
          <w:rFonts w:hint="cs"/>
          <w:rtl/>
        </w:rPr>
        <w:t xml:space="preserve"> </w:t>
      </w:r>
      <w:r w:rsidR="00A570E8" w:rsidRPr="00A570E8">
        <w:rPr>
          <w:rtl/>
        </w:rPr>
        <w:t>منتدى الأمم المتحدة الدائم المعني بقضايا الشعوب الأصلية</w:t>
      </w:r>
      <w:r w:rsidR="00A570E8">
        <w:rPr>
          <w:rFonts w:hint="cs"/>
          <w:rtl/>
        </w:rPr>
        <w:t xml:space="preserve"> (المنتدى) في دورته الحادية عشرة التي عُقدت في الفترة من 7 إلى 18 مايو 2012 بأن "</w:t>
      </w:r>
      <w:r w:rsidR="00A570E8" w:rsidRPr="00A570E8">
        <w:rPr>
          <w:rtl/>
        </w:rPr>
        <w:t>تفوض الويبو أحد خبراء الشعوب</w:t>
      </w:r>
      <w:bookmarkStart w:id="2" w:name="_GoBack"/>
      <w:bookmarkEnd w:id="2"/>
      <w:r w:rsidR="00A570E8" w:rsidRPr="00A570E8">
        <w:rPr>
          <w:rtl/>
        </w:rPr>
        <w:t xml:space="preserve"> الأصلية بإجراء استعراض تقني يركز على مشاريع </w:t>
      </w:r>
      <w:r w:rsidR="00AA3C8A">
        <w:rPr>
          <w:rFonts w:hint="cs"/>
          <w:rtl/>
        </w:rPr>
        <w:t>الصكوك</w:t>
      </w:r>
      <w:r w:rsidR="00A570E8" w:rsidRPr="00A570E8">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sidR="00A570E8">
        <w:rPr>
          <w:rFonts w:hint="cs"/>
          <w:rtl/>
        </w:rPr>
        <w:t xml:space="preserve"> </w:t>
      </w:r>
      <w:r w:rsidR="00C435AC">
        <w:rPr>
          <w:rFonts w:hint="cs"/>
          <w:rtl/>
        </w:rPr>
        <w:t>وينبغي للاستعراض</w:t>
      </w:r>
      <w:r w:rsidR="00C435AC" w:rsidRPr="00C435AC">
        <w:rPr>
          <w:rtl/>
        </w:rPr>
        <w:t xml:space="preserve"> أن يُجرى في إطار الحقوق الإنسانية للشعوب الأصلية</w:t>
      </w:r>
      <w:r w:rsidR="00C435AC">
        <w:rPr>
          <w:rFonts w:hint="cs"/>
          <w:rtl/>
        </w:rPr>
        <w:t>"</w:t>
      </w:r>
      <w:r w:rsidR="00C435AC" w:rsidRPr="00C435AC">
        <w:rPr>
          <w:rtl/>
        </w:rPr>
        <w:t>.</w:t>
      </w:r>
      <w:r w:rsidR="00C435AC">
        <w:rPr>
          <w:rStyle w:val="FootnoteReference"/>
          <w:rtl/>
        </w:rPr>
        <w:footnoteReference w:id="1"/>
      </w:r>
    </w:p>
    <w:p w14:paraId="2E9A5105" w14:textId="231358C0" w:rsidR="00C47177" w:rsidRDefault="00C47177" w:rsidP="00317C52">
      <w:pPr>
        <w:pStyle w:val="NumberedParaAR"/>
      </w:pPr>
      <w:r>
        <w:rPr>
          <w:rFonts w:hint="cs"/>
          <w:rtl/>
          <w:lang w:bidi="ar-EG"/>
        </w:rPr>
        <w:t>وبعد التشاور مع أمانة المنتدى، فوضت أمانة</w:t>
      </w:r>
      <w:r w:rsidR="00317C52">
        <w:rPr>
          <w:rFonts w:hint="cs"/>
          <w:rtl/>
          <w:lang w:bidi="ar-EG"/>
        </w:rPr>
        <w:t xml:space="preserve"> </w:t>
      </w:r>
      <w:r>
        <w:rPr>
          <w:rFonts w:hint="cs"/>
          <w:rtl/>
          <w:lang w:bidi="ar-EG"/>
        </w:rPr>
        <w:t>الويبو</w:t>
      </w:r>
      <w:r w:rsidR="00317C52">
        <w:rPr>
          <w:rFonts w:hint="cs"/>
          <w:rtl/>
          <w:lang w:bidi="ar-EG"/>
        </w:rPr>
        <w:t xml:space="preserve"> في عام 2014</w:t>
      </w:r>
      <w:r>
        <w:rPr>
          <w:rFonts w:hint="cs"/>
          <w:rtl/>
          <w:lang w:bidi="ar-EG"/>
        </w:rPr>
        <w:t xml:space="preserve"> </w:t>
      </w:r>
      <w:r w:rsidR="0050230E">
        <w:rPr>
          <w:rFonts w:hint="cs"/>
          <w:rtl/>
          <w:lang w:bidi="ar-EG"/>
        </w:rPr>
        <w:t>الأستاذ</w:t>
      </w:r>
      <w:r>
        <w:rPr>
          <w:rFonts w:hint="cs"/>
          <w:rtl/>
          <w:lang w:bidi="ar-EG"/>
        </w:rPr>
        <w:t xml:space="preserve"> جي</w:t>
      </w:r>
      <w:r w:rsidR="00317C52">
        <w:rPr>
          <w:rFonts w:hint="cs"/>
          <w:rtl/>
          <w:lang w:bidi="ar-EG"/>
        </w:rPr>
        <w:t>مس أنايا، أستاذ القانون والسياسات</w:t>
      </w:r>
      <w:r>
        <w:rPr>
          <w:rFonts w:hint="cs"/>
          <w:rtl/>
          <w:lang w:bidi="ar-EG"/>
        </w:rPr>
        <w:t xml:space="preserve"> في مجال حقوق الإنسان بجامعة أريزونا في الولايات المتحدة الأمريكية، بإجراء الاستعراض التقني المذكور تحت مسؤوليته </w:t>
      </w:r>
      <w:r w:rsidR="00317C52">
        <w:rPr>
          <w:rFonts w:hint="cs"/>
          <w:rtl/>
          <w:lang w:bidi="ar-EG"/>
        </w:rPr>
        <w:t>الكاملة</w:t>
      </w:r>
      <w:r>
        <w:rPr>
          <w:rFonts w:hint="cs"/>
          <w:rtl/>
          <w:lang w:bidi="ar-EG"/>
        </w:rPr>
        <w:t xml:space="preserve">. وأكمل </w:t>
      </w:r>
      <w:r w:rsidR="0050230E">
        <w:rPr>
          <w:rFonts w:hint="cs"/>
          <w:rtl/>
          <w:lang w:bidi="ar-EG"/>
        </w:rPr>
        <w:t>الأستاذ</w:t>
      </w:r>
      <w:r>
        <w:rPr>
          <w:rFonts w:hint="cs"/>
          <w:rtl/>
          <w:lang w:bidi="ar-EG"/>
        </w:rPr>
        <w:t xml:space="preserve"> أنايا هذا الاستعراض (المعنون "</w:t>
      </w:r>
      <w:r w:rsidR="0050230E" w:rsidRPr="0050230E">
        <w:rPr>
          <w:rtl/>
          <w:lang w:bidi="ar-EG"/>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Fonts w:hint="cs"/>
          <w:rtl/>
          <w:lang w:bidi="ar-EG"/>
        </w:rPr>
        <w:t>") في عام 2014 وقدمه إلى أمانة المنتدى.</w:t>
      </w:r>
    </w:p>
    <w:p w14:paraId="7122F3B2" w14:textId="40B402BB" w:rsidR="00C47177" w:rsidRDefault="00C47177" w:rsidP="00B83462">
      <w:pPr>
        <w:pStyle w:val="NumberedParaAR"/>
      </w:pPr>
      <w:r>
        <w:rPr>
          <w:rFonts w:hint="cs"/>
          <w:rtl/>
        </w:rPr>
        <w:t xml:space="preserve">وتلقت أمانة الويبو، في 28 مايو 2015، طلباً من أمانة المنتدى بأن تقدم الاستعراض التقني الذي أجراه </w:t>
      </w:r>
      <w:r w:rsidR="0050230E">
        <w:rPr>
          <w:rFonts w:hint="cs"/>
          <w:rtl/>
        </w:rPr>
        <w:t>الأستاذ</w:t>
      </w:r>
      <w:r>
        <w:rPr>
          <w:rFonts w:hint="cs"/>
          <w:rtl/>
        </w:rPr>
        <w:t xml:space="preserve"> أنا</w:t>
      </w:r>
      <w:r w:rsidR="00B83462">
        <w:rPr>
          <w:rFonts w:hint="cs"/>
          <w:rtl/>
        </w:rPr>
        <w:t xml:space="preserve">يا </w:t>
      </w:r>
      <w:r>
        <w:rPr>
          <w:rFonts w:hint="cs"/>
          <w:rtl/>
        </w:rPr>
        <w:t>إلى لجنة الويبو</w:t>
      </w:r>
      <w:r w:rsidRPr="00C47177">
        <w:rPr>
          <w:rtl/>
        </w:rPr>
        <w:t xml:space="preserve"> الحكومية الدولية المعنية بالملكية الفكرية والموارد الوراثية والمعارف التقليدية والفولكلور</w:t>
      </w:r>
      <w:r>
        <w:rPr>
          <w:rFonts w:hint="cs"/>
          <w:rtl/>
        </w:rPr>
        <w:t xml:space="preserve"> </w:t>
      </w:r>
      <w:r w:rsidR="00317C52">
        <w:rPr>
          <w:rFonts w:hint="cs"/>
          <w:rtl/>
        </w:rPr>
        <w:t>في إطار</w:t>
      </w:r>
      <w:r>
        <w:rPr>
          <w:rFonts w:hint="cs"/>
          <w:rtl/>
        </w:rPr>
        <w:t xml:space="preserve"> وثيقة إعلامية.</w:t>
      </w:r>
    </w:p>
    <w:p w14:paraId="64EBED6C" w14:textId="77777777" w:rsidR="00C47177" w:rsidRDefault="00C47177" w:rsidP="006718DC">
      <w:pPr>
        <w:pStyle w:val="NumberedParaAR"/>
      </w:pPr>
      <w:r>
        <w:rPr>
          <w:rFonts w:hint="cs"/>
          <w:rtl/>
        </w:rPr>
        <w:lastRenderedPageBreak/>
        <w:t xml:space="preserve">وطلبت أمانة المنتدى أيضاً أن يقدَّم الاستعراض التقني إلى اللجنة الحكومية </w:t>
      </w:r>
      <w:r w:rsidR="006718DC">
        <w:rPr>
          <w:rFonts w:hint="cs"/>
          <w:rtl/>
        </w:rPr>
        <w:t xml:space="preserve">الدولية </w:t>
      </w:r>
      <w:r>
        <w:rPr>
          <w:rFonts w:hint="cs"/>
          <w:rtl/>
        </w:rPr>
        <w:t>في دورتيها المقبلتين اللتين ستتناول فيهما قضايا المعارف التقليدية وأشكال التعبير الثقافي التقليدي على التوالي.</w:t>
      </w:r>
    </w:p>
    <w:p w14:paraId="4A002884" w14:textId="3D368F51" w:rsidR="00C47177" w:rsidRDefault="00317C52" w:rsidP="00166920">
      <w:pPr>
        <w:pStyle w:val="NumberedParaAR"/>
        <w:rPr>
          <w:rtl/>
        </w:rPr>
      </w:pPr>
      <w:r>
        <w:rPr>
          <w:rFonts w:hint="cs"/>
          <w:rtl/>
        </w:rPr>
        <w:t>و</w:t>
      </w:r>
      <w:r w:rsidR="004135CC">
        <w:rPr>
          <w:rFonts w:hint="cs"/>
          <w:rtl/>
        </w:rPr>
        <w:t>ل</w:t>
      </w:r>
      <w:r>
        <w:rPr>
          <w:rFonts w:hint="cs"/>
          <w:rtl/>
        </w:rPr>
        <w:t xml:space="preserve">تلبية </w:t>
      </w:r>
      <w:r w:rsidR="004135CC">
        <w:rPr>
          <w:rFonts w:hint="cs"/>
          <w:rtl/>
        </w:rPr>
        <w:t>ا</w:t>
      </w:r>
      <w:r>
        <w:rPr>
          <w:rFonts w:hint="cs"/>
          <w:rtl/>
        </w:rPr>
        <w:t xml:space="preserve">لطلب الوارد أعلاه، </w:t>
      </w:r>
      <w:r w:rsidR="004135CC">
        <w:rPr>
          <w:rFonts w:hint="cs"/>
          <w:rtl/>
        </w:rPr>
        <w:t xml:space="preserve">أُتيح </w:t>
      </w:r>
      <w:r w:rsidR="00166920">
        <w:rPr>
          <w:rFonts w:hint="cs"/>
          <w:rtl/>
        </w:rPr>
        <w:t>ال</w:t>
      </w:r>
      <w:r w:rsidR="004135CC">
        <w:rPr>
          <w:rFonts w:hint="cs"/>
          <w:rtl/>
        </w:rPr>
        <w:t xml:space="preserve">استعراض </w:t>
      </w:r>
      <w:r w:rsidR="00166920">
        <w:rPr>
          <w:rFonts w:hint="cs"/>
          <w:rtl/>
        </w:rPr>
        <w:t>ال</w:t>
      </w:r>
      <w:r w:rsidR="004135CC">
        <w:rPr>
          <w:rFonts w:hint="cs"/>
          <w:rtl/>
        </w:rPr>
        <w:t xml:space="preserve">تقني للجنة </w:t>
      </w:r>
      <w:r w:rsidR="00166920" w:rsidRPr="00166920">
        <w:rPr>
          <w:rtl/>
        </w:rPr>
        <w:t xml:space="preserve">الحكومية الدولية </w:t>
      </w:r>
      <w:r w:rsidR="004135CC">
        <w:rPr>
          <w:rFonts w:hint="cs"/>
          <w:rtl/>
        </w:rPr>
        <w:t>في دورتها التاسعة والعشرين المنعقدة من 15 إلى 19 فبراير 2016، كوثيقة إعلامية (الوثيقة </w:t>
      </w:r>
      <w:r w:rsidR="004135CC" w:rsidRPr="004135CC">
        <w:t>WIPO/GRTKF/IC/29/INF/10</w:t>
      </w:r>
      <w:r w:rsidR="004135CC">
        <w:rPr>
          <w:rFonts w:hint="cs"/>
          <w:rtl/>
        </w:rPr>
        <w:t>)،</w:t>
      </w:r>
      <w:r w:rsidR="004135CC" w:rsidRPr="004135CC">
        <w:rPr>
          <w:rFonts w:hint="cs"/>
          <w:rtl/>
        </w:rPr>
        <w:t xml:space="preserve"> </w:t>
      </w:r>
      <w:r w:rsidR="004135CC">
        <w:rPr>
          <w:rFonts w:hint="cs"/>
          <w:rtl/>
        </w:rPr>
        <w:t>ويرد نفسُ الاستعراض التقني في مرفق هذه الوثيقة</w:t>
      </w:r>
      <w:r w:rsidR="00C47177">
        <w:rPr>
          <w:rFonts w:hint="cs"/>
          <w:rtl/>
        </w:rPr>
        <w:t>.</w:t>
      </w:r>
    </w:p>
    <w:p w14:paraId="031F3975" w14:textId="77777777" w:rsidR="00C47177" w:rsidRDefault="00C47177" w:rsidP="00C47177">
      <w:pPr>
        <w:pStyle w:val="DecisionParaAR"/>
      </w:pPr>
      <w:r>
        <w:rPr>
          <w:rFonts w:hint="cs"/>
          <w:rtl/>
        </w:rPr>
        <w:t>إن اللجنة مدعوة إلى الإحاطة علماً بالاستعراض التقني الوارد في مرفق هذه الوثيقة.</w:t>
      </w:r>
    </w:p>
    <w:p w14:paraId="5A219A83" w14:textId="77777777" w:rsidR="0019721A" w:rsidRDefault="0019721A" w:rsidP="0019721A">
      <w:pPr>
        <w:pStyle w:val="DecisionParaAR"/>
        <w:numPr>
          <w:ilvl w:val="0"/>
          <w:numId w:val="0"/>
        </w:numPr>
        <w:ind w:left="5534"/>
        <w:rPr>
          <w:rtl/>
        </w:rPr>
      </w:pPr>
    </w:p>
    <w:p w14:paraId="563176B8" w14:textId="77777777" w:rsidR="0019721A" w:rsidRDefault="0019721A" w:rsidP="0019721A">
      <w:pPr>
        <w:pStyle w:val="DecisionParaAR"/>
        <w:numPr>
          <w:ilvl w:val="0"/>
          <w:numId w:val="0"/>
        </w:numPr>
        <w:ind w:left="5534"/>
        <w:rPr>
          <w:rtl/>
        </w:rPr>
        <w:sectPr w:rsidR="0019721A" w:rsidSect="00EB7752">
          <w:headerReference w:type="default" r:id="rId10"/>
          <w:pgSz w:w="11907" w:h="16840" w:code="9"/>
          <w:pgMar w:top="567" w:right="1418" w:bottom="1418" w:left="1134" w:header="510" w:footer="1021" w:gutter="0"/>
          <w:cols w:space="720"/>
          <w:titlePg/>
          <w:docGrid w:linePitch="299"/>
        </w:sectPr>
      </w:pPr>
    </w:p>
    <w:p w14:paraId="5FEBE763" w14:textId="5D31D1F9" w:rsidR="00C47177" w:rsidRDefault="00317C52" w:rsidP="00C47177">
      <w:pPr>
        <w:pStyle w:val="Heading1AR"/>
        <w:rPr>
          <w:rtl/>
        </w:rPr>
      </w:pPr>
      <w:r w:rsidRPr="00317C52">
        <w:rPr>
          <w:rtl/>
        </w:rPr>
        <w:lastRenderedPageBreak/>
        <w:t>استعراض تقني لقضايا رئيسية متصلة بالملكية الفكرية في صكوك الويبو بشأن الموارد الوراثية والمعارف التقليدية وأشكال التعبير الثقافي التقليدي</w:t>
      </w:r>
    </w:p>
    <w:p w14:paraId="7818AF69" w14:textId="44C5EA8C" w:rsidR="002F77FC" w:rsidRDefault="00C47177" w:rsidP="006718DC">
      <w:pPr>
        <w:pStyle w:val="NormalParaAR"/>
        <w:rPr>
          <w:rtl/>
        </w:rPr>
      </w:pPr>
      <w:r>
        <w:rPr>
          <w:rtl/>
        </w:rPr>
        <w:t xml:space="preserve">من إعداد </w:t>
      </w:r>
      <w:r w:rsidR="0050230E">
        <w:rPr>
          <w:rtl/>
        </w:rPr>
        <w:t>الأستاذ</w:t>
      </w:r>
      <w:r>
        <w:rPr>
          <w:rtl/>
        </w:rPr>
        <w:t xml:space="preserve"> جيمس أنايا</w:t>
      </w:r>
    </w:p>
    <w:p w14:paraId="660E35F2" w14:textId="0B56AD29" w:rsidR="00D0339A" w:rsidRDefault="00C47177" w:rsidP="00317C52">
      <w:pPr>
        <w:pStyle w:val="Heading1AR"/>
        <w:rPr>
          <w:rtl/>
          <w:lang w:bidi="ar-EG"/>
        </w:rPr>
      </w:pPr>
      <w:r>
        <w:rPr>
          <w:rFonts w:hint="cs"/>
          <w:rtl/>
        </w:rPr>
        <w:t>أولاً</w:t>
      </w:r>
      <w:r>
        <w:rPr>
          <w:rFonts w:hint="cs"/>
          <w:rtl/>
          <w:lang w:bidi="ar-EG"/>
        </w:rPr>
        <w:t>.</w:t>
      </w:r>
      <w:r>
        <w:rPr>
          <w:rtl/>
          <w:lang w:bidi="ar-EG"/>
        </w:rPr>
        <w:tab/>
      </w:r>
      <w:r w:rsidR="006718DC">
        <w:rPr>
          <w:rFonts w:hint="cs"/>
          <w:rtl/>
          <w:lang w:bidi="ar-EG"/>
        </w:rPr>
        <w:t>مقدمة و</w:t>
      </w:r>
      <w:r w:rsidR="00317C52">
        <w:rPr>
          <w:rFonts w:hint="cs"/>
          <w:rtl/>
          <w:lang w:bidi="ar-EG"/>
        </w:rPr>
        <w:t>منطلقات</w:t>
      </w:r>
      <w:r w:rsidR="006718DC">
        <w:rPr>
          <w:rFonts w:hint="cs"/>
          <w:rtl/>
          <w:lang w:bidi="ar-EG"/>
        </w:rPr>
        <w:t xml:space="preserve"> أساسية</w:t>
      </w:r>
    </w:p>
    <w:p w14:paraId="4A3866D8" w14:textId="6454CBAE" w:rsidR="006718DC" w:rsidRPr="006718DC" w:rsidRDefault="006718DC" w:rsidP="00AA3C8A">
      <w:pPr>
        <w:pStyle w:val="NumberedParaAR"/>
        <w:numPr>
          <w:ilvl w:val="0"/>
          <w:numId w:val="22"/>
        </w:numP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بأن </w:t>
      </w:r>
      <w:r w:rsidRPr="00A570E8">
        <w:rPr>
          <w:rtl/>
        </w:rPr>
        <w:t>تفوض الويبو بإجراء استعراض تقني</w:t>
      </w:r>
      <w:r>
        <w:rPr>
          <w:rFonts w:hint="cs"/>
          <w:rtl/>
        </w:rPr>
        <w:t xml:space="preserve"> في إطار ا</w:t>
      </w:r>
      <w:r w:rsidR="00317C52">
        <w:rPr>
          <w:rFonts w:hint="cs"/>
          <w:rtl/>
        </w:rPr>
        <w:t xml:space="preserve">لحقوق الإنسانية للشعوب الأصلية </w:t>
      </w:r>
      <w:r w:rsidRPr="00A570E8">
        <w:rPr>
          <w:rtl/>
        </w:rPr>
        <w:t xml:space="preserve">يركز على مشاريع </w:t>
      </w:r>
      <w:r w:rsidR="00AA3C8A">
        <w:rPr>
          <w:rFonts w:hint="cs"/>
          <w:rtl/>
        </w:rPr>
        <w:t>الصكوك</w:t>
      </w:r>
      <w:r w:rsidRPr="00A570E8">
        <w:rPr>
          <w:rtl/>
        </w:rPr>
        <w:t xml:space="preserve"> المتعلقة بالمعارف التقليدية والموارد الوراثية وأشكال التعبير الثقافي التقليدي</w:t>
      </w:r>
      <w:r>
        <w:rPr>
          <w:rFonts w:hint="cs"/>
          <w:rtl/>
        </w:rPr>
        <w:t xml:space="preserve"> والتي وضعتها </w:t>
      </w:r>
      <w:r w:rsidRPr="006718DC">
        <w:rPr>
          <w:rtl/>
        </w:rPr>
        <w:t>اللجنة الحكومية الدولية المعنية بالملكية الفكرية والموارد الوراثية والمعارف التقليدية والفولكلور</w:t>
      </w:r>
      <w:r>
        <w:rPr>
          <w:rFonts w:hint="cs"/>
          <w:rtl/>
        </w:rPr>
        <w:t xml:space="preserve">. ويعرض هذا التقرير الاستعراض المطلوب. ووفقاً لتعليمات أمانة الويبو، يشير هذا الاستعراض إلى مشاريع </w:t>
      </w:r>
      <w:r w:rsidR="00AA3C8A">
        <w:rPr>
          <w:rFonts w:hint="cs"/>
          <w:rtl/>
        </w:rPr>
        <w:t>الصكوك</w:t>
      </w:r>
      <w:r>
        <w:rPr>
          <w:rFonts w:hint="cs"/>
          <w:rtl/>
        </w:rPr>
        <w:t xml:space="preserve"> الحالية الواردة في وثائق الويبو التالية: </w:t>
      </w:r>
      <w:r w:rsidRPr="006718DC">
        <w:t>WIPO/GRTKF/IC/28/4</w:t>
      </w:r>
      <w:r>
        <w:rPr>
          <w:rFonts w:hint="cs"/>
          <w:rtl/>
        </w:rPr>
        <w:t xml:space="preserve"> و</w:t>
      </w:r>
      <w:r w:rsidRPr="006718DC">
        <w:t>WIPO/GRTKF/IC/28/</w:t>
      </w:r>
      <w:r>
        <w:t>5</w:t>
      </w:r>
      <w:r>
        <w:rPr>
          <w:rFonts w:hint="cs"/>
          <w:rtl/>
        </w:rPr>
        <w:t xml:space="preserve"> و</w:t>
      </w:r>
      <w:r w:rsidRPr="006718DC">
        <w:t>WIPO/GRTKF/IC/28/6</w:t>
      </w:r>
      <w:r w:rsidRPr="006718DC">
        <w:rPr>
          <w:rFonts w:hint="cs"/>
          <w:rtl/>
        </w:rPr>
        <w:t>.</w:t>
      </w:r>
    </w:p>
    <w:p w14:paraId="70CE55D1" w14:textId="60B156C2" w:rsidR="006718DC" w:rsidRDefault="006718DC" w:rsidP="00317C52">
      <w:pPr>
        <w:pStyle w:val="NumberedParaAR"/>
        <w:numPr>
          <w:ilvl w:val="0"/>
          <w:numId w:val="22"/>
        </w:numPr>
      </w:pPr>
      <w:r>
        <w:rPr>
          <w:rFonts w:hint="cs"/>
          <w:rtl/>
        </w:rPr>
        <w:t xml:space="preserve">وأُعدَّ هذا التقرير تحت المسؤولية </w:t>
      </w:r>
      <w:r w:rsidR="00317C52">
        <w:rPr>
          <w:rFonts w:hint="cs"/>
          <w:rtl/>
        </w:rPr>
        <w:t>الكاملة</w:t>
      </w:r>
      <w:r>
        <w:rPr>
          <w:rFonts w:hint="cs"/>
          <w:rtl/>
        </w:rPr>
        <w:t xml:space="preserve"> للمؤلف. و</w:t>
      </w:r>
      <w:r>
        <w:rPr>
          <w:rFonts w:hint="cs"/>
          <w:rtl/>
          <w:lang w:bidi="ar-EG"/>
        </w:rPr>
        <w:t xml:space="preserve">إن الآراء الواردة في هذا التقرير هي آراء المؤلف </w:t>
      </w:r>
      <w:r w:rsidRPr="006718DC">
        <w:rPr>
          <w:rtl/>
          <w:lang w:bidi="ar-EG"/>
        </w:rPr>
        <w:t xml:space="preserve">وليست بالضرورة آراء </w:t>
      </w:r>
      <w:r>
        <w:rPr>
          <w:rFonts w:hint="cs"/>
          <w:rtl/>
          <w:lang w:bidi="ar-EG"/>
        </w:rPr>
        <w:t xml:space="preserve">الويبو أو </w:t>
      </w:r>
      <w:r w:rsidRPr="006718DC">
        <w:rPr>
          <w:rtl/>
          <w:lang w:bidi="ar-EG"/>
        </w:rPr>
        <w:t>الدول الأعضاء في</w:t>
      </w:r>
      <w:r>
        <w:rPr>
          <w:rFonts w:hint="cs"/>
          <w:rtl/>
          <w:lang w:bidi="ar-EG"/>
        </w:rPr>
        <w:t>ها</w:t>
      </w:r>
      <w:r w:rsidRPr="006718DC">
        <w:rPr>
          <w:rtl/>
          <w:lang w:bidi="ar-EG"/>
        </w:rPr>
        <w:t xml:space="preserve"> أو </w:t>
      </w:r>
      <w:r>
        <w:rPr>
          <w:rFonts w:hint="cs"/>
          <w:rtl/>
          <w:lang w:bidi="ar-EG"/>
        </w:rPr>
        <w:t>المنظمات التي تتمتع بصفة مراقب فيها.</w:t>
      </w:r>
    </w:p>
    <w:p w14:paraId="36BF1B9A" w14:textId="34E64DC9" w:rsidR="006718DC" w:rsidRDefault="006718DC" w:rsidP="00AA3C8A">
      <w:pPr>
        <w:pStyle w:val="NumberedParaAR"/>
        <w:numPr>
          <w:ilvl w:val="0"/>
          <w:numId w:val="22"/>
        </w:numPr>
      </w:pPr>
      <w:r>
        <w:rPr>
          <w:rFonts w:hint="cs"/>
          <w:rtl/>
          <w:lang w:bidi="ar-EG"/>
        </w:rPr>
        <w:t xml:space="preserve">ويعرض الجزء الأول من هذا التقرير الملامح الرئيسية لإطار حقوق الإنسان الذي يطبَّق على الشعوب الأصلية من حيث القضايا المتصلة بالملكية الفكرية الواردة في مشاريع </w:t>
      </w:r>
      <w:r w:rsidR="00AA3C8A">
        <w:rPr>
          <w:rFonts w:hint="cs"/>
          <w:rtl/>
          <w:lang w:bidi="ar-EG"/>
        </w:rPr>
        <w:t>الصكوك</w:t>
      </w:r>
      <w:r>
        <w:rPr>
          <w:rFonts w:hint="cs"/>
          <w:rtl/>
          <w:lang w:bidi="ar-EG"/>
        </w:rPr>
        <w:t xml:space="preserve">. </w:t>
      </w:r>
      <w:r w:rsidR="00317C52">
        <w:rPr>
          <w:rFonts w:hint="cs"/>
          <w:rtl/>
          <w:lang w:bidi="ar-EG"/>
        </w:rPr>
        <w:t>ثم تُ</w:t>
      </w:r>
      <w:r w:rsidR="00906B35">
        <w:rPr>
          <w:rFonts w:hint="cs"/>
          <w:rtl/>
          <w:lang w:bidi="ar-EG"/>
        </w:rPr>
        <w:t xml:space="preserve">بحث الجوانب الرئيسية لمشاريع </w:t>
      </w:r>
      <w:r w:rsidR="00AA3C8A">
        <w:rPr>
          <w:rFonts w:hint="cs"/>
          <w:rtl/>
          <w:lang w:bidi="ar-EG"/>
        </w:rPr>
        <w:t>الصكوك</w:t>
      </w:r>
      <w:r w:rsidR="00906B35">
        <w:rPr>
          <w:rFonts w:hint="cs"/>
          <w:rtl/>
          <w:lang w:bidi="ar-EG"/>
        </w:rPr>
        <w:t xml:space="preserve"> في إطار حقوق الإنسان. ولكن لا يسمح حجم هذا التقرير بتقديم استعراض شامل أو أكثر تفصيلاً لمشاريع </w:t>
      </w:r>
      <w:r w:rsidR="00AA3C8A">
        <w:rPr>
          <w:rFonts w:hint="cs"/>
          <w:rtl/>
          <w:lang w:bidi="ar-EG"/>
        </w:rPr>
        <w:t>الصكوك</w:t>
      </w:r>
      <w:r w:rsidR="00906B35">
        <w:rPr>
          <w:rFonts w:hint="cs"/>
          <w:rtl/>
          <w:lang w:bidi="ar-EG"/>
        </w:rPr>
        <w:t xml:space="preserve"> أو لكل ما تثيره من شواغل متعلقة بحقوق الإنسان.</w:t>
      </w:r>
    </w:p>
    <w:p w14:paraId="5C92B358" w14:textId="77777777" w:rsidR="00906B35" w:rsidRDefault="00906B35" w:rsidP="00906B35">
      <w:pPr>
        <w:pStyle w:val="Heading1AR"/>
        <w:rPr>
          <w:rtl/>
        </w:rPr>
      </w:pPr>
      <w:r>
        <w:rPr>
          <w:rFonts w:hint="cs"/>
          <w:rtl/>
        </w:rPr>
        <w:t>ثانياً.</w:t>
      </w:r>
      <w:r>
        <w:rPr>
          <w:rtl/>
        </w:rPr>
        <w:tab/>
      </w:r>
      <w:r>
        <w:rPr>
          <w:rFonts w:hint="cs"/>
          <w:rtl/>
        </w:rPr>
        <w:t>إطار حقوق الإنسان</w:t>
      </w:r>
    </w:p>
    <w:p w14:paraId="02F70CFE" w14:textId="2698DED6" w:rsidR="00906B35" w:rsidRDefault="00D41983" w:rsidP="00AA3C8A">
      <w:pPr>
        <w:pStyle w:val="NumberedParaAR"/>
        <w:numPr>
          <w:ilvl w:val="0"/>
          <w:numId w:val="22"/>
        </w:numPr>
      </w:pPr>
      <w:r>
        <w:rPr>
          <w:rFonts w:hint="cs"/>
          <w:rtl/>
        </w:rPr>
        <w:t xml:space="preserve">تهدف مشاريع </w:t>
      </w:r>
      <w:r w:rsidR="00AA3C8A">
        <w:rPr>
          <w:rFonts w:hint="cs"/>
          <w:rtl/>
        </w:rPr>
        <w:t>الصكوك</w:t>
      </w:r>
      <w:r>
        <w:rPr>
          <w:rFonts w:hint="cs"/>
          <w:rtl/>
        </w:rPr>
        <w:t xml:space="preserve"> إلى النهوض بالمعايير الدولية الخاصة بالاعترا</w:t>
      </w:r>
      <w:r w:rsidR="00593B8A">
        <w:rPr>
          <w:rFonts w:hint="cs"/>
          <w:rtl/>
        </w:rPr>
        <w:t>ف بالملكية وغيرها من المصالح المتصلة</w:t>
      </w:r>
      <w:r w:rsidR="00593B8A">
        <w:rPr>
          <w:rFonts w:hint="cs"/>
          <w:rtl/>
          <w:lang w:bidi="ar-EG"/>
        </w:rPr>
        <w:t xml:space="preserve"> بالموارد الوراثية (</w:t>
      </w:r>
      <w:r w:rsidR="00593B8A">
        <w:rPr>
          <w:lang w:bidi="ar-EG"/>
        </w:rPr>
        <w:t>WIPO/GRTKF/IC/28/4</w:t>
      </w:r>
      <w:r w:rsidR="00593B8A">
        <w:rPr>
          <w:rFonts w:hint="cs"/>
          <w:rtl/>
          <w:lang w:bidi="ar-EG"/>
        </w:rPr>
        <w:t>) والمعارف التقليدية (</w:t>
      </w:r>
      <w:r w:rsidR="00593B8A">
        <w:rPr>
          <w:lang w:bidi="ar-EG"/>
        </w:rPr>
        <w:t>WIPO/GRTKF/IC/28/5</w:t>
      </w:r>
      <w:r w:rsidR="00593B8A">
        <w:rPr>
          <w:rFonts w:hint="cs"/>
          <w:rtl/>
          <w:lang w:bidi="ar-EG"/>
        </w:rPr>
        <w:t>) وأشكال التعبير الثقافي التقليدي (</w:t>
      </w:r>
      <w:r w:rsidR="00593B8A">
        <w:rPr>
          <w:lang w:bidi="ar-EG"/>
        </w:rPr>
        <w:t>WIPO/GRTKF/IC/28/6</w:t>
      </w:r>
      <w:r w:rsidR="00593B8A">
        <w:rPr>
          <w:rFonts w:hint="cs"/>
          <w:rtl/>
          <w:lang w:bidi="ar-EG"/>
        </w:rPr>
        <w:t>). و</w:t>
      </w:r>
      <w:r w:rsidR="002F702A">
        <w:rPr>
          <w:rFonts w:hint="cs"/>
          <w:rtl/>
          <w:lang w:bidi="ar-EG"/>
        </w:rPr>
        <w:t>من الصكوك التي تتناول</w:t>
      </w:r>
      <w:r w:rsidR="00317C52">
        <w:rPr>
          <w:rFonts w:hint="cs"/>
          <w:rtl/>
          <w:lang w:bidi="ar-EG"/>
        </w:rPr>
        <w:t xml:space="preserve"> مباشرة</w:t>
      </w:r>
      <w:r w:rsidR="002F702A">
        <w:rPr>
          <w:rFonts w:hint="cs"/>
          <w:rtl/>
          <w:lang w:bidi="ar-EG"/>
        </w:rPr>
        <w:t xml:space="preserve"> القضايا المتصلة بالملكية الفكرية التي تعالجها هذه </w:t>
      </w:r>
      <w:r w:rsidR="00AA3C8A">
        <w:rPr>
          <w:rFonts w:hint="cs"/>
          <w:rtl/>
          <w:lang w:bidi="ar-EG"/>
        </w:rPr>
        <w:t>الصكوك</w:t>
      </w:r>
      <w:r w:rsidR="002F702A">
        <w:rPr>
          <w:rFonts w:hint="cs"/>
          <w:rtl/>
          <w:lang w:bidi="ar-EG"/>
        </w:rPr>
        <w:t xml:space="preserve">، المادة 31 من إعلان </w:t>
      </w:r>
      <w:r w:rsidR="00593B8A">
        <w:rPr>
          <w:rFonts w:hint="cs"/>
          <w:rtl/>
          <w:lang w:bidi="ar-EG"/>
        </w:rPr>
        <w:t>الأمم المتحدة بشأن حقوق الشعوب الأصلية</w:t>
      </w:r>
      <w:r w:rsidR="00EC02F3">
        <w:rPr>
          <w:rFonts w:hint="cs"/>
          <w:rtl/>
          <w:lang w:bidi="ar-EG"/>
        </w:rPr>
        <w:t xml:space="preserve"> </w:t>
      </w:r>
      <w:r w:rsidR="002F702A">
        <w:rPr>
          <w:rFonts w:hint="cs"/>
          <w:rtl/>
          <w:lang w:bidi="ar-EG"/>
        </w:rPr>
        <w:t>التي تنص على ما يلي:</w:t>
      </w:r>
    </w:p>
    <w:p w14:paraId="5ABA0D77" w14:textId="44928B78" w:rsidR="00277E79" w:rsidRDefault="00317C52" w:rsidP="00277E79">
      <w:pPr>
        <w:pStyle w:val="NormalParaAR"/>
        <w:ind w:left="567"/>
      </w:pPr>
      <w:r>
        <w:rPr>
          <w:rFonts w:hint="cs"/>
          <w:rtl/>
        </w:rPr>
        <w:t>"</w:t>
      </w:r>
      <w:r w:rsidR="00277E79" w:rsidRPr="00050CE2">
        <w:rPr>
          <w:rFonts w:hint="eastAsia"/>
          <w:rtl/>
        </w:rPr>
        <w:t>للشعوب</w:t>
      </w:r>
      <w:r w:rsidR="00277E79" w:rsidRPr="00050CE2">
        <w:rPr>
          <w:rtl/>
        </w:rPr>
        <w:t xml:space="preserve"> الأصلية الحق في الحفاظ والسيطرة على تراثها الثقافي </w:t>
      </w:r>
      <w:r w:rsidR="00277E79" w:rsidRPr="00050CE2">
        <w:rPr>
          <w:rFonts w:hint="eastAsia"/>
          <w:rtl/>
        </w:rPr>
        <w:t>ومعارفها</w:t>
      </w:r>
      <w:r w:rsidR="00277E79" w:rsidRPr="00050CE2">
        <w:rPr>
          <w:rtl/>
        </w:rPr>
        <w:t xml:space="preserve"> التقليدية وتعبيراتها الثقافية التقليدية وحمايتها</w:t>
      </w:r>
      <w:r w:rsidR="00277E79" w:rsidRPr="00050CE2">
        <w:rPr>
          <w:rFonts w:hint="cs"/>
          <w:rtl/>
        </w:rPr>
        <w:t xml:space="preserve"> وتطويرها</w:t>
      </w:r>
      <w:r w:rsidR="00277E79" w:rsidRPr="00050CE2">
        <w:rPr>
          <w:rtl/>
        </w:rPr>
        <w:t xml:space="preserve">، وكذلك الأمر بالنسبة </w:t>
      </w:r>
      <w:r w:rsidR="00277E79" w:rsidRPr="00050CE2">
        <w:rPr>
          <w:rFonts w:hint="eastAsia"/>
          <w:rtl/>
        </w:rPr>
        <w:t>لمظاهر</w:t>
      </w:r>
      <w:r w:rsidR="00277E79" w:rsidRPr="00050CE2">
        <w:rPr>
          <w:rtl/>
        </w:rPr>
        <w:t xml:space="preserve"> علومها وتكنولوجياتها وثقافاتها، </w:t>
      </w:r>
      <w:r w:rsidR="00277E79" w:rsidRPr="00050CE2">
        <w:rPr>
          <w:rFonts w:hint="eastAsia"/>
          <w:b/>
          <w:rtl/>
        </w:rPr>
        <w:t>بما</w:t>
      </w:r>
      <w:r w:rsidR="00277E79" w:rsidRPr="00050CE2">
        <w:rPr>
          <w:b/>
          <w:rtl/>
        </w:rPr>
        <w:t xml:space="preserve"> في ذلك الموارد البشرية والجينية والبذور والأدوية </w:t>
      </w:r>
      <w:r w:rsidR="00277E79" w:rsidRPr="00050CE2">
        <w:rPr>
          <w:rFonts w:hint="eastAsia"/>
          <w:b/>
          <w:rtl/>
        </w:rPr>
        <w:t>ومعرفة</w:t>
      </w:r>
      <w:r w:rsidR="00277E79" w:rsidRPr="00050CE2">
        <w:rPr>
          <w:b/>
          <w:rtl/>
        </w:rPr>
        <w:t xml:space="preserve"> خصائص الحيوانات والنباتات والتقاليد الشفوية والآداب والرسوم والرياضة </w:t>
      </w:r>
      <w:r w:rsidR="00277E79" w:rsidRPr="00050CE2">
        <w:rPr>
          <w:rFonts w:hint="eastAsia"/>
          <w:b/>
          <w:rtl/>
        </w:rPr>
        <w:t>بأنواعها</w:t>
      </w:r>
      <w:r w:rsidR="00277E79" w:rsidRPr="00050CE2">
        <w:rPr>
          <w:b/>
          <w:rtl/>
        </w:rPr>
        <w:t xml:space="preserve"> والألعاب التقليدية والفنون البصرية </w:t>
      </w:r>
      <w:r w:rsidR="00277E79" w:rsidRPr="00050CE2">
        <w:rPr>
          <w:rtl/>
        </w:rPr>
        <w:t>و</w:t>
      </w:r>
      <w:r w:rsidR="00277E79">
        <w:rPr>
          <w:rFonts w:hint="cs"/>
          <w:rtl/>
        </w:rPr>
        <w:t>ال</w:t>
      </w:r>
      <w:r w:rsidR="00277E79" w:rsidRPr="00050CE2">
        <w:rPr>
          <w:rtl/>
        </w:rPr>
        <w:t>فنون</w:t>
      </w:r>
      <w:r w:rsidR="00277E79" w:rsidRPr="00050CE2">
        <w:rPr>
          <w:rFonts w:hint="cs"/>
          <w:b/>
          <w:rtl/>
        </w:rPr>
        <w:t xml:space="preserve"> </w:t>
      </w:r>
      <w:r w:rsidR="00277E79">
        <w:rPr>
          <w:rFonts w:hint="cs"/>
          <w:b/>
          <w:rtl/>
        </w:rPr>
        <w:t>الاستعراضية</w:t>
      </w:r>
      <w:r w:rsidR="00277E79" w:rsidRPr="00050CE2">
        <w:rPr>
          <w:b/>
          <w:rtl/>
        </w:rPr>
        <w:t xml:space="preserve">. ولها الحق أيضا في </w:t>
      </w:r>
      <w:r w:rsidR="00277E79" w:rsidRPr="00050CE2">
        <w:rPr>
          <w:rFonts w:hint="eastAsia"/>
          <w:b/>
          <w:rtl/>
        </w:rPr>
        <w:t>الحفاظ</w:t>
      </w:r>
      <w:r w:rsidR="00277E79" w:rsidRPr="00050CE2">
        <w:rPr>
          <w:b/>
          <w:rtl/>
        </w:rPr>
        <w:t xml:space="preserve"> والسيطرة على ملكيتها الفكرية لهذا التراث الثقافي والمعارف التقليدية </w:t>
      </w:r>
      <w:r w:rsidR="00277E79" w:rsidRPr="00050CE2">
        <w:rPr>
          <w:rFonts w:hint="eastAsia"/>
          <w:b/>
          <w:rtl/>
        </w:rPr>
        <w:t>والتعبيرات</w:t>
      </w:r>
      <w:r w:rsidR="00277E79" w:rsidRPr="00050CE2">
        <w:rPr>
          <w:b/>
          <w:rtl/>
        </w:rPr>
        <w:t xml:space="preserve"> الثقافية التقليدية وحمايتها وتطويرها.</w:t>
      </w:r>
      <w:r>
        <w:rPr>
          <w:rFonts w:hint="cs"/>
          <w:b/>
          <w:rtl/>
        </w:rPr>
        <w:t>"</w:t>
      </w:r>
      <w:r w:rsidR="00277E79">
        <w:rPr>
          <w:rStyle w:val="FootnoteReference"/>
          <w:b/>
          <w:rtl/>
        </w:rPr>
        <w:footnoteReference w:id="2"/>
      </w:r>
    </w:p>
    <w:p w14:paraId="2EA379FB" w14:textId="1D2526D2" w:rsidR="002F702A" w:rsidRPr="00906B35" w:rsidRDefault="00277E79" w:rsidP="00B83462">
      <w:pPr>
        <w:pStyle w:val="NumberedParaAR"/>
        <w:numPr>
          <w:ilvl w:val="0"/>
          <w:numId w:val="22"/>
        </w:numPr>
      </w:pPr>
      <w:r>
        <w:rPr>
          <w:rFonts w:hint="cs"/>
          <w:rtl/>
          <w:lang w:bidi="ar-EG"/>
        </w:rPr>
        <w:t>وإن أحكام هذه المادة مترسخة في مجموعة من</w:t>
      </w:r>
      <w:r w:rsidR="00B83462">
        <w:rPr>
          <w:rFonts w:hint="cs"/>
          <w:rtl/>
          <w:lang w:bidi="ar-EG"/>
        </w:rPr>
        <w:t xml:space="preserve"> حقوق الإنسان العالمية ومنها حق</w:t>
      </w:r>
      <w:r>
        <w:rPr>
          <w:rFonts w:hint="cs"/>
          <w:rtl/>
          <w:lang w:bidi="ar-EG"/>
        </w:rPr>
        <w:t xml:space="preserve"> </w:t>
      </w:r>
      <w:r w:rsidR="00B83462">
        <w:rPr>
          <w:rFonts w:hint="cs"/>
          <w:rtl/>
          <w:lang w:bidi="ar-EG"/>
        </w:rPr>
        <w:t>التمتع ب</w:t>
      </w:r>
      <w:r>
        <w:rPr>
          <w:rFonts w:hint="cs"/>
          <w:rtl/>
          <w:lang w:bidi="ar-EG"/>
        </w:rPr>
        <w:t>الثقافة و</w:t>
      </w:r>
      <w:r w:rsidR="00B83462">
        <w:rPr>
          <w:rFonts w:hint="cs"/>
          <w:rtl/>
          <w:lang w:bidi="ar-EG"/>
        </w:rPr>
        <w:t>حرية الاعتقاد</w:t>
      </w:r>
      <w:r>
        <w:rPr>
          <w:rFonts w:hint="cs"/>
          <w:rtl/>
          <w:lang w:bidi="ar-EG"/>
        </w:rPr>
        <w:t xml:space="preserve"> و</w:t>
      </w:r>
      <w:r w:rsidR="00B83462">
        <w:rPr>
          <w:rFonts w:hint="cs"/>
          <w:rtl/>
          <w:lang w:bidi="ar-EG"/>
        </w:rPr>
        <w:t xml:space="preserve">حقوق </w:t>
      </w:r>
      <w:r>
        <w:rPr>
          <w:rFonts w:hint="cs"/>
          <w:rtl/>
          <w:lang w:bidi="ar-EG"/>
        </w:rPr>
        <w:t>الملكية و</w:t>
      </w:r>
      <w:r w:rsidR="00B83462">
        <w:rPr>
          <w:rFonts w:hint="cs"/>
          <w:rtl/>
          <w:lang w:bidi="ar-EG"/>
        </w:rPr>
        <w:t xml:space="preserve">حق </w:t>
      </w:r>
      <w:r>
        <w:rPr>
          <w:rFonts w:hint="cs"/>
          <w:rtl/>
          <w:lang w:bidi="ar-EG"/>
        </w:rPr>
        <w:t xml:space="preserve">تقرير المصير </w:t>
      </w:r>
      <w:r w:rsidR="0094026D">
        <w:rPr>
          <w:rFonts w:hint="cs"/>
          <w:rtl/>
          <w:lang w:bidi="ar-EG"/>
        </w:rPr>
        <w:t>في ضوء القاعدة الأساسية لعدم التمييز والخصائص المحددة للشعوب الأصلية.</w:t>
      </w:r>
    </w:p>
    <w:p w14:paraId="508B644E" w14:textId="46E153BB" w:rsidR="00593B8A" w:rsidRDefault="0094026D" w:rsidP="00B83462">
      <w:pPr>
        <w:pStyle w:val="Heading4AR"/>
      </w:pPr>
      <w:r>
        <w:rPr>
          <w:rFonts w:hint="cs"/>
          <w:rtl/>
        </w:rPr>
        <w:lastRenderedPageBreak/>
        <w:t>الحق في</w:t>
      </w:r>
      <w:r w:rsidR="00B83462">
        <w:rPr>
          <w:rFonts w:hint="cs"/>
          <w:rtl/>
        </w:rPr>
        <w:t xml:space="preserve"> التمتع</w:t>
      </w:r>
      <w:r>
        <w:rPr>
          <w:rFonts w:hint="cs"/>
          <w:rtl/>
        </w:rPr>
        <w:t xml:space="preserve"> </w:t>
      </w:r>
      <w:r w:rsidR="00B83462">
        <w:rPr>
          <w:rFonts w:hint="cs"/>
          <w:rtl/>
        </w:rPr>
        <w:t>ب</w:t>
      </w:r>
      <w:r>
        <w:rPr>
          <w:rFonts w:hint="cs"/>
          <w:rtl/>
        </w:rPr>
        <w:t xml:space="preserve">الثقافة </w:t>
      </w:r>
      <w:r w:rsidR="00B83462">
        <w:rPr>
          <w:rFonts w:hint="cs"/>
          <w:rtl/>
          <w:lang w:bidi="ar-EG"/>
        </w:rPr>
        <w:t>و</w:t>
      </w:r>
      <w:r w:rsidR="00B83462">
        <w:rPr>
          <w:rFonts w:hint="cs"/>
          <w:rtl/>
        </w:rPr>
        <w:t>حرية الاعتقاد</w:t>
      </w:r>
    </w:p>
    <w:p w14:paraId="0E93E12D" w14:textId="0D42A50E" w:rsidR="0094026D" w:rsidRDefault="00D0339A" w:rsidP="00EC02F3">
      <w:pPr>
        <w:pStyle w:val="NumberedParaAR"/>
        <w:numPr>
          <w:ilvl w:val="0"/>
          <w:numId w:val="22"/>
        </w:numPr>
      </w:pPr>
      <w:r>
        <w:rPr>
          <w:rtl/>
        </w:rPr>
        <w:t xml:space="preserve">من المسلم به على نطاق واسع أن الحق في التمتع </w:t>
      </w:r>
      <w:r w:rsidR="0094026D">
        <w:rPr>
          <w:rFonts w:hint="cs"/>
          <w:rtl/>
        </w:rPr>
        <w:t>ب</w:t>
      </w:r>
      <w:r>
        <w:rPr>
          <w:rtl/>
        </w:rPr>
        <w:t>الثقافة</w:t>
      </w:r>
      <w:r w:rsidR="0094026D">
        <w:rPr>
          <w:rFonts w:hint="cs"/>
          <w:rtl/>
        </w:rPr>
        <w:t>، الذي تؤكده العديد</w:t>
      </w:r>
      <w:r w:rsidR="0094026D">
        <w:rPr>
          <w:rtl/>
        </w:rPr>
        <w:t xml:space="preserve"> </w:t>
      </w:r>
      <w:r w:rsidR="0094026D">
        <w:rPr>
          <w:rFonts w:hint="cs"/>
          <w:rtl/>
        </w:rPr>
        <w:t xml:space="preserve">من </w:t>
      </w:r>
      <w:r w:rsidR="0094026D">
        <w:rPr>
          <w:rtl/>
        </w:rPr>
        <w:t xml:space="preserve">صكوك </w:t>
      </w:r>
      <w:r>
        <w:rPr>
          <w:rtl/>
        </w:rPr>
        <w:t>حقوق الإنسان</w:t>
      </w:r>
      <w:r w:rsidR="0094026D">
        <w:rPr>
          <w:rFonts w:hint="cs"/>
          <w:rtl/>
        </w:rPr>
        <w:t xml:space="preserve">، يشمل الخصائص </w:t>
      </w:r>
      <w:r w:rsidR="0094026D">
        <w:rPr>
          <w:rtl/>
        </w:rPr>
        <w:t>الثقافية المميزة للشعوب الأصلية</w:t>
      </w:r>
      <w:r>
        <w:rPr>
          <w:rtl/>
        </w:rPr>
        <w:t xml:space="preserve"> </w:t>
      </w:r>
      <w:r w:rsidR="0094026D">
        <w:rPr>
          <w:rFonts w:hint="cs"/>
          <w:rtl/>
        </w:rPr>
        <w:t>التي تضم</w:t>
      </w:r>
      <w:r>
        <w:rPr>
          <w:rtl/>
        </w:rPr>
        <w:t xml:space="preserve"> المعارف التقليدية </w:t>
      </w:r>
      <w:r w:rsidR="0094026D">
        <w:rPr>
          <w:rFonts w:hint="cs"/>
          <w:rtl/>
        </w:rPr>
        <w:t>المنبثقة عن أنماط الملاحظة والتجربة الخاصة بهذه الشعوب فضلاً عن أشكالها الفنية المميزة وغيرها من أشكال التعبير الثقافي</w:t>
      </w:r>
      <w:r w:rsidR="00B83462">
        <w:rPr>
          <w:rFonts w:hint="cs"/>
          <w:rtl/>
        </w:rPr>
        <w:t xml:space="preserve"> التقليدي</w:t>
      </w:r>
      <w:r w:rsidR="0094026D">
        <w:rPr>
          <w:rFonts w:hint="cs"/>
          <w:rtl/>
        </w:rPr>
        <w:t xml:space="preserve"> الأخرى.</w:t>
      </w:r>
      <w:r w:rsidR="0094026D">
        <w:rPr>
          <w:rStyle w:val="FootnoteReference"/>
          <w:rtl/>
        </w:rPr>
        <w:footnoteReference w:id="3"/>
      </w:r>
      <w:r w:rsidR="0094026D">
        <w:rPr>
          <w:rFonts w:hint="cs"/>
          <w:rtl/>
        </w:rPr>
        <w:t xml:space="preserve"> </w:t>
      </w:r>
      <w:r w:rsidR="00592CB6">
        <w:rPr>
          <w:rFonts w:hint="cs"/>
          <w:rtl/>
        </w:rPr>
        <w:t>ويندرج عادة استخدام الشعوب الأصلية للموارد الوراثية، كأي مورد طبيعي آخر، في إطار الهوية الثقافية أو يتصل بهذه الهوية. ووفقاً لما أع</w:t>
      </w:r>
      <w:r w:rsidR="00B83462">
        <w:rPr>
          <w:rFonts w:hint="cs"/>
          <w:rtl/>
        </w:rPr>
        <w:t>ل</w:t>
      </w:r>
      <w:r w:rsidR="00592CB6">
        <w:rPr>
          <w:rFonts w:hint="cs"/>
          <w:rtl/>
        </w:rPr>
        <w:t xml:space="preserve">نته اللجنة المعنية بحقوق الإنسان بشأن الحق في </w:t>
      </w:r>
      <w:r w:rsidR="00B83462">
        <w:rPr>
          <w:rFonts w:hint="cs"/>
          <w:rtl/>
        </w:rPr>
        <w:t>التمتع ب</w:t>
      </w:r>
      <w:r w:rsidR="00592CB6">
        <w:rPr>
          <w:rFonts w:hint="cs"/>
          <w:rtl/>
        </w:rPr>
        <w:t xml:space="preserve">الثقافة المكفول بموجب المادة 27 من العهد الدولي </w:t>
      </w:r>
      <w:r w:rsidR="00B83462">
        <w:rPr>
          <w:rFonts w:hint="cs"/>
          <w:rtl/>
        </w:rPr>
        <w:t>الخاص با</w:t>
      </w:r>
      <w:r w:rsidR="00592CB6">
        <w:rPr>
          <w:rFonts w:hint="cs"/>
          <w:rtl/>
        </w:rPr>
        <w:t>لحقوق المدنية والسياسية، فإن "</w:t>
      </w:r>
      <w:r w:rsidR="00EC02F3" w:rsidRPr="00EC02F3">
        <w:rPr>
          <w:rtl/>
        </w:rPr>
        <w:t>الثقافة تتبدى بأشكال كثيرة، من بينها أسلوب للعيش يرتبط باستخدام موارد الأرض، ولا سيما في حالة الشعوب الأصلية</w:t>
      </w:r>
      <w:r w:rsidR="00592CB6">
        <w:rPr>
          <w:rFonts w:hint="cs"/>
          <w:rtl/>
        </w:rPr>
        <w:t>".</w:t>
      </w:r>
      <w:r w:rsidR="00592CB6">
        <w:rPr>
          <w:rStyle w:val="FootnoteReference"/>
          <w:rtl/>
        </w:rPr>
        <w:footnoteReference w:id="4"/>
      </w:r>
      <w:r w:rsidR="00556462">
        <w:rPr>
          <w:rFonts w:hint="cs"/>
          <w:rtl/>
        </w:rPr>
        <w:t xml:space="preserve"> </w:t>
      </w:r>
      <w:r w:rsidR="00592CB6">
        <w:rPr>
          <w:rFonts w:hint="cs"/>
          <w:rtl/>
        </w:rPr>
        <w:t>وفي العديد من الحالات، تكون هذه الجوانب من تراث الشعوب الأصلية جزءاً من نظم المعتقدات الدينية الأصلية أو تتصل بهذه النظم ما يجعلها تندرج في نطاق الحق في</w:t>
      </w:r>
      <w:r w:rsidR="00EC02F3">
        <w:rPr>
          <w:rFonts w:hint="cs"/>
          <w:rtl/>
        </w:rPr>
        <w:t xml:space="preserve"> حرية</w:t>
      </w:r>
      <w:r w:rsidR="00592CB6">
        <w:rPr>
          <w:rFonts w:hint="cs"/>
          <w:rtl/>
        </w:rPr>
        <w:t xml:space="preserve"> </w:t>
      </w:r>
      <w:r w:rsidR="00EC02F3">
        <w:rPr>
          <w:rFonts w:hint="cs"/>
          <w:rtl/>
        </w:rPr>
        <w:t>الاعتقاد</w:t>
      </w:r>
      <w:r w:rsidR="00592CB6">
        <w:rPr>
          <w:rFonts w:hint="cs"/>
          <w:rtl/>
        </w:rPr>
        <w:t>.</w:t>
      </w:r>
    </w:p>
    <w:p w14:paraId="5A3230D8" w14:textId="77777777" w:rsidR="00593B8A" w:rsidRDefault="00D0339A" w:rsidP="00592CB6">
      <w:pPr>
        <w:pStyle w:val="Heading4AR"/>
        <w:rPr>
          <w:rtl/>
        </w:rPr>
      </w:pPr>
      <w:r>
        <w:rPr>
          <w:rtl/>
        </w:rPr>
        <w:t>الحق في الملكية</w:t>
      </w:r>
    </w:p>
    <w:p w14:paraId="5288C2D5" w14:textId="0848D873" w:rsidR="009A2D57" w:rsidRDefault="009A2D57" w:rsidP="00EC02F3">
      <w:pPr>
        <w:pStyle w:val="NumberedParaAR"/>
        <w:numPr>
          <w:ilvl w:val="0"/>
          <w:numId w:val="22"/>
        </w:numPr>
      </w:pPr>
      <w:r>
        <w:rPr>
          <w:rFonts w:hint="cs"/>
          <w:rtl/>
        </w:rPr>
        <w:t xml:space="preserve">المادة 31 المذكورة أعلاه مترسخة في الحق في </w:t>
      </w:r>
      <w:r w:rsidR="00EC02F3">
        <w:rPr>
          <w:rFonts w:hint="cs"/>
          <w:rtl/>
        </w:rPr>
        <w:t>التمتع ب</w:t>
      </w:r>
      <w:r>
        <w:rPr>
          <w:rFonts w:hint="cs"/>
          <w:rtl/>
        </w:rPr>
        <w:t xml:space="preserve">الثقافة ولكنها تؤكد أيضاً ملكية الشعوب الأصلية للجوانب المشار إليها من تراثها الثقافي. </w:t>
      </w:r>
      <w:r w:rsidR="00C54149">
        <w:rPr>
          <w:rFonts w:hint="cs"/>
          <w:rtl/>
        </w:rPr>
        <w:t>وإن امتلاك</w:t>
      </w:r>
      <w:r>
        <w:rPr>
          <w:rFonts w:hint="cs"/>
          <w:rtl/>
        </w:rPr>
        <w:t xml:space="preserve"> الشعوب الأصلية حقوق ملكية على المعارف التقلي</w:t>
      </w:r>
      <w:r w:rsidR="00C54149">
        <w:rPr>
          <w:rFonts w:hint="cs"/>
          <w:rtl/>
        </w:rPr>
        <w:t>دية وأشكال التعبير الثقافي</w:t>
      </w:r>
      <w:r w:rsidR="00EC02F3">
        <w:rPr>
          <w:rFonts w:hint="cs"/>
          <w:rtl/>
        </w:rPr>
        <w:t xml:space="preserve"> التقليدي</w:t>
      </w:r>
      <w:r w:rsidR="00C54149">
        <w:rPr>
          <w:rFonts w:hint="cs"/>
          <w:rtl/>
        </w:rPr>
        <w:t xml:space="preserve"> ينبثق </w:t>
      </w:r>
      <w:r w:rsidR="00EC02F3">
        <w:rPr>
          <w:rFonts w:hint="cs"/>
          <w:rtl/>
        </w:rPr>
        <w:t>ع</w:t>
      </w:r>
      <w:r w:rsidR="00C54149">
        <w:rPr>
          <w:rFonts w:hint="cs"/>
          <w:rtl/>
        </w:rPr>
        <w:t xml:space="preserve">ن الفكرة العامة </w:t>
      </w:r>
      <w:r w:rsidR="00EC02F3">
        <w:rPr>
          <w:rFonts w:hint="cs"/>
          <w:rtl/>
        </w:rPr>
        <w:t>ب</w:t>
      </w:r>
      <w:r w:rsidR="00C54149">
        <w:rPr>
          <w:rFonts w:hint="cs"/>
          <w:rtl/>
        </w:rPr>
        <w:t xml:space="preserve">أن الإبداع الفكري يعطي مبدِعه حقوقاً معنوية ومادية، وتؤكد مصادر أخرى، مثل الفقرة 1(ج) من المادة 15 من العهد الدولي </w:t>
      </w:r>
      <w:r w:rsidR="00B83462">
        <w:rPr>
          <w:rFonts w:hint="cs"/>
          <w:rtl/>
        </w:rPr>
        <w:t>الخاص با</w:t>
      </w:r>
      <w:r w:rsidR="00C54149">
        <w:rPr>
          <w:rFonts w:hint="cs"/>
          <w:rtl/>
        </w:rPr>
        <w:t xml:space="preserve">لحقوق الاقتصادية </w:t>
      </w:r>
      <w:r w:rsidR="00EC02F3">
        <w:rPr>
          <w:rFonts w:hint="cs"/>
          <w:rtl/>
        </w:rPr>
        <w:t>والاجتماعية والثقافية،</w:t>
      </w:r>
      <w:r w:rsidR="00C54149">
        <w:rPr>
          <w:rFonts w:hint="cs"/>
          <w:rtl/>
        </w:rPr>
        <w:t xml:space="preserve"> هذه الحقوق كما فسرتها </w:t>
      </w:r>
      <w:r w:rsidR="00FB18BE">
        <w:rPr>
          <w:rFonts w:hint="cs"/>
          <w:rtl/>
        </w:rPr>
        <w:t>لجنة الحقوق</w:t>
      </w:r>
      <w:r w:rsidR="00C54149">
        <w:rPr>
          <w:rFonts w:hint="cs"/>
          <w:rtl/>
        </w:rPr>
        <w:t xml:space="preserve"> الاقتصادية والاجتماعية والثقافية.</w:t>
      </w:r>
      <w:r w:rsidR="00C54149">
        <w:rPr>
          <w:rStyle w:val="FootnoteReference"/>
          <w:rtl/>
        </w:rPr>
        <w:footnoteReference w:id="5"/>
      </w:r>
      <w:r w:rsidR="00C54149">
        <w:rPr>
          <w:rFonts w:hint="cs"/>
          <w:rtl/>
        </w:rPr>
        <w:t xml:space="preserve"> وهناك عدد من المصادر الدولية ذات الحجية</w:t>
      </w:r>
      <w:r w:rsidR="00D63745">
        <w:rPr>
          <w:rStyle w:val="FootnoteReference"/>
          <w:rtl/>
        </w:rPr>
        <w:footnoteReference w:id="6"/>
      </w:r>
      <w:r w:rsidR="00D63745">
        <w:rPr>
          <w:rFonts w:hint="cs"/>
          <w:rtl/>
        </w:rPr>
        <w:t xml:space="preserve"> والسابقات القانونية الوافرة والصادرة عن محاكم إقليمية ومحلية وهيئات معنية بحقوق الإنسان</w:t>
      </w:r>
      <w:r w:rsidR="00D63745">
        <w:rPr>
          <w:rStyle w:val="FootnoteReference"/>
          <w:rtl/>
        </w:rPr>
        <w:footnoteReference w:id="7"/>
      </w:r>
      <w:r w:rsidR="00B30310">
        <w:rPr>
          <w:rFonts w:hint="cs"/>
          <w:rtl/>
        </w:rPr>
        <w:t xml:space="preserve"> </w:t>
      </w:r>
      <w:r w:rsidR="00EC02F3">
        <w:rPr>
          <w:rFonts w:hint="cs"/>
          <w:rtl/>
        </w:rPr>
        <w:t>ي</w:t>
      </w:r>
      <w:r w:rsidR="00B30310">
        <w:rPr>
          <w:rFonts w:hint="cs"/>
          <w:rtl/>
        </w:rPr>
        <w:t>ؤكد أن للشعوب الأصلية حقوق ملكية على الأراضي والموارد الطبيعية المستخدمة تقليدياً، ويشمل ذلك ضمناً الموارد الوراثية التي امتلكوها أو استخدموها تقليدياً.</w:t>
      </w:r>
    </w:p>
    <w:p w14:paraId="63A74296" w14:textId="77777777" w:rsidR="00593B8A" w:rsidRDefault="00D0339A" w:rsidP="00B30310">
      <w:pPr>
        <w:pStyle w:val="Heading4AR"/>
        <w:rPr>
          <w:rtl/>
        </w:rPr>
      </w:pPr>
      <w:r>
        <w:rPr>
          <w:rtl/>
        </w:rPr>
        <w:t>الحق في تقرير المصير</w:t>
      </w:r>
    </w:p>
    <w:p w14:paraId="22B27333" w14:textId="1C0203A8" w:rsidR="00F23EA4" w:rsidRDefault="00F23EA4" w:rsidP="00EC02F3">
      <w:pPr>
        <w:pStyle w:val="NumberedParaAR"/>
        <w:numPr>
          <w:ilvl w:val="0"/>
          <w:numId w:val="22"/>
        </w:numPr>
      </w:pPr>
      <w:r>
        <w:rPr>
          <w:rFonts w:hint="cs"/>
          <w:rtl/>
        </w:rPr>
        <w:t>إضافة إلى ما سبق، فإن "</w:t>
      </w:r>
      <w:r w:rsidRPr="00F23EA4">
        <w:rPr>
          <w:rtl/>
        </w:rPr>
        <w:t xml:space="preserve">الحق في الحفاظ والسيطرة على </w:t>
      </w:r>
      <w:r>
        <w:rPr>
          <w:rFonts w:hint="cs"/>
          <w:rtl/>
        </w:rPr>
        <w:t xml:space="preserve">[جوانب التراث الثقافي المذكورة في المادة 31 من </w:t>
      </w:r>
      <w:r w:rsidR="00EC02F3">
        <w:rPr>
          <w:rFonts w:hint="cs"/>
          <w:rtl/>
        </w:rPr>
        <w:t>إعلان الأمم المتحدة بشأن حقوق الشعوب الأصلية</w:t>
      </w:r>
      <w:r>
        <w:rPr>
          <w:rFonts w:hint="cs"/>
          <w:rtl/>
        </w:rPr>
        <w:t>]</w:t>
      </w:r>
      <w:r w:rsidRPr="00F23EA4">
        <w:rPr>
          <w:rtl/>
        </w:rPr>
        <w:t xml:space="preserve"> وحمايتها وتطويرها</w:t>
      </w:r>
      <w:r>
        <w:rPr>
          <w:rFonts w:hint="cs"/>
          <w:rtl/>
        </w:rPr>
        <w:t>" أحد عناصر الحق في تقرير المصير المكفول "لجميع الشعوب" في العهود الدولية الخاصة بحقوق الإنسان</w:t>
      </w:r>
      <w:r>
        <w:rPr>
          <w:rStyle w:val="FootnoteReference"/>
          <w:rtl/>
        </w:rPr>
        <w:footnoteReference w:id="8"/>
      </w:r>
      <w:r>
        <w:rPr>
          <w:rFonts w:hint="cs"/>
          <w:rtl/>
        </w:rPr>
        <w:t xml:space="preserve"> </w:t>
      </w:r>
      <w:r w:rsidR="00EC02F3">
        <w:rPr>
          <w:rFonts w:hint="cs"/>
          <w:rtl/>
        </w:rPr>
        <w:t>ولا سيما المادة 3 من الإعلان الت</w:t>
      </w:r>
      <w:r>
        <w:rPr>
          <w:rFonts w:hint="cs"/>
          <w:rtl/>
        </w:rPr>
        <w:t xml:space="preserve">ي </w:t>
      </w:r>
      <w:r w:rsidR="00EC02F3">
        <w:rPr>
          <w:rFonts w:hint="cs"/>
          <w:rtl/>
        </w:rPr>
        <w:t>تكفل هذا الحق</w:t>
      </w:r>
      <w:r>
        <w:rPr>
          <w:rFonts w:hint="cs"/>
          <w:rtl/>
        </w:rPr>
        <w:t xml:space="preserve"> للشعوب الأصلية تحديداً. </w:t>
      </w:r>
      <w:r w:rsidR="004C7BCC">
        <w:rPr>
          <w:rFonts w:hint="cs"/>
          <w:rtl/>
        </w:rPr>
        <w:t xml:space="preserve">وفسرت اللجنة المعنية بحقوق الإنسان الحق في تقرير المصير المرسخ في العهد الدولي الخاص بالحقوق المدنية والسياسية، </w:t>
      </w:r>
      <w:r w:rsidR="004C7BCC">
        <w:rPr>
          <w:rFonts w:hint="cs"/>
          <w:rtl/>
        </w:rPr>
        <w:lastRenderedPageBreak/>
        <w:t>و</w:t>
      </w:r>
      <w:r w:rsidR="00EC02F3">
        <w:rPr>
          <w:rFonts w:hint="cs"/>
          <w:rtl/>
        </w:rPr>
        <w:t xml:space="preserve">أشارت صراحة إلى الشعوب الأصلية لتشدد </w:t>
      </w:r>
      <w:r w:rsidR="004C7BCC">
        <w:rPr>
          <w:rFonts w:hint="cs"/>
          <w:rtl/>
        </w:rPr>
        <w:t>على أن ممارسة هذا الحق "تتطلب توافر جملة شروط منها حرية جميع الشعوب في التصرف في مواردها وثرواتها الطبيعية".</w:t>
      </w:r>
      <w:r w:rsidR="004C7BCC">
        <w:rPr>
          <w:rStyle w:val="FootnoteReference"/>
          <w:rtl/>
        </w:rPr>
        <w:footnoteReference w:id="9"/>
      </w:r>
    </w:p>
    <w:p w14:paraId="32FA24EC" w14:textId="14530A3E" w:rsidR="00F23EA4" w:rsidRDefault="00E54539" w:rsidP="00E54539">
      <w:pPr>
        <w:pStyle w:val="NumberedParaAR"/>
        <w:numPr>
          <w:ilvl w:val="0"/>
          <w:numId w:val="22"/>
        </w:numPr>
      </w:pPr>
      <w:r>
        <w:rPr>
          <w:rFonts w:hint="cs"/>
          <w:rtl/>
        </w:rPr>
        <w:t>و</w:t>
      </w:r>
      <w:r w:rsidRPr="00E54539">
        <w:rPr>
          <w:rtl/>
        </w:rPr>
        <w:t xml:space="preserve">للشعوب الأصلية، في ممارسة حقها في تقرير المصير، </w:t>
      </w:r>
      <w:r>
        <w:rPr>
          <w:rFonts w:hint="cs"/>
          <w:rtl/>
        </w:rPr>
        <w:t>"</w:t>
      </w:r>
      <w:r w:rsidRPr="00E54539">
        <w:rPr>
          <w:rtl/>
        </w:rPr>
        <w:t>الحق في الاستقلال الذاتي أو الحكم الذاتي في المسائل المتصلة بشؤونها الداخلية والمحلية</w:t>
      </w:r>
      <w:r>
        <w:rPr>
          <w:rFonts w:hint="cs"/>
          <w:rtl/>
        </w:rPr>
        <w:t>"</w:t>
      </w:r>
      <w:r w:rsidRPr="00E54539">
        <w:rPr>
          <w:rtl/>
        </w:rPr>
        <w:t>.</w:t>
      </w:r>
      <w:r>
        <w:rPr>
          <w:rStyle w:val="FootnoteReference"/>
          <w:rtl/>
        </w:rPr>
        <w:footnoteReference w:id="10"/>
      </w:r>
      <w:r>
        <w:rPr>
          <w:rFonts w:hint="cs"/>
          <w:rtl/>
        </w:rPr>
        <w:t xml:space="preserve"> وينطوي هذا الحق بالضرورة على حق الشعوب الأصلية في إدارة وتنظيم استخدام مواردها الوراثية ومعارفها التقليدية وأشكال التعبير الثقافي الخاصة بها بما يتوافق مع أعرافها وقوانينها وتقاليدها. وإن أحد العناصر الهامة في تحكم الشعوب الأصلية بمواردها وجوانب تراثها الثقافي هو الحق في تقرير نطاق وشروط انتفاع الغير بهذه الموا</w:t>
      </w:r>
      <w:r w:rsidR="00EC02F3">
        <w:rPr>
          <w:rFonts w:hint="cs"/>
          <w:rtl/>
        </w:rPr>
        <w:t>ر</w:t>
      </w:r>
      <w:r>
        <w:rPr>
          <w:rFonts w:hint="cs"/>
          <w:rtl/>
        </w:rPr>
        <w:t>د واستخدامها.</w:t>
      </w:r>
    </w:p>
    <w:p w14:paraId="416750D2" w14:textId="77777777" w:rsidR="00593B8A" w:rsidRDefault="00D0339A" w:rsidP="00E54539">
      <w:pPr>
        <w:pStyle w:val="Heading4AR"/>
        <w:rPr>
          <w:rtl/>
        </w:rPr>
      </w:pPr>
      <w:r>
        <w:rPr>
          <w:rtl/>
        </w:rPr>
        <w:t xml:space="preserve">واجب الدول </w:t>
      </w:r>
      <w:r w:rsidR="00E54539">
        <w:rPr>
          <w:rFonts w:hint="cs"/>
          <w:rtl/>
        </w:rPr>
        <w:t>بإنفاذ</w:t>
      </w:r>
      <w:r>
        <w:rPr>
          <w:rtl/>
        </w:rPr>
        <w:t xml:space="preserve"> حقوق الإنسان</w:t>
      </w:r>
    </w:p>
    <w:p w14:paraId="2534AC69" w14:textId="1DB3451F" w:rsidR="00AB1AF1" w:rsidRPr="001D64B2" w:rsidRDefault="00AB1AF1" w:rsidP="00EC02F3">
      <w:pPr>
        <w:pStyle w:val="NumberedParaAR"/>
        <w:numPr>
          <w:ilvl w:val="0"/>
          <w:numId w:val="22"/>
        </w:numPr>
        <w:rPr>
          <w:rFonts w:ascii="Traditional Arabic" w:hAnsi="Traditional Arabic" w:cs="Traditional Arabic"/>
          <w:sz w:val="32"/>
          <w:szCs w:val="32"/>
        </w:rPr>
      </w:pPr>
      <w:r w:rsidRPr="001D64B2">
        <w:rPr>
          <w:rFonts w:hint="cs"/>
          <w:rtl/>
        </w:rPr>
        <w:t xml:space="preserve">النتيجة الملازمة لجميع حقوق </w:t>
      </w:r>
      <w:r w:rsidRPr="001D64B2">
        <w:rPr>
          <w:rtl/>
        </w:rPr>
        <w:t>الإنسان المعترف بها دوليا</w:t>
      </w:r>
      <w:r w:rsidRPr="001D64B2">
        <w:rPr>
          <w:rFonts w:hint="cs"/>
          <w:rtl/>
        </w:rPr>
        <w:t>ً</w:t>
      </w:r>
      <w:r w:rsidRPr="001D64B2">
        <w:rPr>
          <w:rtl/>
        </w:rPr>
        <w:t xml:space="preserve"> </w:t>
      </w:r>
      <w:r w:rsidRPr="001D64B2">
        <w:rPr>
          <w:rFonts w:hint="cs"/>
          <w:rtl/>
        </w:rPr>
        <w:t xml:space="preserve">هي </w:t>
      </w:r>
      <w:r w:rsidRPr="001D64B2">
        <w:rPr>
          <w:rtl/>
        </w:rPr>
        <w:t xml:space="preserve">واجب الدول </w:t>
      </w:r>
      <w:r w:rsidRPr="001D64B2">
        <w:rPr>
          <w:rFonts w:hint="cs"/>
          <w:rtl/>
        </w:rPr>
        <w:t>ب</w:t>
      </w:r>
      <w:r w:rsidRPr="001D64B2">
        <w:rPr>
          <w:rtl/>
        </w:rPr>
        <w:t>احترام</w:t>
      </w:r>
      <w:r w:rsidRPr="001D64B2">
        <w:rPr>
          <w:rFonts w:hint="cs"/>
          <w:rtl/>
        </w:rPr>
        <w:t>ها</w:t>
      </w:r>
      <w:r w:rsidRPr="001D64B2">
        <w:rPr>
          <w:rtl/>
        </w:rPr>
        <w:t xml:space="preserve"> وحماي</w:t>
      </w:r>
      <w:r w:rsidRPr="001D64B2">
        <w:rPr>
          <w:rFonts w:hint="cs"/>
          <w:rtl/>
        </w:rPr>
        <w:t>تها</w:t>
      </w:r>
      <w:r w:rsidRPr="001D64B2">
        <w:rPr>
          <w:rtl/>
        </w:rPr>
        <w:t xml:space="preserve"> والوفاء بها. وأ</w:t>
      </w:r>
      <w:r w:rsidRPr="001D64B2">
        <w:rPr>
          <w:rFonts w:hint="cs"/>
          <w:rtl/>
        </w:rPr>
        <w:t>ُ</w:t>
      </w:r>
      <w:r w:rsidRPr="001D64B2">
        <w:rPr>
          <w:rtl/>
        </w:rPr>
        <w:t>كد هذا الواجب في صكوك الأمم المتحدة و</w:t>
      </w:r>
      <w:r w:rsidRPr="001D64B2">
        <w:rPr>
          <w:rFonts w:hint="cs"/>
          <w:rtl/>
        </w:rPr>
        <w:t xml:space="preserve">الصكوك </w:t>
      </w:r>
      <w:r w:rsidRPr="001D64B2">
        <w:rPr>
          <w:rtl/>
        </w:rPr>
        <w:t xml:space="preserve">الإقليمية الرئيسية </w:t>
      </w:r>
      <w:r w:rsidRPr="001D64B2">
        <w:rPr>
          <w:rFonts w:hint="cs"/>
          <w:rtl/>
        </w:rPr>
        <w:t>الخاصة ب</w:t>
      </w:r>
      <w:r w:rsidRPr="001D64B2">
        <w:rPr>
          <w:rtl/>
        </w:rPr>
        <w:t xml:space="preserve">حقوق الإنسان </w:t>
      </w:r>
      <w:r w:rsidRPr="001D64B2">
        <w:rPr>
          <w:rFonts w:hint="cs"/>
          <w:rtl/>
        </w:rPr>
        <w:t>بمختلف أنواعها ومنها</w:t>
      </w:r>
      <w:r w:rsidRPr="001D64B2">
        <w:rPr>
          <w:rtl/>
        </w:rPr>
        <w:t xml:space="preserve"> إعلان </w:t>
      </w:r>
      <w:r w:rsidR="00EC02F3">
        <w:rPr>
          <w:rFonts w:hint="cs"/>
          <w:rtl/>
        </w:rPr>
        <w:t xml:space="preserve">الأمم المتحدة بشأن </w:t>
      </w:r>
      <w:r w:rsidRPr="001D64B2">
        <w:rPr>
          <w:rtl/>
        </w:rPr>
        <w:t>حقوق الشعوب الأصلية</w:t>
      </w:r>
      <w:r w:rsidRPr="001D64B2">
        <w:rPr>
          <w:rFonts w:hint="cs"/>
          <w:rtl/>
        </w:rPr>
        <w:t xml:space="preserve"> الذي ينص في المادة 31 منه بشأن الحقوق المتصلة بالتراث الثقافي والموارد الوراثية على أنه "</w:t>
      </w:r>
      <w:r w:rsidRPr="001D64B2">
        <w:rPr>
          <w:rtl/>
        </w:rPr>
        <w:t>على الدول أن تتخذ، جنبا إلى جنب مع الشعوب الأصلية، تدابير فعالة للاعتراف بهذه الحقوق وحماية ممارستها</w:t>
      </w:r>
      <w:r w:rsidRPr="001D64B2">
        <w:rPr>
          <w:rFonts w:hint="cs"/>
          <w:rtl/>
        </w:rPr>
        <w:t>". وينبغي مراعاة المصالح الأوسع نطاقاً للمجتمع وحقوق الإنسان الخاصة بالغير في اعتماد هذه التدابير الفعالة وفقاً لما تنص عليه المادة 46 من الإعلان</w:t>
      </w:r>
      <w:r w:rsidR="00EC02F3">
        <w:rPr>
          <w:rFonts w:hint="cs"/>
          <w:rtl/>
        </w:rPr>
        <w:t xml:space="preserve"> المذكور</w:t>
      </w:r>
      <w:r w:rsidRPr="001D64B2">
        <w:rPr>
          <w:rFonts w:hint="cs"/>
          <w:rtl/>
        </w:rPr>
        <w:t xml:space="preserve">؛ ولكن في نهاية المطاف، يجب الاعتراف بالحقوق المحددة الخاصة بالشعوب الأصلية وحمايتها ومواءمتها مع حقوق الإنسان </w:t>
      </w:r>
      <w:r w:rsidR="00EC02F3">
        <w:rPr>
          <w:rFonts w:hint="cs"/>
          <w:rtl/>
        </w:rPr>
        <w:t>المكفولة للجميع</w:t>
      </w:r>
      <w:r w:rsidRPr="001D64B2">
        <w:rPr>
          <w:rFonts w:hint="cs"/>
          <w:rtl/>
        </w:rPr>
        <w:t>.</w:t>
      </w:r>
    </w:p>
    <w:p w14:paraId="70C7034C" w14:textId="77777777" w:rsidR="00AB1AF1" w:rsidRPr="001D64B2" w:rsidRDefault="00AB1AF1" w:rsidP="001D64B2">
      <w:pPr>
        <w:pStyle w:val="Heading4AR"/>
      </w:pPr>
      <w:r w:rsidRPr="001D64B2">
        <w:rPr>
          <w:rtl/>
        </w:rPr>
        <w:t>الموافقة الحرة والمسبقة والمستنيرة</w:t>
      </w:r>
    </w:p>
    <w:p w14:paraId="1DD65B92" w14:textId="35CA363E" w:rsidR="00AB1AF1" w:rsidRPr="00FB18BE" w:rsidRDefault="00AB1AF1" w:rsidP="00FB18BE">
      <w:pPr>
        <w:pStyle w:val="NumberedParaAR"/>
        <w:numPr>
          <w:ilvl w:val="0"/>
          <w:numId w:val="22"/>
        </w:numPr>
        <w:rPr>
          <w:rFonts w:ascii="Traditional Arabic" w:hAnsi="Traditional Arabic" w:cs="Traditional Arabic"/>
          <w:sz w:val="32"/>
          <w:szCs w:val="32"/>
          <w:lang w:bidi="ar-EG"/>
        </w:rPr>
      </w:pPr>
      <w:r w:rsidRPr="00AB1AF1">
        <w:rPr>
          <w:rFonts w:hint="cs"/>
          <w:rtl/>
        </w:rPr>
        <w:t xml:space="preserve">من بين الواجبات التوكيدية للدول في إطار حماية حقوق الشعوب الأصلية ضمان التشاور معها للحصول على موافقتها </w:t>
      </w:r>
      <w:r w:rsidRPr="00AB1AF1">
        <w:rPr>
          <w:rtl/>
        </w:rPr>
        <w:t xml:space="preserve">الحرة والمسبقة والمستنيرة على أي تدبير قد يؤثر </w:t>
      </w:r>
      <w:r w:rsidRPr="00AB1AF1">
        <w:rPr>
          <w:rFonts w:hint="cs"/>
          <w:rtl/>
        </w:rPr>
        <w:t>تأثيراً جوهرياً</w:t>
      </w:r>
      <w:r w:rsidRPr="00AB1AF1">
        <w:rPr>
          <w:rtl/>
        </w:rPr>
        <w:t xml:space="preserve"> على </w:t>
      </w:r>
      <w:r w:rsidRPr="00AB1AF1">
        <w:rPr>
          <w:rFonts w:hint="cs"/>
          <w:rtl/>
        </w:rPr>
        <w:t>تمتعها</w:t>
      </w:r>
      <w:r w:rsidRPr="00AB1AF1">
        <w:rPr>
          <w:rtl/>
        </w:rPr>
        <w:t xml:space="preserve"> بحقوقه</w:t>
      </w:r>
      <w:r w:rsidRPr="00AB1AF1">
        <w:rPr>
          <w:rFonts w:hint="cs"/>
          <w:rtl/>
        </w:rPr>
        <w:t>ا</w:t>
      </w:r>
      <w:r w:rsidRPr="00AB1AF1">
        <w:rPr>
          <w:rtl/>
        </w:rPr>
        <w:t>.</w:t>
      </w:r>
      <w:r w:rsidRPr="003B65F8">
        <w:rPr>
          <w:rStyle w:val="FootnoteReference"/>
          <w:rtl/>
        </w:rPr>
        <w:footnoteReference w:id="11"/>
      </w:r>
      <w:r w:rsidRPr="00AB1AF1">
        <w:rPr>
          <w:rFonts w:hint="cs"/>
          <w:rtl/>
        </w:rPr>
        <w:t xml:space="preserve"> وقد أكدت اللجنة المعنية بالقضاء على التمييز العنصري مراراً أنه لا يمكن </w:t>
      </w:r>
      <w:r w:rsidR="00EC02F3">
        <w:rPr>
          <w:rFonts w:hint="cs"/>
          <w:rtl/>
        </w:rPr>
        <w:t>بوجه عام</w:t>
      </w:r>
      <w:r w:rsidRPr="00AB1AF1">
        <w:rPr>
          <w:rFonts w:hint="cs"/>
          <w:rtl/>
        </w:rPr>
        <w:t xml:space="preserve"> الانتفاع بالموارد الطبيعية للشعوب الأصلية، بما فيها الموارد الوراثية، إلا بموافقة هذه الشعوب.</w:t>
      </w:r>
      <w:r w:rsidRPr="003B65F8">
        <w:rPr>
          <w:rStyle w:val="FootnoteReference"/>
          <w:rtl/>
        </w:rPr>
        <w:footnoteReference w:id="12"/>
      </w:r>
      <w:r w:rsidRPr="00AB1AF1">
        <w:rPr>
          <w:rFonts w:hint="cs"/>
          <w:rtl/>
        </w:rPr>
        <w:t xml:space="preserve"> أما فيما يخص المعارف التقليدية وأشكال التعبير الثقافي</w:t>
      </w:r>
      <w:r w:rsidR="00EC02F3">
        <w:rPr>
          <w:rFonts w:hint="cs"/>
          <w:rtl/>
        </w:rPr>
        <w:t xml:space="preserve"> التقليدي</w:t>
      </w:r>
      <w:r w:rsidRPr="00AB1AF1">
        <w:rPr>
          <w:rFonts w:hint="cs"/>
          <w:rtl/>
        </w:rPr>
        <w:t xml:space="preserve">، فقد شددت </w:t>
      </w:r>
      <w:r w:rsidR="00FB18BE">
        <w:rPr>
          <w:rFonts w:hint="cs"/>
          <w:rtl/>
        </w:rPr>
        <w:t>لجنة الحقوق</w:t>
      </w:r>
      <w:r w:rsidRPr="00AB1AF1">
        <w:rPr>
          <w:rFonts w:hint="cs"/>
          <w:rtl/>
        </w:rPr>
        <w:t xml:space="preserve"> الاقتصادية والاجتماعية والثقافية على أنه ينبغي للدول "</w:t>
      </w:r>
      <w:r w:rsidR="00FB18BE">
        <w:rPr>
          <w:rFonts w:hint="cs"/>
          <w:rtl/>
        </w:rPr>
        <w:t>ا</w:t>
      </w:r>
      <w:r w:rsidR="00FB18BE" w:rsidRPr="00FB18BE">
        <w:rPr>
          <w:rtl/>
        </w:rPr>
        <w:t>حترام مبدأ الحصول على الموافقة المسبقة والحرة وعن علم من المؤلِّفين المعنيين المنتمين إلى الشعوب الأصلية</w:t>
      </w:r>
      <w:r w:rsidRPr="00AB1AF1">
        <w:rPr>
          <w:rFonts w:hint="cs"/>
          <w:rtl/>
        </w:rPr>
        <w:t>".</w:t>
      </w:r>
      <w:r w:rsidRPr="003B65F8">
        <w:rPr>
          <w:rStyle w:val="FootnoteReference"/>
          <w:rtl/>
        </w:rPr>
        <w:footnoteReference w:id="13"/>
      </w:r>
      <w:r w:rsidRPr="00AB1AF1">
        <w:rPr>
          <w:rFonts w:hint="cs"/>
          <w:rtl/>
        </w:rPr>
        <w:t xml:space="preserve"> ومن الناحية العملية، يحظى مبدأ الموافقة الحرة والمسبقة والمستنيرة بقبول متزايد.</w:t>
      </w:r>
      <w:r w:rsidRPr="003B65F8">
        <w:rPr>
          <w:rStyle w:val="FootnoteReference"/>
          <w:rtl/>
        </w:rPr>
        <w:footnoteReference w:id="14"/>
      </w:r>
      <w:r w:rsidRPr="00AB1AF1">
        <w:rPr>
          <w:rFonts w:hint="cs"/>
          <w:rtl/>
        </w:rPr>
        <w:t xml:space="preserve"> وعليه، ينبغي كقاعدة عامة ألا ينتفع أو يستخدم الغير الموارد الوراثية والمعارف التقليدية وأشكال التعبير الثقافي التقليدي الخاصة بالش</w:t>
      </w:r>
      <w:r w:rsidR="00FB18BE">
        <w:rPr>
          <w:rFonts w:hint="cs"/>
          <w:rtl/>
        </w:rPr>
        <w:t>عوب الأصلية دون الحصول على موافقة</w:t>
      </w:r>
      <w:r w:rsidRPr="00AB1AF1">
        <w:rPr>
          <w:rFonts w:hint="cs"/>
          <w:rtl/>
        </w:rPr>
        <w:t xml:space="preserve"> هذه الشعوب وفقاً لشروط تت</w:t>
      </w:r>
      <w:r w:rsidR="00FB18BE">
        <w:rPr>
          <w:rFonts w:hint="cs"/>
          <w:rtl/>
        </w:rPr>
        <w:t>لاءم</w:t>
      </w:r>
      <w:r w:rsidRPr="00AB1AF1">
        <w:rPr>
          <w:rFonts w:hint="cs"/>
          <w:rtl/>
        </w:rPr>
        <w:t xml:space="preserve"> مع الحقوق المعنية. ويعدُّ مبدأ الموافقة أداة أساسية لحماية التمتع بالحقوق المعترف بها في المصادر الدولية الموثوقة </w:t>
      </w:r>
      <w:r w:rsidR="00FB18BE">
        <w:rPr>
          <w:rFonts w:hint="cs"/>
          <w:rtl/>
        </w:rPr>
        <w:t>ومنها</w:t>
      </w:r>
      <w:r w:rsidRPr="00AB1AF1">
        <w:rPr>
          <w:rFonts w:hint="cs"/>
          <w:rtl/>
        </w:rPr>
        <w:t xml:space="preserve"> المصادر المشار إليها أعلاه.</w:t>
      </w:r>
    </w:p>
    <w:p w14:paraId="03454547" w14:textId="70FAA78E" w:rsidR="00702010" w:rsidRPr="009B08C1" w:rsidRDefault="00702010" w:rsidP="00AA3C8A">
      <w:pPr>
        <w:pStyle w:val="Heading1AR"/>
        <w:rPr>
          <w:rFonts w:eastAsia="SimSun"/>
          <w:b/>
          <w:color w:val="000000"/>
          <w:lang w:val="en-GB" w:eastAsia="zh-CN"/>
        </w:rPr>
      </w:pPr>
      <w:r>
        <w:rPr>
          <w:rFonts w:hint="cs"/>
          <w:rtl/>
        </w:rPr>
        <w:lastRenderedPageBreak/>
        <w:t>ثالثاً.</w:t>
      </w:r>
      <w:r>
        <w:rPr>
          <w:rtl/>
        </w:rPr>
        <w:tab/>
      </w:r>
      <w:r w:rsidR="00AA3C8A">
        <w:rPr>
          <w:rFonts w:hint="cs"/>
          <w:rtl/>
        </w:rPr>
        <w:t>مشروع الصك</w:t>
      </w:r>
      <w:r>
        <w:rPr>
          <w:rFonts w:hint="cs"/>
          <w:rtl/>
        </w:rPr>
        <w:t xml:space="preserve"> بشأن الموارد الوراثية (مرفق الوثيقة </w:t>
      </w:r>
      <w:r w:rsidRPr="00AB1AF1">
        <w:rPr>
          <w:b/>
        </w:rPr>
        <w:t>WIPO/GRTKF/IC/28/4</w:t>
      </w:r>
      <w:r w:rsidRPr="00AB1AF1">
        <w:rPr>
          <w:rFonts w:hint="cs"/>
          <w:b/>
          <w:rtl/>
          <w:lang w:bidi="ar-EG"/>
        </w:rPr>
        <w:t>)</w:t>
      </w:r>
    </w:p>
    <w:p w14:paraId="137F56D0" w14:textId="2D377096" w:rsidR="00702010" w:rsidRPr="00F966D8" w:rsidRDefault="00702010" w:rsidP="00AA3C8A">
      <w:pPr>
        <w:pStyle w:val="NumberedParaAR"/>
        <w:numPr>
          <w:ilvl w:val="0"/>
          <w:numId w:val="22"/>
        </w:numPr>
        <w:rPr>
          <w:rFonts w:ascii="Traditional Arabic" w:hAnsi="Traditional Arabic" w:cs="Traditional Arabic"/>
          <w:sz w:val="32"/>
          <w:szCs w:val="32"/>
        </w:rPr>
      </w:pPr>
      <w:r w:rsidRPr="00702010">
        <w:rPr>
          <w:rtl/>
        </w:rPr>
        <w:t xml:space="preserve">يهدف مشروع </w:t>
      </w:r>
      <w:r w:rsidR="00AA3C8A">
        <w:rPr>
          <w:rFonts w:hint="cs"/>
          <w:rtl/>
        </w:rPr>
        <w:t>الصك</w:t>
      </w:r>
      <w:r w:rsidRPr="00702010">
        <w:rPr>
          <w:rtl/>
        </w:rPr>
        <w:t xml:space="preserve"> </w:t>
      </w:r>
      <w:r w:rsidRPr="00702010">
        <w:rPr>
          <w:rFonts w:hint="cs"/>
          <w:rtl/>
        </w:rPr>
        <w:t>بشأن</w:t>
      </w:r>
      <w:r w:rsidRPr="00702010">
        <w:rPr>
          <w:rtl/>
        </w:rPr>
        <w:t xml:space="preserve"> حماية الموارد الوراثية </w:t>
      </w:r>
      <w:r w:rsidRPr="00702010">
        <w:rPr>
          <w:rFonts w:hint="cs"/>
          <w:rtl/>
        </w:rPr>
        <w:t xml:space="preserve">إلى </w:t>
      </w:r>
      <w:r w:rsidRPr="00702010">
        <w:rPr>
          <w:rtl/>
        </w:rPr>
        <w:t xml:space="preserve">منع </w:t>
      </w:r>
      <w:r w:rsidRPr="00702010">
        <w:rPr>
          <w:rFonts w:hint="cs"/>
          <w:rtl/>
        </w:rPr>
        <w:t xml:space="preserve">سوء استخدام الموارد الوراثية والمعارف التقليدية وحماية خصائصها بموجب براءة لصالح مكتشفي أو </w:t>
      </w:r>
      <w:r w:rsidR="00FB18BE">
        <w:rPr>
          <w:rFonts w:hint="cs"/>
          <w:rtl/>
        </w:rPr>
        <w:t>مبدعي</w:t>
      </w:r>
      <w:r w:rsidRPr="00702010">
        <w:rPr>
          <w:rFonts w:hint="cs"/>
          <w:rtl/>
        </w:rPr>
        <w:t xml:space="preserve"> هذه الخصائص أو المعارف التقليدية.</w:t>
      </w:r>
    </w:p>
    <w:p w14:paraId="17322EE0" w14:textId="77777777" w:rsidR="00702010" w:rsidRPr="00702010" w:rsidRDefault="00702010" w:rsidP="00702010">
      <w:pPr>
        <w:pStyle w:val="Heading4AR"/>
      </w:pPr>
      <w:r w:rsidRPr="00702010">
        <w:rPr>
          <w:rFonts w:hint="cs"/>
          <w:rtl/>
        </w:rPr>
        <w:t>الكشف: الآلية الرئيسية للحماية</w:t>
      </w:r>
    </w:p>
    <w:p w14:paraId="7B3D1286" w14:textId="3E7875D3" w:rsidR="00702010" w:rsidRPr="0037641B" w:rsidRDefault="00702010" w:rsidP="00AA3C8A">
      <w:pPr>
        <w:pStyle w:val="NumberedParaAR"/>
        <w:numPr>
          <w:ilvl w:val="0"/>
          <w:numId w:val="22"/>
        </w:numPr>
        <w:rPr>
          <w:rFonts w:ascii="Traditional Arabic" w:hAnsi="Traditional Arabic" w:cs="Traditional Arabic"/>
          <w:sz w:val="32"/>
          <w:szCs w:val="32"/>
          <w:lang w:bidi="ar-EG"/>
        </w:rPr>
      </w:pPr>
      <w:r w:rsidRPr="00702010">
        <w:rPr>
          <w:rFonts w:hint="cs"/>
          <w:rtl/>
        </w:rPr>
        <w:t xml:space="preserve">الآلية الرئيسية لتحقيق هذا الهدف في مشروع </w:t>
      </w:r>
      <w:r w:rsidR="00FB18BE">
        <w:rPr>
          <w:rFonts w:hint="cs"/>
          <w:rtl/>
        </w:rPr>
        <w:t>الصك</w:t>
      </w:r>
      <w:r w:rsidRPr="00702010">
        <w:rPr>
          <w:rFonts w:hint="cs"/>
          <w:rtl/>
        </w:rPr>
        <w:t xml:space="preserve"> هو شرط كشف مودِع طلب البراءة عن بلد موضوع البراءة أو مصدر منشئه. ويوفر هذا الشرط و</w:t>
      </w:r>
      <w:r w:rsidR="00FB18BE">
        <w:rPr>
          <w:rFonts w:hint="cs"/>
          <w:rtl/>
        </w:rPr>
        <w:t>أحكام منطوق مشروع الصك</w:t>
      </w:r>
      <w:r w:rsidRPr="00702010">
        <w:rPr>
          <w:rFonts w:hint="cs"/>
          <w:rtl/>
        </w:rPr>
        <w:t xml:space="preserve"> قدراً من الحماية ضد سوء استخدام الموارد الوراثية والمعارف التقليدية للشعوب الأصلية، ما يسهم في تعزيز تنفيذ المعايير الدولية المعنية بحقوق الإنسان. ولكن لا يزال مشروع </w:t>
      </w:r>
      <w:r w:rsidR="00AA3C8A">
        <w:rPr>
          <w:rFonts w:hint="cs"/>
          <w:rtl/>
        </w:rPr>
        <w:t>الصك</w:t>
      </w:r>
      <w:r w:rsidRPr="00702010">
        <w:rPr>
          <w:rFonts w:hint="cs"/>
          <w:rtl/>
        </w:rPr>
        <w:t xml:space="preserve"> غامضاً من حيث نطاق هذه الحماية إذ يتضمن بعض الخيارات البديلة لأحكام المنطوق والديباجة بين أقواس مربعة.</w:t>
      </w:r>
    </w:p>
    <w:p w14:paraId="716BE659" w14:textId="77777777" w:rsidR="00DD71B8" w:rsidRPr="009B08C1" w:rsidRDefault="00DD71B8" w:rsidP="00702010">
      <w:pPr>
        <w:pStyle w:val="Heading4AR"/>
        <w:rPr>
          <w:rFonts w:ascii="Traditional Arabic" w:eastAsia="SimSun" w:hAnsi="Traditional Arabic" w:cs="Traditional Arabic"/>
          <w:i/>
          <w:color w:val="000000"/>
          <w:sz w:val="32"/>
          <w:szCs w:val="32"/>
          <w:lang w:val="en-GB" w:eastAsia="zh-CN"/>
        </w:rPr>
      </w:pPr>
      <w:r w:rsidRPr="00702010">
        <w:rPr>
          <w:rFonts w:hint="cs"/>
          <w:rtl/>
        </w:rPr>
        <w:t>عدم الاعتراف بالشعوب الأصلية كأصحاب حقوق</w:t>
      </w:r>
    </w:p>
    <w:p w14:paraId="5370E1C3" w14:textId="7E2AC2DB" w:rsidR="00DD71B8" w:rsidRPr="00191259" w:rsidRDefault="00DD71B8" w:rsidP="00E74F17">
      <w:pPr>
        <w:pStyle w:val="NumberedParaAR"/>
        <w:numPr>
          <w:ilvl w:val="0"/>
          <w:numId w:val="22"/>
        </w:numPr>
      </w:pPr>
      <w:r w:rsidRPr="00191259">
        <w:rPr>
          <w:rFonts w:hint="cs"/>
          <w:rtl/>
        </w:rPr>
        <w:t>على الرغم من اعتماد مشروع الصك على آلية الكشف ا</w:t>
      </w:r>
      <w:r w:rsidR="00E74F17">
        <w:rPr>
          <w:rFonts w:hint="cs"/>
          <w:rtl/>
        </w:rPr>
        <w:t>لوقائية</w:t>
      </w:r>
      <w:r w:rsidRPr="00191259">
        <w:rPr>
          <w:rFonts w:hint="cs"/>
          <w:rtl/>
        </w:rPr>
        <w:t>، فإنه لا ينص على الاعتراف التوكيدي بحماية حقوق الشعوب الأصلية الخاصة بالموار</w:t>
      </w:r>
      <w:r w:rsidR="00E74F17">
        <w:rPr>
          <w:rFonts w:hint="cs"/>
          <w:rtl/>
        </w:rPr>
        <w:t>د الوراثية أو المعارف التقليدية</w:t>
      </w:r>
      <w:r w:rsidRPr="00191259">
        <w:rPr>
          <w:rFonts w:hint="cs"/>
          <w:rtl/>
        </w:rPr>
        <w:t>، ولا ينص على تدابير محددة لهذه الحماية. أما هذا الاعتراف أو الحماية فيعودان إلى حد بعيد إلى الأنظمة القانونية المحلية لبلدان المنشأ، ولا تُلزَم الدول تحديداً سوى بفرض شرط الكشف عن المنشأ على مقدمي الطلبات. وتشير الديباجة إلى ضمان حقوق الشعوب الأصلية على الموارد الوراثية والمعارف التقليدية بوصفه هدف هذا الصك، وتشير أحد البدائل لمصطلح "سوء الاستخدام" في المسرد إلى غياب موافقة أصحاب الموارد الوراثية والمعارف</w:t>
      </w:r>
      <w:r w:rsidR="00E74F17">
        <w:rPr>
          <w:rFonts w:hint="cs"/>
          <w:rtl/>
        </w:rPr>
        <w:t xml:space="preserve"> التقليدية</w:t>
      </w:r>
      <w:r w:rsidRPr="00191259">
        <w:rPr>
          <w:rFonts w:hint="cs"/>
          <w:rtl/>
        </w:rPr>
        <w:t>، ما يعني ضمناً أن هذه الشعوب الأصلية من أصحاب الحقوق. ولكن لا تنص أحكام مشروع الصك صراحة على تأكيد هذه الحقوق وما يتبعها من التزامات للدول.</w:t>
      </w:r>
    </w:p>
    <w:p w14:paraId="2C91D261" w14:textId="2E0DCF81" w:rsidR="00DD71B8" w:rsidRPr="004945B0" w:rsidRDefault="00DD71B8" w:rsidP="00AA3C8A">
      <w:pPr>
        <w:pStyle w:val="NumberedParaAR"/>
        <w:numPr>
          <w:ilvl w:val="0"/>
          <w:numId w:val="22"/>
        </w:numPr>
      </w:pPr>
      <w:r w:rsidRPr="004945B0">
        <w:rPr>
          <w:rFonts w:hint="cs"/>
          <w:rtl/>
        </w:rPr>
        <w:t>و</w:t>
      </w:r>
      <w:r w:rsidRPr="004945B0">
        <w:rPr>
          <w:rtl/>
        </w:rPr>
        <w:t>يثير</w:t>
      </w:r>
      <w:r w:rsidRPr="004945B0">
        <w:rPr>
          <w:rFonts w:hint="cs"/>
          <w:rtl/>
        </w:rPr>
        <w:t xml:space="preserve"> هذا الإغفال</w:t>
      </w:r>
      <w:r w:rsidRPr="004945B0">
        <w:rPr>
          <w:rtl/>
        </w:rPr>
        <w:t xml:space="preserve"> القلق لأنه </w:t>
      </w:r>
      <w:r w:rsidR="00AA3C8A">
        <w:rPr>
          <w:rFonts w:hint="cs"/>
          <w:rtl/>
        </w:rPr>
        <w:t>يتيح</w:t>
      </w:r>
      <w:r w:rsidRPr="004945B0">
        <w:rPr>
          <w:rtl/>
        </w:rPr>
        <w:t xml:space="preserve"> </w:t>
      </w:r>
      <w:r w:rsidRPr="004945B0">
        <w:rPr>
          <w:rFonts w:hint="cs"/>
          <w:rtl/>
        </w:rPr>
        <w:t>إمكانية عدم اعتراف المعاملات المحلية والدولية بالشعوب الأصلية كأصحاب حقوق ملكية على الموارد الوراثية والمعارف</w:t>
      </w:r>
      <w:r w:rsidR="00AA3C8A">
        <w:rPr>
          <w:rFonts w:hint="cs"/>
          <w:rtl/>
        </w:rPr>
        <w:t xml:space="preserve"> التقليدية</w:t>
      </w:r>
      <w:r w:rsidRPr="004945B0">
        <w:rPr>
          <w:rFonts w:hint="cs"/>
          <w:rtl/>
        </w:rPr>
        <w:t xml:space="preserve"> التي تمتلكها عن وجه حق، أو طعن هذه المعاملات في هذا </w:t>
      </w:r>
      <w:r w:rsidR="00AA3C8A">
        <w:rPr>
          <w:rFonts w:hint="cs"/>
          <w:rtl/>
        </w:rPr>
        <w:t>الحق</w:t>
      </w:r>
      <w:r w:rsidRPr="004945B0">
        <w:rPr>
          <w:rFonts w:hint="cs"/>
          <w:rtl/>
        </w:rPr>
        <w:t xml:space="preserve">. ومع ذلك، فإن الاحتفاظ بهذا الإغفال لا يمكن تفسيره </w:t>
      </w:r>
      <w:r w:rsidR="00AA3C8A">
        <w:rPr>
          <w:rFonts w:hint="cs"/>
          <w:rtl/>
        </w:rPr>
        <w:t xml:space="preserve">كأساس قانوني </w:t>
      </w:r>
      <w:r w:rsidRPr="004945B0">
        <w:rPr>
          <w:rFonts w:hint="cs"/>
          <w:rtl/>
        </w:rPr>
        <w:t>لحرمان الشعوب الأصلية من حقوقها على الموارد الوراثية، إذ إن هذه الحقوق مكفولة في عدة مصادر دولية منها إعلان الأمم المتحدة بشأن حقوق الشعوب الأصلية.</w:t>
      </w:r>
    </w:p>
    <w:p w14:paraId="71409339" w14:textId="2B8AA807" w:rsidR="00DD71B8" w:rsidRPr="00702010" w:rsidRDefault="00DD71B8" w:rsidP="00AA3C8A">
      <w:pPr>
        <w:pStyle w:val="Heading1AR"/>
        <w:rPr>
          <w:rFonts w:ascii="Traditional Arabic" w:hAnsi="Traditional Arabic" w:cs="Traditional Arabic"/>
          <w:b/>
          <w:sz w:val="32"/>
          <w:szCs w:val="32"/>
          <w:lang w:bidi="ar-EG"/>
        </w:rPr>
      </w:pPr>
      <w:r w:rsidRPr="00702010">
        <w:rPr>
          <w:rFonts w:hint="cs"/>
          <w:b/>
          <w:rtl/>
        </w:rPr>
        <w:t>رابعاً.</w:t>
      </w:r>
      <w:r w:rsidRPr="00702010">
        <w:rPr>
          <w:b/>
          <w:rtl/>
        </w:rPr>
        <w:tab/>
      </w:r>
      <w:r w:rsidR="00AA3C8A">
        <w:rPr>
          <w:rFonts w:hint="cs"/>
          <w:b/>
          <w:rtl/>
        </w:rPr>
        <w:t>مشروعا الصكين</w:t>
      </w:r>
      <w:r w:rsidRPr="00702010">
        <w:rPr>
          <w:rFonts w:hint="cs"/>
          <w:b/>
          <w:rtl/>
        </w:rPr>
        <w:t xml:space="preserve"> بشأن المعارف التقليدية (مرفق الوثيقة </w:t>
      </w:r>
      <w:r w:rsidRPr="00702010">
        <w:rPr>
          <w:b/>
        </w:rPr>
        <w:t>WIPO/GRTKF/IC/28/5</w:t>
      </w:r>
      <w:r w:rsidRPr="00702010">
        <w:rPr>
          <w:rFonts w:hint="cs"/>
          <w:b/>
          <w:rtl/>
        </w:rPr>
        <w:t xml:space="preserve">) وأشكال التعبير الثقافي التقليدي (مرفق الوثيقة </w:t>
      </w:r>
      <w:r w:rsidRPr="00702010">
        <w:rPr>
          <w:b/>
        </w:rPr>
        <w:t>WIPO/GRTKF/IC/28/6</w:t>
      </w:r>
      <w:r w:rsidRPr="00702010">
        <w:rPr>
          <w:rFonts w:hint="cs"/>
          <w:b/>
          <w:rtl/>
        </w:rPr>
        <w:t>)</w:t>
      </w:r>
    </w:p>
    <w:p w14:paraId="555CF68E" w14:textId="3CA00ACC" w:rsidR="00DD71B8" w:rsidRPr="00191259" w:rsidRDefault="00DD71B8" w:rsidP="00191259">
      <w:pPr>
        <w:pStyle w:val="NumberedParaAR"/>
        <w:numPr>
          <w:ilvl w:val="0"/>
          <w:numId w:val="22"/>
        </w:numPr>
        <w:rPr>
          <w:rFonts w:ascii="Traditional Arabic" w:hAnsi="Traditional Arabic" w:cs="Traditional Arabic"/>
          <w:sz w:val="32"/>
          <w:szCs w:val="32"/>
        </w:rPr>
      </w:pPr>
      <w:r w:rsidRPr="00191259">
        <w:rPr>
          <w:rFonts w:hint="cs"/>
          <w:rtl/>
        </w:rPr>
        <w:t>الهدف من الصكين الآخرين هو حماية المعارف التقليدية وحماية أشكال التعبير الثقافي التقليدي على التوالي.</w:t>
      </w:r>
    </w:p>
    <w:p w14:paraId="6A6B815F" w14:textId="091E015A" w:rsidR="00DD71B8" w:rsidRPr="009B08C1" w:rsidRDefault="00AA3C8A" w:rsidP="00AA3C8A">
      <w:pPr>
        <w:pStyle w:val="Heading4AR"/>
        <w:rPr>
          <w:rFonts w:ascii="Traditional Arabic" w:eastAsia="SimSun" w:hAnsi="Traditional Arabic" w:cs="Traditional Arabic"/>
          <w:i/>
          <w:color w:val="000000"/>
          <w:sz w:val="32"/>
          <w:szCs w:val="32"/>
          <w:rtl/>
          <w:lang w:val="en-GB" w:eastAsia="zh-CN" w:bidi="ar-EG"/>
        </w:rPr>
      </w:pPr>
      <w:r w:rsidRPr="00AA3C8A">
        <w:rPr>
          <w:rFonts w:hint="cs"/>
          <w:rtl/>
        </w:rPr>
        <w:t>المستفيدون</w:t>
      </w:r>
    </w:p>
    <w:p w14:paraId="394F06E8" w14:textId="00BB768E" w:rsidR="00DD71B8" w:rsidRPr="00DD71B8" w:rsidRDefault="00DD71B8" w:rsidP="00AA3C8A">
      <w:pPr>
        <w:pStyle w:val="NumberedParaAR"/>
        <w:numPr>
          <w:ilvl w:val="0"/>
          <w:numId w:val="22"/>
        </w:numPr>
      </w:pPr>
      <w:r w:rsidRPr="00DD71B8">
        <w:rPr>
          <w:rFonts w:hint="cs"/>
          <w:rtl/>
        </w:rPr>
        <w:t>خلافاً للصك الخاص بالموارد الوراثية، فإن هذين الصكين يعر</w:t>
      </w:r>
      <w:r w:rsidR="00AA3C8A">
        <w:rPr>
          <w:rFonts w:hint="cs"/>
          <w:rtl/>
        </w:rPr>
        <w:t xml:space="preserve">فان الشعوب الأصلية بأنها من </w:t>
      </w:r>
      <w:r w:rsidRPr="00DD71B8">
        <w:rPr>
          <w:rFonts w:hint="cs"/>
          <w:rtl/>
        </w:rPr>
        <w:t>أصحاب الحقوق أو المصالح المتعلقة بالمعارف التقليدية وأشكال التعبير الثقافي التقليدي. وتعد</w:t>
      </w:r>
      <w:r w:rsidR="00AA3C8A">
        <w:rPr>
          <w:rFonts w:hint="cs"/>
          <w:rtl/>
        </w:rPr>
        <w:t>ُّ الشعوب الأصلية التي تبدع</w:t>
      </w:r>
      <w:r w:rsidRPr="00DD71B8">
        <w:rPr>
          <w:rFonts w:hint="cs"/>
          <w:rtl/>
        </w:rPr>
        <w:t xml:space="preserve"> معارف تقليدية أو أشكال تعبير ثقافي تقليدي من </w:t>
      </w:r>
      <w:r w:rsidR="00AA3C8A">
        <w:rPr>
          <w:rFonts w:hint="cs"/>
          <w:rtl/>
        </w:rPr>
        <w:t>المستفيدين المباشرين</w:t>
      </w:r>
      <w:r w:rsidRPr="00DD71B8">
        <w:rPr>
          <w:rFonts w:hint="cs"/>
          <w:rtl/>
        </w:rPr>
        <w:t xml:space="preserve"> بالحماية. ولكن لا يزال مصطلح "الشعوب" مستخدماً بين قوسين مربعين</w:t>
      </w:r>
      <w:r w:rsidR="00AA3C8A">
        <w:rPr>
          <w:rFonts w:hint="cs"/>
          <w:rtl/>
        </w:rPr>
        <w:t>،</w:t>
      </w:r>
      <w:r w:rsidRPr="00DD71B8">
        <w:rPr>
          <w:rFonts w:hint="cs"/>
          <w:rtl/>
        </w:rPr>
        <w:t xml:space="preserve"> ما يتنافى بشدة مع النظام المعاصر لحقوق الإنسان الذي يقبل استخدام هذا المصطلح على نطاق واسع.</w:t>
      </w:r>
    </w:p>
    <w:p w14:paraId="46AAD517" w14:textId="77777777" w:rsidR="00197DFC" w:rsidRPr="00DD71B8" w:rsidRDefault="00197DFC" w:rsidP="00DD71B8">
      <w:pPr>
        <w:pStyle w:val="Heading4AR"/>
      </w:pPr>
      <w:r w:rsidRPr="00DD71B8">
        <w:rPr>
          <w:rtl/>
        </w:rPr>
        <w:lastRenderedPageBreak/>
        <w:t>نطاق الحماية</w:t>
      </w:r>
    </w:p>
    <w:p w14:paraId="22BD9CCA" w14:textId="2937DE55" w:rsidR="00197DFC" w:rsidRPr="00800877" w:rsidRDefault="00197DFC" w:rsidP="00AA3C8A">
      <w:pPr>
        <w:pStyle w:val="NumberedParaAR"/>
        <w:numPr>
          <w:ilvl w:val="0"/>
          <w:numId w:val="22"/>
        </w:numPr>
      </w:pPr>
      <w:r w:rsidRPr="00800877">
        <w:rPr>
          <w:rFonts w:hint="cs"/>
          <w:rtl/>
        </w:rPr>
        <w:t>على الرغم من أن الشعوب أو المجتمعات الأصلية هي المستفيدة من الحماية، فلا تزال طبيعة ونطاق هذه الحماية، التي ستُلز</w:t>
      </w:r>
      <w:r w:rsidR="00AA3C8A">
        <w:rPr>
          <w:rFonts w:hint="cs"/>
          <w:rtl/>
        </w:rPr>
        <w:t>َ</w:t>
      </w:r>
      <w:r w:rsidRPr="00800877">
        <w:rPr>
          <w:rFonts w:hint="cs"/>
          <w:rtl/>
        </w:rPr>
        <w:t>م الدول بتنفيذها،</w:t>
      </w:r>
      <w:r w:rsidR="00AA3C8A">
        <w:rPr>
          <w:rFonts w:hint="cs"/>
          <w:rtl/>
        </w:rPr>
        <w:t xml:space="preserve"> غير محددة إلى حد بعيد في الصيغ</w:t>
      </w:r>
      <w:r w:rsidRPr="00800877">
        <w:rPr>
          <w:rFonts w:hint="cs"/>
          <w:rtl/>
        </w:rPr>
        <w:t xml:space="preserve"> الواردة بين قوسين مربعين. ولكن ثمة بعض المعايير والقضايا العامة الواضحة في </w:t>
      </w:r>
      <w:r w:rsidR="00AA3C8A">
        <w:rPr>
          <w:rFonts w:hint="cs"/>
          <w:rtl/>
        </w:rPr>
        <w:t>الصكين</w:t>
      </w:r>
      <w:r w:rsidRPr="00800877">
        <w:rPr>
          <w:rFonts w:hint="cs"/>
          <w:rtl/>
        </w:rPr>
        <w:t xml:space="preserve"> والمشتركة بينهما.</w:t>
      </w:r>
    </w:p>
    <w:p w14:paraId="5F34A528" w14:textId="019DBDD1" w:rsidR="00197DFC" w:rsidRPr="00800877" w:rsidRDefault="00AA3C8A" w:rsidP="00945CC1">
      <w:pPr>
        <w:pStyle w:val="NumberedParaAR"/>
        <w:numPr>
          <w:ilvl w:val="0"/>
          <w:numId w:val="22"/>
        </w:numPr>
        <w:rPr>
          <w:rFonts w:ascii="Traditional Arabic" w:hAnsi="Traditional Arabic" w:cs="Traditional Arabic"/>
          <w:sz w:val="32"/>
          <w:szCs w:val="32"/>
        </w:rPr>
      </w:pPr>
      <w:r>
        <w:rPr>
          <w:rFonts w:hint="cs"/>
          <w:rtl/>
        </w:rPr>
        <w:t>ويشير كل من مشاريع الصكوك في مادة</w:t>
      </w:r>
      <w:r w:rsidR="00197DFC" w:rsidRPr="00800877">
        <w:rPr>
          <w:rFonts w:hint="cs"/>
          <w:rtl/>
        </w:rPr>
        <w:t xml:space="preserve"> "نطاق الحماية" إلى مستويات مختلفة من الحماية تعتمد على مدى إمكانية إثبات </w:t>
      </w:r>
      <w:r w:rsidR="00945CC1">
        <w:rPr>
          <w:rFonts w:hint="cs"/>
          <w:rtl/>
        </w:rPr>
        <w:t>الصلة ال</w:t>
      </w:r>
      <w:r w:rsidR="00197DFC" w:rsidRPr="00800877">
        <w:rPr>
          <w:rFonts w:hint="cs"/>
          <w:rtl/>
        </w:rPr>
        <w:t xml:space="preserve">ثقافية </w:t>
      </w:r>
      <w:r w:rsidR="00945CC1">
        <w:rPr>
          <w:rFonts w:hint="cs"/>
          <w:rtl/>
        </w:rPr>
        <w:t>ال</w:t>
      </w:r>
      <w:r w:rsidR="00197DFC" w:rsidRPr="00800877">
        <w:rPr>
          <w:rFonts w:hint="cs"/>
          <w:rtl/>
        </w:rPr>
        <w:t xml:space="preserve">وثيقة أو </w:t>
      </w:r>
      <w:r w:rsidR="00945CC1">
        <w:rPr>
          <w:rFonts w:hint="cs"/>
          <w:rtl/>
        </w:rPr>
        <w:t>ال</w:t>
      </w:r>
      <w:r w:rsidR="00197DFC" w:rsidRPr="00800877">
        <w:rPr>
          <w:rFonts w:hint="cs"/>
          <w:rtl/>
        </w:rPr>
        <w:t xml:space="preserve">حصرية </w:t>
      </w:r>
      <w:r w:rsidR="00945CC1">
        <w:rPr>
          <w:rFonts w:hint="cs"/>
          <w:rtl/>
        </w:rPr>
        <w:t xml:space="preserve">للمستفيدين </w:t>
      </w:r>
      <w:r w:rsidR="00197DFC" w:rsidRPr="00800877">
        <w:rPr>
          <w:rFonts w:hint="cs"/>
          <w:rtl/>
        </w:rPr>
        <w:t xml:space="preserve">مع المعارف التقليدية المعنية أو أشكال التعبير الثقافي التقليدي المعنية. </w:t>
      </w:r>
      <w:r w:rsidR="00945CC1">
        <w:rPr>
          <w:rFonts w:hint="cs"/>
          <w:rtl/>
        </w:rPr>
        <w:t>ف</w:t>
      </w:r>
      <w:r w:rsidR="00197DFC" w:rsidRPr="00800877">
        <w:rPr>
          <w:rFonts w:hint="cs"/>
          <w:rtl/>
        </w:rPr>
        <w:t xml:space="preserve">في </w:t>
      </w:r>
      <w:r w:rsidR="00945CC1">
        <w:rPr>
          <w:rFonts w:hint="cs"/>
          <w:rtl/>
        </w:rPr>
        <w:t>أول</w:t>
      </w:r>
      <w:r w:rsidR="00197DFC" w:rsidRPr="00800877">
        <w:rPr>
          <w:rFonts w:hint="cs"/>
          <w:rtl/>
        </w:rPr>
        <w:t xml:space="preserve"> طيف الحماية، توجد المعارف التقليدية وأشكال التعبير الثقافي التي تعدُّ مقدسة أو معروفة فقط لدى </w:t>
      </w:r>
      <w:r w:rsidR="00945CC1">
        <w:rPr>
          <w:rFonts w:hint="cs"/>
          <w:rtl/>
        </w:rPr>
        <w:t>المستفيدين.</w:t>
      </w:r>
      <w:r w:rsidR="00197DFC" w:rsidRPr="00800877">
        <w:rPr>
          <w:rFonts w:hint="cs"/>
          <w:rtl/>
        </w:rPr>
        <w:t xml:space="preserve"> و</w:t>
      </w:r>
      <w:r w:rsidR="00945CC1">
        <w:rPr>
          <w:rFonts w:hint="cs"/>
          <w:rtl/>
        </w:rPr>
        <w:t xml:space="preserve">بالنسبة إلى </w:t>
      </w:r>
      <w:r w:rsidR="00197DFC" w:rsidRPr="00800877">
        <w:rPr>
          <w:rFonts w:hint="cs"/>
          <w:rtl/>
        </w:rPr>
        <w:t xml:space="preserve">هذه الأشكال من المعرفة أو التعبير، يجب على الدول أن تكفل </w:t>
      </w:r>
      <w:r w:rsidR="00945CC1">
        <w:rPr>
          <w:rFonts w:hint="cs"/>
          <w:rtl/>
        </w:rPr>
        <w:t>للمستفيدين</w:t>
      </w:r>
      <w:r w:rsidR="00197DFC" w:rsidRPr="00800877">
        <w:rPr>
          <w:rFonts w:hint="cs"/>
          <w:rtl/>
        </w:rPr>
        <w:t xml:space="preserve"> التحكم فيها ومنع</w:t>
      </w:r>
      <w:r w:rsidR="00945CC1">
        <w:rPr>
          <w:rFonts w:hint="cs"/>
          <w:rtl/>
        </w:rPr>
        <w:t xml:space="preserve"> تغييرها أو </w:t>
      </w:r>
      <w:r w:rsidR="00197DFC" w:rsidRPr="00800877">
        <w:rPr>
          <w:rFonts w:hint="cs"/>
          <w:rtl/>
        </w:rPr>
        <w:t>استخدام</w:t>
      </w:r>
      <w:r w:rsidR="00945CC1">
        <w:rPr>
          <w:rFonts w:hint="cs"/>
          <w:rtl/>
        </w:rPr>
        <w:t>ها دون تصريح</w:t>
      </w:r>
      <w:r w:rsidR="00197DFC" w:rsidRPr="00800877">
        <w:rPr>
          <w:rFonts w:hint="cs"/>
          <w:rtl/>
        </w:rPr>
        <w:t xml:space="preserve"> فضلاً عن </w:t>
      </w:r>
      <w:r w:rsidR="00197DFC">
        <w:rPr>
          <w:rFonts w:hint="cs"/>
          <w:rtl/>
        </w:rPr>
        <w:t xml:space="preserve">إسناد هذه الأشكال لأصحابها </w:t>
      </w:r>
      <w:r w:rsidR="00197DFC" w:rsidRPr="00800877">
        <w:rPr>
          <w:rFonts w:hint="cs"/>
          <w:rtl/>
        </w:rPr>
        <w:t xml:space="preserve">وتوزيع فوائد عادلة </w:t>
      </w:r>
      <w:r w:rsidR="00197DFC">
        <w:rPr>
          <w:rFonts w:hint="cs"/>
          <w:rtl/>
        </w:rPr>
        <w:t>لقاء استخدامها المصرح به</w:t>
      </w:r>
      <w:r w:rsidR="00197DFC" w:rsidRPr="00800877">
        <w:rPr>
          <w:rFonts w:hint="cs"/>
          <w:rtl/>
        </w:rPr>
        <w:t>.</w:t>
      </w:r>
    </w:p>
    <w:p w14:paraId="01B0DD15" w14:textId="109BD637" w:rsidR="00197DFC" w:rsidRPr="00197DFC" w:rsidRDefault="00197DFC" w:rsidP="00945CC1">
      <w:pPr>
        <w:pStyle w:val="NumberedParaAR"/>
        <w:numPr>
          <w:ilvl w:val="0"/>
          <w:numId w:val="22"/>
        </w:numPr>
        <w:rPr>
          <w:rFonts w:ascii="Traditional Arabic" w:hAnsi="Traditional Arabic" w:cs="Traditional Arabic"/>
          <w:sz w:val="32"/>
          <w:szCs w:val="32"/>
        </w:rPr>
      </w:pPr>
      <w:r w:rsidRPr="00197DFC">
        <w:rPr>
          <w:rFonts w:hint="cs"/>
          <w:rtl/>
        </w:rPr>
        <w:t xml:space="preserve">وفي </w:t>
      </w:r>
      <w:r w:rsidR="00945CC1">
        <w:rPr>
          <w:rFonts w:hint="cs"/>
          <w:rtl/>
        </w:rPr>
        <w:t>نهاية</w:t>
      </w:r>
      <w:r w:rsidRPr="00197DFC">
        <w:rPr>
          <w:rFonts w:hint="cs"/>
          <w:rtl/>
        </w:rPr>
        <w:t xml:space="preserve"> طيف</w:t>
      </w:r>
      <w:r w:rsidR="00945CC1">
        <w:rPr>
          <w:rFonts w:hint="cs"/>
          <w:rtl/>
        </w:rPr>
        <w:t xml:space="preserve"> الحماية</w:t>
      </w:r>
      <w:r w:rsidRPr="00197DFC">
        <w:rPr>
          <w:rFonts w:hint="cs"/>
          <w:rtl/>
        </w:rPr>
        <w:t xml:space="preserve">، توجد المعارف التقليدية وأشكال التعبير الثقافي التقليدي المعروفة على نطاق واسع أو المتاحة للجمهور والتي لم تعد الشعوب أو مجتمعات المنشأ تستخدمها استخداماً مكثفاً. وفي هذه الحالات، تندرج الحماية في نطاق ضمان الإسناد والاستخدام القائم على الاحترام؛ لن تكون هناك حاجة إلى المزيد من الحماية للتحكم المباشر </w:t>
      </w:r>
      <w:r w:rsidR="00945CC1">
        <w:rPr>
          <w:rFonts w:hint="cs"/>
          <w:rtl/>
        </w:rPr>
        <w:t>أ</w:t>
      </w:r>
      <w:r w:rsidRPr="00197DFC">
        <w:rPr>
          <w:rFonts w:hint="cs"/>
          <w:rtl/>
        </w:rPr>
        <w:t>و</w:t>
      </w:r>
      <w:r w:rsidR="00945CC1">
        <w:rPr>
          <w:rFonts w:hint="cs"/>
          <w:rtl/>
        </w:rPr>
        <w:t xml:space="preserve"> </w:t>
      </w:r>
      <w:r w:rsidRPr="00197DFC">
        <w:rPr>
          <w:rFonts w:hint="cs"/>
          <w:rtl/>
        </w:rPr>
        <w:t xml:space="preserve">تقاسم الفوائد </w:t>
      </w:r>
      <w:r w:rsidR="00945CC1">
        <w:rPr>
          <w:rFonts w:hint="cs"/>
          <w:rtl/>
        </w:rPr>
        <w:t>أ</w:t>
      </w:r>
      <w:r w:rsidRPr="00197DFC">
        <w:rPr>
          <w:rFonts w:hint="cs"/>
          <w:rtl/>
        </w:rPr>
        <w:t>و</w:t>
      </w:r>
      <w:r w:rsidR="00945CC1">
        <w:rPr>
          <w:rFonts w:hint="eastAsia"/>
          <w:rtl/>
        </w:rPr>
        <w:t> </w:t>
      </w:r>
      <w:r w:rsidRPr="00197DFC">
        <w:rPr>
          <w:rFonts w:hint="cs"/>
          <w:rtl/>
        </w:rPr>
        <w:t>الاستخدام. وسينطبق تقاسم الفوائد وبعض أوجه الحماية الأخرى على وسط الطيف.</w:t>
      </w:r>
    </w:p>
    <w:p w14:paraId="332B98D2" w14:textId="5DF78449" w:rsidR="00174FA9" w:rsidRPr="00B737C6" w:rsidRDefault="00174FA9" w:rsidP="00565159">
      <w:pPr>
        <w:pStyle w:val="NumberedParaAR"/>
        <w:numPr>
          <w:ilvl w:val="0"/>
          <w:numId w:val="22"/>
        </w:numPr>
      </w:pPr>
      <w:r w:rsidRPr="00B737C6">
        <w:rPr>
          <w:rFonts w:hint="cs"/>
          <w:rtl/>
        </w:rPr>
        <w:t>وينظ</w:t>
      </w:r>
      <w:r w:rsidR="00945CC1">
        <w:rPr>
          <w:rFonts w:hint="cs"/>
          <w:rtl/>
        </w:rPr>
        <w:t>ِّ</w:t>
      </w:r>
      <w:r w:rsidRPr="00B737C6">
        <w:rPr>
          <w:rFonts w:hint="cs"/>
          <w:rtl/>
        </w:rPr>
        <w:t>م نطاق الحماية المتفاوت مفهوم الملك العام الذي ينطوي على بعض المشكلات في تطبيقه على الشعوب الأصلية. إذ</w:t>
      </w:r>
      <w:r w:rsidR="00945CC1">
        <w:rPr>
          <w:rFonts w:hint="eastAsia"/>
          <w:rtl/>
        </w:rPr>
        <w:t> </w:t>
      </w:r>
      <w:r w:rsidRPr="00B737C6">
        <w:rPr>
          <w:rFonts w:hint="cs"/>
          <w:rtl/>
        </w:rPr>
        <w:t xml:space="preserve">يندرج هذا المفهوم في صميم الأنظمة التقليدية لحقوق الملكية الفكرية التي تسعى إلى توفير حماية كافية لتحفيز الإبداع إن لم يكن من المفيد أكثر للمجتمع بأكمله أن </w:t>
      </w:r>
      <w:r w:rsidR="00565159">
        <w:rPr>
          <w:rFonts w:hint="cs"/>
          <w:rtl/>
        </w:rPr>
        <w:t>يعتمد</w:t>
      </w:r>
      <w:r w:rsidRPr="00B737C6">
        <w:rPr>
          <w:rFonts w:hint="cs"/>
          <w:rtl/>
        </w:rPr>
        <w:t xml:space="preserve"> الغير </w:t>
      </w:r>
      <w:r w:rsidR="00565159">
        <w:rPr>
          <w:rFonts w:hint="cs"/>
          <w:rtl/>
        </w:rPr>
        <w:t xml:space="preserve">على </w:t>
      </w:r>
      <w:r w:rsidRPr="00B737C6">
        <w:rPr>
          <w:rFonts w:hint="cs"/>
          <w:rtl/>
        </w:rPr>
        <w:t>الإبداع القائم</w:t>
      </w:r>
      <w:r w:rsidR="00565159">
        <w:rPr>
          <w:rFonts w:hint="cs"/>
          <w:rtl/>
        </w:rPr>
        <w:t xml:space="preserve"> لتطويره</w:t>
      </w:r>
      <w:r w:rsidRPr="00B737C6">
        <w:rPr>
          <w:rFonts w:hint="cs"/>
          <w:rtl/>
        </w:rPr>
        <w:t xml:space="preserve">. وتفيد نظرية الملك العام، بوجه عام، بأنه ينبغي لحقوق الملكية الفكرية أن تكون محددة المدة وأنه لا </w:t>
      </w:r>
      <w:r w:rsidR="00565159">
        <w:rPr>
          <w:rFonts w:hint="cs"/>
          <w:rtl/>
        </w:rPr>
        <w:t>يمكن إخضاع ما هو معروف لدى الجمهور</w:t>
      </w:r>
      <w:r w:rsidRPr="00B737C6">
        <w:rPr>
          <w:rFonts w:hint="cs"/>
          <w:rtl/>
        </w:rPr>
        <w:t xml:space="preserve"> لهذه الحقوق إلا بعد استيفاء بعض الشروط المتصلة بالإبداع الفردي.</w:t>
      </w:r>
    </w:p>
    <w:p w14:paraId="2A9270E1" w14:textId="5D8BEE70" w:rsidR="00174FA9" w:rsidRPr="00174FA9" w:rsidRDefault="00174FA9" w:rsidP="00565159">
      <w:pPr>
        <w:pStyle w:val="NumberedParaAR"/>
        <w:numPr>
          <w:ilvl w:val="0"/>
          <w:numId w:val="22"/>
        </w:numPr>
      </w:pPr>
      <w:r w:rsidRPr="00174FA9">
        <w:rPr>
          <w:rFonts w:hint="cs"/>
          <w:rtl/>
        </w:rPr>
        <w:t>ومع ذلك، فمن منظور حقوق الإنسان، لا يتيح هذا المنطق تحديد نطاق حماية المعارف التقليدية وأشكال التعبير الثقافي التقليدي للشعوب الأصلية. وإنما يتطلب نظام حقوق الإنسان الاعتراف بأن المعارف التقليدية وأشكال التعبير الثقافي التقليدي تعدُّ جزءاً لا يتجزأ من ثقافات الشعوب الأصلية ومجتمعاتها</w:t>
      </w:r>
      <w:r w:rsidR="00565159">
        <w:rPr>
          <w:rFonts w:hint="cs"/>
          <w:rtl/>
        </w:rPr>
        <w:t xml:space="preserve"> </w:t>
      </w:r>
      <w:r w:rsidR="00565159" w:rsidRPr="00174FA9">
        <w:rPr>
          <w:rFonts w:hint="cs"/>
          <w:rtl/>
        </w:rPr>
        <w:t xml:space="preserve">بغض النظر عن إدراك الجمهور </w:t>
      </w:r>
      <w:r w:rsidR="00565159">
        <w:rPr>
          <w:rFonts w:hint="cs"/>
          <w:rtl/>
        </w:rPr>
        <w:t>العام لهما</w:t>
      </w:r>
      <w:r w:rsidRPr="00174FA9">
        <w:rPr>
          <w:rFonts w:hint="cs"/>
          <w:rtl/>
        </w:rPr>
        <w:t xml:space="preserve">. وكما ورد عن </w:t>
      </w:r>
      <w:r w:rsidR="00FB18BE">
        <w:rPr>
          <w:rFonts w:hint="cs"/>
          <w:rtl/>
        </w:rPr>
        <w:t>لجنة الحقوق</w:t>
      </w:r>
      <w:r w:rsidRPr="00174FA9">
        <w:rPr>
          <w:rFonts w:hint="cs"/>
          <w:rtl/>
        </w:rPr>
        <w:t xml:space="preserve"> الاقتصادية والاجتماعية والثقافية: </w:t>
      </w:r>
      <w:r w:rsidRPr="00174FA9">
        <w:rPr>
          <w:rtl/>
        </w:rPr>
        <w:t>"في حين [أن]...نظم الملكية الفكرية...محدودة في الزمن والنطاق...تعد حقوق الإنسان تعبيراً غير محكوم بالزمن عن حقوق الإنسان الأساسية"؛ وفضلاً عن ذلك، تصون حماية حقوق الإنسان الصلة بين "الشعوب...وإرثها الثقافي الجماعي"</w:t>
      </w:r>
      <w:r w:rsidRPr="00174FA9">
        <w:rPr>
          <w:rFonts w:hint="cs"/>
          <w:rtl/>
        </w:rPr>
        <w:t>.</w:t>
      </w:r>
      <w:r w:rsidRPr="003B65F8">
        <w:rPr>
          <w:rStyle w:val="FootnoteReference"/>
          <w:rtl/>
        </w:rPr>
        <w:footnoteReference w:id="15"/>
      </w:r>
      <w:r w:rsidRPr="00174FA9">
        <w:rPr>
          <w:rFonts w:hint="cs"/>
          <w:rtl/>
        </w:rPr>
        <w:t xml:space="preserve"> و</w:t>
      </w:r>
      <w:r w:rsidR="00565159" w:rsidRPr="00174FA9">
        <w:rPr>
          <w:rFonts w:hint="cs"/>
          <w:rtl/>
        </w:rPr>
        <w:t>كما يتجلى</w:t>
      </w:r>
      <w:r w:rsidR="00565159">
        <w:rPr>
          <w:rFonts w:hint="cs"/>
          <w:rtl/>
        </w:rPr>
        <w:t xml:space="preserve"> في</w:t>
      </w:r>
      <w:r w:rsidR="00565159" w:rsidRPr="00174FA9">
        <w:rPr>
          <w:rFonts w:hint="cs"/>
          <w:rtl/>
        </w:rPr>
        <w:t xml:space="preserve"> برامج ومعايير محددة في إطار نظام حقوق الإنسان</w:t>
      </w:r>
      <w:r w:rsidR="00565159">
        <w:rPr>
          <w:rFonts w:hint="cs"/>
          <w:rtl/>
        </w:rPr>
        <w:t>، يكمن السبب</w:t>
      </w:r>
      <w:r w:rsidRPr="00174FA9">
        <w:rPr>
          <w:rFonts w:hint="cs"/>
          <w:rtl/>
        </w:rPr>
        <w:t xml:space="preserve"> الرئيسي </w:t>
      </w:r>
      <w:r w:rsidR="00565159">
        <w:rPr>
          <w:rFonts w:hint="cs"/>
          <w:rtl/>
        </w:rPr>
        <w:t>ل</w:t>
      </w:r>
      <w:r w:rsidRPr="00174FA9">
        <w:rPr>
          <w:rFonts w:hint="cs"/>
          <w:rtl/>
        </w:rPr>
        <w:t xml:space="preserve">لقلق </w:t>
      </w:r>
      <w:r w:rsidR="00565159">
        <w:rPr>
          <w:rFonts w:hint="cs"/>
          <w:rtl/>
        </w:rPr>
        <w:t xml:space="preserve">الدولي المعاصر بالشعوب الأصلية في السعي إلى </w:t>
      </w:r>
      <w:r w:rsidRPr="00174FA9">
        <w:rPr>
          <w:rFonts w:hint="cs"/>
          <w:rtl/>
        </w:rPr>
        <w:t>معالجة الأخطاء الماضية والمستمرة الموجهة ضد هذه الشعوب</w:t>
      </w:r>
      <w:r w:rsidRPr="003B65F8">
        <w:rPr>
          <w:rStyle w:val="FootnoteReference"/>
          <w:rtl/>
        </w:rPr>
        <w:footnoteReference w:id="16"/>
      </w:r>
      <w:r w:rsidRPr="00174FA9">
        <w:rPr>
          <w:rFonts w:hint="cs"/>
          <w:rtl/>
        </w:rPr>
        <w:t xml:space="preserve"> ومنها الاستيلاء على معارفها التقليدية وأشكال التعبير الثقافي الخاصة بها أو استخدامها دون موافقتها. وعليه، يتطلب نظام حقوق الإنسان المطب</w:t>
      </w:r>
      <w:r w:rsidR="00565159">
        <w:rPr>
          <w:rFonts w:hint="cs"/>
          <w:rtl/>
        </w:rPr>
        <w:t>َّ</w:t>
      </w:r>
      <w:r w:rsidRPr="00174FA9">
        <w:rPr>
          <w:rFonts w:hint="cs"/>
          <w:rtl/>
        </w:rPr>
        <w:t xml:space="preserve">ق في هذا الصدد نطاق حماية أوسع مما تنص عليه </w:t>
      </w:r>
      <w:r w:rsidR="00565159">
        <w:rPr>
          <w:rFonts w:hint="cs"/>
          <w:rtl/>
        </w:rPr>
        <w:t>ال</w:t>
      </w:r>
      <w:r w:rsidRPr="00174FA9">
        <w:rPr>
          <w:rFonts w:hint="cs"/>
          <w:rtl/>
        </w:rPr>
        <w:t>نظرية</w:t>
      </w:r>
      <w:r w:rsidR="00565159">
        <w:rPr>
          <w:rFonts w:hint="cs"/>
          <w:rtl/>
        </w:rPr>
        <w:t xml:space="preserve"> التقليدية</w:t>
      </w:r>
      <w:r w:rsidRPr="00174FA9">
        <w:rPr>
          <w:rFonts w:hint="cs"/>
          <w:rtl/>
        </w:rPr>
        <w:t xml:space="preserve"> </w:t>
      </w:r>
      <w:r w:rsidR="00565159">
        <w:rPr>
          <w:rFonts w:hint="cs"/>
          <w:rtl/>
        </w:rPr>
        <w:t>ل</w:t>
      </w:r>
      <w:r w:rsidRPr="00174FA9">
        <w:rPr>
          <w:rFonts w:hint="cs"/>
          <w:rtl/>
        </w:rPr>
        <w:t>لملكية الفكرية.</w:t>
      </w:r>
    </w:p>
    <w:p w14:paraId="2DBDAE66" w14:textId="77777777" w:rsidR="003B65F8" w:rsidRPr="00DD71B8" w:rsidRDefault="003B65F8" w:rsidP="00DD71B8">
      <w:pPr>
        <w:pStyle w:val="Heading4AR"/>
      </w:pPr>
      <w:r w:rsidRPr="00DD71B8">
        <w:rPr>
          <w:rtl/>
        </w:rPr>
        <w:t>مدة الحماية</w:t>
      </w:r>
    </w:p>
    <w:p w14:paraId="60D84DCD" w14:textId="59DB8516" w:rsidR="003B65F8" w:rsidRPr="003B65F8" w:rsidRDefault="003B65F8" w:rsidP="00D331EB">
      <w:pPr>
        <w:pStyle w:val="NumberedParaAR"/>
        <w:numPr>
          <w:ilvl w:val="0"/>
          <w:numId w:val="22"/>
        </w:numPr>
      </w:pPr>
      <w:r w:rsidRPr="003B65F8">
        <w:rPr>
          <w:rtl/>
        </w:rPr>
        <w:t xml:space="preserve">فيما يتعلق </w:t>
      </w:r>
      <w:r w:rsidRPr="003B65F8">
        <w:rPr>
          <w:rFonts w:hint="cs"/>
          <w:rtl/>
        </w:rPr>
        <w:t>ب</w:t>
      </w:r>
      <w:r w:rsidRPr="003B65F8">
        <w:rPr>
          <w:rtl/>
        </w:rPr>
        <w:t xml:space="preserve">مدة الحماية، </w:t>
      </w:r>
      <w:r w:rsidRPr="003B65F8">
        <w:rPr>
          <w:rFonts w:hint="cs"/>
          <w:rtl/>
        </w:rPr>
        <w:t>ي</w:t>
      </w:r>
      <w:r w:rsidRPr="003B65F8">
        <w:rPr>
          <w:rtl/>
        </w:rPr>
        <w:t xml:space="preserve">شمل </w:t>
      </w:r>
      <w:r w:rsidRPr="003B65F8">
        <w:rPr>
          <w:rFonts w:hint="cs"/>
          <w:rtl/>
        </w:rPr>
        <w:t xml:space="preserve">كلا </w:t>
      </w:r>
      <w:r w:rsidR="00AA3C8A">
        <w:rPr>
          <w:rFonts w:hint="cs"/>
          <w:rtl/>
        </w:rPr>
        <w:t>الصكين</w:t>
      </w:r>
      <w:r w:rsidRPr="003B65F8">
        <w:rPr>
          <w:rtl/>
        </w:rPr>
        <w:t xml:space="preserve"> فقرات </w:t>
      </w:r>
      <w:r w:rsidRPr="003B65F8">
        <w:rPr>
          <w:rFonts w:hint="cs"/>
          <w:rtl/>
        </w:rPr>
        <w:t>تجيز</w:t>
      </w:r>
      <w:r w:rsidRPr="003B65F8">
        <w:rPr>
          <w:rtl/>
        </w:rPr>
        <w:t xml:space="preserve"> للدول تحديد </w:t>
      </w:r>
      <w:r w:rsidRPr="003B65F8">
        <w:rPr>
          <w:rFonts w:hint="cs"/>
          <w:rtl/>
        </w:rPr>
        <w:t>مدة سريان</w:t>
      </w:r>
      <w:r w:rsidRPr="003B65F8">
        <w:rPr>
          <w:rtl/>
        </w:rPr>
        <w:t xml:space="preserve"> </w:t>
      </w:r>
      <w:r w:rsidRPr="003B65F8">
        <w:rPr>
          <w:rFonts w:hint="cs"/>
          <w:rtl/>
        </w:rPr>
        <w:t>ال</w:t>
      </w:r>
      <w:r w:rsidRPr="003B65F8">
        <w:rPr>
          <w:rtl/>
        </w:rPr>
        <w:t xml:space="preserve">تدابير </w:t>
      </w:r>
      <w:r w:rsidRPr="003B65F8">
        <w:rPr>
          <w:rFonts w:hint="cs"/>
          <w:rtl/>
        </w:rPr>
        <w:t>ال</w:t>
      </w:r>
      <w:r w:rsidR="00D331EB">
        <w:rPr>
          <w:rtl/>
        </w:rPr>
        <w:t>وقائية</w:t>
      </w:r>
      <w:r w:rsidRPr="003B65F8">
        <w:rPr>
          <w:rtl/>
        </w:rPr>
        <w:t xml:space="preserve"> </w:t>
      </w:r>
      <w:r w:rsidRPr="003B65F8">
        <w:rPr>
          <w:rFonts w:hint="cs"/>
          <w:rtl/>
        </w:rPr>
        <w:t>بموجب</w:t>
      </w:r>
      <w:r w:rsidRPr="003B65F8">
        <w:rPr>
          <w:rtl/>
        </w:rPr>
        <w:t xml:space="preserve"> صياغات بديلة </w:t>
      </w:r>
      <w:r w:rsidR="00D331EB">
        <w:rPr>
          <w:rFonts w:hint="cs"/>
          <w:rtl/>
        </w:rPr>
        <w:t>ترتهن</w:t>
      </w:r>
      <w:r w:rsidRPr="003B65F8">
        <w:rPr>
          <w:rFonts w:hint="cs"/>
          <w:rtl/>
        </w:rPr>
        <w:t xml:space="preserve"> </w:t>
      </w:r>
      <w:r w:rsidR="00D331EB">
        <w:rPr>
          <w:rFonts w:hint="cs"/>
          <w:rtl/>
        </w:rPr>
        <w:t xml:space="preserve">إلى حد بعيد </w:t>
      </w:r>
      <w:r w:rsidRPr="003B65F8">
        <w:rPr>
          <w:rFonts w:hint="cs"/>
          <w:rtl/>
        </w:rPr>
        <w:t xml:space="preserve">بحدود نطاق الحماية التي تنص عليها الصكوك. وفي كل حالة، تعدُّ الصيغ البديلة منفصلة بوجه عام </w:t>
      </w:r>
      <w:r w:rsidR="00D331EB">
        <w:rPr>
          <w:rFonts w:hint="cs"/>
          <w:rtl/>
        </w:rPr>
        <w:t>عن منطق معايير حقوق الإنسان الذي</w:t>
      </w:r>
      <w:r w:rsidRPr="003B65F8">
        <w:rPr>
          <w:rFonts w:hint="cs"/>
          <w:rtl/>
        </w:rPr>
        <w:t xml:space="preserve"> تنص على الاعتراف بحقوق الشعوب الأصلية وحمايتها فيما يخص المعارف التقليدية </w:t>
      </w:r>
      <w:r w:rsidRPr="003B65F8">
        <w:rPr>
          <w:rFonts w:hint="cs"/>
          <w:rtl/>
        </w:rPr>
        <w:lastRenderedPageBreak/>
        <w:t xml:space="preserve">وأشكال التعبير الثقافي التقليدي. وتجيز </w:t>
      </w:r>
      <w:r w:rsidR="00D331EB">
        <w:rPr>
          <w:rFonts w:hint="cs"/>
          <w:rtl/>
        </w:rPr>
        <w:t>ال</w:t>
      </w:r>
      <w:r w:rsidRPr="003B65F8">
        <w:rPr>
          <w:rFonts w:hint="cs"/>
          <w:rtl/>
        </w:rPr>
        <w:t>نظرية</w:t>
      </w:r>
      <w:r w:rsidR="00D331EB">
        <w:rPr>
          <w:rFonts w:hint="cs"/>
          <w:rtl/>
        </w:rPr>
        <w:t xml:space="preserve"> التقليدية</w:t>
      </w:r>
      <w:r w:rsidRPr="003B65F8">
        <w:rPr>
          <w:rFonts w:hint="cs"/>
          <w:rtl/>
        </w:rPr>
        <w:t xml:space="preserve"> </w:t>
      </w:r>
      <w:r w:rsidR="00D331EB">
        <w:rPr>
          <w:rFonts w:hint="cs"/>
          <w:rtl/>
        </w:rPr>
        <w:t>ل</w:t>
      </w:r>
      <w:r w:rsidRPr="003B65F8">
        <w:rPr>
          <w:rFonts w:hint="cs"/>
          <w:rtl/>
        </w:rPr>
        <w:t xml:space="preserve">لملكية الفكرية فرض حماية محددة المدة كوسيلة لتعزيز النشر والإبداع مع التشديد على القيمة الاقتصادية للمعارف والمصنفات الإبداعية المولدة. ومع ذلك، </w:t>
      </w:r>
      <w:r w:rsidRPr="003B65F8">
        <w:rPr>
          <w:rtl/>
        </w:rPr>
        <w:t>فإن نظام حقوق الإنسان</w:t>
      </w:r>
      <w:r w:rsidRPr="003B65F8">
        <w:t xml:space="preserve"> </w:t>
      </w:r>
      <w:r w:rsidRPr="003B65F8">
        <w:rPr>
          <w:rtl/>
        </w:rPr>
        <w:t>يع</w:t>
      </w:r>
      <w:r w:rsidRPr="003B65F8">
        <w:rPr>
          <w:rFonts w:hint="cs"/>
          <w:rtl/>
        </w:rPr>
        <w:t>ت</w:t>
      </w:r>
      <w:r w:rsidRPr="003B65F8">
        <w:rPr>
          <w:rtl/>
        </w:rPr>
        <w:t xml:space="preserve">رف على حد سواء </w:t>
      </w:r>
      <w:r w:rsidRPr="003B65F8">
        <w:rPr>
          <w:rFonts w:hint="cs"/>
          <w:rtl/>
        </w:rPr>
        <w:t>ب</w:t>
      </w:r>
      <w:r w:rsidRPr="003B65F8">
        <w:rPr>
          <w:rtl/>
        </w:rPr>
        <w:t>أن المعارف التقليدية وأشكال التعبير الثقافي</w:t>
      </w:r>
      <w:r w:rsidRPr="003B65F8">
        <w:rPr>
          <w:rFonts w:hint="cs"/>
          <w:rtl/>
        </w:rPr>
        <w:t xml:space="preserve"> التقليدي</w:t>
      </w:r>
      <w:r w:rsidRPr="003B65F8">
        <w:rPr>
          <w:rtl/>
        </w:rPr>
        <w:t xml:space="preserve"> تشكل جزءا</w:t>
      </w:r>
      <w:r w:rsidRPr="003B65F8">
        <w:rPr>
          <w:rFonts w:hint="cs"/>
          <w:rtl/>
        </w:rPr>
        <w:t>ً</w:t>
      </w:r>
      <w:r w:rsidRPr="003B65F8">
        <w:rPr>
          <w:rtl/>
        </w:rPr>
        <w:t xml:space="preserve"> لا يتجزأ من ثقافات الشعوب الأصلية</w:t>
      </w:r>
      <w:r w:rsidRPr="003B65F8">
        <w:rPr>
          <w:rFonts w:hint="cs"/>
          <w:rtl/>
        </w:rPr>
        <w:t xml:space="preserve"> ومجتمعاتها</w:t>
      </w:r>
      <w:r w:rsidRPr="003B65F8">
        <w:rPr>
          <w:rtl/>
        </w:rPr>
        <w:t>، وأن هذه الخاصية</w:t>
      </w:r>
      <w:r w:rsidRPr="003B65F8">
        <w:rPr>
          <w:rFonts w:hint="cs"/>
          <w:rtl/>
        </w:rPr>
        <w:t xml:space="preserve"> هي التي</w:t>
      </w:r>
      <w:r w:rsidRPr="003B65F8">
        <w:rPr>
          <w:rtl/>
        </w:rPr>
        <w:t xml:space="preserve"> </w:t>
      </w:r>
      <w:r w:rsidRPr="003B65F8">
        <w:rPr>
          <w:rFonts w:hint="cs"/>
          <w:rtl/>
        </w:rPr>
        <w:t>ت</w:t>
      </w:r>
      <w:r w:rsidRPr="003B65F8">
        <w:rPr>
          <w:rtl/>
        </w:rPr>
        <w:t>حفز حمايت</w:t>
      </w:r>
      <w:r w:rsidRPr="003B65F8">
        <w:rPr>
          <w:rFonts w:hint="cs"/>
          <w:rtl/>
        </w:rPr>
        <w:t>ها أكثر من قيمتها الاقتصادية</w:t>
      </w:r>
      <w:r w:rsidRPr="003B65F8">
        <w:rPr>
          <w:rtl/>
        </w:rPr>
        <w:t>. ويعني</w:t>
      </w:r>
      <w:r w:rsidRPr="003B65F8">
        <w:rPr>
          <w:rFonts w:hint="cs"/>
          <w:rtl/>
        </w:rPr>
        <w:t xml:space="preserve"> ذلك</w:t>
      </w:r>
      <w:r w:rsidRPr="003B65F8">
        <w:rPr>
          <w:rtl/>
        </w:rPr>
        <w:t xml:space="preserve"> أن</w:t>
      </w:r>
      <w:r w:rsidRPr="003B65F8">
        <w:rPr>
          <w:rFonts w:hint="cs"/>
          <w:rtl/>
        </w:rPr>
        <w:t>ه ينبغي حماية</w:t>
      </w:r>
      <w:r w:rsidRPr="003B65F8">
        <w:rPr>
          <w:rtl/>
        </w:rPr>
        <w:t xml:space="preserve"> المع</w:t>
      </w:r>
      <w:r w:rsidRPr="003B65F8">
        <w:rPr>
          <w:rFonts w:hint="cs"/>
          <w:rtl/>
        </w:rPr>
        <w:t>ا</w:t>
      </w:r>
      <w:r w:rsidRPr="003B65F8">
        <w:rPr>
          <w:rtl/>
        </w:rPr>
        <w:t>رف</w:t>
      </w:r>
      <w:r w:rsidRPr="003B65F8">
        <w:rPr>
          <w:rFonts w:hint="cs"/>
          <w:rtl/>
        </w:rPr>
        <w:t xml:space="preserve"> التقليدية</w:t>
      </w:r>
      <w:r w:rsidRPr="003B65F8">
        <w:rPr>
          <w:rtl/>
        </w:rPr>
        <w:t xml:space="preserve"> و</w:t>
      </w:r>
      <w:r w:rsidRPr="003B65F8">
        <w:rPr>
          <w:rFonts w:hint="cs"/>
          <w:rtl/>
        </w:rPr>
        <w:t xml:space="preserve">أشكال التعبير </w:t>
      </w:r>
      <w:r w:rsidRPr="003B65F8">
        <w:rPr>
          <w:rtl/>
        </w:rPr>
        <w:t>الثقافي</w:t>
      </w:r>
      <w:r w:rsidRPr="003B65F8">
        <w:rPr>
          <w:rFonts w:hint="cs"/>
          <w:rtl/>
        </w:rPr>
        <w:t xml:space="preserve"> </w:t>
      </w:r>
      <w:r w:rsidRPr="003B65F8">
        <w:rPr>
          <w:rtl/>
        </w:rPr>
        <w:t xml:space="preserve">التقليدي </w:t>
      </w:r>
      <w:r w:rsidRPr="003B65F8">
        <w:rPr>
          <w:rFonts w:hint="cs"/>
          <w:rtl/>
        </w:rPr>
        <w:t>الخاصة بالشعوب الأصلية طالما كان موضوع الحماية متصلاً بثقافات الشعوب الأصلية.</w:t>
      </w:r>
      <w:r w:rsidRPr="003B65F8">
        <w:rPr>
          <w:rStyle w:val="FootnoteReference"/>
          <w:rtl/>
        </w:rPr>
        <w:footnoteReference w:id="17"/>
      </w:r>
    </w:p>
    <w:p w14:paraId="1A8C4C4B" w14:textId="7C9B80FA" w:rsidR="003B65F8" w:rsidRPr="00DD71B8" w:rsidRDefault="003B65F8" w:rsidP="008C20B3">
      <w:pPr>
        <w:pStyle w:val="Heading4AR"/>
      </w:pPr>
      <w:r w:rsidRPr="00DD71B8">
        <w:rPr>
          <w:rtl/>
        </w:rPr>
        <w:t xml:space="preserve">الاستثناءات </w:t>
      </w:r>
      <w:r w:rsidR="008C20B3">
        <w:rPr>
          <w:rFonts w:hint="cs"/>
          <w:rtl/>
        </w:rPr>
        <w:t>والتقييدات</w:t>
      </w:r>
    </w:p>
    <w:p w14:paraId="05DD39EB" w14:textId="3225BE4B" w:rsidR="006B5DF6" w:rsidRPr="006B5DF6" w:rsidRDefault="006B5DF6" w:rsidP="004C4F8E">
      <w:pPr>
        <w:pStyle w:val="NumberedParaAR"/>
        <w:numPr>
          <w:ilvl w:val="0"/>
          <w:numId w:val="22"/>
        </w:numPr>
      </w:pPr>
      <w:r w:rsidRPr="006B5DF6">
        <w:rPr>
          <w:rFonts w:hint="cs"/>
          <w:rtl/>
        </w:rPr>
        <w:t xml:space="preserve">يرتبط مشروعا </w:t>
      </w:r>
      <w:r w:rsidR="00AA3C8A">
        <w:rPr>
          <w:rFonts w:hint="cs"/>
          <w:rtl/>
        </w:rPr>
        <w:t>الصكين</w:t>
      </w:r>
      <w:r w:rsidRPr="006B5DF6">
        <w:rPr>
          <w:rFonts w:hint="cs"/>
          <w:rtl/>
        </w:rPr>
        <w:t xml:space="preserve"> </w:t>
      </w:r>
      <w:r w:rsidRPr="006B5DF6">
        <w:rPr>
          <w:rtl/>
        </w:rPr>
        <w:t>بشأن الاستثناءات والتقييدات ارتباطا</w:t>
      </w:r>
      <w:r w:rsidRPr="006B5DF6">
        <w:rPr>
          <w:rFonts w:hint="cs"/>
          <w:rtl/>
        </w:rPr>
        <w:t>ً</w:t>
      </w:r>
      <w:r w:rsidRPr="006B5DF6">
        <w:rPr>
          <w:rtl/>
        </w:rPr>
        <w:t xml:space="preserve"> وثيقا</w:t>
      </w:r>
      <w:r w:rsidRPr="006B5DF6">
        <w:rPr>
          <w:rFonts w:hint="cs"/>
          <w:rtl/>
        </w:rPr>
        <w:t>ً</w:t>
      </w:r>
      <w:r w:rsidRPr="006B5DF6">
        <w:rPr>
          <w:rtl/>
        </w:rPr>
        <w:t xml:space="preserve"> </w:t>
      </w:r>
      <w:r w:rsidRPr="006B5DF6">
        <w:rPr>
          <w:rFonts w:hint="cs"/>
          <w:rtl/>
        </w:rPr>
        <w:t>ب</w:t>
      </w:r>
      <w:r w:rsidRPr="006B5DF6">
        <w:rPr>
          <w:rtl/>
        </w:rPr>
        <w:t>نطاق</w:t>
      </w:r>
      <w:r w:rsidRPr="006B5DF6">
        <w:rPr>
          <w:rFonts w:hint="cs"/>
          <w:rtl/>
        </w:rPr>
        <w:t xml:space="preserve"> الحماية ومدتها</w:t>
      </w:r>
      <w:r w:rsidRPr="006B5DF6">
        <w:rPr>
          <w:rtl/>
        </w:rPr>
        <w:t>.</w:t>
      </w:r>
      <w:r w:rsidRPr="006B5DF6">
        <w:rPr>
          <w:rFonts w:hint="cs"/>
          <w:rtl/>
        </w:rPr>
        <w:t xml:space="preserve"> ويضم </w:t>
      </w:r>
      <w:r w:rsidR="00AA3C8A">
        <w:rPr>
          <w:rFonts w:hint="cs"/>
          <w:rtl/>
        </w:rPr>
        <w:t>الصكان</w:t>
      </w:r>
      <w:r w:rsidRPr="006B5DF6">
        <w:rPr>
          <w:rtl/>
        </w:rPr>
        <w:t xml:space="preserve"> عدد</w:t>
      </w:r>
      <w:r w:rsidRPr="006B5DF6">
        <w:rPr>
          <w:rFonts w:hint="cs"/>
          <w:rtl/>
        </w:rPr>
        <w:t>اً</w:t>
      </w:r>
      <w:r w:rsidRPr="006B5DF6">
        <w:rPr>
          <w:rtl/>
        </w:rPr>
        <w:t xml:space="preserve"> من مشاريع ال</w:t>
      </w:r>
      <w:r w:rsidRPr="006B5DF6">
        <w:rPr>
          <w:rFonts w:hint="cs"/>
          <w:rtl/>
        </w:rPr>
        <w:t>ا</w:t>
      </w:r>
      <w:r w:rsidRPr="006B5DF6">
        <w:rPr>
          <w:rtl/>
        </w:rPr>
        <w:t>قتر</w:t>
      </w:r>
      <w:r w:rsidRPr="006B5DF6">
        <w:rPr>
          <w:rFonts w:hint="cs"/>
          <w:rtl/>
        </w:rPr>
        <w:t>ا</w:t>
      </w:r>
      <w:r w:rsidRPr="006B5DF6">
        <w:rPr>
          <w:rtl/>
        </w:rPr>
        <w:t xml:space="preserve">حات المختلفة </w:t>
      </w:r>
      <w:r w:rsidRPr="006B5DF6">
        <w:rPr>
          <w:rFonts w:hint="cs"/>
          <w:rtl/>
        </w:rPr>
        <w:t xml:space="preserve">لوضع </w:t>
      </w:r>
      <w:r w:rsidRPr="006B5DF6">
        <w:rPr>
          <w:rtl/>
        </w:rPr>
        <w:t xml:space="preserve">استثناءات </w:t>
      </w:r>
      <w:r w:rsidR="004C4F8E">
        <w:rPr>
          <w:rFonts w:hint="cs"/>
          <w:rtl/>
        </w:rPr>
        <w:t>وتقييدات</w:t>
      </w:r>
      <w:r w:rsidRPr="006B5DF6">
        <w:rPr>
          <w:rtl/>
        </w:rPr>
        <w:t xml:space="preserve"> واسعة وبعيدة المدى يكون لها </w:t>
      </w:r>
      <w:r w:rsidRPr="006B5DF6">
        <w:rPr>
          <w:rFonts w:hint="cs"/>
          <w:rtl/>
        </w:rPr>
        <w:t>الت</w:t>
      </w:r>
      <w:r w:rsidRPr="006B5DF6">
        <w:rPr>
          <w:rtl/>
        </w:rPr>
        <w:t>أثير</w:t>
      </w:r>
      <w:r w:rsidRPr="006B5DF6">
        <w:rPr>
          <w:rFonts w:hint="cs"/>
          <w:rtl/>
        </w:rPr>
        <w:t xml:space="preserve"> نفسه مقارنة ب</w:t>
      </w:r>
      <w:r w:rsidRPr="006B5DF6">
        <w:rPr>
          <w:rtl/>
        </w:rPr>
        <w:t>نطاق حماية</w:t>
      </w:r>
      <w:r w:rsidRPr="006B5DF6">
        <w:rPr>
          <w:rFonts w:hint="cs"/>
          <w:rtl/>
        </w:rPr>
        <w:t xml:space="preserve"> ضيق</w:t>
      </w:r>
      <w:r w:rsidRPr="006B5DF6">
        <w:rPr>
          <w:rtl/>
        </w:rPr>
        <w:t>.</w:t>
      </w:r>
      <w:r w:rsidR="004C4F8E">
        <w:rPr>
          <w:rFonts w:hint="cs"/>
          <w:rtl/>
        </w:rPr>
        <w:t xml:space="preserve"> وقد ذُكرت</w:t>
      </w:r>
      <w:r w:rsidRPr="006B5DF6">
        <w:rPr>
          <w:rFonts w:hint="cs"/>
          <w:rtl/>
        </w:rPr>
        <w:t xml:space="preserve"> أعلاه أسباب توسيع نطاق الحماية، كقاعدة عامة، لتشمل المعارف التقليدية وأشكال التعبير </w:t>
      </w:r>
      <w:r w:rsidR="004C4F8E">
        <w:rPr>
          <w:rFonts w:hint="cs"/>
          <w:rtl/>
        </w:rPr>
        <w:t>الثقافي التقليدي للشعوب الأصلية</w:t>
      </w:r>
      <w:r w:rsidRPr="006B5DF6">
        <w:rPr>
          <w:rFonts w:hint="cs"/>
          <w:rtl/>
        </w:rPr>
        <w:t xml:space="preserve"> كي لا تعدُّ </w:t>
      </w:r>
      <w:r w:rsidR="004C4F8E">
        <w:rPr>
          <w:rFonts w:hint="cs"/>
          <w:rtl/>
        </w:rPr>
        <w:t xml:space="preserve">هذه الموارد </w:t>
      </w:r>
      <w:r w:rsidRPr="006B5DF6">
        <w:rPr>
          <w:rFonts w:hint="cs"/>
          <w:rtl/>
        </w:rPr>
        <w:t>مدرجة في الملك العام تماشياً مع معايير حقوق الإنسان. وينطوي ذلك بالضرورة</w:t>
      </w:r>
      <w:r w:rsidR="004C4F8E">
        <w:rPr>
          <w:rFonts w:hint="cs"/>
          <w:rtl/>
        </w:rPr>
        <w:t xml:space="preserve"> على أن معايير حقوق الإنسان تتعارض مع</w:t>
      </w:r>
      <w:r w:rsidRPr="006B5DF6">
        <w:rPr>
          <w:rFonts w:hint="cs"/>
          <w:rtl/>
        </w:rPr>
        <w:t xml:space="preserve"> مختلف الاقتراحات الجوهرية والبعيدة المدى بشأن الاستثناءات والتقييدات في مشاريع الصكوك. وإن اقتراح منح القانون الوطني حرية تحديد الاستثناءات والتقييدات على نطاق الحماية </w:t>
      </w:r>
      <w:r w:rsidR="004C4F8E">
        <w:rPr>
          <w:rFonts w:hint="cs"/>
          <w:rtl/>
        </w:rPr>
        <w:t>ي</w:t>
      </w:r>
      <w:r w:rsidRPr="006B5DF6">
        <w:rPr>
          <w:rFonts w:hint="cs"/>
          <w:rtl/>
        </w:rPr>
        <w:t xml:space="preserve">ثير مشكلة كبيرة إذ </w:t>
      </w:r>
      <w:r w:rsidR="004C4F8E">
        <w:rPr>
          <w:rFonts w:hint="cs"/>
          <w:rtl/>
        </w:rPr>
        <w:t>ي</w:t>
      </w:r>
      <w:r w:rsidRPr="006B5DF6">
        <w:rPr>
          <w:rFonts w:hint="cs"/>
          <w:rtl/>
        </w:rPr>
        <w:t xml:space="preserve">منح الدول حرية عدم إدراج بعض المعارف التقليدية وأشكال التعبير الثقافي التقليدي في نطاق الحماية على الإطلاق. وينبغي تعريف أي استثناء أو تقييد محتمل وتحديد صيغة </w:t>
      </w:r>
      <w:r w:rsidR="004C4F8E">
        <w:rPr>
          <w:rFonts w:hint="cs"/>
          <w:rtl/>
        </w:rPr>
        <w:t>واضحة لذلك</w:t>
      </w:r>
      <w:r w:rsidRPr="006B5DF6">
        <w:rPr>
          <w:rFonts w:hint="cs"/>
          <w:rtl/>
        </w:rPr>
        <w:t xml:space="preserve"> في </w:t>
      </w:r>
      <w:r w:rsidR="004C4F8E">
        <w:rPr>
          <w:rFonts w:hint="cs"/>
          <w:rtl/>
        </w:rPr>
        <w:t>الصكوك، وينبغي ضمان الامتثال ل</w:t>
      </w:r>
      <w:r w:rsidRPr="006B5DF6">
        <w:rPr>
          <w:rFonts w:hint="cs"/>
          <w:rtl/>
        </w:rPr>
        <w:t>قانون حقوق الإنسان.</w:t>
      </w:r>
    </w:p>
    <w:p w14:paraId="621469D8" w14:textId="77777777" w:rsidR="0081357B" w:rsidRPr="00DD71B8" w:rsidRDefault="0081357B" w:rsidP="00DD71B8">
      <w:pPr>
        <w:pStyle w:val="Heading4AR"/>
      </w:pPr>
      <w:r>
        <w:rPr>
          <w:rFonts w:hint="cs"/>
          <w:rtl/>
        </w:rPr>
        <w:t>تعريف سوء الاستخدام</w:t>
      </w:r>
    </w:p>
    <w:p w14:paraId="442D5EF5" w14:textId="4BA13EB3" w:rsidR="0081357B" w:rsidRPr="0081357B" w:rsidRDefault="0081357B" w:rsidP="00DF2127">
      <w:pPr>
        <w:pStyle w:val="NumberedParaAR"/>
        <w:numPr>
          <w:ilvl w:val="0"/>
          <w:numId w:val="22"/>
        </w:numPr>
      </w:pPr>
      <w:r w:rsidRPr="0081357B">
        <w:rPr>
          <w:rtl/>
        </w:rPr>
        <w:t xml:space="preserve">على غرار مشاريع المواد المتعلقة بالاستثناءات والتقييدات، تشمل أحكام </w:t>
      </w:r>
      <w:r w:rsidRPr="0081357B">
        <w:rPr>
          <w:rFonts w:hint="cs"/>
          <w:rtl/>
        </w:rPr>
        <w:t xml:space="preserve">سوء الاستخدام اقتراحات تقضي بوصف سوء استخدام المعارف التقليدية أو أشكال التعبير الثقافي التقليدي انتهاكات للقانون الوطني. ولكن تثير هذه الاقتراحات مشكلات نظراً إلى عجزها عن إرساء معيار دولي </w:t>
      </w:r>
      <w:r w:rsidR="00DF2127">
        <w:rPr>
          <w:rFonts w:hint="cs"/>
          <w:rtl/>
        </w:rPr>
        <w:t>وإتاحتها</w:t>
      </w:r>
      <w:r w:rsidRPr="0081357B">
        <w:rPr>
          <w:rFonts w:hint="cs"/>
          <w:rtl/>
        </w:rPr>
        <w:t xml:space="preserve"> هامشاً لعدم حماية جميع المعارف التقليدية وأشكال التعبير الثقافي التقليدي. وإذا لم يكفل قانون وطني الحماية لأي من المعارف التقليدية وأشكال التعبير الثقافي التقليدي، فلن يكون هناك أي "سوء الاستخدام" إذا قرر طرف غير الأطراف ا</w:t>
      </w:r>
      <w:r w:rsidR="00DF2127">
        <w:rPr>
          <w:rFonts w:hint="cs"/>
          <w:rtl/>
        </w:rPr>
        <w:t>لمبدعة</w:t>
      </w:r>
      <w:r w:rsidRPr="0081357B">
        <w:rPr>
          <w:rFonts w:hint="cs"/>
          <w:rtl/>
        </w:rPr>
        <w:t xml:space="preserve"> أو المنشئة لهذه الجوانب من التراث الثقافي استخدامها. وتماشياً مع معايير حقوق الإنسان، ينبغي لسوء الاستخدام أن يعر</w:t>
      </w:r>
      <w:r w:rsidR="00DF2127">
        <w:rPr>
          <w:rFonts w:hint="cs"/>
          <w:rtl/>
        </w:rPr>
        <w:t>َّ</w:t>
      </w:r>
      <w:r w:rsidRPr="0081357B">
        <w:rPr>
          <w:rFonts w:hint="cs"/>
          <w:rtl/>
        </w:rPr>
        <w:t xml:space="preserve">ف بانتفاع شخص ما بالمعارف التقليدية وأشكال التعبير الثقافي التقليدي </w:t>
      </w:r>
      <w:r w:rsidR="00DF2127">
        <w:rPr>
          <w:rFonts w:hint="cs"/>
          <w:rtl/>
        </w:rPr>
        <w:t>الخاصة با</w:t>
      </w:r>
      <w:r w:rsidRPr="0081357B">
        <w:rPr>
          <w:rFonts w:hint="cs"/>
          <w:rtl/>
        </w:rPr>
        <w:t>لشعوب الأصلية دون موافقة هذه الشعوب.</w:t>
      </w:r>
    </w:p>
    <w:p w14:paraId="04918220" w14:textId="03B02770" w:rsidR="00197DFC" w:rsidRPr="009B08C1" w:rsidRDefault="00197DFC" w:rsidP="00DD71B8">
      <w:pPr>
        <w:pStyle w:val="EndofDocumentAR"/>
        <w:rPr>
          <w:rFonts w:eastAsia="SimSun"/>
          <w:lang w:val="en-GB" w:eastAsia="zh-CN"/>
        </w:rPr>
      </w:pPr>
      <w:r>
        <w:rPr>
          <w:rFonts w:eastAsia="SimSun" w:hint="cs"/>
          <w:rtl/>
          <w:lang w:val="en-GB" w:eastAsia="zh-CN"/>
        </w:rPr>
        <w:t>[نهاية المرفق والوثيقة]</w:t>
      </w:r>
    </w:p>
    <w:sectPr w:rsidR="00197DFC" w:rsidRPr="009B08C1" w:rsidSect="00933A29">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711C1" w14:textId="77777777" w:rsidR="003C27B2" w:rsidRDefault="003C27B2">
      <w:r>
        <w:separator/>
      </w:r>
    </w:p>
  </w:endnote>
  <w:endnote w:type="continuationSeparator" w:id="0">
    <w:p w14:paraId="40C35ACC" w14:textId="77777777" w:rsidR="003C27B2" w:rsidRDefault="003C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DBCC2" w14:textId="77777777" w:rsidR="003C27B2" w:rsidRDefault="003C27B2" w:rsidP="009622BF">
      <w:pPr>
        <w:bidi/>
      </w:pPr>
      <w:bookmarkStart w:id="0" w:name="OLE_LINK1"/>
      <w:bookmarkStart w:id="1" w:name="OLE_LINK2"/>
      <w:r>
        <w:separator/>
      </w:r>
      <w:bookmarkEnd w:id="0"/>
      <w:bookmarkEnd w:id="1"/>
    </w:p>
  </w:footnote>
  <w:footnote w:type="continuationSeparator" w:id="0">
    <w:p w14:paraId="3B42FD35" w14:textId="77777777" w:rsidR="003C27B2" w:rsidRDefault="003C27B2" w:rsidP="009622BF">
      <w:pPr>
        <w:bidi/>
      </w:pPr>
      <w:r>
        <w:separator/>
      </w:r>
    </w:p>
  </w:footnote>
  <w:footnote w:id="1">
    <w:p w14:paraId="071E4561" w14:textId="506ADF85" w:rsidR="00C435AC" w:rsidRDefault="00C435AC" w:rsidP="00647D89">
      <w:pPr>
        <w:pStyle w:val="FootnoteText"/>
        <w:rPr>
          <w:lang w:bidi="ar-EG"/>
        </w:rPr>
      </w:pPr>
      <w:r>
        <w:rPr>
          <w:rStyle w:val="FootnoteReference"/>
        </w:rPr>
        <w:footnoteRef/>
      </w:r>
      <w:r>
        <w:rPr>
          <w:rtl/>
        </w:rPr>
        <w:t xml:space="preserve"> </w:t>
      </w:r>
      <w:r w:rsidR="00906B35">
        <w:rPr>
          <w:rFonts w:hint="cs"/>
          <w:rtl/>
        </w:rPr>
        <w:t xml:space="preserve">انظر الفقرة 50 من تقرير </w:t>
      </w:r>
      <w:r w:rsidR="00306FDE" w:rsidRPr="00306FDE">
        <w:rPr>
          <w:rtl/>
        </w:rPr>
        <w:t>منتدى الأمم المتحدة الدائم المعني بقضايا الشعوب الأصلية</w:t>
      </w:r>
      <w:r w:rsidR="00306FDE">
        <w:rPr>
          <w:rFonts w:hint="cs"/>
          <w:rtl/>
        </w:rPr>
        <w:t xml:space="preserve"> </w:t>
      </w:r>
      <w:r w:rsidR="00906B35">
        <w:rPr>
          <w:rFonts w:hint="cs"/>
          <w:rtl/>
        </w:rPr>
        <w:t>في دورته الحادية عشرة، الوثيق</w:t>
      </w:r>
      <w:r w:rsidR="00647D89">
        <w:rPr>
          <w:rFonts w:hint="cs"/>
          <w:rtl/>
        </w:rPr>
        <w:t>ة</w:t>
      </w:r>
      <w:r w:rsidR="00647D89">
        <w:t xml:space="preserve">E/2012/43 </w:t>
      </w:r>
      <w:r w:rsidR="00647D89">
        <w:rPr>
          <w:rFonts w:hint="cs"/>
          <w:rtl/>
        </w:rPr>
        <w:t xml:space="preserve"> (</w:t>
      </w:r>
      <w:r w:rsidR="00906B35">
        <w:t>E/C.19/2012/13</w:t>
      </w:r>
      <w:r w:rsidR="00647D89">
        <w:rPr>
          <w:rFonts w:hint="cs"/>
          <w:rtl/>
        </w:rPr>
        <w:t>)</w:t>
      </w:r>
      <w:r w:rsidR="00906B35">
        <w:rPr>
          <w:rFonts w:hint="cs"/>
          <w:rtl/>
          <w:lang w:bidi="ar-EG"/>
        </w:rPr>
        <w:t>.</w:t>
      </w:r>
    </w:p>
  </w:footnote>
  <w:footnote w:id="2">
    <w:p w14:paraId="2F5861B9" w14:textId="507FD292" w:rsidR="00277E79" w:rsidRDefault="00277E79">
      <w:pPr>
        <w:pStyle w:val="FootnoteText"/>
        <w:rPr>
          <w:rtl/>
          <w:lang w:bidi="ar-EG"/>
        </w:rPr>
      </w:pPr>
      <w:r>
        <w:rPr>
          <w:rStyle w:val="FootnoteReference"/>
        </w:rPr>
        <w:footnoteRef/>
      </w:r>
      <w:r>
        <w:rPr>
          <w:rtl/>
        </w:rPr>
        <w:t xml:space="preserve"> </w:t>
      </w:r>
      <w:r>
        <w:rPr>
          <w:rFonts w:hint="cs"/>
          <w:rtl/>
          <w:lang w:bidi="ar-EG"/>
        </w:rPr>
        <w:t xml:space="preserve">إعلان الأمم المتحدة بشأن حقوق الشعوب الأصلية، قرار الجمعية العامة للأمم المتحدة </w:t>
      </w:r>
      <w:r>
        <w:rPr>
          <w:lang w:bidi="ar-EG"/>
        </w:rPr>
        <w:t>61/295</w:t>
      </w:r>
      <w:r w:rsidR="00647D89">
        <w:rPr>
          <w:rFonts w:hint="cs"/>
          <w:rtl/>
          <w:lang w:bidi="ar-EG"/>
        </w:rPr>
        <w:t xml:space="preserve"> (2007)، المادة 31 (1) (</w:t>
      </w:r>
      <w:r>
        <w:rPr>
          <w:rFonts w:hint="cs"/>
          <w:rtl/>
          <w:lang w:bidi="ar-EG"/>
        </w:rPr>
        <w:t>إعلان الشعوب الأصلية)</w:t>
      </w:r>
      <w:r w:rsidR="00647D89">
        <w:rPr>
          <w:rFonts w:hint="cs"/>
          <w:rtl/>
          <w:lang w:bidi="ar-EG"/>
        </w:rPr>
        <w:t>.</w:t>
      </w:r>
    </w:p>
  </w:footnote>
  <w:footnote w:id="3">
    <w:p w14:paraId="6CA9B49F" w14:textId="50A03E85" w:rsidR="0094026D" w:rsidRDefault="0094026D" w:rsidP="00647D89">
      <w:pPr>
        <w:pStyle w:val="FootnoteText"/>
        <w:rPr>
          <w:rtl/>
          <w:lang w:bidi="ar-EG"/>
        </w:rPr>
      </w:pPr>
      <w:r>
        <w:rPr>
          <w:rStyle w:val="FootnoteReference"/>
        </w:rPr>
        <w:footnoteRef/>
      </w:r>
      <w:r>
        <w:rPr>
          <w:rtl/>
        </w:rPr>
        <w:t xml:space="preserve"> </w:t>
      </w:r>
      <w:r w:rsidR="00592CB6">
        <w:rPr>
          <w:rFonts w:hint="cs"/>
          <w:rtl/>
          <w:lang w:bidi="ar-EG"/>
        </w:rPr>
        <w:t xml:space="preserve">انظر </w:t>
      </w:r>
      <w:r w:rsidR="00FB18BE">
        <w:rPr>
          <w:rtl/>
        </w:rPr>
        <w:t>لجنة الحقوق</w:t>
      </w:r>
      <w:r w:rsidRPr="0094026D">
        <w:rPr>
          <w:rtl/>
        </w:rPr>
        <w:t xml:space="preserve"> الاقتصادية والاجتماعية والثقافية</w:t>
      </w:r>
      <w:r>
        <w:rPr>
          <w:rFonts w:hint="cs"/>
          <w:rtl/>
        </w:rPr>
        <w:t xml:space="preserve">، </w:t>
      </w:r>
      <w:r w:rsidR="00592CB6">
        <w:rPr>
          <w:rFonts w:hint="cs"/>
          <w:rtl/>
        </w:rPr>
        <w:t>التعليق</w:t>
      </w:r>
      <w:r>
        <w:rPr>
          <w:rFonts w:hint="cs"/>
          <w:rtl/>
        </w:rPr>
        <w:t xml:space="preserve"> العام رقم 21، الفقرة 37 من الوثيقة </w:t>
      </w:r>
      <w:r>
        <w:t>E/C.12/GC/21</w:t>
      </w:r>
      <w:r w:rsidR="00592CB6">
        <w:rPr>
          <w:rFonts w:hint="cs"/>
          <w:rtl/>
          <w:lang w:bidi="ar-EG"/>
        </w:rPr>
        <w:t>؛</w:t>
      </w:r>
      <w:r>
        <w:rPr>
          <w:rFonts w:hint="cs"/>
          <w:rtl/>
          <w:lang w:bidi="ar-EG"/>
        </w:rPr>
        <w:t xml:space="preserve"> </w:t>
      </w:r>
      <w:r w:rsidR="00592CB6">
        <w:rPr>
          <w:rFonts w:hint="cs"/>
          <w:rtl/>
          <w:lang w:bidi="ar-EG"/>
        </w:rPr>
        <w:t>و</w:t>
      </w:r>
      <w:r>
        <w:rPr>
          <w:rFonts w:hint="cs"/>
          <w:rtl/>
          <w:lang w:bidi="ar-EG"/>
        </w:rPr>
        <w:t xml:space="preserve">المادة 4 من </w:t>
      </w:r>
      <w:r w:rsidR="00592CB6">
        <w:rPr>
          <w:rFonts w:hint="cs"/>
          <w:rtl/>
          <w:lang w:bidi="ar-EG"/>
        </w:rPr>
        <w:t>إعلان اليونسكو العالمي بشأن التنوع الثقافي</w:t>
      </w:r>
      <w:r w:rsidR="00647D89">
        <w:rPr>
          <w:rFonts w:hint="cs"/>
          <w:rtl/>
          <w:lang w:bidi="ar-EG"/>
        </w:rPr>
        <w:t xml:space="preserve"> لعام</w:t>
      </w:r>
      <w:r>
        <w:rPr>
          <w:rFonts w:hint="cs"/>
          <w:rtl/>
          <w:lang w:bidi="ar-EG"/>
        </w:rPr>
        <w:t xml:space="preserve"> 2001.</w:t>
      </w:r>
    </w:p>
  </w:footnote>
  <w:footnote w:id="4">
    <w:p w14:paraId="45831D5D" w14:textId="77777777" w:rsidR="00592CB6" w:rsidRDefault="00592CB6">
      <w:pPr>
        <w:pStyle w:val="FootnoteText"/>
        <w:rPr>
          <w:rtl/>
          <w:lang w:bidi="ar-EG"/>
        </w:rPr>
      </w:pPr>
      <w:r>
        <w:rPr>
          <w:rStyle w:val="FootnoteReference"/>
        </w:rPr>
        <w:footnoteRef/>
      </w:r>
      <w:r>
        <w:rPr>
          <w:rtl/>
        </w:rPr>
        <w:t xml:space="preserve"> </w:t>
      </w:r>
      <w:r>
        <w:rPr>
          <w:rFonts w:hint="cs"/>
          <w:rtl/>
        </w:rPr>
        <w:t xml:space="preserve">انظر اللجنة المعنية بحقوق الإنسان، التعليق العام رقم 23، الفقرة 7 من الوثيقة </w:t>
      </w:r>
      <w:r>
        <w:t>CCPR/C/Rev.1/Add.5</w:t>
      </w:r>
      <w:r>
        <w:rPr>
          <w:rFonts w:hint="cs"/>
          <w:rtl/>
          <w:lang w:bidi="ar-EG"/>
        </w:rPr>
        <w:t>.</w:t>
      </w:r>
    </w:p>
  </w:footnote>
  <w:footnote w:id="5">
    <w:p w14:paraId="520A5E50" w14:textId="58323A33" w:rsidR="00C54149" w:rsidRDefault="00C54149">
      <w:pPr>
        <w:pStyle w:val="FootnoteText"/>
        <w:rPr>
          <w:rtl/>
          <w:lang w:bidi="ar-EG"/>
        </w:rPr>
      </w:pPr>
      <w:r>
        <w:rPr>
          <w:rStyle w:val="FootnoteReference"/>
        </w:rPr>
        <w:footnoteRef/>
      </w:r>
      <w:r>
        <w:rPr>
          <w:rtl/>
        </w:rPr>
        <w:t xml:space="preserve"> </w:t>
      </w:r>
      <w:r>
        <w:rPr>
          <w:rFonts w:hint="cs"/>
          <w:rtl/>
          <w:lang w:bidi="ar-EG"/>
        </w:rPr>
        <w:t xml:space="preserve">انظر </w:t>
      </w:r>
      <w:r w:rsidR="00FB18BE">
        <w:rPr>
          <w:rtl/>
        </w:rPr>
        <w:t>لجنة الحقوق</w:t>
      </w:r>
      <w:r w:rsidRPr="0094026D">
        <w:rPr>
          <w:rtl/>
        </w:rPr>
        <w:t xml:space="preserve"> الاقتصادية والاجتماعية والثقافية</w:t>
      </w:r>
      <w:r>
        <w:rPr>
          <w:rFonts w:hint="cs"/>
          <w:rtl/>
        </w:rPr>
        <w:t xml:space="preserve">، التعليق العام رقم 17، الفقرتان 7 و32 من الوثيقة </w:t>
      </w:r>
      <w:r>
        <w:t>E/C.12/GC/17</w:t>
      </w:r>
      <w:r>
        <w:rPr>
          <w:rFonts w:hint="cs"/>
          <w:rtl/>
          <w:lang w:bidi="ar-EG"/>
        </w:rPr>
        <w:t xml:space="preserve">. وانظر أيضاً </w:t>
      </w:r>
      <w:r w:rsidR="00FB18BE">
        <w:rPr>
          <w:rtl/>
        </w:rPr>
        <w:t>لجنة الحقوق</w:t>
      </w:r>
      <w:r w:rsidRPr="0094026D">
        <w:rPr>
          <w:rtl/>
        </w:rPr>
        <w:t xml:space="preserve"> الاقتصادية والاجتماعية والثقافية</w:t>
      </w:r>
      <w:r>
        <w:rPr>
          <w:rFonts w:hint="cs"/>
          <w:rtl/>
        </w:rPr>
        <w:t xml:space="preserve">، التعليق العام رقم 21، الوثيقة </w:t>
      </w:r>
      <w:r>
        <w:t>E/C./GC/21</w:t>
      </w:r>
      <w:r>
        <w:rPr>
          <w:rFonts w:hint="cs"/>
          <w:rtl/>
          <w:lang w:bidi="ar-EG"/>
        </w:rPr>
        <w:t>.</w:t>
      </w:r>
    </w:p>
  </w:footnote>
  <w:footnote w:id="6">
    <w:p w14:paraId="72D1019F" w14:textId="616A4641" w:rsidR="00D63745" w:rsidRDefault="00D63745" w:rsidP="00647D89">
      <w:pPr>
        <w:pStyle w:val="FootnoteText"/>
        <w:rPr>
          <w:rtl/>
          <w:lang w:bidi="ar-EG"/>
        </w:rPr>
      </w:pPr>
      <w:r>
        <w:rPr>
          <w:rStyle w:val="FootnoteReference"/>
        </w:rPr>
        <w:footnoteRef/>
      </w:r>
      <w:r>
        <w:rPr>
          <w:rtl/>
        </w:rPr>
        <w:t xml:space="preserve"> </w:t>
      </w:r>
      <w:r w:rsidR="00B30310">
        <w:rPr>
          <w:rFonts w:hint="cs"/>
          <w:rtl/>
        </w:rPr>
        <w:t>انظر المادة 26 من إعلان الأمم المتحدة بشأن حقوق الشعوب الأصلية،</w:t>
      </w:r>
      <w:r w:rsidR="00B30310">
        <w:rPr>
          <w:rFonts w:hint="cs"/>
          <w:rtl/>
          <w:lang w:bidi="ar-EG"/>
        </w:rPr>
        <w:t xml:space="preserve"> لجنة القضاء على التمييز العنصري، التوصية العامة رقم 23 والعديد من الملاحظات المحددة للبلدان (مثل الفقرة 17 من </w:t>
      </w:r>
      <w:r w:rsidR="00647D89">
        <w:rPr>
          <w:rFonts w:hint="cs"/>
          <w:rtl/>
          <w:lang w:bidi="ar-EG"/>
        </w:rPr>
        <w:t>الوثيقة</w:t>
      </w:r>
      <w:r w:rsidR="00B30310">
        <w:rPr>
          <w:rFonts w:hint="cs"/>
          <w:rtl/>
          <w:lang w:bidi="ar-EG"/>
        </w:rPr>
        <w:t xml:space="preserve"> </w:t>
      </w:r>
      <w:r w:rsidR="00B30310">
        <w:rPr>
          <w:lang w:bidi="ar-EG"/>
        </w:rPr>
        <w:t>CERD/C/SWE/CO/19-21</w:t>
      </w:r>
      <w:r w:rsidR="00B30310">
        <w:rPr>
          <w:rFonts w:hint="cs"/>
          <w:rtl/>
          <w:lang w:bidi="ar-EG"/>
        </w:rPr>
        <w:t>).</w:t>
      </w:r>
    </w:p>
  </w:footnote>
  <w:footnote w:id="7">
    <w:p w14:paraId="57381371" w14:textId="7D884914" w:rsidR="00D63745" w:rsidRDefault="00D63745" w:rsidP="00795418">
      <w:pPr>
        <w:pStyle w:val="FootnoteText"/>
        <w:rPr>
          <w:lang w:bidi="ar-EG"/>
        </w:rPr>
      </w:pPr>
      <w:r>
        <w:rPr>
          <w:rStyle w:val="FootnoteReference"/>
        </w:rPr>
        <w:footnoteRef/>
      </w:r>
      <w:r>
        <w:rPr>
          <w:rtl/>
        </w:rPr>
        <w:t xml:space="preserve"> </w:t>
      </w:r>
      <w:r w:rsidR="00B30310">
        <w:rPr>
          <w:rFonts w:hint="cs"/>
          <w:rtl/>
        </w:rPr>
        <w:t xml:space="preserve">انظر </w:t>
      </w:r>
      <w:r w:rsidR="00B30310">
        <w:rPr>
          <w:rFonts w:hint="cs"/>
          <w:rtl/>
          <w:lang w:bidi="ar-EG"/>
        </w:rPr>
        <w:t>مثلاً شعب ساراماكا ضد سورينام، ل</w:t>
      </w:r>
      <w:r w:rsidR="00B30310" w:rsidRPr="00B30310">
        <w:rPr>
          <w:rtl/>
          <w:lang w:bidi="ar-EG"/>
        </w:rPr>
        <w:t>جنة</w:t>
      </w:r>
      <w:r w:rsidR="00B30310">
        <w:rPr>
          <w:rtl/>
          <w:lang w:bidi="ar-EG"/>
        </w:rPr>
        <w:t xml:space="preserve"> البلدان الأمريكية لحقوق ال</w:t>
      </w:r>
      <w:r w:rsidR="00B30310">
        <w:rPr>
          <w:rFonts w:hint="cs"/>
          <w:rtl/>
          <w:lang w:bidi="ar-EG"/>
        </w:rPr>
        <w:t xml:space="preserve">إنسان، المجموعة (جيم) رقم 172، الحكم الصادر في 28 نوفمبر 2007؛ مركز تنمية حقوق الأقليات ضد كينيا، البلاغ رقم </w:t>
      </w:r>
      <w:r w:rsidR="004A78B3">
        <w:rPr>
          <w:lang w:bidi="ar-EG"/>
        </w:rPr>
        <w:t>276/2003</w:t>
      </w:r>
      <w:r w:rsidR="004A78B3">
        <w:rPr>
          <w:rFonts w:hint="cs"/>
          <w:rtl/>
          <w:lang w:bidi="ar-EG"/>
        </w:rPr>
        <w:t xml:space="preserve">، </w:t>
      </w:r>
      <w:r w:rsidR="004A78B3">
        <w:rPr>
          <w:rtl/>
          <w:lang w:bidi="ar-EG"/>
        </w:rPr>
        <w:t>اللجنة ال</w:t>
      </w:r>
      <w:r w:rsidR="004A78B3">
        <w:rPr>
          <w:rFonts w:hint="cs"/>
          <w:rtl/>
          <w:lang w:bidi="ar-EG"/>
        </w:rPr>
        <w:t>أ</w:t>
      </w:r>
      <w:r w:rsidR="004A78B3" w:rsidRPr="004A78B3">
        <w:rPr>
          <w:rtl/>
          <w:lang w:bidi="ar-EG"/>
        </w:rPr>
        <w:t xml:space="preserve">فريقية لحقوق </w:t>
      </w:r>
      <w:r w:rsidR="004A78B3">
        <w:rPr>
          <w:rFonts w:hint="cs"/>
          <w:rtl/>
          <w:lang w:bidi="ar-EG"/>
        </w:rPr>
        <w:t>الإنسان</w:t>
      </w:r>
      <w:r w:rsidR="004A78B3" w:rsidRPr="004A78B3">
        <w:rPr>
          <w:rtl/>
          <w:lang w:bidi="ar-EG"/>
        </w:rPr>
        <w:t xml:space="preserve"> وحقوق الشعوب</w:t>
      </w:r>
      <w:r w:rsidR="00F23EA4">
        <w:rPr>
          <w:rFonts w:hint="cs"/>
          <w:rtl/>
          <w:lang w:bidi="ar-EG"/>
        </w:rPr>
        <w:t>، مرفق تقرير الأنشطة السابع والعشرون (يونيو</w:t>
      </w:r>
      <w:r w:rsidR="00795418">
        <w:rPr>
          <w:rFonts w:hint="eastAsia"/>
          <w:rtl/>
          <w:lang w:bidi="ar-EG"/>
        </w:rPr>
        <w:t> </w:t>
      </w:r>
      <w:r w:rsidR="00F23EA4">
        <w:rPr>
          <w:rFonts w:hint="cs"/>
          <w:rtl/>
          <w:lang w:bidi="ar-EG"/>
        </w:rPr>
        <w:t xml:space="preserve">2009 </w:t>
      </w:r>
      <w:r w:rsidR="00795418">
        <w:rPr>
          <w:rtl/>
          <w:lang w:bidi="ar-EG"/>
        </w:rPr>
        <w:noBreakHyphen/>
      </w:r>
      <w:r w:rsidR="00F23EA4">
        <w:rPr>
          <w:rFonts w:hint="cs"/>
          <w:rtl/>
          <w:lang w:bidi="ar-EG"/>
        </w:rPr>
        <w:t xml:space="preserve"> نوفمبر 2009) (قضية شعب الإندوروا).</w:t>
      </w:r>
    </w:p>
  </w:footnote>
  <w:footnote w:id="8">
    <w:p w14:paraId="1D4EB86F" w14:textId="77777777" w:rsidR="00F23EA4" w:rsidRDefault="00F23EA4">
      <w:pPr>
        <w:pStyle w:val="FootnoteText"/>
        <w:rPr>
          <w:lang w:bidi="ar-EG"/>
        </w:rPr>
      </w:pPr>
      <w:r>
        <w:rPr>
          <w:rStyle w:val="FootnoteReference"/>
        </w:rPr>
        <w:footnoteRef/>
      </w:r>
      <w:r>
        <w:rPr>
          <w:rtl/>
        </w:rPr>
        <w:t xml:space="preserve"> </w:t>
      </w:r>
      <w:r w:rsidR="004C7BCC">
        <w:rPr>
          <w:rFonts w:hint="cs"/>
          <w:rtl/>
        </w:rPr>
        <w:t>انظر المادة 1 من العهد الدولي الخاص بالحقوق الاقتصادية والاجتماعية والثقافية؛ والمادة 1 من العهد الدولي الخاص بالحقوق المدنية والسياسية.</w:t>
      </w:r>
    </w:p>
  </w:footnote>
  <w:footnote w:id="9">
    <w:p w14:paraId="700640C1" w14:textId="77777777" w:rsidR="004C7BCC" w:rsidRDefault="004C7BCC">
      <w:pPr>
        <w:pStyle w:val="FootnoteText"/>
        <w:rPr>
          <w:rtl/>
          <w:lang w:bidi="ar-EG"/>
        </w:rPr>
      </w:pPr>
      <w:r>
        <w:rPr>
          <w:rStyle w:val="FootnoteReference"/>
        </w:rPr>
        <w:footnoteRef/>
      </w:r>
      <w:r>
        <w:rPr>
          <w:rtl/>
        </w:rPr>
        <w:t xml:space="preserve"> </w:t>
      </w:r>
      <w:r>
        <w:rPr>
          <w:rFonts w:hint="cs"/>
          <w:rtl/>
        </w:rPr>
        <w:t xml:space="preserve">انظر الفقرة 8 من الوثيقة </w:t>
      </w:r>
      <w:r>
        <w:t>CCPR/C/79/Add.105</w:t>
      </w:r>
      <w:r>
        <w:rPr>
          <w:rFonts w:hint="cs"/>
          <w:rtl/>
          <w:lang w:bidi="ar-EG"/>
        </w:rPr>
        <w:t xml:space="preserve">. وللاطلاع على محتويات مماثلة، انظر الفقرة 17 من الوثيقة </w:t>
      </w:r>
      <w:r>
        <w:rPr>
          <w:lang w:bidi="ar-EG"/>
        </w:rPr>
        <w:t>CCPR/CO/82/FIN</w:t>
      </w:r>
      <w:r>
        <w:rPr>
          <w:rFonts w:hint="cs"/>
          <w:rtl/>
          <w:lang w:bidi="ar-EG"/>
        </w:rPr>
        <w:t xml:space="preserve"> والفقرة 15 من الوثيقة </w:t>
      </w:r>
      <w:r>
        <w:rPr>
          <w:lang w:bidi="ar-EG"/>
        </w:rPr>
        <w:t>CCPR/CO/74/SWE</w:t>
      </w:r>
      <w:r>
        <w:rPr>
          <w:rFonts w:hint="cs"/>
          <w:rtl/>
          <w:lang w:bidi="ar-EG"/>
        </w:rPr>
        <w:t>.</w:t>
      </w:r>
    </w:p>
  </w:footnote>
  <w:footnote w:id="10">
    <w:p w14:paraId="3AEF226D" w14:textId="4516249F" w:rsidR="00E54539" w:rsidRDefault="00E54539">
      <w:pPr>
        <w:pStyle w:val="FootnoteText"/>
        <w:rPr>
          <w:lang w:bidi="ar-EG"/>
        </w:rPr>
      </w:pPr>
      <w:r>
        <w:rPr>
          <w:rStyle w:val="FootnoteReference"/>
        </w:rPr>
        <w:footnoteRef/>
      </w:r>
      <w:r>
        <w:rPr>
          <w:rtl/>
        </w:rPr>
        <w:t xml:space="preserve"> </w:t>
      </w:r>
      <w:r w:rsidR="00647D89">
        <w:rPr>
          <w:rFonts w:hint="cs"/>
          <w:rtl/>
        </w:rPr>
        <w:t xml:space="preserve">انظر </w:t>
      </w:r>
      <w:r>
        <w:rPr>
          <w:rFonts w:hint="cs"/>
          <w:rtl/>
          <w:lang w:bidi="ar-EG"/>
        </w:rPr>
        <w:t>المادة 4 من إعلان الأمم المتحدة بشأن حقوق الشعوب الأصلية.</w:t>
      </w:r>
    </w:p>
  </w:footnote>
  <w:footnote w:id="11">
    <w:p w14:paraId="4383A550" w14:textId="77777777" w:rsidR="00AB1AF1" w:rsidRDefault="00AB1AF1">
      <w:pPr>
        <w:pStyle w:val="FootnoteText"/>
      </w:pPr>
      <w:r>
        <w:rPr>
          <w:rStyle w:val="FootnoteReference"/>
        </w:rPr>
        <w:footnoteRef/>
      </w:r>
      <w:r>
        <w:rPr>
          <w:rtl/>
        </w:rPr>
        <w:t xml:space="preserve"> </w:t>
      </w:r>
      <w:r>
        <w:rPr>
          <w:rFonts w:hint="cs"/>
          <w:rtl/>
        </w:rPr>
        <w:t>انظر المادة 19 من إعلان الأمم المتحدة بشأن حقوق الشعوب الأصلية.</w:t>
      </w:r>
    </w:p>
  </w:footnote>
  <w:footnote w:id="12">
    <w:p w14:paraId="2C69CD86" w14:textId="716147C5" w:rsidR="00AB1AF1" w:rsidRDefault="00AB1AF1" w:rsidP="00647D89">
      <w:pPr>
        <w:pStyle w:val="FootnoteText"/>
        <w:rPr>
          <w:lang w:bidi="ar-EG"/>
        </w:rPr>
      </w:pPr>
      <w:r>
        <w:rPr>
          <w:rStyle w:val="FootnoteReference"/>
        </w:rPr>
        <w:footnoteRef/>
      </w:r>
      <w:r>
        <w:rPr>
          <w:rtl/>
        </w:rPr>
        <w:t xml:space="preserve"> </w:t>
      </w:r>
      <w:r>
        <w:rPr>
          <w:rFonts w:hint="cs"/>
          <w:rtl/>
        </w:rPr>
        <w:t>ا</w:t>
      </w:r>
      <w:r w:rsidR="00FD5DE8">
        <w:rPr>
          <w:rFonts w:hint="cs"/>
          <w:rtl/>
        </w:rPr>
        <w:t xml:space="preserve">نظر مثلاً التوصية العامة رقم 23، والمرجع السابق، </w:t>
      </w:r>
      <w:r>
        <w:rPr>
          <w:rFonts w:hint="cs"/>
          <w:rtl/>
        </w:rPr>
        <w:t>والفقرة 17 من الوث</w:t>
      </w:r>
      <w:r w:rsidR="00647D89">
        <w:rPr>
          <w:rFonts w:hint="cs"/>
          <w:rtl/>
        </w:rPr>
        <w:t>يقة</w:t>
      </w:r>
      <w:r>
        <w:rPr>
          <w:rFonts w:hint="cs"/>
          <w:rtl/>
        </w:rPr>
        <w:t xml:space="preserve"> </w:t>
      </w:r>
      <w:r>
        <w:t>CERD/C/SWE/CO/19-21</w:t>
      </w:r>
      <w:r>
        <w:rPr>
          <w:rFonts w:hint="cs"/>
          <w:rtl/>
        </w:rPr>
        <w:t>.</w:t>
      </w:r>
    </w:p>
  </w:footnote>
  <w:footnote w:id="13">
    <w:p w14:paraId="71FE50E3" w14:textId="16E9B32B" w:rsidR="00AB1AF1" w:rsidRDefault="00AB1AF1" w:rsidP="009F012E">
      <w:pPr>
        <w:pStyle w:val="FootnoteText"/>
      </w:pPr>
      <w:r>
        <w:rPr>
          <w:rStyle w:val="FootnoteReference"/>
        </w:rPr>
        <w:footnoteRef/>
      </w:r>
      <w:r>
        <w:rPr>
          <w:rtl/>
        </w:rPr>
        <w:t xml:space="preserve"> </w:t>
      </w:r>
      <w:r>
        <w:rPr>
          <w:rFonts w:hint="cs"/>
          <w:rtl/>
        </w:rPr>
        <w:t xml:space="preserve">انظر </w:t>
      </w:r>
      <w:r w:rsidR="00FB18BE">
        <w:rPr>
          <w:rFonts w:hint="cs"/>
          <w:rtl/>
        </w:rPr>
        <w:t>لجنة الحقوق</w:t>
      </w:r>
      <w:r>
        <w:rPr>
          <w:rFonts w:hint="cs"/>
          <w:rtl/>
        </w:rPr>
        <w:t xml:space="preserve"> الاقتصادية والاجتماعية والثقافية، الفقرة 32 من التعليق العام رقم 17.</w:t>
      </w:r>
    </w:p>
  </w:footnote>
  <w:footnote w:id="14">
    <w:p w14:paraId="4472120B" w14:textId="77777777" w:rsidR="00AB1AF1" w:rsidRDefault="00AB1AF1" w:rsidP="009F012E">
      <w:pPr>
        <w:pStyle w:val="FootnoteText"/>
      </w:pPr>
      <w:r>
        <w:rPr>
          <w:rStyle w:val="FootnoteReference"/>
        </w:rPr>
        <w:footnoteRef/>
      </w:r>
      <w:r>
        <w:rPr>
          <w:rtl/>
        </w:rPr>
        <w:t xml:space="preserve"> </w:t>
      </w:r>
      <w:r>
        <w:rPr>
          <w:rFonts w:hint="cs"/>
          <w:rtl/>
        </w:rPr>
        <w:t xml:space="preserve">أولى المؤلف، بصفته المقرر الخاص المعني بحقوق الشعوب الأصلية والتابع للجنة الأمم المتحدة المعنية بحقوق الإنسان، اهتماماً بالغاً للنظر في هذا المبدأ. انظر مثلاً الفقرات من 36 إلى 57 من الوثيقة </w:t>
      </w:r>
      <w:r>
        <w:t>A/HRC/12/34</w:t>
      </w:r>
      <w:r>
        <w:rPr>
          <w:rFonts w:hint="cs"/>
          <w:rtl/>
          <w:lang w:bidi="ar-EG"/>
        </w:rPr>
        <w:t xml:space="preserve">، والفقرات 47 إلى 53 و62 إلى 71 من الوثيقة </w:t>
      </w:r>
      <w:r>
        <w:rPr>
          <w:lang w:bidi="ar-EG"/>
        </w:rPr>
        <w:t>A/HRC/21/47</w:t>
      </w:r>
      <w:r>
        <w:rPr>
          <w:rFonts w:hint="cs"/>
          <w:rtl/>
          <w:lang w:bidi="ar-EG"/>
        </w:rPr>
        <w:t>.</w:t>
      </w:r>
    </w:p>
  </w:footnote>
  <w:footnote w:id="15">
    <w:p w14:paraId="4F01313E" w14:textId="3C0B545E" w:rsidR="00174FA9" w:rsidRDefault="00174FA9">
      <w:pPr>
        <w:pStyle w:val="FootnoteText"/>
      </w:pPr>
      <w:r>
        <w:rPr>
          <w:rStyle w:val="FootnoteReference"/>
        </w:rPr>
        <w:footnoteRef/>
      </w:r>
      <w:r>
        <w:rPr>
          <w:rFonts w:hint="cs"/>
          <w:rtl/>
        </w:rPr>
        <w:t xml:space="preserve"> </w:t>
      </w:r>
      <w:r w:rsidR="00647D89">
        <w:rPr>
          <w:rFonts w:hint="cs"/>
          <w:rtl/>
        </w:rPr>
        <w:t xml:space="preserve">انظر </w:t>
      </w:r>
      <w:r w:rsidR="00FB18BE">
        <w:rPr>
          <w:rFonts w:hint="cs"/>
          <w:rtl/>
        </w:rPr>
        <w:t>لجنة الحقوق</w:t>
      </w:r>
      <w:r>
        <w:rPr>
          <w:rFonts w:hint="cs"/>
          <w:rtl/>
        </w:rPr>
        <w:t xml:space="preserve"> الاقتصادية والاجتماعية والثقافية، الفقرة 2 من التعليق العام رقم 17.</w:t>
      </w:r>
    </w:p>
  </w:footnote>
  <w:footnote w:id="16">
    <w:p w14:paraId="7BCAF8A1" w14:textId="77777777" w:rsidR="00174FA9" w:rsidRDefault="00174FA9">
      <w:pPr>
        <w:pStyle w:val="FootnoteText"/>
      </w:pPr>
      <w:r>
        <w:rPr>
          <w:rStyle w:val="FootnoteReference"/>
        </w:rPr>
        <w:footnoteRef/>
      </w:r>
      <w:r>
        <w:rPr>
          <w:rtl/>
        </w:rPr>
        <w:t xml:space="preserve"> </w:t>
      </w:r>
      <w:r>
        <w:rPr>
          <w:rFonts w:hint="cs"/>
          <w:rtl/>
        </w:rPr>
        <w:t>انظر جيمس أنايا، الشعوب الأصلية في القانون الدولي (دار جامعة أكسفورد للنشر، الطبعة الثانية، 2004).</w:t>
      </w:r>
    </w:p>
  </w:footnote>
  <w:footnote w:id="17">
    <w:p w14:paraId="652DAE00" w14:textId="19B0611C" w:rsidR="003B65F8" w:rsidRDefault="003B65F8" w:rsidP="003B65F8">
      <w:pPr>
        <w:pStyle w:val="FootnoteText"/>
        <w:rPr>
          <w:lang w:bidi="ar-EG"/>
        </w:rPr>
      </w:pPr>
      <w:r>
        <w:rPr>
          <w:rStyle w:val="FootnoteReference"/>
        </w:rPr>
        <w:footnoteRef/>
      </w:r>
      <w:r>
        <w:rPr>
          <w:rtl/>
        </w:rPr>
        <w:t xml:space="preserve"> </w:t>
      </w:r>
      <w:r>
        <w:rPr>
          <w:rFonts w:hint="cs"/>
          <w:rtl/>
          <w:lang w:bidi="ar-EG"/>
        </w:rPr>
        <w:t xml:space="preserve">ارجع إلى ملاحظة </w:t>
      </w:r>
      <w:r w:rsidR="00FB18BE">
        <w:rPr>
          <w:rFonts w:hint="cs"/>
          <w:rtl/>
          <w:lang w:bidi="ar-EG"/>
        </w:rPr>
        <w:t>لجنة الحقوق</w:t>
      </w:r>
      <w:r>
        <w:rPr>
          <w:rFonts w:hint="cs"/>
          <w:rtl/>
          <w:lang w:bidi="ar-EG"/>
        </w:rPr>
        <w:t xml:space="preserve"> الاقتصادية والاجتماعية والثقافية الواردة أعلاه والتي أفادت بأنه في حين أن نظم الملكية الفكرية </w:t>
      </w:r>
      <w:r w:rsidRPr="00DF33FB">
        <w:rPr>
          <w:rtl/>
          <w:lang w:bidi="ar-EG"/>
        </w:rPr>
        <w:t>محدودة في الزمن</w:t>
      </w:r>
      <w:r>
        <w:rPr>
          <w:rFonts w:hint="cs"/>
          <w:rtl/>
          <w:lang w:bidi="ar-EG"/>
        </w:rPr>
        <w:t xml:space="preserve">، </w:t>
      </w:r>
      <w:r w:rsidRPr="00DF33FB">
        <w:rPr>
          <w:rtl/>
          <w:lang w:bidi="ar-EG"/>
        </w:rPr>
        <w:t xml:space="preserve">تعد حقوق الإنسان </w:t>
      </w:r>
      <w:r>
        <w:rPr>
          <w:rFonts w:hint="cs"/>
          <w:rtl/>
          <w:lang w:bidi="ar-EG"/>
        </w:rPr>
        <w:t>"</w:t>
      </w:r>
      <w:r w:rsidRPr="00DF33FB">
        <w:rPr>
          <w:rtl/>
          <w:lang w:bidi="ar-EG"/>
        </w:rPr>
        <w:t>تعبيراً غير محكوم بالزمن</w:t>
      </w:r>
      <w:r>
        <w:rPr>
          <w:rFonts w:hint="cs"/>
          <w:rtl/>
          <w:lang w:bidi="ar-EG"/>
        </w:rPr>
        <w:t xml:space="preserve">"؛ وهي نقطة شددت عليها أيضاً </w:t>
      </w:r>
      <w:r w:rsidRPr="003B65F8">
        <w:rPr>
          <w:rtl/>
          <w:lang w:bidi="ar-EG"/>
        </w:rPr>
        <w:t>حلقة عمل خبراء الشعوب الأصلية بشأن الملكية الفكرية والموارد الوراثية والمعارف التقليدية وأشكال التعبير الثقافي التقليدي</w:t>
      </w:r>
      <w:r>
        <w:rPr>
          <w:rFonts w:hint="cs"/>
          <w:rtl/>
          <w:lang w:bidi="ar-EG"/>
        </w:rPr>
        <w:t xml:space="preserve">. وانظر الملاحظة بشأن مدة الحماية </w:t>
      </w:r>
      <w:r w:rsidR="00647D89">
        <w:rPr>
          <w:rFonts w:hint="cs"/>
          <w:rtl/>
          <w:lang w:bidi="ar-EG"/>
        </w:rPr>
        <w:t xml:space="preserve">الواردة </w:t>
      </w:r>
      <w:r>
        <w:rPr>
          <w:rFonts w:hint="cs"/>
          <w:rtl/>
          <w:lang w:bidi="ar-EG"/>
        </w:rPr>
        <w:t xml:space="preserve">في التقرير </w:t>
      </w:r>
      <w:r>
        <w:rPr>
          <w:lang w:bidi="ar-EG"/>
        </w:rPr>
        <w:t>WIPO/GRTKF/IC/25/INF/9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B9DC9" w14:textId="0A8BDC8F" w:rsidR="002F77FC" w:rsidRPr="00280A63" w:rsidRDefault="00772E46" w:rsidP="004135CC">
    <w:pPr>
      <w:rPr>
        <w:szCs w:val="22"/>
        <w:lang w:bidi="ar-EG"/>
      </w:rPr>
    </w:pPr>
    <w:r w:rsidRPr="00280A63">
      <w:rPr>
        <w:szCs w:val="22"/>
      </w:rPr>
      <w:t>WIPO/GRTKF/IC</w:t>
    </w:r>
    <w:r w:rsidR="002F77FC" w:rsidRPr="00280A63">
      <w:rPr>
        <w:szCs w:val="22"/>
      </w:rPr>
      <w:t>/</w:t>
    </w:r>
    <w:r w:rsidR="004135CC" w:rsidRPr="00280A63">
      <w:rPr>
        <w:rFonts w:hint="cs"/>
        <w:szCs w:val="22"/>
        <w:rtl/>
      </w:rPr>
      <w:t>30</w:t>
    </w:r>
    <w:r w:rsidR="00D0339A" w:rsidRPr="00280A63">
      <w:rPr>
        <w:szCs w:val="22"/>
      </w:rPr>
      <w:t>/</w:t>
    </w:r>
    <w:r w:rsidR="00D0339A" w:rsidRPr="00280A63">
      <w:rPr>
        <w:szCs w:val="22"/>
        <w:lang w:bidi="ar-EG"/>
      </w:rPr>
      <w:t>INF/10</w:t>
    </w:r>
  </w:p>
  <w:p w14:paraId="37A0E1CA" w14:textId="77777777" w:rsidR="002F77FC" w:rsidRDefault="002F77FC" w:rsidP="00D61541">
    <w:r>
      <w:fldChar w:fldCharType="begin"/>
    </w:r>
    <w:r>
      <w:instrText xml:space="preserve"> PAGE  \* MERGEFORMAT </w:instrText>
    </w:r>
    <w:r>
      <w:fldChar w:fldCharType="separate"/>
    </w:r>
    <w:r w:rsidR="00EB1E98">
      <w:rPr>
        <w:noProof/>
      </w:rPr>
      <w:t>2</w:t>
    </w:r>
    <w:r>
      <w:fldChar w:fldCharType="end"/>
    </w:r>
  </w:p>
  <w:p w14:paraId="3202DDF2" w14:textId="77777777"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C255" w14:textId="3284760D" w:rsidR="00933A29" w:rsidRPr="00280A63" w:rsidRDefault="00933A29" w:rsidP="004135CC">
    <w:pPr>
      <w:rPr>
        <w:szCs w:val="22"/>
        <w:lang w:bidi="ar-EG"/>
      </w:rPr>
    </w:pPr>
    <w:r w:rsidRPr="00280A63">
      <w:rPr>
        <w:szCs w:val="22"/>
      </w:rPr>
      <w:t>WIPO/GRTKF/IC/</w:t>
    </w:r>
    <w:r w:rsidR="004135CC" w:rsidRPr="00280A63">
      <w:rPr>
        <w:rFonts w:hint="cs"/>
        <w:szCs w:val="22"/>
        <w:rtl/>
      </w:rPr>
      <w:t>30</w:t>
    </w:r>
    <w:r w:rsidRPr="00280A63">
      <w:rPr>
        <w:szCs w:val="22"/>
      </w:rPr>
      <w:t>/</w:t>
    </w:r>
    <w:r w:rsidRPr="00280A63">
      <w:rPr>
        <w:szCs w:val="22"/>
        <w:lang w:bidi="ar-EG"/>
      </w:rPr>
      <w:t>INF/10</w:t>
    </w:r>
  </w:p>
  <w:p w14:paraId="6EC77199" w14:textId="745DFD54" w:rsidR="00933A29" w:rsidRDefault="00933A29" w:rsidP="00D0339A">
    <w:pPr>
      <w:rPr>
        <w:lang w:bidi="ar-EG"/>
      </w:rPr>
    </w:pPr>
    <w:r>
      <w:rPr>
        <w:lang w:bidi="ar-EG"/>
      </w:rPr>
      <w:t>Annex</w:t>
    </w:r>
  </w:p>
  <w:p w14:paraId="080D0435" w14:textId="77777777" w:rsidR="00933A29" w:rsidRDefault="00933A29" w:rsidP="00D61541">
    <w:r>
      <w:fldChar w:fldCharType="begin"/>
    </w:r>
    <w:r>
      <w:instrText xml:space="preserve"> PAGE  \* MERGEFORMAT </w:instrText>
    </w:r>
    <w:r>
      <w:fldChar w:fldCharType="separate"/>
    </w:r>
    <w:r w:rsidR="00EB1E98">
      <w:rPr>
        <w:noProof/>
      </w:rPr>
      <w:t>6</w:t>
    </w:r>
    <w:r>
      <w:fldChar w:fldCharType="end"/>
    </w:r>
  </w:p>
  <w:p w14:paraId="76672A1C" w14:textId="77777777" w:rsidR="00933A29" w:rsidRDefault="00933A2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5C75" w14:textId="76BCAECD" w:rsidR="0019721A" w:rsidRPr="00280A63" w:rsidRDefault="0019721A" w:rsidP="004135CC">
    <w:pPr>
      <w:rPr>
        <w:szCs w:val="22"/>
      </w:rPr>
    </w:pPr>
    <w:r w:rsidRPr="00280A63">
      <w:rPr>
        <w:szCs w:val="22"/>
      </w:rPr>
      <w:t>WIPO/GRTKF/IC/</w:t>
    </w:r>
    <w:r w:rsidR="004135CC" w:rsidRPr="00280A63">
      <w:rPr>
        <w:rFonts w:hint="cs"/>
        <w:szCs w:val="22"/>
        <w:rtl/>
      </w:rPr>
      <w:t>30</w:t>
    </w:r>
    <w:r w:rsidRPr="00280A63">
      <w:rPr>
        <w:szCs w:val="22"/>
      </w:rPr>
      <w:t>/</w:t>
    </w:r>
    <w:r w:rsidRPr="00280A63">
      <w:rPr>
        <w:szCs w:val="22"/>
        <w:lang w:bidi="ar-EG"/>
      </w:rPr>
      <w:t>INF/10</w:t>
    </w:r>
  </w:p>
  <w:p w14:paraId="2F3CD803" w14:textId="77777777" w:rsidR="0019721A" w:rsidRDefault="0019721A" w:rsidP="001206DB">
    <w:pPr>
      <w:pStyle w:val="Header"/>
      <w:rPr>
        <w:lang w:bidi="ar-EG"/>
      </w:rPr>
    </w:pPr>
    <w:r>
      <w:rPr>
        <w:lang w:bidi="ar-EG"/>
      </w:rPr>
      <w:t>ANNEX</w:t>
    </w:r>
  </w:p>
  <w:p w14:paraId="4C37A6F5" w14:textId="77777777" w:rsidR="0019721A" w:rsidRPr="004B12BB" w:rsidRDefault="0019721A" w:rsidP="001206DB">
    <w:pPr>
      <w:pStyle w:val="Header"/>
      <w:rPr>
        <w:rFonts w:ascii="Arabic Typesetting" w:hAnsi="Arabic Typesetting" w:cs="Arabic Typesetting"/>
        <w:sz w:val="36"/>
        <w:szCs w:val="36"/>
        <w:rtl/>
        <w:lang w:bidi="ar-EG"/>
      </w:rPr>
    </w:pPr>
    <w:r w:rsidRPr="004B12BB">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48046E"/>
    <w:multiLevelType w:val="hybridMultilevel"/>
    <w:tmpl w:val="5C3C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num>
  <w:num w:numId="24">
    <w:abstractNumId w:val="14"/>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9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983"/>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76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6DB"/>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920"/>
    <w:rsid w:val="00166A09"/>
    <w:rsid w:val="00167809"/>
    <w:rsid w:val="00167F30"/>
    <w:rsid w:val="00171844"/>
    <w:rsid w:val="0017385A"/>
    <w:rsid w:val="00174FA9"/>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259"/>
    <w:rsid w:val="00191E75"/>
    <w:rsid w:val="00192022"/>
    <w:rsid w:val="0019301D"/>
    <w:rsid w:val="0019454F"/>
    <w:rsid w:val="00194719"/>
    <w:rsid w:val="00194774"/>
    <w:rsid w:val="00195CE0"/>
    <w:rsid w:val="0019721A"/>
    <w:rsid w:val="00197DFC"/>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4B2"/>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E1F"/>
    <w:rsid w:val="00220227"/>
    <w:rsid w:val="0022176B"/>
    <w:rsid w:val="00222760"/>
    <w:rsid w:val="00222782"/>
    <w:rsid w:val="0022360A"/>
    <w:rsid w:val="0022609C"/>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E79"/>
    <w:rsid w:val="002806F8"/>
    <w:rsid w:val="00280A63"/>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02A"/>
    <w:rsid w:val="002F77FC"/>
    <w:rsid w:val="003004A6"/>
    <w:rsid w:val="0030129C"/>
    <w:rsid w:val="003013E2"/>
    <w:rsid w:val="00301FE4"/>
    <w:rsid w:val="00303E3A"/>
    <w:rsid w:val="00305417"/>
    <w:rsid w:val="00306127"/>
    <w:rsid w:val="0030641B"/>
    <w:rsid w:val="003067C8"/>
    <w:rsid w:val="00306FDE"/>
    <w:rsid w:val="00311453"/>
    <w:rsid w:val="003114C9"/>
    <w:rsid w:val="0031229D"/>
    <w:rsid w:val="0031424F"/>
    <w:rsid w:val="00314E12"/>
    <w:rsid w:val="003166A5"/>
    <w:rsid w:val="00316C8C"/>
    <w:rsid w:val="003174C2"/>
    <w:rsid w:val="00317C52"/>
    <w:rsid w:val="00317CE4"/>
    <w:rsid w:val="00320BA8"/>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304"/>
    <w:rsid w:val="00370504"/>
    <w:rsid w:val="00371814"/>
    <w:rsid w:val="00372BAE"/>
    <w:rsid w:val="00372EE9"/>
    <w:rsid w:val="00373F07"/>
    <w:rsid w:val="00374A60"/>
    <w:rsid w:val="00375181"/>
    <w:rsid w:val="0037641B"/>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3F"/>
    <w:rsid w:val="003A7E9A"/>
    <w:rsid w:val="003B15FE"/>
    <w:rsid w:val="003B1C41"/>
    <w:rsid w:val="003B46AD"/>
    <w:rsid w:val="003B5C96"/>
    <w:rsid w:val="003B65F8"/>
    <w:rsid w:val="003B65FB"/>
    <w:rsid w:val="003B6A26"/>
    <w:rsid w:val="003C218D"/>
    <w:rsid w:val="003C27B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5CC"/>
    <w:rsid w:val="00413BA5"/>
    <w:rsid w:val="00414FD0"/>
    <w:rsid w:val="00417E93"/>
    <w:rsid w:val="00422A2A"/>
    <w:rsid w:val="00422F68"/>
    <w:rsid w:val="00424BB4"/>
    <w:rsid w:val="004258CD"/>
    <w:rsid w:val="004261D2"/>
    <w:rsid w:val="00426420"/>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480"/>
    <w:rsid w:val="004935D6"/>
    <w:rsid w:val="00494195"/>
    <w:rsid w:val="004945B0"/>
    <w:rsid w:val="004945FB"/>
    <w:rsid w:val="00497356"/>
    <w:rsid w:val="004A076F"/>
    <w:rsid w:val="004A1DC1"/>
    <w:rsid w:val="004A31A2"/>
    <w:rsid w:val="004A48A7"/>
    <w:rsid w:val="004A655D"/>
    <w:rsid w:val="004A78B3"/>
    <w:rsid w:val="004B01B1"/>
    <w:rsid w:val="004B08D1"/>
    <w:rsid w:val="004B10E6"/>
    <w:rsid w:val="004B12BB"/>
    <w:rsid w:val="004B198F"/>
    <w:rsid w:val="004B46D0"/>
    <w:rsid w:val="004B57B0"/>
    <w:rsid w:val="004B60CE"/>
    <w:rsid w:val="004B61C9"/>
    <w:rsid w:val="004C0B26"/>
    <w:rsid w:val="004C12FE"/>
    <w:rsid w:val="004C1D57"/>
    <w:rsid w:val="004C2F7C"/>
    <w:rsid w:val="004C34F8"/>
    <w:rsid w:val="004C375F"/>
    <w:rsid w:val="004C482F"/>
    <w:rsid w:val="004C49C9"/>
    <w:rsid w:val="004C4F8E"/>
    <w:rsid w:val="004C627F"/>
    <w:rsid w:val="004C76C1"/>
    <w:rsid w:val="004C7BCC"/>
    <w:rsid w:val="004C7DDE"/>
    <w:rsid w:val="004D0D1A"/>
    <w:rsid w:val="004D169F"/>
    <w:rsid w:val="004D18CF"/>
    <w:rsid w:val="004D30CE"/>
    <w:rsid w:val="004D4071"/>
    <w:rsid w:val="004D40F9"/>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30E"/>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631"/>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462"/>
    <w:rsid w:val="0055764D"/>
    <w:rsid w:val="00560C6A"/>
    <w:rsid w:val="00560F85"/>
    <w:rsid w:val="005610A0"/>
    <w:rsid w:val="0056248F"/>
    <w:rsid w:val="00564985"/>
    <w:rsid w:val="00565159"/>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CB6"/>
    <w:rsid w:val="00592D5D"/>
    <w:rsid w:val="00593B8A"/>
    <w:rsid w:val="005955C0"/>
    <w:rsid w:val="00595B68"/>
    <w:rsid w:val="00595EAA"/>
    <w:rsid w:val="0059672B"/>
    <w:rsid w:val="005A0C60"/>
    <w:rsid w:val="005A255F"/>
    <w:rsid w:val="005A330E"/>
    <w:rsid w:val="005A344B"/>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64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82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9C"/>
    <w:rsid w:val="00646DF5"/>
    <w:rsid w:val="00647D89"/>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8DC"/>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DF6"/>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01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18"/>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877"/>
    <w:rsid w:val="00801329"/>
    <w:rsid w:val="00801424"/>
    <w:rsid w:val="00801AA4"/>
    <w:rsid w:val="00801B7E"/>
    <w:rsid w:val="008021B9"/>
    <w:rsid w:val="00806E68"/>
    <w:rsid w:val="00807FC3"/>
    <w:rsid w:val="00810034"/>
    <w:rsid w:val="008114CF"/>
    <w:rsid w:val="008117CC"/>
    <w:rsid w:val="00811AB3"/>
    <w:rsid w:val="0081357B"/>
    <w:rsid w:val="0081421D"/>
    <w:rsid w:val="00814ADB"/>
    <w:rsid w:val="00815B0A"/>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0B3"/>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B35"/>
    <w:rsid w:val="00912257"/>
    <w:rsid w:val="00913495"/>
    <w:rsid w:val="00913874"/>
    <w:rsid w:val="00915E85"/>
    <w:rsid w:val="009163CC"/>
    <w:rsid w:val="0091674C"/>
    <w:rsid w:val="00916862"/>
    <w:rsid w:val="00916B2A"/>
    <w:rsid w:val="00916D96"/>
    <w:rsid w:val="009174F7"/>
    <w:rsid w:val="00917E76"/>
    <w:rsid w:val="00920167"/>
    <w:rsid w:val="00921BB8"/>
    <w:rsid w:val="00921D28"/>
    <w:rsid w:val="00921F8B"/>
    <w:rsid w:val="00922034"/>
    <w:rsid w:val="0092266C"/>
    <w:rsid w:val="009241E8"/>
    <w:rsid w:val="00925956"/>
    <w:rsid w:val="00925DD2"/>
    <w:rsid w:val="00926344"/>
    <w:rsid w:val="00926929"/>
    <w:rsid w:val="00927301"/>
    <w:rsid w:val="00927E9D"/>
    <w:rsid w:val="00931859"/>
    <w:rsid w:val="0093205C"/>
    <w:rsid w:val="00933A29"/>
    <w:rsid w:val="009343F5"/>
    <w:rsid w:val="0093456A"/>
    <w:rsid w:val="009345AE"/>
    <w:rsid w:val="00935301"/>
    <w:rsid w:val="00936F64"/>
    <w:rsid w:val="00937B8E"/>
    <w:rsid w:val="0094026D"/>
    <w:rsid w:val="00940C5B"/>
    <w:rsid w:val="009411F7"/>
    <w:rsid w:val="009417F1"/>
    <w:rsid w:val="00941A84"/>
    <w:rsid w:val="0094204A"/>
    <w:rsid w:val="009443ED"/>
    <w:rsid w:val="00945CC1"/>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2D57"/>
    <w:rsid w:val="009A344A"/>
    <w:rsid w:val="009A41C7"/>
    <w:rsid w:val="009A4F5A"/>
    <w:rsid w:val="009A5C82"/>
    <w:rsid w:val="009B010D"/>
    <w:rsid w:val="009B08C1"/>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12E"/>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0E87"/>
    <w:rsid w:val="00A51DF1"/>
    <w:rsid w:val="00A52AFB"/>
    <w:rsid w:val="00A53967"/>
    <w:rsid w:val="00A5455C"/>
    <w:rsid w:val="00A545EC"/>
    <w:rsid w:val="00A54C5F"/>
    <w:rsid w:val="00A54D3B"/>
    <w:rsid w:val="00A5578A"/>
    <w:rsid w:val="00A570E8"/>
    <w:rsid w:val="00A61365"/>
    <w:rsid w:val="00A61759"/>
    <w:rsid w:val="00A61B88"/>
    <w:rsid w:val="00A62C70"/>
    <w:rsid w:val="00A63982"/>
    <w:rsid w:val="00A65845"/>
    <w:rsid w:val="00A65A41"/>
    <w:rsid w:val="00A666AA"/>
    <w:rsid w:val="00A671FC"/>
    <w:rsid w:val="00A70B9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3C8A"/>
    <w:rsid w:val="00AA47B8"/>
    <w:rsid w:val="00AA550A"/>
    <w:rsid w:val="00AA5EBD"/>
    <w:rsid w:val="00AA628B"/>
    <w:rsid w:val="00AA6DE4"/>
    <w:rsid w:val="00AA7408"/>
    <w:rsid w:val="00AA7D1F"/>
    <w:rsid w:val="00AB02C6"/>
    <w:rsid w:val="00AB1AF1"/>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310"/>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7C6"/>
    <w:rsid w:val="00B73BB7"/>
    <w:rsid w:val="00B751C3"/>
    <w:rsid w:val="00B76C0D"/>
    <w:rsid w:val="00B77D0D"/>
    <w:rsid w:val="00B80817"/>
    <w:rsid w:val="00B827E6"/>
    <w:rsid w:val="00B82A28"/>
    <w:rsid w:val="00B82B8D"/>
    <w:rsid w:val="00B82C97"/>
    <w:rsid w:val="00B8346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5AC"/>
    <w:rsid w:val="00C44DDC"/>
    <w:rsid w:val="00C47177"/>
    <w:rsid w:val="00C5128B"/>
    <w:rsid w:val="00C51423"/>
    <w:rsid w:val="00C5294D"/>
    <w:rsid w:val="00C52F83"/>
    <w:rsid w:val="00C54149"/>
    <w:rsid w:val="00C54C1B"/>
    <w:rsid w:val="00C54DBA"/>
    <w:rsid w:val="00C57ED3"/>
    <w:rsid w:val="00C61640"/>
    <w:rsid w:val="00C61AA7"/>
    <w:rsid w:val="00C61B8E"/>
    <w:rsid w:val="00C668DE"/>
    <w:rsid w:val="00C7044F"/>
    <w:rsid w:val="00C720F8"/>
    <w:rsid w:val="00C7294B"/>
    <w:rsid w:val="00C75139"/>
    <w:rsid w:val="00C7525C"/>
    <w:rsid w:val="00C76CF7"/>
    <w:rsid w:val="00C77B1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39A"/>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15E"/>
    <w:rsid w:val="00D21D89"/>
    <w:rsid w:val="00D22522"/>
    <w:rsid w:val="00D22657"/>
    <w:rsid w:val="00D228DF"/>
    <w:rsid w:val="00D23557"/>
    <w:rsid w:val="00D2427F"/>
    <w:rsid w:val="00D24BB7"/>
    <w:rsid w:val="00D2506D"/>
    <w:rsid w:val="00D263AE"/>
    <w:rsid w:val="00D27855"/>
    <w:rsid w:val="00D27E5A"/>
    <w:rsid w:val="00D31021"/>
    <w:rsid w:val="00D329B9"/>
    <w:rsid w:val="00D331EB"/>
    <w:rsid w:val="00D33412"/>
    <w:rsid w:val="00D3482C"/>
    <w:rsid w:val="00D3664C"/>
    <w:rsid w:val="00D3683A"/>
    <w:rsid w:val="00D379C5"/>
    <w:rsid w:val="00D37C36"/>
    <w:rsid w:val="00D40559"/>
    <w:rsid w:val="00D405B8"/>
    <w:rsid w:val="00D41493"/>
    <w:rsid w:val="00D4198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745"/>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1B8"/>
    <w:rsid w:val="00DD7960"/>
    <w:rsid w:val="00DD7B0D"/>
    <w:rsid w:val="00DE1F29"/>
    <w:rsid w:val="00DE3FEB"/>
    <w:rsid w:val="00DE4905"/>
    <w:rsid w:val="00DE510C"/>
    <w:rsid w:val="00DE7822"/>
    <w:rsid w:val="00DF081A"/>
    <w:rsid w:val="00DF2127"/>
    <w:rsid w:val="00DF265D"/>
    <w:rsid w:val="00DF2EB0"/>
    <w:rsid w:val="00DF31C1"/>
    <w:rsid w:val="00DF33FB"/>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539"/>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17"/>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1E98"/>
    <w:rsid w:val="00EB2857"/>
    <w:rsid w:val="00EB30B7"/>
    <w:rsid w:val="00EB3F8A"/>
    <w:rsid w:val="00EB416F"/>
    <w:rsid w:val="00EB43B9"/>
    <w:rsid w:val="00EB4482"/>
    <w:rsid w:val="00EB4C01"/>
    <w:rsid w:val="00EB4D59"/>
    <w:rsid w:val="00EB4E58"/>
    <w:rsid w:val="00EB573D"/>
    <w:rsid w:val="00EB583A"/>
    <w:rsid w:val="00EB7752"/>
    <w:rsid w:val="00EC02F3"/>
    <w:rsid w:val="00EC0725"/>
    <w:rsid w:val="00EC0889"/>
    <w:rsid w:val="00EC0C13"/>
    <w:rsid w:val="00EC148C"/>
    <w:rsid w:val="00EC224E"/>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3EA4"/>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6D8"/>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8BE"/>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DE8"/>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B6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2F702A"/>
    <w:rPr>
      <w:sz w:val="16"/>
      <w:szCs w:val="16"/>
    </w:rPr>
  </w:style>
  <w:style w:type="paragraph" w:styleId="CommentSubject">
    <w:name w:val="annotation subject"/>
    <w:basedOn w:val="CommentText"/>
    <w:next w:val="CommentText"/>
    <w:link w:val="CommentSubjectChar"/>
    <w:semiHidden/>
    <w:unhideWhenUsed/>
    <w:rsid w:val="002F702A"/>
    <w:rPr>
      <w:b/>
      <w:bCs/>
      <w:sz w:val="20"/>
    </w:rPr>
  </w:style>
  <w:style w:type="character" w:customStyle="1" w:styleId="CommentTextChar">
    <w:name w:val="Comment Text Char"/>
    <w:basedOn w:val="DefaultParagraphFont"/>
    <w:link w:val="CommentText"/>
    <w:semiHidden/>
    <w:rsid w:val="002F702A"/>
    <w:rPr>
      <w:rFonts w:ascii="Arial" w:hAnsi="Arial" w:cs="Arial"/>
      <w:sz w:val="18"/>
    </w:rPr>
  </w:style>
  <w:style w:type="character" w:customStyle="1" w:styleId="CommentSubjectChar">
    <w:name w:val="Comment Subject Char"/>
    <w:basedOn w:val="CommentTextChar"/>
    <w:link w:val="CommentSubject"/>
    <w:semiHidden/>
    <w:rsid w:val="002F702A"/>
    <w:rPr>
      <w:rFonts w:ascii="Arial" w:hAnsi="Arial" w:cs="Arial"/>
      <w:b/>
      <w:bCs/>
      <w:sz w:val="18"/>
    </w:rPr>
  </w:style>
  <w:style w:type="character" w:styleId="Hyperlink">
    <w:name w:val="Hyperlink"/>
    <w:basedOn w:val="DefaultParagraphFont"/>
    <w:unhideWhenUsed/>
    <w:rsid w:val="002F702A"/>
    <w:rPr>
      <w:color w:val="0000FF" w:themeColor="hyperlink"/>
      <w:u w:val="single"/>
    </w:rPr>
  </w:style>
  <w:style w:type="paragraph" w:styleId="Revision">
    <w:name w:val="Revision"/>
    <w:hidden/>
    <w:uiPriority w:val="99"/>
    <w:semiHidden/>
    <w:rsid w:val="002F702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2F702A"/>
    <w:rPr>
      <w:sz w:val="16"/>
      <w:szCs w:val="16"/>
    </w:rPr>
  </w:style>
  <w:style w:type="paragraph" w:styleId="CommentSubject">
    <w:name w:val="annotation subject"/>
    <w:basedOn w:val="CommentText"/>
    <w:next w:val="CommentText"/>
    <w:link w:val="CommentSubjectChar"/>
    <w:semiHidden/>
    <w:unhideWhenUsed/>
    <w:rsid w:val="002F702A"/>
    <w:rPr>
      <w:b/>
      <w:bCs/>
      <w:sz w:val="20"/>
    </w:rPr>
  </w:style>
  <w:style w:type="character" w:customStyle="1" w:styleId="CommentTextChar">
    <w:name w:val="Comment Text Char"/>
    <w:basedOn w:val="DefaultParagraphFont"/>
    <w:link w:val="CommentText"/>
    <w:semiHidden/>
    <w:rsid w:val="002F702A"/>
    <w:rPr>
      <w:rFonts w:ascii="Arial" w:hAnsi="Arial" w:cs="Arial"/>
      <w:sz w:val="18"/>
    </w:rPr>
  </w:style>
  <w:style w:type="character" w:customStyle="1" w:styleId="CommentSubjectChar">
    <w:name w:val="Comment Subject Char"/>
    <w:basedOn w:val="CommentTextChar"/>
    <w:link w:val="CommentSubject"/>
    <w:semiHidden/>
    <w:rsid w:val="002F702A"/>
    <w:rPr>
      <w:rFonts w:ascii="Arial" w:hAnsi="Arial" w:cs="Arial"/>
      <w:b/>
      <w:bCs/>
      <w:sz w:val="18"/>
    </w:rPr>
  </w:style>
  <w:style w:type="character" w:styleId="Hyperlink">
    <w:name w:val="Hyperlink"/>
    <w:basedOn w:val="DefaultParagraphFont"/>
    <w:unhideWhenUsed/>
    <w:rsid w:val="002F702A"/>
    <w:rPr>
      <w:color w:val="0000FF" w:themeColor="hyperlink"/>
      <w:u w:val="single"/>
    </w:rPr>
  </w:style>
  <w:style w:type="paragraph" w:styleId="Revision">
    <w:name w:val="Revision"/>
    <w:hidden/>
    <w:uiPriority w:val="99"/>
    <w:semiHidden/>
    <w:rsid w:val="002F702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GRTKF_I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2462-01B4-41A6-8C1D-1ECCCC53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GRTKF_IC_28_AR.dotx</Template>
  <TotalTime>14</TotalTime>
  <Pages>8</Pages>
  <Words>2636</Words>
  <Characters>14459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WIPO/GRTKF/IC/29/INF/10 (Arabic)</vt:lpstr>
    </vt:vector>
  </TitlesOfParts>
  <Company>World Intellectual Property Organization</Company>
  <LinksUpToDate>false</LinksUpToDate>
  <CharactersWithSpaces>17061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WIPO/GRTKF/IC/29/INF/10 (Arabic)</dc:title>
  <dc:creator>Ahmed Hassan</dc:creator>
  <cp:keywords>38827A</cp:keywords>
  <cp:lastModifiedBy>AHMIDOUCH Noureddine</cp:lastModifiedBy>
  <cp:revision>9</cp:revision>
  <cp:lastPrinted>2016-03-18T17:29:00Z</cp:lastPrinted>
  <dcterms:created xsi:type="dcterms:W3CDTF">2016-01-20T08:22:00Z</dcterms:created>
  <dcterms:modified xsi:type="dcterms:W3CDTF">2016-03-18T17:29:00Z</dcterms:modified>
</cp:coreProperties>
</file>