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FC" w:rsidRPr="00254DF8" w:rsidRDefault="00A06797" w:rsidP="00D13391">
      <w:pPr>
        <w:pStyle w:val="NormalParaAR"/>
        <w:jc w:val="center"/>
        <w:rPr>
          <w:b/>
          <w:bCs/>
          <w:sz w:val="40"/>
          <w:szCs w:val="40"/>
          <w:rtl/>
          <w:lang w:bidi="ar-EG"/>
        </w:rPr>
      </w:pPr>
      <w:r w:rsidRPr="00254DF8">
        <w:rPr>
          <w:b/>
          <w:bCs/>
          <w:sz w:val="40"/>
          <w:szCs w:val="40"/>
          <w:rtl/>
          <w:lang w:bidi="ar-EG"/>
        </w:rPr>
        <w:t>مذكرة إعلامية</w:t>
      </w:r>
      <w:r w:rsidR="00D13391">
        <w:rPr>
          <w:rStyle w:val="FootnoteReference"/>
          <w:b/>
          <w:bCs/>
          <w:rtl/>
          <w:lang w:bidi="ar-EG"/>
        </w:rPr>
        <w:footnoteReference w:id="1"/>
      </w:r>
    </w:p>
    <w:p w:rsidR="00A06797" w:rsidRPr="00254DF8" w:rsidRDefault="00A06797" w:rsidP="0076565A">
      <w:pPr>
        <w:pStyle w:val="NormalParaAR"/>
        <w:jc w:val="center"/>
        <w:rPr>
          <w:b/>
          <w:bCs/>
          <w:sz w:val="40"/>
          <w:szCs w:val="40"/>
          <w:rtl/>
          <w:lang w:bidi="ar-EG"/>
        </w:rPr>
      </w:pPr>
      <w:r w:rsidRPr="00254DF8">
        <w:rPr>
          <w:rFonts w:hint="cs"/>
          <w:b/>
          <w:bCs/>
          <w:sz w:val="40"/>
          <w:szCs w:val="40"/>
          <w:rtl/>
          <w:lang w:bidi="ar-EG"/>
        </w:rPr>
        <w:t xml:space="preserve">لأغراض الدورة </w:t>
      </w:r>
      <w:r w:rsidR="0076565A" w:rsidRPr="00254DF8">
        <w:rPr>
          <w:rFonts w:hint="cs"/>
          <w:b/>
          <w:bCs/>
          <w:sz w:val="40"/>
          <w:szCs w:val="40"/>
          <w:rtl/>
          <w:lang w:bidi="ar-EG"/>
        </w:rPr>
        <w:t>الخامسة</w:t>
      </w:r>
      <w:r w:rsidRPr="00254DF8">
        <w:rPr>
          <w:rFonts w:hint="cs"/>
          <w:b/>
          <w:bCs/>
          <w:sz w:val="40"/>
          <w:szCs w:val="40"/>
          <w:rtl/>
          <w:lang w:bidi="ar-EG"/>
        </w:rPr>
        <w:t xml:space="preserve"> والثلاثين ل</w:t>
      </w:r>
      <w:r w:rsidR="003F171E" w:rsidRPr="00254DF8">
        <w:rPr>
          <w:b/>
          <w:bCs/>
          <w:sz w:val="40"/>
          <w:szCs w:val="40"/>
          <w:rtl/>
          <w:lang w:bidi="ar-EG"/>
        </w:rPr>
        <w:t xml:space="preserve">لجنة </w:t>
      </w:r>
      <w:r w:rsidR="0076565A" w:rsidRPr="00254DF8">
        <w:rPr>
          <w:rFonts w:hint="cs"/>
          <w:b/>
          <w:bCs/>
          <w:sz w:val="40"/>
          <w:szCs w:val="40"/>
          <w:rtl/>
          <w:lang w:bidi="ar-EG"/>
        </w:rPr>
        <w:t>المعارف</w:t>
      </w:r>
    </w:p>
    <w:p w:rsidR="00ED4EC5" w:rsidRPr="00CB6CDA" w:rsidRDefault="00A06797" w:rsidP="007A1C82">
      <w:pPr>
        <w:pStyle w:val="NormalParaAR"/>
        <w:jc w:val="center"/>
        <w:rPr>
          <w:rFonts w:hint="cs"/>
          <w:rtl/>
          <w:lang w:bidi="ar-EG"/>
        </w:rPr>
      </w:pPr>
      <w:r w:rsidRPr="00CB6CDA">
        <w:rPr>
          <w:rtl/>
          <w:lang w:bidi="ar-EG"/>
        </w:rPr>
        <w:t>من إعداد</w:t>
      </w:r>
      <w:r w:rsidRPr="00CB6CDA">
        <w:rPr>
          <w:rFonts w:hint="cs"/>
          <w:rtl/>
          <w:lang w:bidi="ar-EG"/>
        </w:rPr>
        <w:t xml:space="preserve"> السيد</w:t>
      </w:r>
      <w:r w:rsidRPr="00CB6CDA">
        <w:rPr>
          <w:rtl/>
          <w:lang w:bidi="ar-EG"/>
        </w:rPr>
        <w:t xml:space="preserve"> إيان </w:t>
      </w:r>
      <w:proofErr w:type="spellStart"/>
      <w:r w:rsidRPr="00CB6CDA">
        <w:rPr>
          <w:rtl/>
          <w:lang w:bidi="ar-EG"/>
        </w:rPr>
        <w:t>غوس</w:t>
      </w:r>
      <w:proofErr w:type="spellEnd"/>
      <w:r w:rsidRPr="00CB6CDA">
        <w:rPr>
          <w:rtl/>
          <w:lang w:bidi="ar-EG"/>
        </w:rPr>
        <w:t xml:space="preserve">، رئيس </w:t>
      </w:r>
      <w:r w:rsidR="0076565A">
        <w:rPr>
          <w:rFonts w:hint="cs"/>
          <w:rtl/>
          <w:lang w:bidi="ar-EG"/>
        </w:rPr>
        <w:t>لجنة المعارف</w:t>
      </w:r>
      <w:r w:rsidR="007A1C82">
        <w:rPr>
          <w:rFonts w:hint="cs"/>
          <w:rtl/>
        </w:rPr>
        <w:t xml:space="preserve"> المكلَّف</w:t>
      </w:r>
    </w:p>
    <w:p w:rsidR="000A7CF7" w:rsidRPr="00CB6CDA" w:rsidRDefault="00A06797" w:rsidP="00A06797">
      <w:pPr>
        <w:pStyle w:val="NormalParaAR"/>
        <w:keepNext/>
        <w:rPr>
          <w:b/>
          <w:bCs/>
          <w:u w:val="single"/>
          <w:rtl/>
        </w:rPr>
      </w:pPr>
      <w:r w:rsidRPr="00CB6CDA">
        <w:rPr>
          <w:rFonts w:hint="cs"/>
          <w:b/>
          <w:bCs/>
          <w:u w:val="single"/>
          <w:rtl/>
        </w:rPr>
        <w:t>مقدمة</w:t>
      </w:r>
      <w:bookmarkStart w:id="2" w:name="_GoBack"/>
      <w:bookmarkEnd w:id="2"/>
    </w:p>
    <w:p w:rsidR="0076565A" w:rsidRDefault="0076565A" w:rsidP="00690FDC">
      <w:pPr>
        <w:pStyle w:val="NormalParaAR"/>
        <w:rPr>
          <w:rtl/>
        </w:rPr>
      </w:pPr>
      <w:r>
        <w:rPr>
          <w:rFonts w:hint="cs"/>
          <w:rtl/>
        </w:rPr>
        <w:t>أعِدت الوثيقة الموحدة الأولى بشأن الموارد الوراثية في الدورة العشرين للجنة المعارف في فبراير 2012. وحاولت تلك الوثيقة تلخيص الاقتراحات والمواقف التي أبديت في وثائق عمل لجنة المعارف فضلا عن اقتراحات الدول الأعضاء. وبعد ذلك خضعت تلك الوثيقة الأولية لتنقيح كبير في دورات لجنة المعارف الثانية والعشرين والثالثة والعشرين والتاسعة</w:t>
      </w:r>
      <w:r w:rsidR="00690FDC">
        <w:rPr>
          <w:rFonts w:hint="eastAsia"/>
          <w:rtl/>
        </w:rPr>
        <w:t> </w:t>
      </w:r>
      <w:r>
        <w:rPr>
          <w:rFonts w:hint="cs"/>
          <w:rtl/>
        </w:rPr>
        <w:t>والعشرين</w:t>
      </w:r>
      <w:r w:rsidR="00690FDC">
        <w:rPr>
          <w:rFonts w:hint="eastAsia"/>
          <w:rtl/>
        </w:rPr>
        <w:t> </w:t>
      </w:r>
      <w:r>
        <w:rPr>
          <w:rFonts w:hint="cs"/>
          <w:rtl/>
        </w:rPr>
        <w:t>والثلاثين.</w:t>
      </w:r>
    </w:p>
    <w:p w:rsidR="0076565A" w:rsidRDefault="00D075BC" w:rsidP="00257388">
      <w:pPr>
        <w:pStyle w:val="NormalParaAR"/>
      </w:pPr>
      <w:r>
        <w:rPr>
          <w:rFonts w:hint="cs"/>
          <w:rtl/>
        </w:rPr>
        <w:t xml:space="preserve">وفي إطار التحضير للدورة الخامسة والثلاثين للجنة المعارف، تلخّص هذه المذكرة الإعلامية بعض القضايا الرئيسية التي قد تودّ الدول الأعضاء تركيز اهتمامها عليها. وتُشجَّع الدول الأعضاء كذلك على النظر في تحديد الخيارات التي تقتضي اتفاقا دوليا على صعيد لجنة المعارف وتحديد ما إذا كانت هناك خيارات تكتسي طابعا عمليا أكثر من غيرها ويمكن تنفيذها ضمن الإطار القانوني الدولي القائم، علما بأن بعضا منها قد نُفّذ بالفعل. فعلى سبيل المثال، لمساعدة فاحصي البراءات على إيجاد ما هو وجيه من حالة التقنية الصناعية السابقة وتلافي منح </w:t>
      </w:r>
      <w:r w:rsidR="00C40662">
        <w:rPr>
          <w:rFonts w:hint="cs"/>
          <w:rtl/>
        </w:rPr>
        <w:t>ال</w:t>
      </w:r>
      <w:r>
        <w:rPr>
          <w:rFonts w:hint="cs"/>
          <w:rtl/>
        </w:rPr>
        <w:t xml:space="preserve">براءات عن خطأ، أدرِجت أصناف فرعية </w:t>
      </w:r>
      <w:r w:rsidR="00867BA0">
        <w:rPr>
          <w:rFonts w:hint="cs"/>
          <w:rtl/>
        </w:rPr>
        <w:t>جديدة قبل عدة أعوام في التصنيف الدولي للبراءات لتيسير الكشف عن حالة التقنية الصناعية السابقة الوجيهة لدى معالجة طلبات البراءات المتعلقة ب</w:t>
      </w:r>
      <w:r w:rsidR="00690FDC">
        <w:rPr>
          <w:rFonts w:hint="cs"/>
          <w:rtl/>
        </w:rPr>
        <w:t>ال</w:t>
      </w:r>
      <w:r w:rsidR="00867BA0">
        <w:rPr>
          <w:rFonts w:hint="cs"/>
          <w:rtl/>
        </w:rPr>
        <w:t xml:space="preserve">معارف </w:t>
      </w:r>
      <w:r w:rsidR="00690FDC">
        <w:rPr>
          <w:rFonts w:hint="cs"/>
          <w:rtl/>
        </w:rPr>
        <w:t>ال</w:t>
      </w:r>
      <w:r w:rsidR="00867BA0">
        <w:rPr>
          <w:rFonts w:hint="cs"/>
          <w:rtl/>
        </w:rPr>
        <w:t>تقليدية. وبالإضافة إلى ذلك، أصبحت بعض المجلات الخاصة بالمعارف التقليدية تُقبل، بوصفها مصادر بخلاف وثائق البراءات، للاستخدام لأغراض فحص طلبات البراءات.</w:t>
      </w:r>
    </w:p>
    <w:p w:rsidR="0076565A" w:rsidRPr="00867BA0" w:rsidRDefault="00867BA0" w:rsidP="00867BA0">
      <w:pPr>
        <w:pStyle w:val="NormalParaAR"/>
        <w:rPr>
          <w:b/>
          <w:bCs/>
          <w:rtl/>
        </w:rPr>
      </w:pPr>
      <w:r w:rsidRPr="00867BA0">
        <w:rPr>
          <w:b/>
          <w:bCs/>
          <w:rtl/>
        </w:rPr>
        <w:t xml:space="preserve">وأؤكِّد على أن كل الآراء </w:t>
      </w:r>
      <w:r>
        <w:rPr>
          <w:rFonts w:hint="cs"/>
          <w:b/>
          <w:bCs/>
          <w:rtl/>
        </w:rPr>
        <w:t>الواردة</w:t>
      </w:r>
      <w:r w:rsidRPr="00867BA0">
        <w:rPr>
          <w:b/>
          <w:bCs/>
          <w:rtl/>
        </w:rPr>
        <w:t xml:space="preserve"> في هذه المذكرة هي آرائي الخاصة ولا تخلّ بمواقف أي من الدول الأعضاء بخصوص القضايا المطروحة للنقاش.</w:t>
      </w:r>
      <w:r w:rsidRPr="00867BA0">
        <w:rPr>
          <w:rFonts w:hint="cs"/>
          <w:b/>
          <w:bCs/>
          <w:rtl/>
        </w:rPr>
        <w:t xml:space="preserve"> </w:t>
      </w:r>
      <w:r w:rsidRPr="00867BA0">
        <w:rPr>
          <w:b/>
          <w:bCs/>
          <w:rtl/>
        </w:rPr>
        <w:t>وهذه المذكرة عبارة عن وثيقة إعلامية ليس لها أية طبيعة رسمية معيّنة</w:t>
      </w:r>
      <w:r>
        <w:rPr>
          <w:rFonts w:hint="cs"/>
          <w:b/>
          <w:bCs/>
          <w:rtl/>
        </w:rPr>
        <w:t xml:space="preserve">، كما أنها ليست من وثائق عمل الدورة. </w:t>
      </w:r>
      <w:r w:rsidR="00633121">
        <w:rPr>
          <w:rFonts w:hint="cs"/>
          <w:b/>
          <w:bCs/>
          <w:rtl/>
        </w:rPr>
        <w:t>فهي مجرّد وثيقة تحثّ على التفكير.</w:t>
      </w:r>
    </w:p>
    <w:p w:rsidR="0076565A" w:rsidRDefault="00633121" w:rsidP="00633121">
      <w:pPr>
        <w:pStyle w:val="NormalParaAR"/>
        <w:rPr>
          <w:rtl/>
        </w:rPr>
      </w:pPr>
      <w:r>
        <w:rPr>
          <w:rFonts w:hint="cs"/>
          <w:rtl/>
        </w:rPr>
        <w:t xml:space="preserve">ولإعداد هذه المذكرة، استخدمتُ الوثيقة </w:t>
      </w:r>
      <w:r w:rsidRPr="00633121">
        <w:t>WIPO/GRTKF/IC/35/4</w:t>
      </w:r>
      <w:r>
        <w:rPr>
          <w:rFonts w:hint="cs"/>
          <w:rtl/>
        </w:rPr>
        <w:t xml:space="preserve"> (</w:t>
      </w:r>
      <w:r w:rsidRPr="00633121">
        <w:rPr>
          <w:rtl/>
        </w:rPr>
        <w:t>وثيقة موحدة بشأن الملكية الفكرية والموارد الوراثية</w:t>
      </w:r>
      <w:r>
        <w:rPr>
          <w:rFonts w:hint="cs"/>
          <w:rtl/>
        </w:rPr>
        <w:t>) كوثيقة إطارية، فتلك الوثيقة تعرض في شكل نصي مفصّل المواقف الرئيسية للدول الأعضاء. واطّلعتُ أيضا على الوثائق التالية:</w:t>
      </w:r>
    </w:p>
    <w:p w:rsidR="00633121" w:rsidRDefault="00633121" w:rsidP="00633121">
      <w:pPr>
        <w:pStyle w:val="NormalParaAR"/>
        <w:numPr>
          <w:ilvl w:val="0"/>
          <w:numId w:val="27"/>
        </w:numPr>
      </w:pPr>
      <w:r w:rsidRPr="00633121">
        <w:t>WIPO/GRTKF/IC/35/5</w:t>
      </w:r>
      <w:r>
        <w:rPr>
          <w:rFonts w:hint="cs"/>
          <w:rtl/>
        </w:rPr>
        <w:t xml:space="preserve"> (</w:t>
      </w:r>
      <w:r w:rsidRPr="00633121">
        <w:rPr>
          <w:rtl/>
        </w:rPr>
        <w:t>تقرير عن تجميع المواد بشأن قواعد البيانات المتعلقة بالموارد الوراثية والمعارف التقليدية المرتبطة بها</w:t>
      </w:r>
      <w:r>
        <w:rPr>
          <w:rFonts w:hint="cs"/>
          <w:rtl/>
        </w:rPr>
        <w:t>)؛</w:t>
      </w:r>
    </w:p>
    <w:p w:rsidR="00633121" w:rsidRDefault="00633121" w:rsidP="00633121">
      <w:pPr>
        <w:pStyle w:val="NormalParaAR"/>
        <w:numPr>
          <w:ilvl w:val="0"/>
          <w:numId w:val="27"/>
        </w:numPr>
      </w:pPr>
      <w:r w:rsidRPr="00633121">
        <w:t>WIPO/GRTKF/IC/35/6</w:t>
      </w:r>
      <w:r>
        <w:rPr>
          <w:rFonts w:hint="cs"/>
          <w:rtl/>
        </w:rPr>
        <w:t xml:space="preserve"> (</w:t>
      </w:r>
      <w:r w:rsidRPr="00633121">
        <w:rPr>
          <w:rtl/>
        </w:rPr>
        <w:t>تقرير عن تجميع المواد بشأن أنظمة الكشف المتعلقة بالموارد الوراثية والمعارف التقليدية المرتبطة بها</w:t>
      </w:r>
      <w:r>
        <w:rPr>
          <w:rFonts w:hint="cs"/>
          <w:rtl/>
        </w:rPr>
        <w:t>)؛</w:t>
      </w:r>
    </w:p>
    <w:p w:rsidR="00633121" w:rsidRDefault="00633121" w:rsidP="00633121">
      <w:pPr>
        <w:pStyle w:val="NormalParaAR"/>
        <w:numPr>
          <w:ilvl w:val="0"/>
          <w:numId w:val="27"/>
        </w:numPr>
      </w:pPr>
      <w:r w:rsidRPr="00633121">
        <w:t>WIPO/GRTKF/IC/35/7</w:t>
      </w:r>
      <w:r>
        <w:rPr>
          <w:rFonts w:hint="cs"/>
          <w:rtl/>
        </w:rPr>
        <w:t xml:space="preserve"> (</w:t>
      </w:r>
      <w:r w:rsidRPr="00633121">
        <w:rPr>
          <w:rtl/>
        </w:rPr>
        <w:t>توصية مشتركة بشأن الموارد الوراثية والمعارف التقليدية المرتبطة بها</w:t>
      </w:r>
      <w:r>
        <w:rPr>
          <w:rFonts w:hint="cs"/>
          <w:rtl/>
        </w:rPr>
        <w:t>)؛</w:t>
      </w:r>
    </w:p>
    <w:p w:rsidR="00633121" w:rsidRDefault="00633121" w:rsidP="00B31FE2">
      <w:pPr>
        <w:pStyle w:val="NormalParaAR"/>
        <w:numPr>
          <w:ilvl w:val="0"/>
          <w:numId w:val="27"/>
        </w:numPr>
      </w:pPr>
      <w:r w:rsidRPr="00633121">
        <w:t>WIPO/GRTKF/IC/35/8</w:t>
      </w:r>
      <w:r>
        <w:rPr>
          <w:rFonts w:hint="cs"/>
          <w:rtl/>
        </w:rPr>
        <w:t xml:space="preserve"> (</w:t>
      </w:r>
      <w:r w:rsidR="00B31FE2" w:rsidRPr="00B31FE2">
        <w:rPr>
          <w:rtl/>
        </w:rPr>
        <w:t>توصية مشتركة بشأن استخدام قواعد البيانات لأغراض الحماية الدفاعية للموارد الوراثية والمعارف التقليدية المرتبطة بها</w:t>
      </w:r>
      <w:r>
        <w:rPr>
          <w:rFonts w:hint="cs"/>
          <w:rtl/>
        </w:rPr>
        <w:t>)؛</w:t>
      </w:r>
    </w:p>
    <w:p w:rsidR="00633121" w:rsidRDefault="00633121" w:rsidP="00B31FE2">
      <w:pPr>
        <w:pStyle w:val="NormalParaAR"/>
        <w:numPr>
          <w:ilvl w:val="0"/>
          <w:numId w:val="27"/>
        </w:numPr>
      </w:pPr>
      <w:r w:rsidRPr="00633121">
        <w:t>WIPO/GRTKF/IC/35/9</w:t>
      </w:r>
      <w:r>
        <w:rPr>
          <w:rFonts w:hint="cs"/>
          <w:rtl/>
        </w:rPr>
        <w:t xml:space="preserve"> (</w:t>
      </w:r>
      <w:r w:rsidR="00B31FE2" w:rsidRPr="00B31FE2">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Pr>
          <w:rFonts w:hint="cs"/>
          <w:rtl/>
        </w:rPr>
        <w:t>)؛</w:t>
      </w:r>
    </w:p>
    <w:p w:rsidR="00633121" w:rsidRDefault="00633121" w:rsidP="00B31FE2">
      <w:pPr>
        <w:pStyle w:val="NormalParaAR"/>
        <w:numPr>
          <w:ilvl w:val="0"/>
          <w:numId w:val="27"/>
        </w:numPr>
      </w:pPr>
      <w:r w:rsidRPr="00633121">
        <w:lastRenderedPageBreak/>
        <w:t>WIPO/GRTKF/IC/8/11</w:t>
      </w:r>
      <w:r>
        <w:rPr>
          <w:rFonts w:hint="cs"/>
          <w:rtl/>
        </w:rPr>
        <w:t xml:space="preserve"> (</w:t>
      </w:r>
      <w:r w:rsidR="00B31FE2" w:rsidRPr="00B31FE2">
        <w:rPr>
          <w:rtl/>
        </w:rPr>
        <w:t xml:space="preserve">الكشف عن منشأ الموارد الوراثية وما يتصل بها من المعارف التقليدية أو </w:t>
      </w:r>
      <w:r w:rsidR="00B31FE2">
        <w:rPr>
          <w:rFonts w:hint="cs"/>
          <w:rtl/>
        </w:rPr>
        <w:t xml:space="preserve">عن </w:t>
      </w:r>
      <w:r w:rsidR="00B31FE2" w:rsidRPr="00B31FE2">
        <w:rPr>
          <w:rtl/>
        </w:rPr>
        <w:t>مصدرها في طلبات البراءات</w:t>
      </w:r>
      <w:r w:rsidR="00BF6596">
        <w:rPr>
          <w:rFonts w:hint="cs"/>
          <w:rtl/>
        </w:rPr>
        <w:t xml:space="preserve"> (اقتراح الاتحاد الأوروبي</w:t>
      </w:r>
      <w:r w:rsidR="00B31FE2" w:rsidRPr="00B31FE2">
        <w:rPr>
          <w:rtl/>
        </w:rPr>
        <w:t>)</w:t>
      </w:r>
      <w:r w:rsidR="00BF6596">
        <w:rPr>
          <w:rFonts w:hint="cs"/>
          <w:rtl/>
        </w:rPr>
        <w:t>)</w:t>
      </w:r>
      <w:r>
        <w:rPr>
          <w:rFonts w:hint="cs"/>
          <w:rtl/>
        </w:rPr>
        <w:t>؛</w:t>
      </w:r>
    </w:p>
    <w:p w:rsidR="00633121" w:rsidRDefault="00633121" w:rsidP="00B31FE2">
      <w:pPr>
        <w:pStyle w:val="NormalParaAR"/>
        <w:numPr>
          <w:ilvl w:val="0"/>
          <w:numId w:val="27"/>
        </w:numPr>
      </w:pPr>
      <w:r w:rsidRPr="00633121">
        <w:t>WIPO/GRTKF/IC/11/10</w:t>
      </w:r>
      <w:r>
        <w:rPr>
          <w:rFonts w:hint="cs"/>
          <w:rtl/>
        </w:rPr>
        <w:t xml:space="preserve"> (</w:t>
      </w:r>
      <w:r w:rsidR="00B31FE2">
        <w:rPr>
          <w:rFonts w:hint="cs"/>
          <w:rtl/>
        </w:rPr>
        <w:t>إ</w:t>
      </w:r>
      <w:r w:rsidR="00B31FE2" w:rsidRPr="00B31FE2">
        <w:rPr>
          <w:rtl/>
        </w:rPr>
        <w:t xml:space="preserve">علان مصدر الموارد الوراثية والمعارف التقليدية في </w:t>
      </w:r>
      <w:r w:rsidR="00B31FE2">
        <w:rPr>
          <w:rFonts w:hint="cs"/>
          <w:rtl/>
        </w:rPr>
        <w:t>طلبات البراءات: اقتراحات من سويسرا</w:t>
      </w:r>
      <w:r>
        <w:rPr>
          <w:rFonts w:hint="cs"/>
          <w:rtl/>
        </w:rPr>
        <w:t>)؛</w:t>
      </w:r>
    </w:p>
    <w:p w:rsidR="00633121" w:rsidRDefault="00633121" w:rsidP="00C824F5">
      <w:pPr>
        <w:pStyle w:val="NormalParaAR"/>
        <w:numPr>
          <w:ilvl w:val="0"/>
          <w:numId w:val="27"/>
        </w:numPr>
        <w:rPr>
          <w:rtl/>
        </w:rPr>
      </w:pPr>
      <w:r w:rsidRPr="00633121">
        <w:t>WIPO/GRTKF/IC/19/11</w:t>
      </w:r>
      <w:r>
        <w:rPr>
          <w:rFonts w:hint="cs"/>
          <w:rtl/>
        </w:rPr>
        <w:t xml:space="preserve"> (</w:t>
      </w:r>
      <w:r w:rsidR="00C824F5" w:rsidRPr="00C824F5">
        <w:rPr>
          <w:rtl/>
        </w:rPr>
        <w:t>إسهام البلدان متشابهة التفكير في الأهداف والمبادئ بشـأن حماية الموارد الوراثية ومشروع المواد التمهيدي بشأن حماية الموارد الوراثية</w:t>
      </w:r>
      <w:r>
        <w:rPr>
          <w:rFonts w:hint="cs"/>
          <w:rtl/>
        </w:rPr>
        <w:t>).</w:t>
      </w:r>
    </w:p>
    <w:p w:rsidR="0076565A" w:rsidRPr="00633121" w:rsidRDefault="00633121" w:rsidP="00633121">
      <w:pPr>
        <w:pStyle w:val="NormalParaAR"/>
        <w:keepNext/>
        <w:rPr>
          <w:b/>
          <w:bCs/>
          <w:u w:val="single"/>
          <w:rtl/>
        </w:rPr>
      </w:pPr>
      <w:r w:rsidRPr="00633121">
        <w:rPr>
          <w:rFonts w:hint="cs"/>
          <w:b/>
          <w:bCs/>
          <w:u w:val="single"/>
          <w:rtl/>
        </w:rPr>
        <w:t>نبذة عامة عن الوثيقة الموحدة</w:t>
      </w:r>
    </w:p>
    <w:p w:rsidR="00633121" w:rsidRDefault="00A72E3A" w:rsidP="00A72E3A">
      <w:pPr>
        <w:pStyle w:val="NormalParaAR"/>
        <w:rPr>
          <w:rtl/>
        </w:rPr>
      </w:pPr>
      <w:r>
        <w:rPr>
          <w:rFonts w:hint="cs"/>
          <w:rtl/>
        </w:rPr>
        <w:t>تتناول الوثيقة الموحدة (</w:t>
      </w:r>
      <w:r w:rsidRPr="00A72E3A">
        <w:t>WIPO/GRTKF/IC/35/4</w:t>
      </w:r>
      <w:r>
        <w:rPr>
          <w:rFonts w:hint="cs"/>
          <w:rtl/>
        </w:rPr>
        <w:t>) الأهداف التي ينشدها الصك في مجال السياسة العامة، مع العلم أن هناك ثلاثة بدائل لم يُتفق عليها بعد. وتشمل العناصر الرئيسية التي تتكوّن منها السياسة العامة والمندرجة ضمن تلك المواقف البديلة ما يلي:</w:t>
      </w:r>
    </w:p>
    <w:p w:rsidR="00A72E3A" w:rsidRPr="00A72E3A" w:rsidRDefault="00A72E3A" w:rsidP="00A72E3A">
      <w:pPr>
        <w:pStyle w:val="NormalParaAR"/>
        <w:numPr>
          <w:ilvl w:val="0"/>
          <w:numId w:val="27"/>
        </w:numPr>
        <w:rPr>
          <w:i/>
          <w:iCs/>
        </w:rPr>
      </w:pPr>
      <w:r w:rsidRPr="00A72E3A">
        <w:rPr>
          <w:i/>
          <w:iCs/>
          <w:rtl/>
        </w:rPr>
        <w:t>تعزيز شفافية نظام [الملكية الفكرية] [البراءات]</w:t>
      </w:r>
      <w:r w:rsidRPr="00A72E3A">
        <w:rPr>
          <w:rFonts w:hint="cs"/>
          <w:i/>
          <w:iCs/>
          <w:rtl/>
        </w:rPr>
        <w:t xml:space="preserve"> فيما يخص الموارد الوراثية</w:t>
      </w:r>
      <w:r w:rsidR="00FF67B8">
        <w:rPr>
          <w:rFonts w:hint="cs"/>
          <w:i/>
          <w:iCs/>
          <w:rtl/>
        </w:rPr>
        <w:t xml:space="preserve"> والمعارف التقليدية المرتبطة بالموارد الوراثية</w:t>
      </w:r>
      <w:r w:rsidRPr="00A72E3A">
        <w:rPr>
          <w:rFonts w:hint="cs"/>
          <w:i/>
          <w:iCs/>
          <w:rtl/>
        </w:rPr>
        <w:t>.</w:t>
      </w:r>
    </w:p>
    <w:p w:rsidR="00A72E3A" w:rsidRPr="000A03C5" w:rsidRDefault="00A72E3A" w:rsidP="00A72E3A">
      <w:pPr>
        <w:pStyle w:val="NormalParaAR"/>
        <w:numPr>
          <w:ilvl w:val="0"/>
          <w:numId w:val="27"/>
        </w:numPr>
        <w:rPr>
          <w:i/>
          <w:iCs/>
        </w:rPr>
      </w:pPr>
      <w:r w:rsidRPr="000A03C5">
        <w:rPr>
          <w:i/>
          <w:iCs/>
          <w:rtl/>
        </w:rPr>
        <w:t xml:space="preserve">تيسير الدعم المتبادل مع الاتفاقات الدولية </w:t>
      </w:r>
      <w:r w:rsidRPr="000A03C5">
        <w:rPr>
          <w:rFonts w:hint="cs"/>
          <w:i/>
          <w:iCs/>
          <w:rtl/>
        </w:rPr>
        <w:t>المتعلقة</w:t>
      </w:r>
      <w:r w:rsidRPr="000A03C5">
        <w:rPr>
          <w:i/>
          <w:iCs/>
          <w:rtl/>
        </w:rPr>
        <w:t xml:space="preserve"> ب</w:t>
      </w:r>
      <w:r w:rsidR="000A03C5">
        <w:rPr>
          <w:rFonts w:hint="cs"/>
          <w:i/>
          <w:iCs/>
          <w:rtl/>
        </w:rPr>
        <w:t xml:space="preserve">حماية </w:t>
      </w:r>
      <w:r w:rsidRPr="000A03C5">
        <w:rPr>
          <w:i/>
          <w:iCs/>
          <w:rtl/>
        </w:rPr>
        <w:t>الموارد الوراثية والمع</w:t>
      </w:r>
      <w:r w:rsidR="000A03C5" w:rsidRPr="000A03C5">
        <w:rPr>
          <w:i/>
          <w:iCs/>
          <w:rtl/>
        </w:rPr>
        <w:t>ارف التقليدية المرتبطة ب</w:t>
      </w:r>
      <w:r w:rsidR="00BF6596">
        <w:rPr>
          <w:rFonts w:hint="cs"/>
          <w:i/>
          <w:iCs/>
          <w:rtl/>
        </w:rPr>
        <w:t>الموارد الوراثية</w:t>
      </w:r>
      <w:r w:rsidR="000A03C5" w:rsidRPr="000A03C5">
        <w:rPr>
          <w:rFonts w:hint="cs"/>
          <w:i/>
          <w:iCs/>
          <w:rtl/>
        </w:rPr>
        <w:t>.</w:t>
      </w:r>
    </w:p>
    <w:p w:rsidR="000A03C5" w:rsidRPr="000A03C5" w:rsidRDefault="000A03C5" w:rsidP="000A03C5">
      <w:pPr>
        <w:pStyle w:val="NormalParaAR"/>
        <w:numPr>
          <w:ilvl w:val="0"/>
          <w:numId w:val="27"/>
        </w:numPr>
        <w:rPr>
          <w:i/>
          <w:iCs/>
        </w:rPr>
      </w:pPr>
      <w:r w:rsidRPr="000A03C5">
        <w:rPr>
          <w:i/>
          <w:iCs/>
          <w:rtl/>
        </w:rPr>
        <w:t xml:space="preserve">تيسير </w:t>
      </w:r>
      <w:r w:rsidRPr="000A03C5">
        <w:rPr>
          <w:rFonts w:hint="cs"/>
          <w:i/>
          <w:iCs/>
          <w:rtl/>
        </w:rPr>
        <w:t xml:space="preserve">إمكانية </w:t>
      </w:r>
      <w:r w:rsidRPr="000A03C5">
        <w:rPr>
          <w:i/>
          <w:iCs/>
          <w:rtl/>
        </w:rPr>
        <w:t>النفاذ وتقاسم المنافع من خلال الكشف عن بلد منشأ أو مصدر الموارد الوراثية بناء على أنظمة منفصلة مثل اتفاقية التنوع البيولوجي</w:t>
      </w:r>
      <w:r w:rsidRPr="000A03C5">
        <w:rPr>
          <w:rFonts w:hint="cs"/>
          <w:i/>
          <w:iCs/>
          <w:rtl/>
        </w:rPr>
        <w:t>.</w:t>
      </w:r>
    </w:p>
    <w:p w:rsidR="000A03C5" w:rsidRPr="00FF67B8" w:rsidRDefault="000A03C5" w:rsidP="000A03C5">
      <w:pPr>
        <w:pStyle w:val="NormalParaAR"/>
        <w:numPr>
          <w:ilvl w:val="0"/>
          <w:numId w:val="27"/>
        </w:numPr>
        <w:rPr>
          <w:i/>
          <w:iCs/>
          <w:rtl/>
        </w:rPr>
      </w:pPr>
      <w:r w:rsidRPr="00FF67B8">
        <w:rPr>
          <w:i/>
          <w:iCs/>
          <w:rtl/>
        </w:rPr>
        <w:t>ضمان إمكانية نفاذ مكاتب الملكية الفكرية</w:t>
      </w:r>
      <w:r w:rsidRPr="00FF67B8">
        <w:rPr>
          <w:rFonts w:hint="cs"/>
          <w:i/>
          <w:iCs/>
          <w:rtl/>
        </w:rPr>
        <w:t>/</w:t>
      </w:r>
      <w:r w:rsidRPr="00FF67B8">
        <w:rPr>
          <w:i/>
          <w:iCs/>
          <w:rtl/>
        </w:rPr>
        <w:t>البراءات</w:t>
      </w:r>
      <w:r w:rsidRPr="00FF67B8">
        <w:rPr>
          <w:rFonts w:hint="cs"/>
          <w:i/>
          <w:iCs/>
          <w:rtl/>
        </w:rPr>
        <w:t xml:space="preserve"> </w:t>
      </w:r>
      <w:r w:rsidRPr="00FF67B8">
        <w:rPr>
          <w:i/>
          <w:iCs/>
          <w:rtl/>
        </w:rPr>
        <w:t>إلى المعلومات المناسبة عن الموارد الوراثية</w:t>
      </w:r>
      <w:r w:rsidRPr="00FF67B8">
        <w:rPr>
          <w:rFonts w:hint="cs"/>
          <w:i/>
          <w:iCs/>
          <w:rtl/>
        </w:rPr>
        <w:t xml:space="preserve"> والمعارف التقليدية المرتبط</w:t>
      </w:r>
      <w:r w:rsidR="00FF67B8" w:rsidRPr="00FF67B8">
        <w:rPr>
          <w:rFonts w:hint="cs"/>
          <w:i/>
          <w:iCs/>
          <w:rtl/>
        </w:rPr>
        <w:t>ة بالموارد الوراثية</w:t>
      </w:r>
      <w:r w:rsidRPr="00FF67B8">
        <w:rPr>
          <w:rFonts w:hint="cs"/>
          <w:i/>
          <w:iCs/>
          <w:rtl/>
        </w:rPr>
        <w:t xml:space="preserve"> </w:t>
      </w:r>
      <w:r w:rsidRPr="00FF67B8">
        <w:rPr>
          <w:i/>
          <w:iCs/>
          <w:rtl/>
        </w:rPr>
        <w:t>لمنع منح حقوق الملكية الفكرية</w:t>
      </w:r>
      <w:r w:rsidRPr="00FF67B8">
        <w:rPr>
          <w:rFonts w:hint="cs"/>
          <w:i/>
          <w:iCs/>
          <w:rtl/>
        </w:rPr>
        <w:t>/</w:t>
      </w:r>
      <w:r w:rsidRPr="00FF67B8">
        <w:rPr>
          <w:i/>
          <w:iCs/>
          <w:rtl/>
        </w:rPr>
        <w:t>البراءات</w:t>
      </w:r>
      <w:r w:rsidRPr="00FF67B8">
        <w:rPr>
          <w:rFonts w:hint="cs"/>
          <w:i/>
          <w:iCs/>
          <w:rtl/>
        </w:rPr>
        <w:t xml:space="preserve"> </w:t>
      </w:r>
      <w:r w:rsidRPr="00FF67B8">
        <w:rPr>
          <w:i/>
          <w:iCs/>
          <w:rtl/>
        </w:rPr>
        <w:t>عن خطأ</w:t>
      </w:r>
      <w:r w:rsidRPr="00FF67B8">
        <w:rPr>
          <w:rFonts w:hint="cs"/>
          <w:i/>
          <w:iCs/>
          <w:rtl/>
        </w:rPr>
        <w:t>.</w:t>
      </w:r>
    </w:p>
    <w:p w:rsidR="0076565A" w:rsidRDefault="000A03C5" w:rsidP="00257388">
      <w:pPr>
        <w:pStyle w:val="NormalParaAR"/>
        <w:rPr>
          <w:rtl/>
        </w:rPr>
      </w:pPr>
      <w:r>
        <w:rPr>
          <w:rFonts w:hint="cs"/>
          <w:rtl/>
        </w:rPr>
        <w:t>وفيما يلي النهجان الواسعان الواردان في الوثيقة الموحدة:</w:t>
      </w:r>
    </w:p>
    <w:p w:rsidR="000A03C5" w:rsidRDefault="000A03C5" w:rsidP="00BF6596">
      <w:pPr>
        <w:pStyle w:val="NormalParaAR"/>
        <w:numPr>
          <w:ilvl w:val="0"/>
          <w:numId w:val="27"/>
        </w:numPr>
      </w:pPr>
      <w:r w:rsidRPr="000A03C5">
        <w:rPr>
          <w:rFonts w:hint="cs"/>
          <w:b/>
          <w:bCs/>
          <w:rtl/>
        </w:rPr>
        <w:t>شرط الكشف.</w:t>
      </w:r>
      <w:r>
        <w:rPr>
          <w:rFonts w:hint="cs"/>
          <w:rtl/>
        </w:rPr>
        <w:t xml:space="preserve"> إدراج شرط الكشف في تشريعات الملكية الفكرية/البراءات المتعلقة بالكشف عن المعلومات (مثل</w:t>
      </w:r>
      <w:r w:rsidR="00BF6596">
        <w:rPr>
          <w:rFonts w:hint="eastAsia"/>
          <w:rtl/>
        </w:rPr>
        <w:t> </w:t>
      </w:r>
      <w:r>
        <w:rPr>
          <w:rFonts w:hint="cs"/>
          <w:rtl/>
        </w:rPr>
        <w:t xml:space="preserve">المعلومات الخاصة ببلد منشأ أو مصدر الموارد الوراثية </w:t>
      </w:r>
      <w:r w:rsidR="00FF67B8">
        <w:rPr>
          <w:rFonts w:hint="cs"/>
          <w:rtl/>
        </w:rPr>
        <w:t>والمعارف التقليدية المرتبطة بالموارد الوراثية</w:t>
      </w:r>
      <w:r>
        <w:rPr>
          <w:rFonts w:hint="cs"/>
          <w:rtl/>
        </w:rPr>
        <w:t>) في</w:t>
      </w:r>
      <w:r w:rsidR="00BF6596">
        <w:rPr>
          <w:rFonts w:hint="eastAsia"/>
          <w:rtl/>
        </w:rPr>
        <w:t> </w:t>
      </w:r>
      <w:r>
        <w:rPr>
          <w:rFonts w:hint="cs"/>
          <w:rtl/>
        </w:rPr>
        <w:t xml:space="preserve">الطلبات، </w:t>
      </w:r>
      <w:r w:rsidR="00FF67B8">
        <w:rPr>
          <w:rFonts w:hint="cs"/>
          <w:rtl/>
        </w:rPr>
        <w:t>إذا</w:t>
      </w:r>
      <w:r>
        <w:rPr>
          <w:rFonts w:hint="cs"/>
          <w:rtl/>
        </w:rPr>
        <w:t xml:space="preserve"> كان الموضوع/الاختراع </w:t>
      </w:r>
      <w:r w:rsidR="003A4545">
        <w:rPr>
          <w:rFonts w:hint="cs"/>
          <w:rtl/>
        </w:rPr>
        <w:t>المطالب</w:t>
      </w:r>
      <w:r>
        <w:rPr>
          <w:rFonts w:hint="cs"/>
          <w:rtl/>
        </w:rPr>
        <w:t xml:space="preserve"> </w:t>
      </w:r>
      <w:r w:rsidR="003A4545">
        <w:rPr>
          <w:rFonts w:hint="cs"/>
          <w:rtl/>
        </w:rPr>
        <w:t>ب</w:t>
      </w:r>
      <w:r>
        <w:rPr>
          <w:rFonts w:hint="cs"/>
          <w:rtl/>
        </w:rPr>
        <w:t xml:space="preserve">حمايته </w:t>
      </w:r>
      <w:r w:rsidR="003A4545">
        <w:rPr>
          <w:rFonts w:hint="cs"/>
          <w:rtl/>
        </w:rPr>
        <w:t xml:space="preserve">يشمل </w:t>
      </w:r>
      <w:r w:rsidR="009C60CE">
        <w:rPr>
          <w:rFonts w:hint="cs"/>
          <w:rtl/>
        </w:rPr>
        <w:t>استعمال</w:t>
      </w:r>
      <w:r w:rsidR="003A4545" w:rsidRPr="003A4545">
        <w:rPr>
          <w:rFonts w:hint="cs"/>
          <w:rtl/>
        </w:rPr>
        <w:t xml:space="preserve"> </w:t>
      </w:r>
      <w:r w:rsidR="003A4545">
        <w:rPr>
          <w:rFonts w:hint="cs"/>
          <w:rtl/>
        </w:rPr>
        <w:t>الموارد الوراثية أو المعارف التقليدية المرتبطة بالموارد الوراثية أو يستند بشكل مباشر إليها</w:t>
      </w:r>
      <w:r w:rsidR="00FF67B8">
        <w:rPr>
          <w:rFonts w:hint="cs"/>
          <w:rtl/>
        </w:rPr>
        <w:t xml:space="preserve">. </w:t>
      </w:r>
      <w:r w:rsidR="003A4545">
        <w:rPr>
          <w:rFonts w:hint="cs"/>
          <w:rtl/>
        </w:rPr>
        <w:t xml:space="preserve">وفي إطار </w:t>
      </w:r>
      <w:r w:rsidR="00FF67B8">
        <w:rPr>
          <w:rFonts w:hint="cs"/>
          <w:rtl/>
        </w:rPr>
        <w:t>هذا النهج، تُعتبر التدابير الدفاعية تدابير تكميلية وليس</w:t>
      </w:r>
      <w:r w:rsidR="003A4545">
        <w:rPr>
          <w:rFonts w:hint="cs"/>
          <w:rtl/>
        </w:rPr>
        <w:t>ت</w:t>
      </w:r>
      <w:r w:rsidR="00FF67B8">
        <w:rPr>
          <w:rFonts w:hint="cs"/>
          <w:rtl/>
        </w:rPr>
        <w:t xml:space="preserve"> نهجا بديلا </w:t>
      </w:r>
      <w:r w:rsidR="003A4545">
        <w:rPr>
          <w:rFonts w:hint="cs"/>
          <w:rtl/>
        </w:rPr>
        <w:t>لتناول</w:t>
      </w:r>
      <w:r w:rsidR="00FF67B8">
        <w:rPr>
          <w:rFonts w:hint="cs"/>
          <w:rtl/>
        </w:rPr>
        <w:t xml:space="preserve"> أهداف السياسة</w:t>
      </w:r>
      <w:r w:rsidR="003A4545">
        <w:rPr>
          <w:rFonts w:hint="cs"/>
          <w:rtl/>
        </w:rPr>
        <w:t xml:space="preserve"> العامة</w:t>
      </w:r>
      <w:r w:rsidR="00FF67B8">
        <w:rPr>
          <w:rFonts w:hint="cs"/>
          <w:rtl/>
        </w:rPr>
        <w:t>.</w:t>
      </w:r>
    </w:p>
    <w:p w:rsidR="00FF67B8" w:rsidRDefault="00FF67B8" w:rsidP="003A4545">
      <w:pPr>
        <w:pStyle w:val="NormalParaAR"/>
        <w:numPr>
          <w:ilvl w:val="0"/>
          <w:numId w:val="27"/>
        </w:numPr>
        <w:rPr>
          <w:rtl/>
        </w:rPr>
      </w:pPr>
      <w:r>
        <w:rPr>
          <w:rFonts w:hint="cs"/>
          <w:b/>
          <w:bCs/>
          <w:rtl/>
        </w:rPr>
        <w:t>التدابير الدفاعية.</w:t>
      </w:r>
      <w:r>
        <w:rPr>
          <w:rFonts w:hint="cs"/>
          <w:rtl/>
        </w:rPr>
        <w:t xml:space="preserve"> يشتمل هذا النهج على تدابير من قبيل قواعد </w:t>
      </w:r>
      <w:r w:rsidR="00BF6596">
        <w:rPr>
          <w:rFonts w:hint="cs"/>
          <w:rtl/>
        </w:rPr>
        <w:t>ال</w:t>
      </w:r>
      <w:r>
        <w:rPr>
          <w:rFonts w:hint="cs"/>
          <w:rtl/>
        </w:rPr>
        <w:t>بيانات و</w:t>
      </w:r>
      <w:r w:rsidR="003A4545">
        <w:rPr>
          <w:rFonts w:hint="cs"/>
          <w:rtl/>
        </w:rPr>
        <w:t>ال</w:t>
      </w:r>
      <w:r>
        <w:rPr>
          <w:rFonts w:hint="cs"/>
          <w:rtl/>
        </w:rPr>
        <w:t xml:space="preserve">مدونات </w:t>
      </w:r>
      <w:r w:rsidR="003A4545">
        <w:rPr>
          <w:rFonts w:hint="cs"/>
          <w:rtl/>
        </w:rPr>
        <w:t xml:space="preserve">الاختيارية </w:t>
      </w:r>
      <w:r>
        <w:rPr>
          <w:rFonts w:hint="cs"/>
          <w:rtl/>
        </w:rPr>
        <w:t>و</w:t>
      </w:r>
      <w:r w:rsidR="003A4545">
        <w:rPr>
          <w:rFonts w:hint="cs"/>
          <w:rtl/>
        </w:rPr>
        <w:t>ال</w:t>
      </w:r>
      <w:r>
        <w:rPr>
          <w:rFonts w:hint="cs"/>
          <w:rtl/>
        </w:rPr>
        <w:t xml:space="preserve">مبادئ </w:t>
      </w:r>
      <w:r w:rsidR="003A4545">
        <w:rPr>
          <w:rFonts w:hint="cs"/>
          <w:rtl/>
        </w:rPr>
        <w:t>ال</w:t>
      </w:r>
      <w:r>
        <w:rPr>
          <w:rFonts w:hint="cs"/>
          <w:rtl/>
        </w:rPr>
        <w:t>توجيهية لمكاتب ا</w:t>
      </w:r>
      <w:r w:rsidR="003A4545">
        <w:rPr>
          <w:rFonts w:hint="cs"/>
          <w:rtl/>
        </w:rPr>
        <w:t xml:space="preserve">لملكية الفكرية/البراءات، </w:t>
      </w:r>
      <w:r w:rsidR="003A4545" w:rsidRPr="003A4545">
        <w:rPr>
          <w:rtl/>
        </w:rPr>
        <w:t>وآل</w:t>
      </w:r>
      <w:r w:rsidR="003A4545">
        <w:rPr>
          <w:rtl/>
        </w:rPr>
        <w:t>يات منازعات الأطراف الأخرى و</w:t>
      </w:r>
      <w:r w:rsidR="003A4545">
        <w:rPr>
          <w:rFonts w:hint="cs"/>
          <w:rtl/>
        </w:rPr>
        <w:t xml:space="preserve">أنظمة </w:t>
      </w:r>
      <w:r w:rsidR="003A4545" w:rsidRPr="003A4545">
        <w:rPr>
          <w:rtl/>
        </w:rPr>
        <w:t>العناية الواجبة داخل مكاتب البراءات بموجب القوا</w:t>
      </w:r>
      <w:r w:rsidR="003A4545">
        <w:rPr>
          <w:rtl/>
        </w:rPr>
        <w:t>نين الوطنية لضمان الامتثال لل</w:t>
      </w:r>
      <w:r w:rsidR="003A4545">
        <w:rPr>
          <w:rFonts w:hint="cs"/>
          <w:rtl/>
        </w:rPr>
        <w:t>أنظمة الوجيهة</w:t>
      </w:r>
      <w:r w:rsidR="003A4545" w:rsidRPr="003A4545">
        <w:rPr>
          <w:rtl/>
        </w:rPr>
        <w:t xml:space="preserve"> الخاصة ب</w:t>
      </w:r>
      <w:r w:rsidR="003A4545">
        <w:rPr>
          <w:rFonts w:hint="cs"/>
          <w:rtl/>
        </w:rPr>
        <w:t>النفاذ وتقاسم المنافع</w:t>
      </w:r>
      <w:r w:rsidR="003A4545" w:rsidRPr="003A4545">
        <w:rPr>
          <w:rtl/>
        </w:rPr>
        <w:t>.</w:t>
      </w:r>
    </w:p>
    <w:p w:rsidR="0076565A" w:rsidRPr="00704E36" w:rsidRDefault="003A4545" w:rsidP="00704E36">
      <w:pPr>
        <w:pStyle w:val="NormalParaAR"/>
        <w:keepNext/>
        <w:rPr>
          <w:b/>
          <w:bCs/>
          <w:u w:val="single"/>
          <w:rtl/>
        </w:rPr>
      </w:pPr>
      <w:r w:rsidRPr="00704E36">
        <w:rPr>
          <w:rFonts w:hint="cs"/>
          <w:b/>
          <w:bCs/>
          <w:u w:val="single"/>
          <w:rtl/>
        </w:rPr>
        <w:t>القضايا الرئيسية المطروحة على الدورة الخامسة والثلاثين للجنة المعارف</w:t>
      </w:r>
    </w:p>
    <w:p w:rsidR="003A4545" w:rsidRDefault="00704E36" w:rsidP="00156566">
      <w:pPr>
        <w:pStyle w:val="NormalParaAR"/>
        <w:rPr>
          <w:rtl/>
        </w:rPr>
      </w:pPr>
      <w:r>
        <w:rPr>
          <w:rFonts w:hint="cs"/>
          <w:rtl/>
        </w:rPr>
        <w:t xml:space="preserve">إن القضية الأولى التي يجب النظر فيها هي تحديد </w:t>
      </w:r>
      <w:r w:rsidRPr="00704E36">
        <w:rPr>
          <w:rFonts w:hint="cs"/>
          <w:b/>
          <w:bCs/>
          <w:rtl/>
        </w:rPr>
        <w:t>هدف (أهداف)</w:t>
      </w:r>
      <w:r>
        <w:rPr>
          <w:rFonts w:hint="cs"/>
          <w:rtl/>
        </w:rPr>
        <w:t xml:space="preserve"> الصك، والاتفاق عليه (عليها). ولقد روجع (روجعت) الهدف</w:t>
      </w:r>
      <w:r>
        <w:rPr>
          <w:rFonts w:hint="eastAsia"/>
          <w:rtl/>
        </w:rPr>
        <w:t> </w:t>
      </w:r>
      <w:r>
        <w:rPr>
          <w:rFonts w:hint="cs"/>
          <w:rtl/>
        </w:rPr>
        <w:t>(الأهداف)، ولو أنه لم يُتفق عليه (عليها) بعد، بغرض التركيز على نظام الملكية الفكرية/البراءات.</w:t>
      </w:r>
      <w:r w:rsidR="00001788">
        <w:rPr>
          <w:rFonts w:hint="cs"/>
          <w:rtl/>
        </w:rPr>
        <w:t xml:space="preserve"> </w:t>
      </w:r>
      <w:r w:rsidR="00156566">
        <w:rPr>
          <w:rFonts w:hint="cs"/>
          <w:rtl/>
        </w:rPr>
        <w:t xml:space="preserve">ثمّ يجب </w:t>
      </w:r>
      <w:r>
        <w:rPr>
          <w:rFonts w:hint="cs"/>
          <w:rtl/>
        </w:rPr>
        <w:t xml:space="preserve">الاعتراف بأن العمل الخاص بالموارد الوراثية في الويبو </w:t>
      </w:r>
      <w:r w:rsidR="00BF6596">
        <w:rPr>
          <w:rFonts w:hint="cs"/>
          <w:rtl/>
        </w:rPr>
        <w:t>يرك</w:t>
      </w:r>
      <w:r w:rsidR="00156566">
        <w:rPr>
          <w:rFonts w:hint="cs"/>
          <w:rtl/>
        </w:rPr>
        <w:t xml:space="preserve">ّز </w:t>
      </w:r>
      <w:r>
        <w:rPr>
          <w:rFonts w:hint="cs"/>
          <w:rtl/>
        </w:rPr>
        <w:t xml:space="preserve">على الكيفية التي يمكن بها لنظام الملكية الفكرية/البراءات، من خلال شرط الكشف و/أو التدابير الدفاعية، تحسين تنفيذ نظام الملكية الفكرية/البراءات (بطرق عدة منها، مثلا، </w:t>
      </w:r>
      <w:r w:rsidR="00001788">
        <w:rPr>
          <w:rFonts w:hint="cs"/>
          <w:rtl/>
        </w:rPr>
        <w:t xml:space="preserve">تحسين جودة البراءات </w:t>
      </w:r>
      <w:r w:rsidR="00001788">
        <w:rPr>
          <w:rFonts w:hint="cs"/>
          <w:rtl/>
        </w:rPr>
        <w:lastRenderedPageBreak/>
        <w:t xml:space="preserve">الممنوحة). وقد يسهم ذلك التركيز أيضا، حيثما أمكن، في ضمان دعم متبادل للاتفاقات الدولية المتعلقة بالموارد الوراثية والمعارف التقليدية المرتبطة بالموارد الوراثية، مثل الاتفاقية بشأن التنوع البيولوجي وبروتوكول </w:t>
      </w:r>
      <w:proofErr w:type="spellStart"/>
      <w:r w:rsidR="00001788">
        <w:rPr>
          <w:rFonts w:hint="cs"/>
          <w:rtl/>
        </w:rPr>
        <w:t>ناغويا</w:t>
      </w:r>
      <w:proofErr w:type="spellEnd"/>
      <w:r w:rsidR="00001788">
        <w:rPr>
          <w:rFonts w:hint="cs"/>
          <w:rtl/>
        </w:rPr>
        <w:t xml:space="preserve"> الملحق بها. وبمراعاة ذلك، قد ترغب الدول الأعضاء </w:t>
      </w:r>
      <w:r w:rsidR="00156566">
        <w:rPr>
          <w:rFonts w:hint="cs"/>
          <w:rtl/>
        </w:rPr>
        <w:t>في دمج البدائل الثلاثة للهدف (الأهداف) في الوثيقة الموحدة.</w:t>
      </w:r>
    </w:p>
    <w:p w:rsidR="00156566" w:rsidRDefault="00156566" w:rsidP="00156566">
      <w:pPr>
        <w:pStyle w:val="NormalParaAR"/>
        <w:rPr>
          <w:rtl/>
        </w:rPr>
      </w:pPr>
      <w:r>
        <w:rPr>
          <w:rFonts w:hint="cs"/>
          <w:rtl/>
        </w:rPr>
        <w:t xml:space="preserve">وفيما يخص </w:t>
      </w:r>
      <w:r w:rsidRPr="00156566">
        <w:rPr>
          <w:rFonts w:hint="cs"/>
          <w:b/>
          <w:bCs/>
          <w:rtl/>
        </w:rPr>
        <w:t>شروط الكشف</w:t>
      </w:r>
      <w:r>
        <w:rPr>
          <w:rFonts w:hint="cs"/>
          <w:rtl/>
        </w:rPr>
        <w:t>، فقد خضع</w:t>
      </w:r>
      <w:r w:rsidR="009C60CE">
        <w:rPr>
          <w:rFonts w:hint="cs"/>
          <w:rtl/>
        </w:rPr>
        <w:t>ت</w:t>
      </w:r>
      <w:r>
        <w:rPr>
          <w:rFonts w:hint="cs"/>
          <w:rtl/>
        </w:rPr>
        <w:t xml:space="preserve"> الوثيقة الم</w:t>
      </w:r>
      <w:r w:rsidR="00A364DA">
        <w:rPr>
          <w:rFonts w:hint="cs"/>
          <w:rtl/>
        </w:rPr>
        <w:t xml:space="preserve">وحدة لتنقيح كبير بتضمينها خيار آلية </w:t>
      </w:r>
      <w:r>
        <w:rPr>
          <w:rFonts w:hint="cs"/>
          <w:rtl/>
        </w:rPr>
        <w:t>إدارية يركّز على ضمان الشفافية ضمن نظام الملكية الفكرية/البراءات بدلا من الاقتصار على نظام يستند إلى شرط الأهلية الموضوعية للحماية ببراءة.</w:t>
      </w:r>
      <w:r w:rsidR="009C60CE">
        <w:rPr>
          <w:rFonts w:hint="cs"/>
          <w:rtl/>
        </w:rPr>
        <w:t xml:space="preserve"> وفيما يلي القضايا الرئيسية التي قد ترغب الدول الأعضاء في التركيز عليها في الدورة الخامسة والثلاثين للجنة المعارف:</w:t>
      </w:r>
    </w:p>
    <w:p w:rsidR="009C60CE" w:rsidRDefault="009C60CE" w:rsidP="009C60CE">
      <w:pPr>
        <w:pStyle w:val="NormalParaAR"/>
        <w:numPr>
          <w:ilvl w:val="0"/>
          <w:numId w:val="27"/>
        </w:numPr>
      </w:pPr>
      <w:r>
        <w:rPr>
          <w:rFonts w:hint="cs"/>
          <w:rtl/>
        </w:rPr>
        <w:t xml:space="preserve">هل ينبغي أن تكون شروط الكشف </w:t>
      </w:r>
      <w:r w:rsidRPr="009C60CE">
        <w:rPr>
          <w:rFonts w:hint="cs"/>
          <w:b/>
          <w:bCs/>
          <w:rtl/>
        </w:rPr>
        <w:t>إلزامية أو اختيارية</w:t>
      </w:r>
      <w:r>
        <w:rPr>
          <w:rFonts w:hint="cs"/>
          <w:rtl/>
        </w:rPr>
        <w:t>؟</w:t>
      </w:r>
    </w:p>
    <w:p w:rsidR="009C60CE" w:rsidRDefault="009C60CE" w:rsidP="009C60CE">
      <w:pPr>
        <w:pStyle w:val="NormalParaAR"/>
        <w:numPr>
          <w:ilvl w:val="0"/>
          <w:numId w:val="27"/>
        </w:numPr>
      </w:pPr>
      <w:r>
        <w:rPr>
          <w:rFonts w:hint="cs"/>
          <w:rtl/>
        </w:rPr>
        <w:t xml:space="preserve">بالإضافة إلى الموارد الوراثية، هل ينبغي أن ينطبق الصك أيضا على </w:t>
      </w:r>
      <w:r w:rsidRPr="009C60CE">
        <w:rPr>
          <w:rFonts w:hint="cs"/>
          <w:b/>
          <w:bCs/>
          <w:rtl/>
        </w:rPr>
        <w:t>المشتقات والمعارف التقليدية المرتبطة بالموارد الوراثية</w:t>
      </w:r>
      <w:r>
        <w:rPr>
          <w:rFonts w:hint="cs"/>
          <w:rtl/>
        </w:rPr>
        <w:t>؟</w:t>
      </w:r>
    </w:p>
    <w:p w:rsidR="009C60CE" w:rsidRDefault="009C60CE" w:rsidP="009C60CE">
      <w:pPr>
        <w:pStyle w:val="NormalParaAR"/>
        <w:numPr>
          <w:ilvl w:val="0"/>
          <w:numId w:val="27"/>
        </w:numPr>
      </w:pPr>
      <w:r>
        <w:rPr>
          <w:rFonts w:hint="cs"/>
          <w:rtl/>
        </w:rPr>
        <w:t xml:space="preserve">ما الذي ينبغي أن </w:t>
      </w:r>
      <w:r w:rsidRPr="00315977">
        <w:rPr>
          <w:rFonts w:hint="cs"/>
          <w:b/>
          <w:bCs/>
          <w:rtl/>
        </w:rPr>
        <w:t>يسوّغ</w:t>
      </w:r>
      <w:r w:rsidR="00BF6596">
        <w:rPr>
          <w:rFonts w:hint="cs"/>
          <w:rtl/>
        </w:rPr>
        <w:t xml:space="preserve"> الكشف من ضمن العبارات التالية: </w:t>
      </w:r>
      <w:r>
        <w:rPr>
          <w:rFonts w:hint="cs"/>
          <w:rtl/>
        </w:rPr>
        <w:t>"استعمال" الموضوع، أو "</w:t>
      </w:r>
      <w:r w:rsidR="00315977">
        <w:rPr>
          <w:rFonts w:hint="cs"/>
          <w:rtl/>
        </w:rPr>
        <w:t>مستندا بشكل مباشر إلى" الموضوع، أو "مستندا بشكل مباشر إلى استعمال" الموضوع؟</w:t>
      </w:r>
    </w:p>
    <w:p w:rsidR="00315977" w:rsidRDefault="00576A26" w:rsidP="00315977">
      <w:pPr>
        <w:pStyle w:val="NormalParaAR"/>
        <w:numPr>
          <w:ilvl w:val="0"/>
          <w:numId w:val="27"/>
        </w:numPr>
      </w:pPr>
      <w:r>
        <w:rPr>
          <w:rFonts w:hint="cs"/>
          <w:rtl/>
        </w:rPr>
        <w:t xml:space="preserve">مما </w:t>
      </w:r>
      <w:r w:rsidR="00315977">
        <w:rPr>
          <w:rFonts w:hint="cs"/>
          <w:rtl/>
        </w:rPr>
        <w:t>ينبغي أن ي</w:t>
      </w:r>
      <w:r>
        <w:rPr>
          <w:rFonts w:hint="cs"/>
          <w:rtl/>
        </w:rPr>
        <w:t>ت</w:t>
      </w:r>
      <w:r w:rsidR="00315977">
        <w:rPr>
          <w:rFonts w:hint="cs"/>
          <w:rtl/>
        </w:rPr>
        <w:t xml:space="preserve">شكّل </w:t>
      </w:r>
      <w:r w:rsidR="00315977" w:rsidRPr="00315977">
        <w:rPr>
          <w:rFonts w:hint="cs"/>
          <w:b/>
          <w:bCs/>
          <w:rtl/>
        </w:rPr>
        <w:t>محتوى</w:t>
      </w:r>
      <w:r w:rsidR="00315977">
        <w:rPr>
          <w:rFonts w:hint="cs"/>
          <w:rtl/>
        </w:rPr>
        <w:t xml:space="preserve"> الكشف؟ فعلى سبيل المثال، هل ينبغي أن يكون ذلك المحتوى منشأ و/أو مصدر المعارف التقليدية، والمعلومات المتعلقة بالامتثال لشروط النفاذ وتقاسم المنافع بما في ذلك الموافقة المسبقة</w:t>
      </w:r>
      <w:r w:rsidR="00315977">
        <w:rPr>
          <w:rFonts w:hint="eastAsia"/>
          <w:rtl/>
        </w:rPr>
        <w:t> </w:t>
      </w:r>
      <w:r w:rsidR="00315977">
        <w:rPr>
          <w:rFonts w:hint="cs"/>
          <w:rtl/>
        </w:rPr>
        <w:t>المستنيرة؟</w:t>
      </w:r>
    </w:p>
    <w:p w:rsidR="00315977" w:rsidRDefault="00315977" w:rsidP="00576A26">
      <w:pPr>
        <w:pStyle w:val="NormalParaAR"/>
        <w:numPr>
          <w:ilvl w:val="0"/>
          <w:numId w:val="27"/>
        </w:numPr>
      </w:pPr>
      <w:r>
        <w:rPr>
          <w:rFonts w:hint="cs"/>
          <w:rtl/>
        </w:rPr>
        <w:t xml:space="preserve">هل ينبغي أن تكون هناك </w:t>
      </w:r>
      <w:r w:rsidRPr="00315977">
        <w:rPr>
          <w:rFonts w:hint="cs"/>
          <w:b/>
          <w:bCs/>
          <w:rtl/>
        </w:rPr>
        <w:t>استثناءات وتقييدات</w:t>
      </w:r>
      <w:r>
        <w:rPr>
          <w:rFonts w:hint="cs"/>
          <w:rtl/>
        </w:rPr>
        <w:t xml:space="preserve"> على شرط ا</w:t>
      </w:r>
      <w:r w:rsidR="00576A26">
        <w:rPr>
          <w:rFonts w:hint="cs"/>
          <w:rtl/>
        </w:rPr>
        <w:t>لكشف، وإذا كان الجواب نعم، ما هو الشكل الذي ستتخذه</w:t>
      </w:r>
      <w:r>
        <w:rPr>
          <w:rFonts w:hint="cs"/>
          <w:rtl/>
        </w:rPr>
        <w:t>؟</w:t>
      </w:r>
    </w:p>
    <w:p w:rsidR="00315977" w:rsidRDefault="00315977" w:rsidP="00970BBE">
      <w:pPr>
        <w:pStyle w:val="NormalParaAR"/>
        <w:numPr>
          <w:ilvl w:val="0"/>
          <w:numId w:val="27"/>
        </w:numPr>
      </w:pPr>
      <w:r>
        <w:rPr>
          <w:rFonts w:hint="cs"/>
          <w:rtl/>
        </w:rPr>
        <w:t xml:space="preserve">هل ينبغي أن يتناول هذا الصك القضايا المتعلقة </w:t>
      </w:r>
      <w:r w:rsidRPr="00315977">
        <w:rPr>
          <w:rFonts w:hint="cs"/>
          <w:b/>
          <w:bCs/>
          <w:rtl/>
        </w:rPr>
        <w:t xml:space="preserve">بأهلية </w:t>
      </w:r>
      <w:r w:rsidR="00970BBE">
        <w:rPr>
          <w:rFonts w:hint="cs"/>
          <w:b/>
          <w:bCs/>
          <w:rtl/>
        </w:rPr>
        <w:t>ال</w:t>
      </w:r>
      <w:r w:rsidRPr="00315977">
        <w:rPr>
          <w:rFonts w:hint="cs"/>
          <w:b/>
          <w:bCs/>
          <w:rtl/>
        </w:rPr>
        <w:t>موضوع</w:t>
      </w:r>
      <w:r>
        <w:rPr>
          <w:rFonts w:hint="cs"/>
          <w:rtl/>
        </w:rPr>
        <w:t xml:space="preserve"> </w:t>
      </w:r>
      <w:r w:rsidR="00970BBE">
        <w:rPr>
          <w:rFonts w:hint="cs"/>
          <w:rtl/>
        </w:rPr>
        <w:t>للحماية بموجب ملكية فكرية/</w:t>
      </w:r>
      <w:r>
        <w:rPr>
          <w:rFonts w:hint="cs"/>
          <w:rtl/>
        </w:rPr>
        <w:t xml:space="preserve">براءة </w:t>
      </w:r>
      <w:r w:rsidR="00970BBE">
        <w:rPr>
          <w:rFonts w:hint="cs"/>
          <w:rtl/>
        </w:rPr>
        <w:t>فيما يخص</w:t>
      </w:r>
      <w:r>
        <w:rPr>
          <w:rFonts w:hint="cs"/>
          <w:rtl/>
        </w:rPr>
        <w:t xml:space="preserve"> الموارد الوراثية و/أو مشتقاتها </w:t>
      </w:r>
      <w:r w:rsidRPr="00315977">
        <w:rPr>
          <w:rtl/>
        </w:rPr>
        <w:t xml:space="preserve">بالصيغة التي وُجدت بها في الطبيعة </w:t>
      </w:r>
      <w:r>
        <w:rPr>
          <w:rFonts w:hint="cs"/>
          <w:rtl/>
        </w:rPr>
        <w:t>و/</w:t>
      </w:r>
      <w:r w:rsidRPr="00315977">
        <w:rPr>
          <w:rtl/>
        </w:rPr>
        <w:t>أو عُزلت منها</w:t>
      </w:r>
      <w:r w:rsidR="00970BBE">
        <w:rPr>
          <w:rFonts w:hint="cs"/>
          <w:rtl/>
        </w:rPr>
        <w:t>، وإذا كان الجواب نعم، في أي سياق يمكن تناول تلك القضايا بشكل أفضل، في الديباجة أم في متن الصك؟</w:t>
      </w:r>
    </w:p>
    <w:p w:rsidR="00970BBE" w:rsidRDefault="00FF431A" w:rsidP="00FF431A">
      <w:pPr>
        <w:pStyle w:val="NormalParaAR"/>
        <w:numPr>
          <w:ilvl w:val="0"/>
          <w:numId w:val="27"/>
        </w:numPr>
        <w:rPr>
          <w:rtl/>
        </w:rPr>
      </w:pPr>
      <w:r>
        <w:rPr>
          <w:rFonts w:hint="cs"/>
          <w:rtl/>
        </w:rPr>
        <w:t>ما هو الشكل الذي</w:t>
      </w:r>
      <w:r w:rsidR="00970BBE">
        <w:rPr>
          <w:rFonts w:hint="cs"/>
          <w:rtl/>
        </w:rPr>
        <w:t xml:space="preserve"> ينبغي أن </w:t>
      </w:r>
      <w:r>
        <w:rPr>
          <w:rFonts w:hint="cs"/>
          <w:rtl/>
        </w:rPr>
        <w:t>تتخذه</w:t>
      </w:r>
      <w:r w:rsidR="00970BBE">
        <w:rPr>
          <w:rFonts w:hint="cs"/>
          <w:rtl/>
        </w:rPr>
        <w:t xml:space="preserve"> </w:t>
      </w:r>
      <w:r w:rsidR="00970BBE" w:rsidRPr="00970BBE">
        <w:rPr>
          <w:rFonts w:hint="cs"/>
          <w:b/>
          <w:bCs/>
          <w:rtl/>
        </w:rPr>
        <w:t>نتيجة عدم الامتثال</w:t>
      </w:r>
      <w:r w:rsidR="00970BBE">
        <w:rPr>
          <w:rFonts w:hint="cs"/>
          <w:rtl/>
        </w:rPr>
        <w:t xml:space="preserve">؟ هل ينبغي أن يؤثر عدم الامتثال في صحة براءة ممنوحة، وإذا كان الجواب نعم، </w:t>
      </w:r>
      <w:r w:rsidR="00576A26">
        <w:rPr>
          <w:rFonts w:hint="cs"/>
          <w:rtl/>
        </w:rPr>
        <w:t>ما هو شرط الإبطال الذي سيُسمح به</w:t>
      </w:r>
      <w:r>
        <w:rPr>
          <w:rFonts w:hint="cs"/>
          <w:rtl/>
        </w:rPr>
        <w:t>؟</w:t>
      </w:r>
    </w:p>
    <w:p w:rsidR="00156566" w:rsidRDefault="0036796B" w:rsidP="001833CD">
      <w:pPr>
        <w:pStyle w:val="NormalParaAR"/>
        <w:rPr>
          <w:rtl/>
        </w:rPr>
      </w:pPr>
      <w:r>
        <w:rPr>
          <w:rFonts w:hint="cs"/>
          <w:rtl/>
        </w:rPr>
        <w:t xml:space="preserve">وفيما يخص </w:t>
      </w:r>
      <w:r w:rsidRPr="0036796B">
        <w:rPr>
          <w:rFonts w:hint="cs"/>
          <w:b/>
          <w:bCs/>
          <w:rtl/>
        </w:rPr>
        <w:t>النُهج الدفاعية</w:t>
      </w:r>
      <w:r>
        <w:rPr>
          <w:rFonts w:hint="cs"/>
          <w:rtl/>
        </w:rPr>
        <w:t xml:space="preserve"> المبيّنة في الوثيقة الموحدة، فمن الملاحظ أن بعض الدول الأعضاء ترى أن التدابير الدفاعية فقط، دون أية شروط كشف إضافية أخرى، ستكون أفضل سبيل إلى تحقيق الأهداف، في حين ترى دول أعضاء أخرى أنه يمكن تكملة شروط الكشف بتدابير دفاعية. وعلى هذه الخلفية، قد تودّ الدول الأعضاء النظر في </w:t>
      </w:r>
      <w:r w:rsidR="00A364DA">
        <w:rPr>
          <w:rFonts w:hint="cs"/>
          <w:rtl/>
        </w:rPr>
        <w:t xml:space="preserve">الحاجة إلى </w:t>
      </w:r>
      <w:r w:rsidR="00576A26">
        <w:rPr>
          <w:rFonts w:hint="cs"/>
          <w:rtl/>
        </w:rPr>
        <w:t xml:space="preserve">إدراج </w:t>
      </w:r>
      <w:r w:rsidR="00A364DA">
        <w:rPr>
          <w:rFonts w:hint="cs"/>
          <w:rtl/>
        </w:rPr>
        <w:t xml:space="preserve">تدابير إضافية من </w:t>
      </w:r>
      <w:r w:rsidR="00A364DA" w:rsidRPr="00A364DA">
        <w:rPr>
          <w:rFonts w:hint="cs"/>
          <w:b/>
          <w:bCs/>
          <w:rtl/>
        </w:rPr>
        <w:t>تدابير العناية الواجبة</w:t>
      </w:r>
      <w:r w:rsidR="00A364DA">
        <w:rPr>
          <w:rFonts w:hint="cs"/>
          <w:rtl/>
        </w:rPr>
        <w:t xml:space="preserve"> </w:t>
      </w:r>
      <w:r w:rsidR="00576A26">
        <w:rPr>
          <w:rFonts w:hint="cs"/>
          <w:rtl/>
        </w:rPr>
        <w:t>ضمن</w:t>
      </w:r>
      <w:r w:rsidR="00A364DA">
        <w:rPr>
          <w:rFonts w:hint="cs"/>
          <w:rtl/>
        </w:rPr>
        <w:t xml:space="preserve"> هذا الصك الدولي. ويبدو أن هناك رأي واسع على مستوى الدول الأعضاء بأن </w:t>
      </w:r>
      <w:r w:rsidR="00A364DA" w:rsidRPr="00A364DA">
        <w:rPr>
          <w:rFonts w:hint="cs"/>
          <w:b/>
          <w:bCs/>
          <w:rtl/>
        </w:rPr>
        <w:t>قواعد</w:t>
      </w:r>
      <w:r w:rsidR="00A364DA" w:rsidRPr="00A364DA">
        <w:rPr>
          <w:rFonts w:hint="eastAsia"/>
          <w:b/>
          <w:bCs/>
          <w:rtl/>
        </w:rPr>
        <w:t> </w:t>
      </w:r>
      <w:r w:rsidR="00A364DA" w:rsidRPr="00A364DA">
        <w:rPr>
          <w:rFonts w:hint="cs"/>
          <w:b/>
          <w:bCs/>
          <w:rtl/>
        </w:rPr>
        <w:t>البيانات</w:t>
      </w:r>
      <w:r w:rsidR="00A364DA">
        <w:rPr>
          <w:rFonts w:hint="cs"/>
          <w:rtl/>
        </w:rPr>
        <w:t>، أيا كان النهج المُتبّع (شرط كشف أم لا)، لها دور أساسي فيما يخص نظام الملكية الفكرية/البراءات والموارد</w:t>
      </w:r>
      <w:r w:rsidR="00576A26">
        <w:rPr>
          <w:rFonts w:hint="eastAsia"/>
          <w:rtl/>
        </w:rPr>
        <w:t> </w:t>
      </w:r>
      <w:r w:rsidR="00A364DA">
        <w:rPr>
          <w:rFonts w:hint="cs"/>
          <w:rtl/>
        </w:rPr>
        <w:t xml:space="preserve">الوراثية. ويمكن للدول الأعضاء النظر في إمكانية </w:t>
      </w:r>
      <w:r w:rsidR="001833CD">
        <w:rPr>
          <w:rFonts w:hint="cs"/>
          <w:rtl/>
        </w:rPr>
        <w:t>تصوّر</w:t>
      </w:r>
      <w:r w:rsidR="00A364DA">
        <w:rPr>
          <w:rFonts w:hint="cs"/>
          <w:rtl/>
        </w:rPr>
        <w:t xml:space="preserve"> قواعد البيانات باعتبارها تدابير دفاعية قائمة بحد ذاتها لتحقيق أهداف السياسة العامة أو مجرّد تدابير تكميلية لشرط الكشف.</w:t>
      </w:r>
    </w:p>
    <w:p w:rsidR="00A364DA" w:rsidRDefault="00A364DA" w:rsidP="0080774B">
      <w:pPr>
        <w:pStyle w:val="NormalParaAR"/>
        <w:rPr>
          <w:rtl/>
        </w:rPr>
      </w:pPr>
      <w:r>
        <w:rPr>
          <w:rFonts w:hint="cs"/>
          <w:rtl/>
        </w:rPr>
        <w:t>وفي حين تمثّل هذه المذكرة موجزا مقتضبا غير رسمي للقضايا السيا</w:t>
      </w:r>
      <w:r w:rsidR="001861AD">
        <w:rPr>
          <w:rFonts w:hint="cs"/>
          <w:rtl/>
        </w:rPr>
        <w:t>سية/الموضوعية الرئيسية، فإن لجنة المعارف قد ترغب أيضا في تحديد ما يوجد من آليات وعمليات أخرى داخل لجنة المع</w:t>
      </w:r>
      <w:r w:rsidR="0080774B">
        <w:rPr>
          <w:rFonts w:hint="cs"/>
          <w:rtl/>
        </w:rPr>
        <w:t>ارف مما يتيح أفضل السُبل ل</w:t>
      </w:r>
      <w:r w:rsidR="001861AD">
        <w:rPr>
          <w:rFonts w:hint="cs"/>
          <w:rtl/>
        </w:rPr>
        <w:t>مناقشة القضايا بشكل مجد والتوصل إلى اتفاق حولها. فقد سبق للجنة المعارف، مثلا، استعمال مزيج من الجلسات العامة وغير الرسمية، والولاية الجديدة للثنائية</w:t>
      </w:r>
      <w:r w:rsidR="0080774B">
        <w:rPr>
          <w:rFonts w:hint="eastAsia"/>
          <w:rtl/>
        </w:rPr>
        <w:t> </w:t>
      </w:r>
      <w:r w:rsidR="001861AD">
        <w:rPr>
          <w:rFonts w:hint="cs"/>
          <w:rtl/>
        </w:rPr>
        <w:t>2018-2019 تشير إلى إمكانية إنشاء فريق (أفرقة) خبراء مخصّص "</w:t>
      </w:r>
      <w:r w:rsidR="001861AD" w:rsidRPr="001861AD">
        <w:rPr>
          <w:rtl/>
        </w:rPr>
        <w:t xml:space="preserve"> لمعالجة مسألة قانونية أو سياسية أو</w:t>
      </w:r>
      <w:r w:rsidR="001861AD">
        <w:rPr>
          <w:rFonts w:hint="cs"/>
          <w:rtl/>
        </w:rPr>
        <w:t> </w:t>
      </w:r>
      <w:r w:rsidR="001861AD" w:rsidRPr="001861AD">
        <w:rPr>
          <w:rtl/>
        </w:rPr>
        <w:t>تقنية محدّدة</w:t>
      </w:r>
      <w:r w:rsidR="001861AD">
        <w:rPr>
          <w:rFonts w:hint="cs"/>
          <w:rtl/>
        </w:rPr>
        <w:t>".</w:t>
      </w:r>
    </w:p>
    <w:p w:rsidR="00FF431A" w:rsidRPr="00FF431A" w:rsidRDefault="00FF431A" w:rsidP="00FF431A">
      <w:pPr>
        <w:pStyle w:val="NormalParaAR"/>
        <w:keepNext/>
        <w:rPr>
          <w:b/>
          <w:bCs/>
          <w:u w:val="single"/>
          <w:rtl/>
        </w:rPr>
      </w:pPr>
      <w:r w:rsidRPr="00FF431A">
        <w:rPr>
          <w:rFonts w:hint="cs"/>
          <w:b/>
          <w:bCs/>
          <w:u w:val="single"/>
          <w:rtl/>
        </w:rPr>
        <w:lastRenderedPageBreak/>
        <w:t>معلومات مفيدة أخرى</w:t>
      </w:r>
    </w:p>
    <w:p w:rsidR="00FF431A" w:rsidRDefault="00FF431A" w:rsidP="0080774B">
      <w:pPr>
        <w:pStyle w:val="NormalParaAR"/>
        <w:rPr>
          <w:rtl/>
        </w:rPr>
      </w:pPr>
      <w:r>
        <w:rPr>
          <w:rFonts w:hint="cs"/>
          <w:rtl/>
        </w:rPr>
        <w:t>ألاحظ أن هناك بعض الموارد المفيدة للغاية المتاحة على موقع الويبو الإلكتروني، والتي قد ترغب الدول الأعضاء في</w:t>
      </w:r>
      <w:r w:rsidR="0080774B">
        <w:rPr>
          <w:rFonts w:hint="eastAsia"/>
          <w:rtl/>
        </w:rPr>
        <w:t> </w:t>
      </w:r>
      <w:r>
        <w:rPr>
          <w:rFonts w:hint="cs"/>
          <w:rtl/>
        </w:rPr>
        <w:t>استخدامها كمواد مرجعية في تحضيرها للدورة الخامسة والثلاثين للجنة المعارف، ومنها ما يلي:</w:t>
      </w:r>
    </w:p>
    <w:p w:rsidR="00FF431A" w:rsidRDefault="00FF431A" w:rsidP="00FF431A">
      <w:pPr>
        <w:pStyle w:val="NormalParaAR"/>
        <w:numPr>
          <w:ilvl w:val="0"/>
          <w:numId w:val="27"/>
        </w:numPr>
      </w:pPr>
      <w:r w:rsidRPr="00FF431A">
        <w:rPr>
          <w:rtl/>
        </w:rPr>
        <w:t>المسائل الرئيسية المتعلقة بشروط الكشف عن البراءات فيما يخص الموارد الوراثية والمعارف التقليدية</w:t>
      </w:r>
      <w:r>
        <w:rPr>
          <w:rFonts w:hint="cs"/>
          <w:rtl/>
        </w:rPr>
        <w:t xml:space="preserve">، </w:t>
      </w:r>
      <w:hyperlink r:id="rId9" w:history="1">
        <w:r w:rsidRPr="00C80418">
          <w:rPr>
            <w:rStyle w:val="Hyperlink"/>
          </w:rPr>
          <w:t>http://www.wipo.int/publications/ar/details.jsp?id=4194</w:t>
        </w:r>
        <w:r w:rsidRPr="0036796B">
          <w:rPr>
            <w:rStyle w:val="Hyperlink"/>
            <w:rFonts w:hint="cs"/>
            <w:color w:val="auto"/>
            <w:u w:val="none"/>
            <w:rtl/>
          </w:rPr>
          <w:t>؛</w:t>
        </w:r>
      </w:hyperlink>
    </w:p>
    <w:p w:rsidR="00FF431A" w:rsidRDefault="00FF431A" w:rsidP="00FF431A">
      <w:pPr>
        <w:pStyle w:val="NormalParaAR"/>
        <w:numPr>
          <w:ilvl w:val="0"/>
          <w:numId w:val="27"/>
        </w:numPr>
      </w:pPr>
      <w:r>
        <w:rPr>
          <w:rFonts w:hint="cs"/>
          <w:rtl/>
        </w:rPr>
        <w:t xml:space="preserve">جدول شروط الكشف، </w:t>
      </w:r>
      <w:hyperlink r:id="rId10" w:history="1">
        <w:r w:rsidR="0036796B" w:rsidRPr="00C80418">
          <w:rPr>
            <w:rStyle w:val="Hyperlink"/>
          </w:rPr>
          <w:t>http://www.wipo.int/export/sites/www/tk/en/documents/pdf/genetic_resources_disclosure.pdf</w:t>
        </w:r>
        <w:r w:rsidR="0036796B" w:rsidRPr="0036796B">
          <w:rPr>
            <w:rStyle w:val="Hyperlink"/>
            <w:rFonts w:hint="cs"/>
            <w:color w:val="auto"/>
            <w:u w:val="none"/>
            <w:rtl/>
          </w:rPr>
          <w:t>؛</w:t>
        </w:r>
      </w:hyperlink>
    </w:p>
    <w:p w:rsidR="0036796B" w:rsidRDefault="0036796B" w:rsidP="0036796B">
      <w:pPr>
        <w:pStyle w:val="NormalParaAR"/>
        <w:numPr>
          <w:ilvl w:val="0"/>
          <w:numId w:val="27"/>
        </w:numPr>
      </w:pPr>
      <w:r>
        <w:rPr>
          <w:rFonts w:hint="cs"/>
          <w:rtl/>
        </w:rPr>
        <w:t xml:space="preserve">موجز المعلومات الأساسية رقم 10: الملكية الفكرية والموارد الوراثية، </w:t>
      </w:r>
      <w:hyperlink r:id="rId11" w:history="1">
        <w:r w:rsidRPr="00C80418">
          <w:rPr>
            <w:rStyle w:val="Hyperlink"/>
          </w:rPr>
          <w:t>http://www.wipo.int/publications/ar/details.jsp?id=4011</w:t>
        </w:r>
        <w:r w:rsidRPr="0036796B">
          <w:rPr>
            <w:rStyle w:val="Hyperlink"/>
            <w:rFonts w:hint="cs"/>
            <w:color w:val="auto"/>
            <w:u w:val="none"/>
            <w:rtl/>
          </w:rPr>
          <w:t>؛</w:t>
        </w:r>
      </w:hyperlink>
    </w:p>
    <w:p w:rsidR="0036796B" w:rsidRDefault="0036796B" w:rsidP="0036796B">
      <w:pPr>
        <w:pStyle w:val="NormalParaAR"/>
        <w:numPr>
          <w:ilvl w:val="0"/>
          <w:numId w:val="27"/>
        </w:numPr>
      </w:pPr>
      <w:r>
        <w:rPr>
          <w:rFonts w:hint="cs"/>
          <w:rtl/>
        </w:rPr>
        <w:t xml:space="preserve">التجارب الإقليمية والوطنية والمحلية والمجتمعية، </w:t>
      </w:r>
      <w:hyperlink r:id="rId12" w:history="1">
        <w:r w:rsidRPr="00C80418">
          <w:rPr>
            <w:rStyle w:val="Hyperlink"/>
          </w:rPr>
          <w:t>http://www.wipo.int/tk/en/resources/tk_experiences.html</w:t>
        </w:r>
        <w:r w:rsidRPr="0036796B">
          <w:rPr>
            <w:rStyle w:val="Hyperlink"/>
            <w:rFonts w:hint="cs"/>
            <w:color w:val="auto"/>
            <w:u w:val="none"/>
            <w:rtl/>
          </w:rPr>
          <w:t>؛</w:t>
        </w:r>
      </w:hyperlink>
    </w:p>
    <w:p w:rsidR="0036796B" w:rsidRDefault="0036796B" w:rsidP="0036796B">
      <w:pPr>
        <w:pStyle w:val="NormalParaAR"/>
        <w:numPr>
          <w:ilvl w:val="0"/>
          <w:numId w:val="27"/>
        </w:numPr>
      </w:pPr>
      <w:r>
        <w:rPr>
          <w:rFonts w:hint="cs"/>
          <w:rtl/>
        </w:rPr>
        <w:t xml:space="preserve">محاضرات وعروض بشأن موضوعات مختارة، </w:t>
      </w:r>
      <w:hyperlink r:id="rId13" w:anchor="4" w:history="1">
        <w:r w:rsidRPr="0036796B">
          <w:rPr>
            <w:rStyle w:val="Hyperlink"/>
          </w:rPr>
          <w:t>http://www.wipo.int/tk/en/resources/tk_experiences.html#4</w:t>
        </w:r>
      </w:hyperlink>
    </w:p>
    <w:p w:rsidR="0036796B" w:rsidRDefault="0036796B" w:rsidP="0036796B">
      <w:pPr>
        <w:pStyle w:val="NormalParaAR"/>
        <w:numPr>
          <w:ilvl w:val="0"/>
          <w:numId w:val="28"/>
        </w:numPr>
        <w:ind w:left="1133" w:firstLine="0"/>
      </w:pPr>
      <w:r>
        <w:rPr>
          <w:rFonts w:hint="cs"/>
          <w:rtl/>
        </w:rPr>
        <w:t>عروض بشأن شروط الكشف؛</w:t>
      </w:r>
    </w:p>
    <w:p w:rsidR="0036796B" w:rsidRDefault="0036796B" w:rsidP="0036796B">
      <w:pPr>
        <w:pStyle w:val="NormalParaAR"/>
        <w:numPr>
          <w:ilvl w:val="0"/>
          <w:numId w:val="28"/>
        </w:numPr>
        <w:ind w:left="1133" w:firstLine="0"/>
      </w:pPr>
      <w:r>
        <w:rPr>
          <w:rFonts w:hint="cs"/>
          <w:rtl/>
        </w:rPr>
        <w:t>وعروض بشأن قواعد البيانات.</w:t>
      </w:r>
    </w:p>
    <w:p w:rsidR="0036796B" w:rsidRDefault="0036796B" w:rsidP="0036796B">
      <w:pPr>
        <w:pStyle w:val="NormalParaAR"/>
        <w:ind w:left="1133"/>
        <w:jc w:val="center"/>
        <w:rPr>
          <w:rtl/>
        </w:rPr>
      </w:pPr>
      <w:r>
        <w:rPr>
          <w:rFonts w:hint="cs"/>
          <w:rtl/>
        </w:rPr>
        <w:t>ـــــــــــــــــــــــــ</w:t>
      </w:r>
    </w:p>
    <w:sectPr w:rsidR="0036796B" w:rsidSect="0076565A">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68" w:rsidRDefault="00776F68">
      <w:r>
        <w:separator/>
      </w:r>
    </w:p>
  </w:endnote>
  <w:endnote w:type="continuationSeparator" w:id="0">
    <w:p w:rsidR="00776F68" w:rsidRDefault="0077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68" w:rsidRDefault="00776F68" w:rsidP="009622BF">
      <w:pPr>
        <w:bidi/>
      </w:pPr>
      <w:bookmarkStart w:id="0" w:name="OLE_LINK1"/>
      <w:bookmarkStart w:id="1" w:name="OLE_LINK2"/>
      <w:r>
        <w:separator/>
      </w:r>
      <w:bookmarkEnd w:id="0"/>
      <w:bookmarkEnd w:id="1"/>
    </w:p>
  </w:footnote>
  <w:footnote w:type="continuationSeparator" w:id="0">
    <w:p w:rsidR="00776F68" w:rsidRDefault="00776F68" w:rsidP="009622BF">
      <w:pPr>
        <w:bidi/>
      </w:pPr>
      <w:r>
        <w:separator/>
      </w:r>
    </w:p>
  </w:footnote>
  <w:footnote w:id="1">
    <w:p w:rsidR="00D13391" w:rsidRDefault="00D13391" w:rsidP="007A1C82">
      <w:pPr>
        <w:pStyle w:val="FootnoteText"/>
      </w:pPr>
      <w:r>
        <w:rPr>
          <w:rStyle w:val="FootnoteReference"/>
        </w:rPr>
        <w:footnoteRef/>
      </w:r>
      <w:r>
        <w:rPr>
          <w:rFonts w:hint="cs"/>
          <w:rtl/>
        </w:rPr>
        <w:tab/>
      </w:r>
      <w:r>
        <w:rPr>
          <w:rFonts w:hint="cs"/>
          <w:rtl/>
          <w:lang w:bidi="ar-EG"/>
        </w:rPr>
        <w:t>ملاحظة</w:t>
      </w:r>
      <w:r w:rsidRPr="001F0D91">
        <w:rPr>
          <w:rtl/>
          <w:lang w:bidi="ar-EG"/>
        </w:rPr>
        <w:t xml:space="preserve"> من أمانة الويبو: أعد</w:t>
      </w:r>
      <w:r>
        <w:rPr>
          <w:rFonts w:hint="cs"/>
          <w:rtl/>
          <w:lang w:bidi="ar-EG"/>
        </w:rPr>
        <w:t>َّ</w:t>
      </w:r>
      <w:r>
        <w:rPr>
          <w:rtl/>
          <w:lang w:bidi="ar-EG"/>
        </w:rPr>
        <w:t xml:space="preserve"> رئيس </w:t>
      </w:r>
      <w:r w:rsidRPr="001F0D91">
        <w:rPr>
          <w:rtl/>
          <w:lang w:bidi="ar-EG"/>
        </w:rPr>
        <w:t xml:space="preserve">لجنة </w:t>
      </w:r>
      <w:r>
        <w:rPr>
          <w:rFonts w:hint="cs"/>
          <w:rtl/>
          <w:lang w:bidi="ar-EG"/>
        </w:rPr>
        <w:t xml:space="preserve">المعارف </w:t>
      </w:r>
      <w:r w:rsidR="007A1C82">
        <w:rPr>
          <w:rFonts w:hint="cs"/>
          <w:rtl/>
          <w:lang w:bidi="ar-EG"/>
        </w:rPr>
        <w:t>المكلَّف</w:t>
      </w:r>
      <w:r w:rsidRPr="001F0D91">
        <w:rPr>
          <w:rtl/>
          <w:lang w:bidi="ar-EG"/>
        </w:rPr>
        <w:t xml:space="preserve">، السيد إيان </w:t>
      </w:r>
      <w:proofErr w:type="spellStart"/>
      <w:r w:rsidRPr="001F0D91">
        <w:rPr>
          <w:rtl/>
          <w:lang w:bidi="ar-EG"/>
        </w:rPr>
        <w:t>غوس</w:t>
      </w:r>
      <w:proofErr w:type="spellEnd"/>
      <w:r w:rsidRPr="001F0D91">
        <w:rPr>
          <w:rtl/>
          <w:lang w:bidi="ar-EG"/>
        </w:rPr>
        <w:t xml:space="preserve">، هذه المذكرة الإعلامية لمساعدة الدول الأعضاء </w:t>
      </w:r>
      <w:r>
        <w:rPr>
          <w:rFonts w:hint="cs"/>
          <w:rtl/>
          <w:lang w:bidi="ar-EG"/>
        </w:rPr>
        <w:t>على التحضير للدورة الخامسة والثلاثين</w:t>
      </w:r>
      <w:r w:rsidRPr="001F0D91">
        <w:rPr>
          <w:rtl/>
          <w:lang w:bidi="ar-EG"/>
        </w:rPr>
        <w:t xml:space="preserve"> للجنة </w:t>
      </w:r>
      <w:r>
        <w:rPr>
          <w:rFonts w:hint="cs"/>
          <w:rtl/>
        </w:rPr>
        <w:t>المعارف</w:t>
      </w:r>
      <w:r w:rsidRPr="001F0D91">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DA" w:rsidRDefault="00CB6CDA" w:rsidP="00D61541">
    <w:pPr>
      <w:rPr>
        <w:rtl/>
      </w:rPr>
    </w:pPr>
  </w:p>
  <w:p w:rsidR="0076565A" w:rsidRDefault="0076565A" w:rsidP="0076565A">
    <w:r>
      <w:fldChar w:fldCharType="begin"/>
    </w:r>
    <w:r>
      <w:instrText xml:space="preserve"> PAGE   \* MERGEFORMAT </w:instrText>
    </w:r>
    <w:r>
      <w:fldChar w:fldCharType="separate"/>
    </w:r>
    <w:r w:rsidR="000E6209">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4A712B"/>
    <w:multiLevelType w:val="hybridMultilevel"/>
    <w:tmpl w:val="C3182688"/>
    <w:lvl w:ilvl="0" w:tplc="9658268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465A74"/>
    <w:multiLevelType w:val="hybridMultilevel"/>
    <w:tmpl w:val="9F667D6C"/>
    <w:lvl w:ilvl="0" w:tplc="3AF67D36">
      <w:numFmt w:val="bullet"/>
      <w:lvlText w:val=""/>
      <w:lvlJc w:val="left"/>
      <w:pPr>
        <w:ind w:left="720" w:hanging="360"/>
      </w:pPr>
      <w:rPr>
        <w:rFonts w:ascii="Symbol" w:eastAsia="Times New Roman" w:hAnsi="Symbol" w:cs="Arabic Typesetting" w:hint="default"/>
        <w:sz w:val="22"/>
        <w:szCs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EB0CE2"/>
    <w:multiLevelType w:val="hybridMultilevel"/>
    <w:tmpl w:val="F11ED208"/>
    <w:lvl w:ilvl="0" w:tplc="426A6D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507766"/>
    <w:multiLevelType w:val="hybridMultilevel"/>
    <w:tmpl w:val="4920A7EC"/>
    <w:lvl w:ilvl="0" w:tplc="42EA5FEE">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935C4"/>
    <w:multiLevelType w:val="hybridMultilevel"/>
    <w:tmpl w:val="9AF4EBA6"/>
    <w:lvl w:ilvl="0" w:tplc="C4BE3368">
      <w:start w:val="8"/>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1F87C29"/>
    <w:multiLevelType w:val="hybridMultilevel"/>
    <w:tmpl w:val="FC44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A57C66"/>
    <w:multiLevelType w:val="hybridMultilevel"/>
    <w:tmpl w:val="845C47A6"/>
    <w:lvl w:ilvl="0" w:tplc="42EA5FEE">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696505"/>
    <w:multiLevelType w:val="hybridMultilevel"/>
    <w:tmpl w:val="D30638DA"/>
    <w:lvl w:ilvl="0" w:tplc="5ED2F252">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9"/>
  </w:num>
  <w:num w:numId="3">
    <w:abstractNumId w:val="11"/>
  </w:num>
  <w:num w:numId="4">
    <w:abstractNumId w:val="22"/>
  </w:num>
  <w:num w:numId="5">
    <w:abstractNumId w:val="8"/>
  </w:num>
  <w:num w:numId="6">
    <w:abstractNumId w:val="26"/>
  </w:num>
  <w:num w:numId="7">
    <w:abstractNumId w:val="16"/>
  </w:num>
  <w:num w:numId="8">
    <w:abstractNumId w:val="21"/>
  </w:num>
  <w:num w:numId="9">
    <w:abstractNumId w:val="20"/>
  </w:num>
  <w:num w:numId="10">
    <w:abstractNumId w:val="2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23"/>
  </w:num>
  <w:num w:numId="23">
    <w:abstractNumId w:val="14"/>
  </w:num>
  <w:num w:numId="24">
    <w:abstractNumId w:val="18"/>
  </w:num>
  <w:num w:numId="25">
    <w:abstractNumId w:val="24"/>
  </w:num>
  <w:num w:numId="26">
    <w:abstractNumId w:val="25"/>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51"/>
    <w:rsid w:val="00001788"/>
    <w:rsid w:val="00002CBE"/>
    <w:rsid w:val="00003232"/>
    <w:rsid w:val="000033DA"/>
    <w:rsid w:val="00004AF1"/>
    <w:rsid w:val="0000579F"/>
    <w:rsid w:val="000074D1"/>
    <w:rsid w:val="000076BD"/>
    <w:rsid w:val="00010481"/>
    <w:rsid w:val="00010671"/>
    <w:rsid w:val="000114E2"/>
    <w:rsid w:val="00011AEF"/>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3D67"/>
    <w:rsid w:val="00035CE8"/>
    <w:rsid w:val="00036041"/>
    <w:rsid w:val="00040637"/>
    <w:rsid w:val="00040688"/>
    <w:rsid w:val="0004070F"/>
    <w:rsid w:val="0004115B"/>
    <w:rsid w:val="00042CCD"/>
    <w:rsid w:val="00042F2D"/>
    <w:rsid w:val="000432B2"/>
    <w:rsid w:val="000432CF"/>
    <w:rsid w:val="000438A8"/>
    <w:rsid w:val="00044AC0"/>
    <w:rsid w:val="00045B68"/>
    <w:rsid w:val="00045E69"/>
    <w:rsid w:val="000461CA"/>
    <w:rsid w:val="00046EDC"/>
    <w:rsid w:val="00047497"/>
    <w:rsid w:val="000500C9"/>
    <w:rsid w:val="0005014C"/>
    <w:rsid w:val="000508E2"/>
    <w:rsid w:val="00050A69"/>
    <w:rsid w:val="00050C55"/>
    <w:rsid w:val="00050F28"/>
    <w:rsid w:val="00053836"/>
    <w:rsid w:val="00054659"/>
    <w:rsid w:val="00055FA2"/>
    <w:rsid w:val="000571DD"/>
    <w:rsid w:val="00060DCF"/>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74C"/>
    <w:rsid w:val="00085A0B"/>
    <w:rsid w:val="000863B7"/>
    <w:rsid w:val="00087DB6"/>
    <w:rsid w:val="00090139"/>
    <w:rsid w:val="0009024C"/>
    <w:rsid w:val="00090ADD"/>
    <w:rsid w:val="000913C0"/>
    <w:rsid w:val="00091F52"/>
    <w:rsid w:val="00092982"/>
    <w:rsid w:val="00092DD6"/>
    <w:rsid w:val="000931A6"/>
    <w:rsid w:val="00094C85"/>
    <w:rsid w:val="00094D7E"/>
    <w:rsid w:val="0009517B"/>
    <w:rsid w:val="00095AE2"/>
    <w:rsid w:val="000962DF"/>
    <w:rsid w:val="0009661E"/>
    <w:rsid w:val="000A03C5"/>
    <w:rsid w:val="000A087D"/>
    <w:rsid w:val="000A12BC"/>
    <w:rsid w:val="000A1306"/>
    <w:rsid w:val="000A1521"/>
    <w:rsid w:val="000A2FC1"/>
    <w:rsid w:val="000A3A57"/>
    <w:rsid w:val="000A41E0"/>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209"/>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40B"/>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990"/>
    <w:rsid w:val="00135C24"/>
    <w:rsid w:val="00136389"/>
    <w:rsid w:val="00136A1A"/>
    <w:rsid w:val="00136A96"/>
    <w:rsid w:val="001376B6"/>
    <w:rsid w:val="00137E93"/>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566"/>
    <w:rsid w:val="001568F4"/>
    <w:rsid w:val="001572CE"/>
    <w:rsid w:val="001603F7"/>
    <w:rsid w:val="00160C95"/>
    <w:rsid w:val="00162777"/>
    <w:rsid w:val="0016337E"/>
    <w:rsid w:val="00164691"/>
    <w:rsid w:val="00164BD2"/>
    <w:rsid w:val="00164FC6"/>
    <w:rsid w:val="00165AC3"/>
    <w:rsid w:val="001665F3"/>
    <w:rsid w:val="001667B6"/>
    <w:rsid w:val="001668D4"/>
    <w:rsid w:val="00166A09"/>
    <w:rsid w:val="00167809"/>
    <w:rsid w:val="00167F30"/>
    <w:rsid w:val="00171844"/>
    <w:rsid w:val="00172858"/>
    <w:rsid w:val="0017385A"/>
    <w:rsid w:val="00175448"/>
    <w:rsid w:val="001757AF"/>
    <w:rsid w:val="00175825"/>
    <w:rsid w:val="0017666F"/>
    <w:rsid w:val="00176D64"/>
    <w:rsid w:val="00176E2C"/>
    <w:rsid w:val="00177DBF"/>
    <w:rsid w:val="00182417"/>
    <w:rsid w:val="0018242F"/>
    <w:rsid w:val="001833CD"/>
    <w:rsid w:val="0018414E"/>
    <w:rsid w:val="00185718"/>
    <w:rsid w:val="001857AF"/>
    <w:rsid w:val="00185BBE"/>
    <w:rsid w:val="001861AD"/>
    <w:rsid w:val="00186606"/>
    <w:rsid w:val="00190B6D"/>
    <w:rsid w:val="00191E75"/>
    <w:rsid w:val="00192022"/>
    <w:rsid w:val="001921DC"/>
    <w:rsid w:val="0019301D"/>
    <w:rsid w:val="0019454F"/>
    <w:rsid w:val="00194719"/>
    <w:rsid w:val="00194774"/>
    <w:rsid w:val="00195CE0"/>
    <w:rsid w:val="001A098F"/>
    <w:rsid w:val="001A10CB"/>
    <w:rsid w:val="001A110B"/>
    <w:rsid w:val="001A149A"/>
    <w:rsid w:val="001A2002"/>
    <w:rsid w:val="001A2AB7"/>
    <w:rsid w:val="001A4A9C"/>
    <w:rsid w:val="001A6B88"/>
    <w:rsid w:val="001A6C33"/>
    <w:rsid w:val="001A6E68"/>
    <w:rsid w:val="001B3131"/>
    <w:rsid w:val="001B456B"/>
    <w:rsid w:val="001B4B2F"/>
    <w:rsid w:val="001B788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41"/>
    <w:rsid w:val="001D6A48"/>
    <w:rsid w:val="001E1043"/>
    <w:rsid w:val="001E10E1"/>
    <w:rsid w:val="001E175F"/>
    <w:rsid w:val="001E19F7"/>
    <w:rsid w:val="001E2669"/>
    <w:rsid w:val="001E2E56"/>
    <w:rsid w:val="001E3FB9"/>
    <w:rsid w:val="001E4083"/>
    <w:rsid w:val="001E5588"/>
    <w:rsid w:val="001E56CB"/>
    <w:rsid w:val="001E56FC"/>
    <w:rsid w:val="001E582D"/>
    <w:rsid w:val="001E6318"/>
    <w:rsid w:val="001F0AD5"/>
    <w:rsid w:val="001F0C0A"/>
    <w:rsid w:val="001F0D91"/>
    <w:rsid w:val="001F1509"/>
    <w:rsid w:val="001F18E7"/>
    <w:rsid w:val="001F3A75"/>
    <w:rsid w:val="001F3A9D"/>
    <w:rsid w:val="001F3FDB"/>
    <w:rsid w:val="001F6545"/>
    <w:rsid w:val="001F66B5"/>
    <w:rsid w:val="001F6E3B"/>
    <w:rsid w:val="001F6F36"/>
    <w:rsid w:val="001F76FD"/>
    <w:rsid w:val="002004C0"/>
    <w:rsid w:val="002012F2"/>
    <w:rsid w:val="002014D7"/>
    <w:rsid w:val="0020153C"/>
    <w:rsid w:val="00202F07"/>
    <w:rsid w:val="00203030"/>
    <w:rsid w:val="00203D45"/>
    <w:rsid w:val="00205495"/>
    <w:rsid w:val="002061DE"/>
    <w:rsid w:val="002065E2"/>
    <w:rsid w:val="00206C61"/>
    <w:rsid w:val="00206F30"/>
    <w:rsid w:val="002072D8"/>
    <w:rsid w:val="00207616"/>
    <w:rsid w:val="00207F10"/>
    <w:rsid w:val="00211093"/>
    <w:rsid w:val="002112E6"/>
    <w:rsid w:val="00213213"/>
    <w:rsid w:val="0021457F"/>
    <w:rsid w:val="0021505D"/>
    <w:rsid w:val="0021604B"/>
    <w:rsid w:val="0021610F"/>
    <w:rsid w:val="00216545"/>
    <w:rsid w:val="00220227"/>
    <w:rsid w:val="0022176B"/>
    <w:rsid w:val="00222760"/>
    <w:rsid w:val="00222782"/>
    <w:rsid w:val="0022360A"/>
    <w:rsid w:val="00223D07"/>
    <w:rsid w:val="00226B82"/>
    <w:rsid w:val="00227103"/>
    <w:rsid w:val="00230249"/>
    <w:rsid w:val="00230D5F"/>
    <w:rsid w:val="00231BE3"/>
    <w:rsid w:val="00232C51"/>
    <w:rsid w:val="00233414"/>
    <w:rsid w:val="00233D69"/>
    <w:rsid w:val="00234E82"/>
    <w:rsid w:val="00235C9D"/>
    <w:rsid w:val="00240B08"/>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4DF8"/>
    <w:rsid w:val="002559DA"/>
    <w:rsid w:val="00256955"/>
    <w:rsid w:val="00257388"/>
    <w:rsid w:val="0026071A"/>
    <w:rsid w:val="00260E18"/>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D3A"/>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5AA6"/>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C7DC2"/>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27C"/>
    <w:rsid w:val="002E71CB"/>
    <w:rsid w:val="002E7615"/>
    <w:rsid w:val="002E7A2A"/>
    <w:rsid w:val="002E7F16"/>
    <w:rsid w:val="002F1425"/>
    <w:rsid w:val="002F2EC8"/>
    <w:rsid w:val="002F4CE2"/>
    <w:rsid w:val="002F5F6A"/>
    <w:rsid w:val="002F60A4"/>
    <w:rsid w:val="002F6B0C"/>
    <w:rsid w:val="002F77FC"/>
    <w:rsid w:val="0030040D"/>
    <w:rsid w:val="003004A6"/>
    <w:rsid w:val="0030129C"/>
    <w:rsid w:val="003013E2"/>
    <w:rsid w:val="00301FE4"/>
    <w:rsid w:val="00303E3A"/>
    <w:rsid w:val="00305417"/>
    <w:rsid w:val="00306127"/>
    <w:rsid w:val="0030641B"/>
    <w:rsid w:val="003067C8"/>
    <w:rsid w:val="00311453"/>
    <w:rsid w:val="003114C9"/>
    <w:rsid w:val="0031229D"/>
    <w:rsid w:val="00314E12"/>
    <w:rsid w:val="00315977"/>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B36"/>
    <w:rsid w:val="00334127"/>
    <w:rsid w:val="00335CA6"/>
    <w:rsid w:val="0033618C"/>
    <w:rsid w:val="003365F0"/>
    <w:rsid w:val="00336C50"/>
    <w:rsid w:val="00337388"/>
    <w:rsid w:val="00337518"/>
    <w:rsid w:val="0034007D"/>
    <w:rsid w:val="003432C7"/>
    <w:rsid w:val="003433E5"/>
    <w:rsid w:val="003435EF"/>
    <w:rsid w:val="00344082"/>
    <w:rsid w:val="0034582C"/>
    <w:rsid w:val="00345916"/>
    <w:rsid w:val="00345CAC"/>
    <w:rsid w:val="0034789E"/>
    <w:rsid w:val="003501DA"/>
    <w:rsid w:val="003503E2"/>
    <w:rsid w:val="00351DC1"/>
    <w:rsid w:val="003534EE"/>
    <w:rsid w:val="00354956"/>
    <w:rsid w:val="003600A2"/>
    <w:rsid w:val="003612D8"/>
    <w:rsid w:val="003633DC"/>
    <w:rsid w:val="003637B6"/>
    <w:rsid w:val="00363F89"/>
    <w:rsid w:val="00363FB0"/>
    <w:rsid w:val="003646D6"/>
    <w:rsid w:val="00364FC6"/>
    <w:rsid w:val="0036541D"/>
    <w:rsid w:val="003655E9"/>
    <w:rsid w:val="0036796B"/>
    <w:rsid w:val="00370156"/>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2CC"/>
    <w:rsid w:val="003A146E"/>
    <w:rsid w:val="003A2208"/>
    <w:rsid w:val="003A26CD"/>
    <w:rsid w:val="003A37F7"/>
    <w:rsid w:val="003A4545"/>
    <w:rsid w:val="003A54E9"/>
    <w:rsid w:val="003A5E7C"/>
    <w:rsid w:val="003A78C7"/>
    <w:rsid w:val="003A7E9A"/>
    <w:rsid w:val="003B15FE"/>
    <w:rsid w:val="003B1C41"/>
    <w:rsid w:val="003B46AD"/>
    <w:rsid w:val="003B5C96"/>
    <w:rsid w:val="003B65FB"/>
    <w:rsid w:val="003B6A26"/>
    <w:rsid w:val="003C218D"/>
    <w:rsid w:val="003C2F5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BEA"/>
    <w:rsid w:val="003E5733"/>
    <w:rsid w:val="003E5E27"/>
    <w:rsid w:val="003E6FD2"/>
    <w:rsid w:val="003E788F"/>
    <w:rsid w:val="003E7A97"/>
    <w:rsid w:val="003E7D3A"/>
    <w:rsid w:val="003F0950"/>
    <w:rsid w:val="003F09C9"/>
    <w:rsid w:val="003F171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099"/>
    <w:rsid w:val="00414FD0"/>
    <w:rsid w:val="00417E93"/>
    <w:rsid w:val="00420884"/>
    <w:rsid w:val="00422A2A"/>
    <w:rsid w:val="00424BB4"/>
    <w:rsid w:val="004258CD"/>
    <w:rsid w:val="004261D2"/>
    <w:rsid w:val="004303D1"/>
    <w:rsid w:val="00433C0A"/>
    <w:rsid w:val="004349FA"/>
    <w:rsid w:val="004369F9"/>
    <w:rsid w:val="004406BD"/>
    <w:rsid w:val="00442FBE"/>
    <w:rsid w:val="004433B1"/>
    <w:rsid w:val="00443571"/>
    <w:rsid w:val="004444E3"/>
    <w:rsid w:val="004447FD"/>
    <w:rsid w:val="00445032"/>
    <w:rsid w:val="004450CB"/>
    <w:rsid w:val="00446967"/>
    <w:rsid w:val="00446AB6"/>
    <w:rsid w:val="004505E5"/>
    <w:rsid w:val="00450EEE"/>
    <w:rsid w:val="004512B2"/>
    <w:rsid w:val="004528EE"/>
    <w:rsid w:val="00453360"/>
    <w:rsid w:val="00456409"/>
    <w:rsid w:val="0045682D"/>
    <w:rsid w:val="004569C6"/>
    <w:rsid w:val="00456ADC"/>
    <w:rsid w:val="0045768F"/>
    <w:rsid w:val="00457769"/>
    <w:rsid w:val="004627AE"/>
    <w:rsid w:val="0046298E"/>
    <w:rsid w:val="004632A7"/>
    <w:rsid w:val="004647BB"/>
    <w:rsid w:val="0046482B"/>
    <w:rsid w:val="004648E0"/>
    <w:rsid w:val="00472043"/>
    <w:rsid w:val="00472F56"/>
    <w:rsid w:val="0047335E"/>
    <w:rsid w:val="00473CA1"/>
    <w:rsid w:val="0047572C"/>
    <w:rsid w:val="00476407"/>
    <w:rsid w:val="004773F7"/>
    <w:rsid w:val="00481F5F"/>
    <w:rsid w:val="004821D0"/>
    <w:rsid w:val="0048252C"/>
    <w:rsid w:val="00482CB2"/>
    <w:rsid w:val="00483D06"/>
    <w:rsid w:val="00484920"/>
    <w:rsid w:val="00485A4A"/>
    <w:rsid w:val="00485CF7"/>
    <w:rsid w:val="004862C2"/>
    <w:rsid w:val="004863F7"/>
    <w:rsid w:val="00486FFC"/>
    <w:rsid w:val="00490ED4"/>
    <w:rsid w:val="00491B91"/>
    <w:rsid w:val="00491C21"/>
    <w:rsid w:val="00491C66"/>
    <w:rsid w:val="00492CD3"/>
    <w:rsid w:val="004935D6"/>
    <w:rsid w:val="00494195"/>
    <w:rsid w:val="004945FB"/>
    <w:rsid w:val="0049666A"/>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F97"/>
    <w:rsid w:val="004E1264"/>
    <w:rsid w:val="004E2CBC"/>
    <w:rsid w:val="004E3DD4"/>
    <w:rsid w:val="004E4F7E"/>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E63"/>
    <w:rsid w:val="00535060"/>
    <w:rsid w:val="00535738"/>
    <w:rsid w:val="005366AF"/>
    <w:rsid w:val="005409EB"/>
    <w:rsid w:val="00540F30"/>
    <w:rsid w:val="00541DD2"/>
    <w:rsid w:val="00543A63"/>
    <w:rsid w:val="00543AB5"/>
    <w:rsid w:val="005457CF"/>
    <w:rsid w:val="00545976"/>
    <w:rsid w:val="0054660F"/>
    <w:rsid w:val="00547628"/>
    <w:rsid w:val="0055107C"/>
    <w:rsid w:val="005533C3"/>
    <w:rsid w:val="005536E6"/>
    <w:rsid w:val="00553AC3"/>
    <w:rsid w:val="00553DBA"/>
    <w:rsid w:val="00554335"/>
    <w:rsid w:val="00555631"/>
    <w:rsid w:val="0055621D"/>
    <w:rsid w:val="00557690"/>
    <w:rsid w:val="00560C6A"/>
    <w:rsid w:val="00560F85"/>
    <w:rsid w:val="005610A0"/>
    <w:rsid w:val="0056248F"/>
    <w:rsid w:val="00564985"/>
    <w:rsid w:val="00565379"/>
    <w:rsid w:val="005674C3"/>
    <w:rsid w:val="00567990"/>
    <w:rsid w:val="00567C4C"/>
    <w:rsid w:val="0057252A"/>
    <w:rsid w:val="005728C8"/>
    <w:rsid w:val="005733AD"/>
    <w:rsid w:val="0057381A"/>
    <w:rsid w:val="00573ABD"/>
    <w:rsid w:val="00574B91"/>
    <w:rsid w:val="00574E5C"/>
    <w:rsid w:val="005750F7"/>
    <w:rsid w:val="0057512C"/>
    <w:rsid w:val="00576319"/>
    <w:rsid w:val="0057648C"/>
    <w:rsid w:val="00576A26"/>
    <w:rsid w:val="00576AF3"/>
    <w:rsid w:val="00581FF0"/>
    <w:rsid w:val="005825FC"/>
    <w:rsid w:val="00583437"/>
    <w:rsid w:val="00583CE0"/>
    <w:rsid w:val="00584B4A"/>
    <w:rsid w:val="00584DCB"/>
    <w:rsid w:val="00585A16"/>
    <w:rsid w:val="00585B98"/>
    <w:rsid w:val="005863D8"/>
    <w:rsid w:val="005865B2"/>
    <w:rsid w:val="00586812"/>
    <w:rsid w:val="00587BC2"/>
    <w:rsid w:val="00590DF9"/>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7F7"/>
    <w:rsid w:val="005A6AFE"/>
    <w:rsid w:val="005A7BF3"/>
    <w:rsid w:val="005A7DE0"/>
    <w:rsid w:val="005B07E4"/>
    <w:rsid w:val="005B0AEF"/>
    <w:rsid w:val="005B37D9"/>
    <w:rsid w:val="005B445B"/>
    <w:rsid w:val="005B474E"/>
    <w:rsid w:val="005B489A"/>
    <w:rsid w:val="005B63A6"/>
    <w:rsid w:val="005B64D1"/>
    <w:rsid w:val="005B6A88"/>
    <w:rsid w:val="005B6E05"/>
    <w:rsid w:val="005B7F42"/>
    <w:rsid w:val="005C1D45"/>
    <w:rsid w:val="005C2ABF"/>
    <w:rsid w:val="005C3C9B"/>
    <w:rsid w:val="005C42AB"/>
    <w:rsid w:val="005C45C0"/>
    <w:rsid w:val="005C5335"/>
    <w:rsid w:val="005C5734"/>
    <w:rsid w:val="005C5D7B"/>
    <w:rsid w:val="005C5E29"/>
    <w:rsid w:val="005C6474"/>
    <w:rsid w:val="005C6A68"/>
    <w:rsid w:val="005C73D8"/>
    <w:rsid w:val="005D0AE3"/>
    <w:rsid w:val="005D1103"/>
    <w:rsid w:val="005D276D"/>
    <w:rsid w:val="005D5912"/>
    <w:rsid w:val="005D5954"/>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867"/>
    <w:rsid w:val="005F32BE"/>
    <w:rsid w:val="005F34FB"/>
    <w:rsid w:val="005F39A0"/>
    <w:rsid w:val="005F6B68"/>
    <w:rsid w:val="005F6F2E"/>
    <w:rsid w:val="005F757F"/>
    <w:rsid w:val="005F7D85"/>
    <w:rsid w:val="00601A1F"/>
    <w:rsid w:val="00602655"/>
    <w:rsid w:val="00603B68"/>
    <w:rsid w:val="00604D7B"/>
    <w:rsid w:val="00605297"/>
    <w:rsid w:val="00605CB9"/>
    <w:rsid w:val="00605E58"/>
    <w:rsid w:val="00605F81"/>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7B8"/>
    <w:rsid w:val="00622D5F"/>
    <w:rsid w:val="00622EAE"/>
    <w:rsid w:val="0062334E"/>
    <w:rsid w:val="0062397E"/>
    <w:rsid w:val="00623A4F"/>
    <w:rsid w:val="00624D17"/>
    <w:rsid w:val="00624F56"/>
    <w:rsid w:val="00626594"/>
    <w:rsid w:val="00630442"/>
    <w:rsid w:val="0063048C"/>
    <w:rsid w:val="00630FCD"/>
    <w:rsid w:val="006319C2"/>
    <w:rsid w:val="00631FF6"/>
    <w:rsid w:val="006326AB"/>
    <w:rsid w:val="0063292C"/>
    <w:rsid w:val="00633121"/>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300"/>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1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FC6"/>
    <w:rsid w:val="006868CA"/>
    <w:rsid w:val="00686E32"/>
    <w:rsid w:val="0069087A"/>
    <w:rsid w:val="00690B4B"/>
    <w:rsid w:val="00690BE4"/>
    <w:rsid w:val="00690FDC"/>
    <w:rsid w:val="00691077"/>
    <w:rsid w:val="00691982"/>
    <w:rsid w:val="00691BB0"/>
    <w:rsid w:val="00692777"/>
    <w:rsid w:val="00692BE0"/>
    <w:rsid w:val="00692C98"/>
    <w:rsid w:val="0069324E"/>
    <w:rsid w:val="00693BE3"/>
    <w:rsid w:val="00694487"/>
    <w:rsid w:val="00695815"/>
    <w:rsid w:val="0069581B"/>
    <w:rsid w:val="00696601"/>
    <w:rsid w:val="006977FA"/>
    <w:rsid w:val="006A20FB"/>
    <w:rsid w:val="006A3221"/>
    <w:rsid w:val="006A339D"/>
    <w:rsid w:val="006A4462"/>
    <w:rsid w:val="006A5B59"/>
    <w:rsid w:val="006A5D2C"/>
    <w:rsid w:val="006A6A14"/>
    <w:rsid w:val="006A753A"/>
    <w:rsid w:val="006A777C"/>
    <w:rsid w:val="006A7C46"/>
    <w:rsid w:val="006B0F76"/>
    <w:rsid w:val="006B12B6"/>
    <w:rsid w:val="006B1F20"/>
    <w:rsid w:val="006B3774"/>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E36"/>
    <w:rsid w:val="00705027"/>
    <w:rsid w:val="00707DC4"/>
    <w:rsid w:val="00710494"/>
    <w:rsid w:val="007117BD"/>
    <w:rsid w:val="00715129"/>
    <w:rsid w:val="007154CE"/>
    <w:rsid w:val="00715B25"/>
    <w:rsid w:val="00716020"/>
    <w:rsid w:val="00720860"/>
    <w:rsid w:val="00721087"/>
    <w:rsid w:val="00721530"/>
    <w:rsid w:val="00723422"/>
    <w:rsid w:val="007260FE"/>
    <w:rsid w:val="00726DD6"/>
    <w:rsid w:val="0073076E"/>
    <w:rsid w:val="007331DD"/>
    <w:rsid w:val="00733416"/>
    <w:rsid w:val="0073377E"/>
    <w:rsid w:val="00733E05"/>
    <w:rsid w:val="00735C8A"/>
    <w:rsid w:val="00735FE2"/>
    <w:rsid w:val="0073719A"/>
    <w:rsid w:val="00737C62"/>
    <w:rsid w:val="00737C91"/>
    <w:rsid w:val="0074130E"/>
    <w:rsid w:val="00743937"/>
    <w:rsid w:val="00744889"/>
    <w:rsid w:val="00744910"/>
    <w:rsid w:val="00744B81"/>
    <w:rsid w:val="00745BA4"/>
    <w:rsid w:val="00745E8A"/>
    <w:rsid w:val="007462E8"/>
    <w:rsid w:val="00746F2D"/>
    <w:rsid w:val="0074734F"/>
    <w:rsid w:val="00750177"/>
    <w:rsid w:val="0075057F"/>
    <w:rsid w:val="0075066D"/>
    <w:rsid w:val="00752AEC"/>
    <w:rsid w:val="00752FBA"/>
    <w:rsid w:val="00753324"/>
    <w:rsid w:val="0075458D"/>
    <w:rsid w:val="007550A7"/>
    <w:rsid w:val="00755251"/>
    <w:rsid w:val="007554A9"/>
    <w:rsid w:val="007556F5"/>
    <w:rsid w:val="00757105"/>
    <w:rsid w:val="00757B82"/>
    <w:rsid w:val="0076281A"/>
    <w:rsid w:val="00762ADE"/>
    <w:rsid w:val="0076365D"/>
    <w:rsid w:val="007642DC"/>
    <w:rsid w:val="0076565A"/>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6F68"/>
    <w:rsid w:val="0077742F"/>
    <w:rsid w:val="007779ED"/>
    <w:rsid w:val="00780B1A"/>
    <w:rsid w:val="007810D3"/>
    <w:rsid w:val="0078264A"/>
    <w:rsid w:val="00783D11"/>
    <w:rsid w:val="00785E46"/>
    <w:rsid w:val="00787917"/>
    <w:rsid w:val="00791489"/>
    <w:rsid w:val="00791683"/>
    <w:rsid w:val="00792F0C"/>
    <w:rsid w:val="00795460"/>
    <w:rsid w:val="007969B1"/>
    <w:rsid w:val="00796CF7"/>
    <w:rsid w:val="007A0313"/>
    <w:rsid w:val="007A0A83"/>
    <w:rsid w:val="007A1C82"/>
    <w:rsid w:val="007A4BB3"/>
    <w:rsid w:val="007A52F4"/>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7B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74B"/>
    <w:rsid w:val="00807AA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DC8"/>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BA0"/>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BB8"/>
    <w:rsid w:val="00897566"/>
    <w:rsid w:val="0089757B"/>
    <w:rsid w:val="008A1594"/>
    <w:rsid w:val="008A1757"/>
    <w:rsid w:val="008A1CE6"/>
    <w:rsid w:val="008A1F25"/>
    <w:rsid w:val="008A2AC1"/>
    <w:rsid w:val="008A47FB"/>
    <w:rsid w:val="008A5234"/>
    <w:rsid w:val="008A5397"/>
    <w:rsid w:val="008A5F94"/>
    <w:rsid w:val="008A6861"/>
    <w:rsid w:val="008A7522"/>
    <w:rsid w:val="008A7B55"/>
    <w:rsid w:val="008B0578"/>
    <w:rsid w:val="008B170D"/>
    <w:rsid w:val="008B208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935"/>
    <w:rsid w:val="008D3CC5"/>
    <w:rsid w:val="008D564A"/>
    <w:rsid w:val="008D5E47"/>
    <w:rsid w:val="008D7D8C"/>
    <w:rsid w:val="008E004E"/>
    <w:rsid w:val="008E04FB"/>
    <w:rsid w:val="008E3E79"/>
    <w:rsid w:val="008E5282"/>
    <w:rsid w:val="008E5E2C"/>
    <w:rsid w:val="008E6DF3"/>
    <w:rsid w:val="008E78F1"/>
    <w:rsid w:val="008F03CE"/>
    <w:rsid w:val="008F075B"/>
    <w:rsid w:val="008F0E9E"/>
    <w:rsid w:val="008F2913"/>
    <w:rsid w:val="008F2A4E"/>
    <w:rsid w:val="008F2AE9"/>
    <w:rsid w:val="008F332B"/>
    <w:rsid w:val="008F52D0"/>
    <w:rsid w:val="008F58BB"/>
    <w:rsid w:val="008F6106"/>
    <w:rsid w:val="008F612A"/>
    <w:rsid w:val="008F791D"/>
    <w:rsid w:val="00900959"/>
    <w:rsid w:val="00901900"/>
    <w:rsid w:val="00901B7A"/>
    <w:rsid w:val="00901EE8"/>
    <w:rsid w:val="00901F6C"/>
    <w:rsid w:val="0090266B"/>
    <w:rsid w:val="00902F06"/>
    <w:rsid w:val="009035DB"/>
    <w:rsid w:val="00904671"/>
    <w:rsid w:val="00904F40"/>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3A"/>
    <w:rsid w:val="009443ED"/>
    <w:rsid w:val="00945DBF"/>
    <w:rsid w:val="00946042"/>
    <w:rsid w:val="00946AB3"/>
    <w:rsid w:val="00947074"/>
    <w:rsid w:val="0094752A"/>
    <w:rsid w:val="00947D01"/>
    <w:rsid w:val="009503EA"/>
    <w:rsid w:val="0095112D"/>
    <w:rsid w:val="00952124"/>
    <w:rsid w:val="00954700"/>
    <w:rsid w:val="00956244"/>
    <w:rsid w:val="00956A06"/>
    <w:rsid w:val="00957435"/>
    <w:rsid w:val="00957744"/>
    <w:rsid w:val="009578D0"/>
    <w:rsid w:val="009600C6"/>
    <w:rsid w:val="00960D80"/>
    <w:rsid w:val="009621CE"/>
    <w:rsid w:val="009622BF"/>
    <w:rsid w:val="009651B8"/>
    <w:rsid w:val="009653F3"/>
    <w:rsid w:val="0096587A"/>
    <w:rsid w:val="009666E7"/>
    <w:rsid w:val="00967278"/>
    <w:rsid w:val="00967F52"/>
    <w:rsid w:val="00970BBE"/>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D68"/>
    <w:rsid w:val="009B010D"/>
    <w:rsid w:val="009B0AAB"/>
    <w:rsid w:val="009B0D3E"/>
    <w:rsid w:val="009B2AD1"/>
    <w:rsid w:val="009B3224"/>
    <w:rsid w:val="009B3A61"/>
    <w:rsid w:val="009B47C0"/>
    <w:rsid w:val="009B528E"/>
    <w:rsid w:val="009B54FE"/>
    <w:rsid w:val="009B77DD"/>
    <w:rsid w:val="009C13BF"/>
    <w:rsid w:val="009C2943"/>
    <w:rsid w:val="009C4B2C"/>
    <w:rsid w:val="009C4CB3"/>
    <w:rsid w:val="009C4F15"/>
    <w:rsid w:val="009C511C"/>
    <w:rsid w:val="009C5416"/>
    <w:rsid w:val="009C587B"/>
    <w:rsid w:val="009C60CE"/>
    <w:rsid w:val="009C64C5"/>
    <w:rsid w:val="009C6F87"/>
    <w:rsid w:val="009C7166"/>
    <w:rsid w:val="009C742C"/>
    <w:rsid w:val="009D2376"/>
    <w:rsid w:val="009D2378"/>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79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4DA"/>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2CF"/>
    <w:rsid w:val="00A666AA"/>
    <w:rsid w:val="00A671FC"/>
    <w:rsid w:val="00A71670"/>
    <w:rsid w:val="00A7225C"/>
    <w:rsid w:val="00A72874"/>
    <w:rsid w:val="00A72E3A"/>
    <w:rsid w:val="00A72E48"/>
    <w:rsid w:val="00A7359C"/>
    <w:rsid w:val="00A73616"/>
    <w:rsid w:val="00A76648"/>
    <w:rsid w:val="00A76DF7"/>
    <w:rsid w:val="00A77523"/>
    <w:rsid w:val="00A83454"/>
    <w:rsid w:val="00A842AB"/>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6E9F"/>
    <w:rsid w:val="00AA7408"/>
    <w:rsid w:val="00AA7D1F"/>
    <w:rsid w:val="00AB02C6"/>
    <w:rsid w:val="00AB246B"/>
    <w:rsid w:val="00AB2E96"/>
    <w:rsid w:val="00AB36D4"/>
    <w:rsid w:val="00AB5500"/>
    <w:rsid w:val="00AB5564"/>
    <w:rsid w:val="00AB57FB"/>
    <w:rsid w:val="00AB7348"/>
    <w:rsid w:val="00AC123F"/>
    <w:rsid w:val="00AC13B0"/>
    <w:rsid w:val="00AC25A4"/>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34D"/>
    <w:rsid w:val="00AF5D2C"/>
    <w:rsid w:val="00AF5D6E"/>
    <w:rsid w:val="00AF6318"/>
    <w:rsid w:val="00B0072E"/>
    <w:rsid w:val="00B03B63"/>
    <w:rsid w:val="00B0513A"/>
    <w:rsid w:val="00B0620B"/>
    <w:rsid w:val="00B06E96"/>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0F9"/>
    <w:rsid w:val="00B2231E"/>
    <w:rsid w:val="00B22E76"/>
    <w:rsid w:val="00B23016"/>
    <w:rsid w:val="00B23771"/>
    <w:rsid w:val="00B24EA8"/>
    <w:rsid w:val="00B25771"/>
    <w:rsid w:val="00B26625"/>
    <w:rsid w:val="00B26A5A"/>
    <w:rsid w:val="00B2713B"/>
    <w:rsid w:val="00B2769B"/>
    <w:rsid w:val="00B307D2"/>
    <w:rsid w:val="00B31B35"/>
    <w:rsid w:val="00B31FE2"/>
    <w:rsid w:val="00B3398B"/>
    <w:rsid w:val="00B33B1E"/>
    <w:rsid w:val="00B362D9"/>
    <w:rsid w:val="00B36B99"/>
    <w:rsid w:val="00B36D20"/>
    <w:rsid w:val="00B36F67"/>
    <w:rsid w:val="00B4007D"/>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295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BCE"/>
    <w:rsid w:val="00BB1388"/>
    <w:rsid w:val="00BB2683"/>
    <w:rsid w:val="00BB29A8"/>
    <w:rsid w:val="00BB40DF"/>
    <w:rsid w:val="00BB46D1"/>
    <w:rsid w:val="00BB5E2C"/>
    <w:rsid w:val="00BB7D9E"/>
    <w:rsid w:val="00BC16AC"/>
    <w:rsid w:val="00BC2B7B"/>
    <w:rsid w:val="00BC3290"/>
    <w:rsid w:val="00BC3AE8"/>
    <w:rsid w:val="00BC3AF4"/>
    <w:rsid w:val="00BC3B3E"/>
    <w:rsid w:val="00BC3F28"/>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596"/>
    <w:rsid w:val="00C01804"/>
    <w:rsid w:val="00C026BC"/>
    <w:rsid w:val="00C02AD4"/>
    <w:rsid w:val="00C03869"/>
    <w:rsid w:val="00C06B0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662"/>
    <w:rsid w:val="00C40DE4"/>
    <w:rsid w:val="00C40E63"/>
    <w:rsid w:val="00C41A06"/>
    <w:rsid w:val="00C4261B"/>
    <w:rsid w:val="00C42BFB"/>
    <w:rsid w:val="00C44DDC"/>
    <w:rsid w:val="00C5128B"/>
    <w:rsid w:val="00C51423"/>
    <w:rsid w:val="00C5294D"/>
    <w:rsid w:val="00C52F83"/>
    <w:rsid w:val="00C54C1B"/>
    <w:rsid w:val="00C54DBA"/>
    <w:rsid w:val="00C57ED3"/>
    <w:rsid w:val="00C60B47"/>
    <w:rsid w:val="00C61640"/>
    <w:rsid w:val="00C61AA7"/>
    <w:rsid w:val="00C61B8E"/>
    <w:rsid w:val="00C668DE"/>
    <w:rsid w:val="00C7044F"/>
    <w:rsid w:val="00C720F8"/>
    <w:rsid w:val="00C7294B"/>
    <w:rsid w:val="00C75139"/>
    <w:rsid w:val="00C7525C"/>
    <w:rsid w:val="00C76CF7"/>
    <w:rsid w:val="00C824F5"/>
    <w:rsid w:val="00C82F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807"/>
    <w:rsid w:val="00CA0980"/>
    <w:rsid w:val="00CA1929"/>
    <w:rsid w:val="00CA2A98"/>
    <w:rsid w:val="00CA2BAE"/>
    <w:rsid w:val="00CA34BA"/>
    <w:rsid w:val="00CA4503"/>
    <w:rsid w:val="00CA5A66"/>
    <w:rsid w:val="00CA796A"/>
    <w:rsid w:val="00CB2575"/>
    <w:rsid w:val="00CB25BE"/>
    <w:rsid w:val="00CB3677"/>
    <w:rsid w:val="00CB368F"/>
    <w:rsid w:val="00CB4C42"/>
    <w:rsid w:val="00CB4DFA"/>
    <w:rsid w:val="00CB6CD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69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5BC"/>
    <w:rsid w:val="00D07D07"/>
    <w:rsid w:val="00D10F87"/>
    <w:rsid w:val="00D1149D"/>
    <w:rsid w:val="00D11B8E"/>
    <w:rsid w:val="00D11D8D"/>
    <w:rsid w:val="00D12B12"/>
    <w:rsid w:val="00D12DD7"/>
    <w:rsid w:val="00D13391"/>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EA0"/>
    <w:rsid w:val="00D3664C"/>
    <w:rsid w:val="00D3683A"/>
    <w:rsid w:val="00D379C5"/>
    <w:rsid w:val="00D37C36"/>
    <w:rsid w:val="00D40559"/>
    <w:rsid w:val="00D405B8"/>
    <w:rsid w:val="00D40F2D"/>
    <w:rsid w:val="00D41493"/>
    <w:rsid w:val="00D4200A"/>
    <w:rsid w:val="00D4267F"/>
    <w:rsid w:val="00D441E9"/>
    <w:rsid w:val="00D44425"/>
    <w:rsid w:val="00D44FC8"/>
    <w:rsid w:val="00D45D8F"/>
    <w:rsid w:val="00D50332"/>
    <w:rsid w:val="00D50EAD"/>
    <w:rsid w:val="00D52B95"/>
    <w:rsid w:val="00D5362B"/>
    <w:rsid w:val="00D53A09"/>
    <w:rsid w:val="00D54AAB"/>
    <w:rsid w:val="00D54B63"/>
    <w:rsid w:val="00D552F9"/>
    <w:rsid w:val="00D56EDF"/>
    <w:rsid w:val="00D56F08"/>
    <w:rsid w:val="00D57361"/>
    <w:rsid w:val="00D61406"/>
    <w:rsid w:val="00D61541"/>
    <w:rsid w:val="00D61575"/>
    <w:rsid w:val="00D621B7"/>
    <w:rsid w:val="00D6294E"/>
    <w:rsid w:val="00D63C9A"/>
    <w:rsid w:val="00D640BC"/>
    <w:rsid w:val="00D64454"/>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9C0"/>
    <w:rsid w:val="00DC7481"/>
    <w:rsid w:val="00DC7591"/>
    <w:rsid w:val="00DD0839"/>
    <w:rsid w:val="00DD26D0"/>
    <w:rsid w:val="00DD47D5"/>
    <w:rsid w:val="00DD6729"/>
    <w:rsid w:val="00DD7960"/>
    <w:rsid w:val="00DD7B0D"/>
    <w:rsid w:val="00DE1F29"/>
    <w:rsid w:val="00DE3272"/>
    <w:rsid w:val="00DE3FEB"/>
    <w:rsid w:val="00DE4905"/>
    <w:rsid w:val="00DE4CFF"/>
    <w:rsid w:val="00DE510C"/>
    <w:rsid w:val="00DE7822"/>
    <w:rsid w:val="00DF081A"/>
    <w:rsid w:val="00DF265D"/>
    <w:rsid w:val="00DF2EB0"/>
    <w:rsid w:val="00DF31C1"/>
    <w:rsid w:val="00DF427A"/>
    <w:rsid w:val="00DF45C5"/>
    <w:rsid w:val="00DF5A8C"/>
    <w:rsid w:val="00DF6D5D"/>
    <w:rsid w:val="00DF71D8"/>
    <w:rsid w:val="00DF7BC8"/>
    <w:rsid w:val="00E00204"/>
    <w:rsid w:val="00E00CCA"/>
    <w:rsid w:val="00E01623"/>
    <w:rsid w:val="00E03FE3"/>
    <w:rsid w:val="00E0468E"/>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221"/>
    <w:rsid w:val="00E2662B"/>
    <w:rsid w:val="00E26736"/>
    <w:rsid w:val="00E268AC"/>
    <w:rsid w:val="00E27986"/>
    <w:rsid w:val="00E27D23"/>
    <w:rsid w:val="00E30A8A"/>
    <w:rsid w:val="00E31BC7"/>
    <w:rsid w:val="00E31E7F"/>
    <w:rsid w:val="00E363CD"/>
    <w:rsid w:val="00E365C4"/>
    <w:rsid w:val="00E36C7F"/>
    <w:rsid w:val="00E37652"/>
    <w:rsid w:val="00E3768F"/>
    <w:rsid w:val="00E37BEF"/>
    <w:rsid w:val="00E402BC"/>
    <w:rsid w:val="00E41403"/>
    <w:rsid w:val="00E418C7"/>
    <w:rsid w:val="00E41BD7"/>
    <w:rsid w:val="00E428D6"/>
    <w:rsid w:val="00E43284"/>
    <w:rsid w:val="00E445C9"/>
    <w:rsid w:val="00E447C5"/>
    <w:rsid w:val="00E450C1"/>
    <w:rsid w:val="00E4547F"/>
    <w:rsid w:val="00E4574F"/>
    <w:rsid w:val="00E46908"/>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A31"/>
    <w:rsid w:val="00E82DE7"/>
    <w:rsid w:val="00E84116"/>
    <w:rsid w:val="00E84C5C"/>
    <w:rsid w:val="00E85533"/>
    <w:rsid w:val="00E86343"/>
    <w:rsid w:val="00E8658C"/>
    <w:rsid w:val="00E866CD"/>
    <w:rsid w:val="00E87261"/>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01B"/>
    <w:rsid w:val="00EB7752"/>
    <w:rsid w:val="00EC0725"/>
    <w:rsid w:val="00EC0889"/>
    <w:rsid w:val="00EC0C13"/>
    <w:rsid w:val="00EC148C"/>
    <w:rsid w:val="00EC2D7D"/>
    <w:rsid w:val="00EC36AD"/>
    <w:rsid w:val="00EC3BCF"/>
    <w:rsid w:val="00EC4A5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16C"/>
    <w:rsid w:val="00EF28EF"/>
    <w:rsid w:val="00EF2EB9"/>
    <w:rsid w:val="00EF40E7"/>
    <w:rsid w:val="00EF4529"/>
    <w:rsid w:val="00EF5B34"/>
    <w:rsid w:val="00EF657C"/>
    <w:rsid w:val="00F004D1"/>
    <w:rsid w:val="00F00C0D"/>
    <w:rsid w:val="00F0128B"/>
    <w:rsid w:val="00F02663"/>
    <w:rsid w:val="00F03369"/>
    <w:rsid w:val="00F04E62"/>
    <w:rsid w:val="00F050AA"/>
    <w:rsid w:val="00F05DA2"/>
    <w:rsid w:val="00F05E6D"/>
    <w:rsid w:val="00F0610A"/>
    <w:rsid w:val="00F07789"/>
    <w:rsid w:val="00F11800"/>
    <w:rsid w:val="00F11B61"/>
    <w:rsid w:val="00F135D6"/>
    <w:rsid w:val="00F13922"/>
    <w:rsid w:val="00F13DBC"/>
    <w:rsid w:val="00F1507E"/>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85"/>
    <w:rsid w:val="00F633E5"/>
    <w:rsid w:val="00F63631"/>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756"/>
    <w:rsid w:val="00FA0A0A"/>
    <w:rsid w:val="00FA0C9D"/>
    <w:rsid w:val="00FA169B"/>
    <w:rsid w:val="00FA2C4B"/>
    <w:rsid w:val="00FA2F0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3B45"/>
    <w:rsid w:val="00FE4B40"/>
    <w:rsid w:val="00FE5DC4"/>
    <w:rsid w:val="00FE6E94"/>
    <w:rsid w:val="00FE76C1"/>
    <w:rsid w:val="00FE76CB"/>
    <w:rsid w:val="00FE7BD8"/>
    <w:rsid w:val="00FF12EF"/>
    <w:rsid w:val="00FF1D76"/>
    <w:rsid w:val="00FF309E"/>
    <w:rsid w:val="00FF3EE6"/>
    <w:rsid w:val="00FF431A"/>
    <w:rsid w:val="00FF434C"/>
    <w:rsid w:val="00FF55F5"/>
    <w:rsid w:val="00FF67B8"/>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A7225C"/>
    <w:rPr>
      <w:color w:val="0000FF" w:themeColor="hyperlink"/>
      <w:u w:val="single"/>
    </w:rPr>
  </w:style>
  <w:style w:type="character" w:styleId="FollowedHyperlink">
    <w:name w:val="FollowedHyperlink"/>
    <w:basedOn w:val="DefaultParagraphFont"/>
    <w:semiHidden/>
    <w:unhideWhenUsed/>
    <w:rsid w:val="005576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A7225C"/>
    <w:rPr>
      <w:color w:val="0000FF" w:themeColor="hyperlink"/>
      <w:u w:val="single"/>
    </w:rPr>
  </w:style>
  <w:style w:type="character" w:styleId="FollowedHyperlink">
    <w:name w:val="FollowedHyperlink"/>
    <w:basedOn w:val="DefaultParagraphFont"/>
    <w:semiHidden/>
    <w:unhideWhenUsed/>
    <w:rsid w:val="005576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resources/tk_experience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resources/tk_experiences.html&#15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ar/details.jsp?id=4011&#156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xport/sites/www/tk/en/documents/pdf/genetic_resources_disclosure.pdf&#1563;" TargetMode="External"/><Relationship Id="rId4" Type="http://schemas.microsoft.com/office/2007/relationships/stylesWithEffects" Target="stylesWithEffects.xml"/><Relationship Id="rId9" Type="http://schemas.openxmlformats.org/officeDocument/2006/relationships/hyperlink" Target="http://www.wipo.int/publications/ar/details.jsp?id=4194&#1563;"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42216\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EAF3-19B7-413B-ADA8-D28F062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250</TotalTime>
  <Pages>4</Pages>
  <Words>1283</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NA</cp:lastModifiedBy>
  <cp:revision>16</cp:revision>
  <cp:lastPrinted>2018-03-14T10:03:00Z</cp:lastPrinted>
  <dcterms:created xsi:type="dcterms:W3CDTF">2018-03-07T14:06:00Z</dcterms:created>
  <dcterms:modified xsi:type="dcterms:W3CDTF">2018-03-14T10:03:00Z</dcterms:modified>
</cp:coreProperties>
</file>