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31" w:rsidRPr="00924A6B" w:rsidRDefault="003C5A31" w:rsidP="00A359B1">
      <w:pPr>
        <w:pStyle w:val="NormalParaAR"/>
        <w:jc w:val="center"/>
        <w:rPr>
          <w:b/>
          <w:bCs/>
          <w:sz w:val="40"/>
          <w:szCs w:val="40"/>
          <w:rtl/>
          <w:lang w:bidi="ar-EG"/>
        </w:rPr>
      </w:pPr>
      <w:bookmarkStart w:id="2" w:name="_GoBack"/>
      <w:bookmarkEnd w:id="2"/>
      <w:r w:rsidRPr="00924A6B">
        <w:rPr>
          <w:b/>
          <w:bCs/>
          <w:sz w:val="40"/>
          <w:szCs w:val="40"/>
          <w:rtl/>
          <w:lang w:bidi="ar-EG"/>
        </w:rPr>
        <w:t>مذكرة إعلامية</w:t>
      </w:r>
      <w:r w:rsidRPr="00924A6B">
        <w:rPr>
          <w:rStyle w:val="FootnoteReference"/>
          <w:b/>
          <w:bCs/>
          <w:rtl/>
          <w:lang w:bidi="ar-EG"/>
        </w:rPr>
        <w:footnoteReference w:id="1"/>
      </w:r>
    </w:p>
    <w:p w:rsidR="003C5A31" w:rsidRPr="00924A6B" w:rsidRDefault="003C5A31" w:rsidP="003C5A31">
      <w:pPr>
        <w:pStyle w:val="NormalParaAR"/>
        <w:jc w:val="center"/>
        <w:rPr>
          <w:b/>
          <w:bCs/>
          <w:sz w:val="40"/>
          <w:szCs w:val="40"/>
          <w:rtl/>
          <w:lang w:bidi="ar-EG"/>
        </w:rPr>
      </w:pPr>
      <w:r w:rsidRPr="00924A6B">
        <w:rPr>
          <w:b/>
          <w:bCs/>
          <w:sz w:val="40"/>
          <w:szCs w:val="40"/>
          <w:rtl/>
          <w:lang w:bidi="ar-EG"/>
        </w:rPr>
        <w:t>لأغراض الدورة السادسة والثلاثين للجنة المعارف</w:t>
      </w:r>
    </w:p>
    <w:p w:rsidR="003C5A31" w:rsidRPr="00924A6B" w:rsidRDefault="003C5A31" w:rsidP="003C5A31">
      <w:pPr>
        <w:pStyle w:val="NormalParaAR"/>
        <w:jc w:val="center"/>
        <w:rPr>
          <w:rtl/>
          <w:lang w:bidi="ar-EG"/>
        </w:rPr>
      </w:pPr>
      <w:r w:rsidRPr="00924A6B">
        <w:rPr>
          <w:rtl/>
          <w:lang w:bidi="ar-EG"/>
        </w:rPr>
        <w:t xml:space="preserve">من إعداد السيد إيان </w:t>
      </w:r>
      <w:r w:rsidR="0013681B" w:rsidRPr="00924A6B">
        <w:rPr>
          <w:rtl/>
          <w:lang w:bidi="ar-EG"/>
        </w:rPr>
        <w:t>غوس</w:t>
      </w:r>
      <w:r w:rsidRPr="00924A6B">
        <w:rPr>
          <w:rtl/>
          <w:lang w:bidi="ar-EG"/>
        </w:rPr>
        <w:t>، رئيس لجنة المعارف</w:t>
      </w:r>
    </w:p>
    <w:p w:rsidR="003C5A31" w:rsidRPr="00924A6B" w:rsidRDefault="003C5A31" w:rsidP="00D1796B">
      <w:pPr>
        <w:pStyle w:val="Heading1"/>
        <w:rPr>
          <w:rtl/>
        </w:rPr>
      </w:pPr>
      <w:r w:rsidRPr="00924A6B">
        <w:rPr>
          <w:rtl/>
        </w:rPr>
        <w:t>مقدمة</w:t>
      </w:r>
    </w:p>
    <w:p w:rsidR="003C5A31" w:rsidRPr="00924A6B" w:rsidRDefault="003C5A31" w:rsidP="003C5A31">
      <w:pPr>
        <w:pStyle w:val="NumberedParaAR"/>
        <w:rPr>
          <w:rtl/>
        </w:rPr>
      </w:pPr>
      <w:r w:rsidRPr="00924A6B">
        <w:rPr>
          <w:rtl/>
        </w:rPr>
        <w:t>أ</w:t>
      </w:r>
      <w:r w:rsidR="00810796" w:rsidRPr="00924A6B">
        <w:rPr>
          <w:rtl/>
        </w:rPr>
        <w:t>ُ</w:t>
      </w:r>
      <w:r w:rsidRPr="00924A6B">
        <w:rPr>
          <w:rtl/>
        </w:rPr>
        <w:t xml:space="preserve">عِدت الوثيقة الموحدة الأولى بشأن الموارد الوراثية في الدورة العشرين للجنة المعارف في فبراير 2012. وتضمنت تلك الوثيقة ملخصاً للاقتراحات والمواقف التي أبديت في وثائق عمل لجنة المعارف فضلا عن اقتراحات الدول الأعضاء. وبعد ذلك خضعت تلك الوثيقة الأولية لتنقيح كبير في دورات لجنة المعارف الثانية والعشرين والثالثة والعشرين والتاسعة والعشرين والثلاثين والخامسة والثلاثين. والوثيقة </w:t>
      </w:r>
      <w:r w:rsidRPr="00924A6B">
        <w:t>WIPO/GRTKF/IC/36/4</w:t>
      </w:r>
      <w:r w:rsidRPr="00924A6B">
        <w:rPr>
          <w:rtl/>
          <w:lang w:bidi="ar-EG"/>
        </w:rPr>
        <w:t xml:space="preserve"> (الوثيقة الموحدة بشأن الملكية الفكرية والموارد الوراثية) تحتوي على أحدث نسخة من النص المقدَّم إلى لجنة المعارف.</w:t>
      </w:r>
    </w:p>
    <w:p w:rsidR="003C5A31" w:rsidRPr="00924A6B" w:rsidRDefault="003C5A31" w:rsidP="00A359B1">
      <w:pPr>
        <w:pStyle w:val="NumberedParaAR"/>
      </w:pPr>
      <w:r w:rsidRPr="00924A6B">
        <w:rPr>
          <w:rtl/>
        </w:rPr>
        <w:t xml:space="preserve">وفي إطار التحضير للدورة السادسة والثلاثين للجنة المعارف، تلخّص هذه المذكرة الإعلامية بعض القضايا الرئيسية التي قد تودّ الدول الأعضاء تركيز اهتمامها عليها. وقد أُدرجت أمثلة لبعض الأحكام الوجيهة المستمدة من القوانين الوطنية والإقليمية من أجل المساعدة على فهم وتحليل النهوج المختلفة </w:t>
      </w:r>
      <w:r w:rsidR="00A359B1" w:rsidRPr="00924A6B">
        <w:rPr>
          <w:rtl/>
        </w:rPr>
        <w:t>المقترحة</w:t>
      </w:r>
      <w:r w:rsidRPr="00924A6B">
        <w:rPr>
          <w:rtl/>
        </w:rPr>
        <w:t xml:space="preserve"> في النص المقدَّم إلى لجنة المعارف. ولا تخل الأمثلة المختارة بمواقف أي من الدول الأعضاء.</w:t>
      </w:r>
    </w:p>
    <w:p w:rsidR="003C5A31" w:rsidRPr="00924A6B" w:rsidRDefault="003C5A31" w:rsidP="00A359B1">
      <w:pPr>
        <w:pStyle w:val="NumberedParaAR"/>
        <w:rPr>
          <w:b/>
          <w:bCs/>
          <w:rtl/>
        </w:rPr>
      </w:pPr>
      <w:r w:rsidRPr="00924A6B">
        <w:rPr>
          <w:b/>
          <w:bCs/>
          <w:rtl/>
        </w:rPr>
        <w:t>وأؤكِّد أن كل الآراء الواردة في هذه المذكرة هي آرائي الخاصة ولا تخلّ بمواقف أي من الدول الأعضاء بخصوص القضايا المطروحة للنقاش. وهذه المذكرة عبارة عن وثيقة إعلامية ليس لها أي طبيعة رسمية معيّنة، ولا هي من وثائق عمل الدورة. فهي مجرّد وثيقة تحثّ على التفكير.</w:t>
      </w:r>
    </w:p>
    <w:p w:rsidR="003C5A31" w:rsidRPr="00924A6B" w:rsidRDefault="003C5A31" w:rsidP="00AD68F5">
      <w:pPr>
        <w:pStyle w:val="NumberedParaAR"/>
        <w:rPr>
          <w:rtl/>
        </w:rPr>
      </w:pPr>
      <w:r w:rsidRPr="00924A6B">
        <w:rPr>
          <w:rtl/>
        </w:rPr>
        <w:t xml:space="preserve">وكما ذكرت في المذكرة الإعلامية المعدة لأغراض الدورة الخامسة والثلاثين، تُشجَّع الدول الأعضاء بشدة على النظر في تحديد الخيارات التي تقتضي اتفاقا دوليا على صعيد لجنة المعارف وتحديد </w:t>
      </w:r>
      <w:r w:rsidR="00AD68F5" w:rsidRPr="00924A6B">
        <w:rPr>
          <w:rtl/>
        </w:rPr>
        <w:t>ال</w:t>
      </w:r>
      <w:r w:rsidRPr="00924A6B">
        <w:rPr>
          <w:rtl/>
        </w:rPr>
        <w:t>خيارات</w:t>
      </w:r>
      <w:r w:rsidR="00AD68F5" w:rsidRPr="00924A6B">
        <w:rPr>
          <w:rtl/>
        </w:rPr>
        <w:t xml:space="preserve"> المحتملة التي</w:t>
      </w:r>
      <w:r w:rsidRPr="00924A6B">
        <w:rPr>
          <w:rtl/>
        </w:rPr>
        <w:t xml:space="preserve"> تكتسي طابعا عمليا أكثر من غيرها ويمكن تنفيذها ضمن الإطار القانوني الدولي القائم، علما بأن بعضا منها قد نُفّذ بالفعل. فعلى سبيل المثال، لمساعدة فاحصي البراءات على إيجاد ما هو وجيه من حالة التقنية الصناعية السابقة وتلافي منح البراءات عن خطأ، أدرِجت أصناف فرعية جديدة قبل عدة أعوام في التصنيف الدولي للبراءات لتيسير الكشف عن حالة التقنية الصناعية السابقة الوجيهة لدى معالجة طلبات البراءات المتعلقة بالمعارف التقليدية. وإضافة إلى ذلك، أصبحت بعض المجلات الخاصة بالمعارف التقليدية تُقبل، بوصفها مصادر بخلاف وثائق البراءات، للاستخدام لأغراض فحص طلبات البراءات.</w:t>
      </w:r>
    </w:p>
    <w:p w:rsidR="003C5A31" w:rsidRPr="00924A6B" w:rsidRDefault="003C5A31" w:rsidP="00AD68F5">
      <w:pPr>
        <w:pStyle w:val="NumberedParaAR"/>
        <w:rPr>
          <w:rtl/>
        </w:rPr>
      </w:pPr>
      <w:r w:rsidRPr="00924A6B">
        <w:rPr>
          <w:rtl/>
        </w:rPr>
        <w:t xml:space="preserve">ولإعداد هذه المذكرة، استخدمتُ الوثيقة </w:t>
      </w:r>
      <w:r w:rsidRPr="00924A6B">
        <w:t>WIPO/GRTKF/IC/3</w:t>
      </w:r>
      <w:r w:rsidR="00AD68F5" w:rsidRPr="00924A6B">
        <w:t>6</w:t>
      </w:r>
      <w:r w:rsidRPr="00924A6B">
        <w:t>/4</w:t>
      </w:r>
      <w:r w:rsidRPr="00924A6B">
        <w:rPr>
          <w:rtl/>
        </w:rPr>
        <w:t xml:space="preserve"> (</w:t>
      </w:r>
      <w:r w:rsidR="00AD68F5" w:rsidRPr="00924A6B">
        <w:rPr>
          <w:rtl/>
        </w:rPr>
        <w:t>الوثيقة الموحدة بشأن الملكية الفكرية والموارد الوراثية</w:t>
      </w:r>
      <w:r w:rsidRPr="00924A6B">
        <w:rPr>
          <w:rtl/>
        </w:rPr>
        <w:t>) كوثيقة إطارية. واطّلعتُ أيضا على الوثائق التالية:</w:t>
      </w:r>
    </w:p>
    <w:p w:rsidR="003C5A31" w:rsidRPr="00924A6B" w:rsidRDefault="003C5A31" w:rsidP="007E49B2">
      <w:pPr>
        <w:pStyle w:val="NormalParaAR"/>
        <w:numPr>
          <w:ilvl w:val="0"/>
          <w:numId w:val="3"/>
        </w:numPr>
        <w:ind w:left="1134" w:hanging="567"/>
      </w:pPr>
      <w:r w:rsidRPr="00924A6B">
        <w:t>WIPO/GRTKF/IC/3</w:t>
      </w:r>
      <w:r w:rsidR="00AD68F5" w:rsidRPr="00924A6B">
        <w:t>6</w:t>
      </w:r>
      <w:r w:rsidRPr="00924A6B">
        <w:t>/5</w:t>
      </w:r>
      <w:r w:rsidRPr="00924A6B">
        <w:rPr>
          <w:rtl/>
        </w:rPr>
        <w:t xml:space="preserve"> (</w:t>
      </w:r>
      <w:r w:rsidR="00AD68F5" w:rsidRPr="00924A6B">
        <w:rPr>
          <w:rtl/>
        </w:rPr>
        <w:t>تقرير عن تجميع المواد بشأن قواعد البيانات المتعلقة بالموارد الوراثية والمعارف التقليدية المرتبطة بها</w:t>
      </w:r>
      <w:r w:rsidRPr="00924A6B">
        <w:rPr>
          <w:rtl/>
        </w:rPr>
        <w:t>)؛</w:t>
      </w:r>
    </w:p>
    <w:p w:rsidR="003C5A31" w:rsidRPr="00924A6B" w:rsidRDefault="003C5A31" w:rsidP="007E49B2">
      <w:pPr>
        <w:pStyle w:val="NormalParaAR"/>
        <w:numPr>
          <w:ilvl w:val="0"/>
          <w:numId w:val="3"/>
        </w:numPr>
        <w:ind w:left="1134" w:hanging="567"/>
      </w:pPr>
      <w:r w:rsidRPr="00924A6B">
        <w:t>WIPO/GRTKF/IC/3</w:t>
      </w:r>
      <w:r w:rsidR="00AD68F5" w:rsidRPr="00924A6B">
        <w:t>6</w:t>
      </w:r>
      <w:r w:rsidRPr="00924A6B">
        <w:t>/6</w:t>
      </w:r>
      <w:r w:rsidRPr="00924A6B">
        <w:rPr>
          <w:rtl/>
        </w:rPr>
        <w:t xml:space="preserve"> (</w:t>
      </w:r>
      <w:r w:rsidR="00AD68F5" w:rsidRPr="00924A6B">
        <w:rPr>
          <w:rtl/>
        </w:rPr>
        <w:t>تقرير عن تجميع المواد بشأن أنظمة الكشف المتعلقة بالموارد الوراثية والمعارف التقليدية المرتبطة بها</w:t>
      </w:r>
      <w:r w:rsidRPr="00924A6B">
        <w:rPr>
          <w:rtl/>
        </w:rPr>
        <w:t>)؛</w:t>
      </w:r>
    </w:p>
    <w:p w:rsidR="003C5A31" w:rsidRPr="00924A6B" w:rsidRDefault="003C5A31" w:rsidP="007E49B2">
      <w:pPr>
        <w:pStyle w:val="NormalParaAR"/>
        <w:numPr>
          <w:ilvl w:val="0"/>
          <w:numId w:val="3"/>
        </w:numPr>
        <w:ind w:left="1134" w:hanging="567"/>
      </w:pPr>
      <w:r w:rsidRPr="00924A6B">
        <w:t>WIPO/GRTKF/IC/3</w:t>
      </w:r>
      <w:r w:rsidR="00AD68F5" w:rsidRPr="00924A6B">
        <w:t>6</w:t>
      </w:r>
      <w:r w:rsidRPr="00924A6B">
        <w:t>/7</w:t>
      </w:r>
      <w:r w:rsidRPr="00924A6B">
        <w:rPr>
          <w:rtl/>
        </w:rPr>
        <w:t xml:space="preserve"> (</w:t>
      </w:r>
      <w:r w:rsidR="00AD68F5" w:rsidRPr="00924A6B">
        <w:rPr>
          <w:rtl/>
        </w:rPr>
        <w:t>توصية مشتركة بشأن الموارد الوراثية والمعارف التقليدية المرتبطة بها</w:t>
      </w:r>
      <w:r w:rsidRPr="00924A6B">
        <w:rPr>
          <w:rtl/>
        </w:rPr>
        <w:t>)؛</w:t>
      </w:r>
    </w:p>
    <w:p w:rsidR="003C5A31" w:rsidRPr="00924A6B" w:rsidRDefault="003C5A31" w:rsidP="007E49B2">
      <w:pPr>
        <w:pStyle w:val="NormalParaAR"/>
        <w:numPr>
          <w:ilvl w:val="0"/>
          <w:numId w:val="3"/>
        </w:numPr>
        <w:ind w:left="1134" w:hanging="567"/>
      </w:pPr>
      <w:r w:rsidRPr="00924A6B">
        <w:lastRenderedPageBreak/>
        <w:t>WIPO/GRTKF/IC/3</w:t>
      </w:r>
      <w:r w:rsidR="00AD68F5" w:rsidRPr="00924A6B">
        <w:t>6</w:t>
      </w:r>
      <w:r w:rsidRPr="00924A6B">
        <w:t>/8</w:t>
      </w:r>
      <w:r w:rsidRPr="00924A6B">
        <w:rPr>
          <w:rtl/>
        </w:rPr>
        <w:t xml:space="preserve"> (</w:t>
      </w:r>
      <w:r w:rsidR="00AD68F5" w:rsidRPr="00924A6B">
        <w:rPr>
          <w:rtl/>
        </w:rPr>
        <w:t>توصية مشتركة بشأن استخدام قواعد البيانات لأغراض الحماية الدفاعية للموارد الوراثية والمعارف التقليدية المرتبطة بها</w:t>
      </w:r>
      <w:r w:rsidRPr="00924A6B">
        <w:rPr>
          <w:rtl/>
        </w:rPr>
        <w:t>)؛</w:t>
      </w:r>
    </w:p>
    <w:p w:rsidR="003C5A31" w:rsidRPr="00924A6B" w:rsidRDefault="003C5A31" w:rsidP="007E49B2">
      <w:pPr>
        <w:pStyle w:val="NormalParaAR"/>
        <w:numPr>
          <w:ilvl w:val="0"/>
          <w:numId w:val="3"/>
        </w:numPr>
        <w:ind w:left="1134" w:hanging="567"/>
      </w:pPr>
      <w:r w:rsidRPr="00924A6B">
        <w:t>WIPO/GRTKF/IC/3</w:t>
      </w:r>
      <w:r w:rsidR="00AD68F5" w:rsidRPr="00924A6B">
        <w:t>6</w:t>
      </w:r>
      <w:r w:rsidRPr="00924A6B">
        <w:t>/9</w:t>
      </w:r>
      <w:r w:rsidRPr="00924A6B">
        <w:rPr>
          <w:rtl/>
        </w:rPr>
        <w:t xml:space="preserve"> (</w:t>
      </w:r>
      <w:r w:rsidR="000B5064" w:rsidRPr="00924A6B">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Pr="00924A6B">
        <w:rPr>
          <w:rtl/>
        </w:rPr>
        <w:t>)؛</w:t>
      </w:r>
    </w:p>
    <w:p w:rsidR="003C5A31" w:rsidRPr="00924A6B" w:rsidRDefault="003C5A31" w:rsidP="007E49B2">
      <w:pPr>
        <w:pStyle w:val="NormalParaAR"/>
        <w:numPr>
          <w:ilvl w:val="0"/>
          <w:numId w:val="3"/>
        </w:numPr>
        <w:ind w:left="1134" w:hanging="567"/>
      </w:pPr>
      <w:r w:rsidRPr="00924A6B">
        <w:t>WIPO/GRTKF/IC/8/11</w:t>
      </w:r>
      <w:r w:rsidRPr="00924A6B">
        <w:rPr>
          <w:rtl/>
        </w:rPr>
        <w:t xml:space="preserve"> (الكشف عن منشأ الموارد الوراثية وما يتصل بها من المعارف التقليدية أو عن مصدرها في طلبات البراءات (اقتراح الاتحاد الأوروبي))؛</w:t>
      </w:r>
    </w:p>
    <w:p w:rsidR="003C5A31" w:rsidRPr="00924A6B" w:rsidRDefault="003C5A31" w:rsidP="007E49B2">
      <w:pPr>
        <w:pStyle w:val="NormalParaAR"/>
        <w:numPr>
          <w:ilvl w:val="0"/>
          <w:numId w:val="3"/>
        </w:numPr>
        <w:ind w:left="1134" w:hanging="567"/>
      </w:pPr>
      <w:r w:rsidRPr="00924A6B">
        <w:t>WIPO/GRTKF/IC/11/10</w:t>
      </w:r>
      <w:r w:rsidRPr="00924A6B">
        <w:rPr>
          <w:rtl/>
        </w:rPr>
        <w:t xml:space="preserve"> (إعلان مصدر الموارد الوراثية والمعارف التقليدية في طلبات البراءات: اقتراحات من سويسرا)؛</w:t>
      </w:r>
    </w:p>
    <w:p w:rsidR="003C5A31" w:rsidRPr="00924A6B" w:rsidRDefault="003C5A31" w:rsidP="007E49B2">
      <w:pPr>
        <w:pStyle w:val="NormalParaAR"/>
        <w:numPr>
          <w:ilvl w:val="0"/>
          <w:numId w:val="3"/>
        </w:numPr>
        <w:ind w:left="1134" w:hanging="567"/>
      </w:pPr>
      <w:r w:rsidRPr="00924A6B">
        <w:t>WIPO/GRTKF/IC/19/11</w:t>
      </w:r>
      <w:r w:rsidRPr="00924A6B">
        <w:rPr>
          <w:rtl/>
        </w:rPr>
        <w:t xml:space="preserve"> (إسهام البلدان متشابهة التفكير في الأهداف والمبادئ بشـأن حماية الموارد الوراثية ومشروع المواد التمهيدي بشأن حماية الموارد الوراثية).</w:t>
      </w:r>
    </w:p>
    <w:p w:rsidR="000B5064" w:rsidRPr="00924A6B" w:rsidRDefault="000B5064" w:rsidP="000B5064">
      <w:pPr>
        <w:pStyle w:val="NumberedParaAR"/>
      </w:pPr>
      <w:r w:rsidRPr="00924A6B">
        <w:rPr>
          <w:rtl/>
        </w:rPr>
        <w:t>وقد اطلعت أيضا على وثيقتين مفيدتين جدا أعدتهما أمانة الويبو يلي بيانهما:</w:t>
      </w:r>
    </w:p>
    <w:p w:rsidR="000B5064" w:rsidRPr="00924A6B" w:rsidRDefault="000B5064" w:rsidP="007E49B2">
      <w:pPr>
        <w:pStyle w:val="NormalParaAR"/>
        <w:numPr>
          <w:ilvl w:val="0"/>
          <w:numId w:val="3"/>
        </w:numPr>
      </w:pPr>
      <w:r w:rsidRPr="00924A6B">
        <w:rPr>
          <w:rtl/>
        </w:rPr>
        <w:t xml:space="preserve">مسائل رئيسية عن شروط الكشف في البراءات فيما يخص الموارد الوراثية والمعارف التقليدية: </w:t>
      </w:r>
      <w:hyperlink r:id="rId8" w:history="1">
        <w:r w:rsidRPr="00924A6B">
          <w:rPr>
            <w:rStyle w:val="Hyperlink"/>
            <w:color w:val="auto"/>
            <w:sz w:val="30"/>
            <w:szCs w:val="30"/>
            <w:u w:val="none"/>
          </w:rPr>
          <w:t>http://www.wipo.int/publications/en/details.jsp?id=4194</w:t>
        </w:r>
      </w:hyperlink>
      <w:r w:rsidRPr="00924A6B">
        <w:rPr>
          <w:rtl/>
        </w:rPr>
        <w:t>؛</w:t>
      </w:r>
    </w:p>
    <w:p w:rsidR="000B5064" w:rsidRPr="00924A6B" w:rsidRDefault="000B5064" w:rsidP="007E49B2">
      <w:pPr>
        <w:pStyle w:val="NormalParaAR"/>
        <w:numPr>
          <w:ilvl w:val="0"/>
          <w:numId w:val="3"/>
        </w:numPr>
        <w:rPr>
          <w:rtl/>
        </w:rPr>
      </w:pPr>
      <w:r w:rsidRPr="00924A6B">
        <w:rPr>
          <w:rtl/>
        </w:rPr>
        <w:t xml:space="preserve">جدول شروط الكشف: </w:t>
      </w:r>
      <w:hyperlink r:id="rId9" w:history="1">
        <w:r w:rsidRPr="00924A6B">
          <w:rPr>
            <w:rStyle w:val="Hyperlink"/>
            <w:color w:val="auto"/>
            <w:sz w:val="31"/>
            <w:szCs w:val="31"/>
            <w:u w:val="none"/>
          </w:rPr>
          <w:t>http://www.wipo.int/export/sites/www/tk/en/documents/pdf/genetic_resources_disclosure.pdf</w:t>
        </w:r>
      </w:hyperlink>
      <w:r w:rsidRPr="00924A6B">
        <w:rPr>
          <w:rtl/>
        </w:rPr>
        <w:t>.</w:t>
      </w:r>
    </w:p>
    <w:p w:rsidR="000B5064" w:rsidRPr="00924A6B" w:rsidRDefault="008D120E" w:rsidP="00D1796B">
      <w:pPr>
        <w:pStyle w:val="Heading1"/>
        <w:rPr>
          <w:rtl/>
        </w:rPr>
      </w:pPr>
      <w:r w:rsidRPr="00924A6B">
        <w:rPr>
          <w:rtl/>
        </w:rPr>
        <w:t>السياق الأعم</w:t>
      </w:r>
    </w:p>
    <w:p w:rsidR="008D120E" w:rsidRPr="00924A6B" w:rsidRDefault="008D120E" w:rsidP="00FF2A8B">
      <w:pPr>
        <w:pStyle w:val="NumberedParaAR"/>
        <w:rPr>
          <w:rtl/>
          <w:lang w:bidi="ar-EG"/>
        </w:rPr>
      </w:pPr>
      <w:r w:rsidRPr="00924A6B">
        <w:rPr>
          <w:rtl/>
          <w:lang w:bidi="ar-EG"/>
        </w:rPr>
        <w:t xml:space="preserve">إن الصكوك الدولية الرئيسية التي تنظِّم </w:t>
      </w:r>
      <w:r w:rsidR="00FF2A8B" w:rsidRPr="00924A6B">
        <w:rPr>
          <w:rtl/>
          <w:lang w:bidi="ar-EG"/>
        </w:rPr>
        <w:t>النفاذ إلى</w:t>
      </w:r>
      <w:r w:rsidRPr="00924A6B">
        <w:rPr>
          <w:rtl/>
          <w:lang w:bidi="ar-EG"/>
        </w:rPr>
        <w:t xml:space="preserve"> الموارد الوراثية وتقاسم المنافع الناشئة عن استخدامها هي اتفاقية التنوع البيولوجي، </w:t>
      </w:r>
      <w:r w:rsidR="00FF2A8B" w:rsidRPr="00924A6B">
        <w:rPr>
          <w:rtl/>
          <w:lang w:bidi="ar-EG"/>
        </w:rPr>
        <w:t>وبروتوكول ناغويا بشأن الحصول على الموارد الجينية والتقاسم العادل والمنصف للمنافع الناشئة عن استخدامها الملحق باتفاقية التنوع البيولوجي</w:t>
      </w:r>
      <w:r w:rsidRPr="00924A6B">
        <w:rPr>
          <w:rtl/>
          <w:lang w:bidi="ar-EG"/>
        </w:rPr>
        <w:t xml:space="preserve"> (بروتوكول ناغويا)، ومعاهدة منظمة الأغذية والزراعة الدولية بشأن الموارد الوراثية النباتية للأغذية والزراعة.</w:t>
      </w:r>
    </w:p>
    <w:p w:rsidR="00C141E2" w:rsidRPr="00924A6B" w:rsidRDefault="008D120E" w:rsidP="00A3558A">
      <w:pPr>
        <w:pStyle w:val="NumberedParaAR"/>
      </w:pPr>
      <w:r w:rsidRPr="00924A6B">
        <w:rPr>
          <w:rtl/>
          <w:lang w:bidi="ar-EG"/>
        </w:rPr>
        <w:t>ويمكن تمييز الموارد الوراثية عن الموضوعين الآخرين اللذين تنظر فيهما لجنة المعارف أي المعارف التقليدية وأشكال التعبير الثقافي التقليدي. إذ يمكن اعتبار المعارف التقليدية وأشكال التعبير الثقافي التقليدي – وهما وليدتا العقل البشري – "ملكية فكرية" يمكن حماي</w:t>
      </w:r>
      <w:r w:rsidR="00D1796B" w:rsidRPr="00924A6B">
        <w:rPr>
          <w:rtl/>
          <w:lang w:bidi="ar-EG"/>
        </w:rPr>
        <w:t>تها</w:t>
      </w:r>
      <w:r w:rsidRPr="00924A6B">
        <w:rPr>
          <w:rtl/>
          <w:lang w:bidi="ar-EG"/>
        </w:rPr>
        <w:t xml:space="preserve"> مباشرة بموجب صك للملكية الفكرية. أما الموارد الوراثية، فهي ليست من نتاج العقل البشري </w:t>
      </w:r>
      <w:r w:rsidR="00130C6B" w:rsidRPr="00924A6B">
        <w:rPr>
          <w:rtl/>
          <w:lang w:bidi="ar-EG"/>
        </w:rPr>
        <w:t xml:space="preserve">وتطرح قضايا مختلفة في مجال الملكية الفكرية. </w:t>
      </w:r>
      <w:r w:rsidR="00FF2A8B" w:rsidRPr="00924A6B">
        <w:rPr>
          <w:rtl/>
          <w:lang w:bidi="ar-EG"/>
        </w:rPr>
        <w:t xml:space="preserve">وإذ </w:t>
      </w:r>
      <w:r w:rsidR="00130C6B" w:rsidRPr="00924A6B">
        <w:rPr>
          <w:rtl/>
          <w:lang w:bidi="ar-EG"/>
        </w:rPr>
        <w:t>يجوز</w:t>
      </w:r>
      <w:r w:rsidR="00FF2A8B" w:rsidRPr="00924A6B">
        <w:rPr>
          <w:rtl/>
          <w:lang w:bidi="ar-EG"/>
        </w:rPr>
        <w:t xml:space="preserve"> منح براءة لحماية </w:t>
      </w:r>
      <w:r w:rsidR="00130C6B" w:rsidRPr="00924A6B">
        <w:rPr>
          <w:rtl/>
          <w:lang w:bidi="ar-EG"/>
        </w:rPr>
        <w:t xml:space="preserve">اختراعات </w:t>
      </w:r>
      <w:r w:rsidR="00A3558A" w:rsidRPr="00924A6B">
        <w:rPr>
          <w:rtl/>
          <w:lang w:bidi="ar-EG"/>
        </w:rPr>
        <w:t>تستند إلى</w:t>
      </w:r>
      <w:r w:rsidR="00130C6B" w:rsidRPr="00924A6B">
        <w:rPr>
          <w:rtl/>
          <w:lang w:bidi="ar-EG"/>
        </w:rPr>
        <w:t xml:space="preserve"> موارد وراثية </w:t>
      </w:r>
      <w:r w:rsidR="00FF2A8B" w:rsidRPr="00924A6B">
        <w:rPr>
          <w:rtl/>
          <w:lang w:bidi="ar-EG"/>
        </w:rPr>
        <w:t>أو طوِّرت باستخدامها</w:t>
      </w:r>
      <w:r w:rsidR="00130C6B" w:rsidRPr="00924A6B">
        <w:rPr>
          <w:rtl/>
          <w:lang w:bidi="ar-EG"/>
        </w:rPr>
        <w:t xml:space="preserve">، يساور بعض الأعضاء قلق من احتمال منح براءات عن خطأ لاختراعات </w:t>
      </w:r>
      <w:r w:rsidR="00A3558A" w:rsidRPr="00924A6B">
        <w:rPr>
          <w:rtl/>
          <w:lang w:bidi="ar-EG"/>
        </w:rPr>
        <w:t>تستند إلى</w:t>
      </w:r>
      <w:r w:rsidR="00130C6B" w:rsidRPr="00924A6B">
        <w:rPr>
          <w:rtl/>
          <w:lang w:bidi="ar-EG"/>
        </w:rPr>
        <w:t xml:space="preserve"> موارد وراثية أو </w:t>
      </w:r>
      <w:r w:rsidR="00FF2A8B" w:rsidRPr="00924A6B">
        <w:rPr>
          <w:rtl/>
          <w:lang w:bidi="ar-EG"/>
        </w:rPr>
        <w:t>طوِّرت باستخدامها</w:t>
      </w:r>
      <w:r w:rsidR="00130C6B" w:rsidRPr="00924A6B">
        <w:rPr>
          <w:rtl/>
          <w:lang w:bidi="ar-EG"/>
        </w:rPr>
        <w:t xml:space="preserve">. </w:t>
      </w:r>
      <w:r w:rsidR="00FF2A8B" w:rsidRPr="00924A6B">
        <w:rPr>
          <w:rtl/>
          <w:lang w:bidi="ar-EG"/>
        </w:rPr>
        <w:t xml:space="preserve">ويريد هؤلاء الأعضاء </w:t>
      </w:r>
      <w:r w:rsidR="005C3670" w:rsidRPr="00924A6B">
        <w:rPr>
          <w:rtl/>
          <w:lang w:bidi="ar-EG"/>
        </w:rPr>
        <w:t xml:space="preserve">تحسين جودة فحص البراءات وفعالية نظام البراءات وشفافيته. </w:t>
      </w:r>
      <w:r w:rsidR="00FF2A8B" w:rsidRPr="00924A6B">
        <w:rPr>
          <w:rtl/>
          <w:lang w:bidi="ar-EG"/>
        </w:rPr>
        <w:t xml:space="preserve">وقد يتسنى تحقيق ذلك عن طريق </w:t>
      </w:r>
      <w:r w:rsidR="00EF5571" w:rsidRPr="00924A6B">
        <w:rPr>
          <w:rtl/>
        </w:rPr>
        <w:t xml:space="preserve">ضمان حصول مكاتب البراءات على المعلومات المناسبة. إذ يرى بعض الأعضاء أن نظام البراءات/الملكية الفكرية ينبغي أن ييسر أيضاً الامتثال لالتزامات </w:t>
      </w:r>
      <w:r w:rsidR="00EF5571" w:rsidRPr="00924A6B">
        <w:rPr>
          <w:rtl/>
          <w:lang w:bidi="ar-EG"/>
        </w:rPr>
        <w:t>النفاذ</w:t>
      </w:r>
      <w:r w:rsidR="00EF5571" w:rsidRPr="00924A6B">
        <w:rPr>
          <w:rtl/>
        </w:rPr>
        <w:t xml:space="preserve"> وتقاسم المنافع المنبثقة عن الصكوك الدولية المذكورة آنفاً، ولا سيما الالتزامات المتعلقة بالموافقة المسبقة والمستنيرة والشروط المتفق</w:t>
      </w:r>
      <w:r w:rsidR="00EF5571" w:rsidRPr="00924A6B">
        <w:t xml:space="preserve"> </w:t>
      </w:r>
      <w:r w:rsidR="00EF5571" w:rsidRPr="00924A6B">
        <w:rPr>
          <w:rtl/>
        </w:rPr>
        <w:t xml:space="preserve">عليها والتقاسم العادل والمنصف للمنافع. ومن ثم، </w:t>
      </w:r>
      <w:r w:rsidR="00C141E2" w:rsidRPr="00924A6B">
        <w:rPr>
          <w:rtl/>
        </w:rPr>
        <w:t>يتعين على لجنة المعارف أن ترد على سؤالين هما (1)</w:t>
      </w:r>
      <w:r w:rsidR="00EF5571" w:rsidRPr="00924A6B">
        <w:rPr>
          <w:rtl/>
        </w:rPr>
        <w:t xml:space="preserve"> هل ينبغي للجنة المعارف </w:t>
      </w:r>
      <w:r w:rsidR="00C141E2" w:rsidRPr="00924A6B">
        <w:rPr>
          <w:rtl/>
        </w:rPr>
        <w:t>أن تعمل</w:t>
      </w:r>
      <w:r w:rsidR="00EF5571" w:rsidRPr="00924A6B">
        <w:rPr>
          <w:rtl/>
        </w:rPr>
        <w:t xml:space="preserve"> على تحقيق أحد الهدفين</w:t>
      </w:r>
      <w:r w:rsidR="00C141E2" w:rsidRPr="00924A6B">
        <w:rPr>
          <w:rtl/>
        </w:rPr>
        <w:t xml:space="preserve"> المذكورين أم</w:t>
      </w:r>
      <w:r w:rsidR="00EF5571" w:rsidRPr="00924A6B">
        <w:rPr>
          <w:rtl/>
        </w:rPr>
        <w:t xml:space="preserve"> كلاهما</w:t>
      </w:r>
      <w:r w:rsidR="00C141E2" w:rsidRPr="00924A6B">
        <w:rPr>
          <w:rtl/>
        </w:rPr>
        <w:t>؟</w:t>
      </w:r>
      <w:r w:rsidR="00EF5571" w:rsidRPr="00924A6B">
        <w:rPr>
          <w:rtl/>
        </w:rPr>
        <w:t xml:space="preserve"> (2) </w:t>
      </w:r>
      <w:r w:rsidR="00C141E2" w:rsidRPr="00924A6B">
        <w:rPr>
          <w:rtl/>
        </w:rPr>
        <w:t>وفي هذه الحالة</w:t>
      </w:r>
      <w:r w:rsidR="00EF5571" w:rsidRPr="00924A6B">
        <w:rPr>
          <w:rtl/>
        </w:rPr>
        <w:t xml:space="preserve">، </w:t>
      </w:r>
      <w:r w:rsidR="00C141E2" w:rsidRPr="00924A6B">
        <w:rPr>
          <w:rtl/>
        </w:rPr>
        <w:t>ما هي الآليات المحتملة اللازمة لتحقيق الهدف أو الهدفين المنشودين؟</w:t>
      </w:r>
    </w:p>
    <w:p w:rsidR="00EF5571" w:rsidRPr="00924A6B" w:rsidRDefault="00EF5571" w:rsidP="00EF5571">
      <w:pPr>
        <w:pStyle w:val="Heading1"/>
      </w:pPr>
      <w:r w:rsidRPr="00924A6B">
        <w:rPr>
          <w:rtl/>
        </w:rPr>
        <w:lastRenderedPageBreak/>
        <w:t>نبذة عامة عن الوثيقة الموحدة</w:t>
      </w:r>
    </w:p>
    <w:p w:rsidR="00EF5571" w:rsidRPr="00924A6B" w:rsidRDefault="00EF5571" w:rsidP="00EF5571">
      <w:pPr>
        <w:pStyle w:val="NumberedParaAR"/>
      </w:pPr>
      <w:r w:rsidRPr="00924A6B">
        <w:rPr>
          <w:rtl/>
        </w:rPr>
        <w:t>تتضمن الوثيقة الموحدة (</w:t>
      </w:r>
      <w:r w:rsidRPr="00924A6B">
        <w:t>WIPO/GRTKF/IC/36/4</w:t>
      </w:r>
      <w:r w:rsidRPr="00924A6B">
        <w:rPr>
          <w:rtl/>
        </w:rPr>
        <w:t>) نهجين أو "آليتين" واسعتين لمعالجة قضايا الملكية الفكرية المتعلقة بالموارد الوراثية. وقد حُددت مجموعة من أهداف السياسة العامة لكل نهج منهما.</w:t>
      </w:r>
    </w:p>
    <w:p w:rsidR="003C5A31" w:rsidRPr="00924A6B" w:rsidRDefault="003C5A31" w:rsidP="00EF5571">
      <w:pPr>
        <w:pStyle w:val="NumberedParaAR"/>
        <w:rPr>
          <w:rtl/>
        </w:rPr>
      </w:pPr>
      <w:r w:rsidRPr="00924A6B">
        <w:rPr>
          <w:rtl/>
        </w:rPr>
        <w:t>وفيما يلي النهجان الواسعان الواردان في الوثيقة الموحدة:</w:t>
      </w:r>
    </w:p>
    <w:p w:rsidR="00EF5571" w:rsidRPr="00924A6B" w:rsidRDefault="003C5A31" w:rsidP="007E49B2">
      <w:pPr>
        <w:pStyle w:val="NormalParaAR"/>
        <w:numPr>
          <w:ilvl w:val="0"/>
          <w:numId w:val="3"/>
        </w:numPr>
        <w:ind w:left="1134" w:hanging="567"/>
      </w:pPr>
      <w:r w:rsidRPr="00924A6B">
        <w:rPr>
          <w:b/>
          <w:bCs/>
          <w:rtl/>
        </w:rPr>
        <w:t>شرط الكشف.</w:t>
      </w:r>
      <w:r w:rsidRPr="00924A6B">
        <w:rPr>
          <w:rtl/>
        </w:rPr>
        <w:t xml:space="preserve"> </w:t>
      </w:r>
      <w:r w:rsidR="00EF5571" w:rsidRPr="00924A6B">
        <w:rPr>
          <w:rtl/>
        </w:rPr>
        <w:t>إدراج شرط كشف جديد في تشريعات الملكية الفكرية/البراءات المتعلقة بالكشف عن المعلومات (مثل المعلومات الخاصة ببلد منشأ أو مصدر الموارد الوراثية والمعارف التقليدية المرتبطة بالموارد الوراثية) في الطلبات، إذا كان الموضوع/الاختراع المطالب بحمايته يشمل استعمال الموارد الوراثية أو المعارف التقليدية المرتبطة بالموارد الوراثية أو يستند بشكل مباشر إليها. وترى بعض الدول الأعضاء أنه ينبغي عدم إدراج أي شروط كشف جديدة.</w:t>
      </w:r>
    </w:p>
    <w:p w:rsidR="003C5A31" w:rsidRPr="00924A6B" w:rsidRDefault="003C5A31" w:rsidP="007E49B2">
      <w:pPr>
        <w:pStyle w:val="NormalParaAR"/>
        <w:numPr>
          <w:ilvl w:val="0"/>
          <w:numId w:val="3"/>
        </w:numPr>
        <w:ind w:left="1134" w:hanging="567"/>
        <w:rPr>
          <w:rtl/>
        </w:rPr>
      </w:pPr>
      <w:r w:rsidRPr="00924A6B">
        <w:rPr>
          <w:b/>
          <w:bCs/>
          <w:rtl/>
        </w:rPr>
        <w:t>التدابير الدفاعية</w:t>
      </w:r>
      <w:r w:rsidR="00EF5571" w:rsidRPr="00924A6B">
        <w:rPr>
          <w:b/>
          <w:bCs/>
          <w:rtl/>
        </w:rPr>
        <w:t>/التكميلية</w:t>
      </w:r>
      <w:r w:rsidRPr="00924A6B">
        <w:rPr>
          <w:b/>
          <w:bCs/>
          <w:rtl/>
        </w:rPr>
        <w:t>.</w:t>
      </w:r>
      <w:r w:rsidR="00EF5571" w:rsidRPr="00924A6B">
        <w:rPr>
          <w:rtl/>
        </w:rPr>
        <w:t xml:space="preserve"> يشتمل هذا النهج على تدابير من قبيل قواعد البيانات والمدونات الاختيارية والمبادئ التوجيهية لمكاتب الملكية الفكرية/البراءات، وآليات منازعات الأطراف الأخرى وأنظمة العناية الواجبة داخل مكاتب البراءات بموجب القوانين الوطنية لضمان الامتثال للأنظمة الوجيهة الخاصة بالنفاذ وتقاسم المنافع.</w:t>
      </w:r>
    </w:p>
    <w:p w:rsidR="003C5A31" w:rsidRPr="00924A6B" w:rsidRDefault="003C5A31" w:rsidP="00C02A1C">
      <w:pPr>
        <w:pStyle w:val="Heading1"/>
        <w:rPr>
          <w:rtl/>
        </w:rPr>
      </w:pPr>
      <w:r w:rsidRPr="00924A6B">
        <w:rPr>
          <w:rtl/>
        </w:rPr>
        <w:t xml:space="preserve">القضايا الرئيسية المطروحة على الدورة </w:t>
      </w:r>
      <w:r w:rsidR="003A5F69" w:rsidRPr="00924A6B">
        <w:rPr>
          <w:rtl/>
        </w:rPr>
        <w:t>السادسة</w:t>
      </w:r>
      <w:r w:rsidRPr="00924A6B">
        <w:rPr>
          <w:rtl/>
        </w:rPr>
        <w:t xml:space="preserve"> والثلاثين للجنة المعارف</w:t>
      </w:r>
    </w:p>
    <w:p w:rsidR="00DA34A2" w:rsidRPr="00924A6B" w:rsidRDefault="00DA34A2" w:rsidP="00DA34A2">
      <w:pPr>
        <w:pStyle w:val="NumberedParaAR"/>
        <w:rPr>
          <w:rtl/>
        </w:rPr>
      </w:pPr>
      <w:r w:rsidRPr="00924A6B">
        <w:rPr>
          <w:rtl/>
        </w:rPr>
        <w:t xml:space="preserve">فيما يخص </w:t>
      </w:r>
      <w:r w:rsidRPr="00924A6B">
        <w:rPr>
          <w:b/>
          <w:bCs/>
          <w:rtl/>
        </w:rPr>
        <w:t>شروط الكشف</w:t>
      </w:r>
      <w:r w:rsidRPr="00924A6B">
        <w:rPr>
          <w:rtl/>
        </w:rPr>
        <w:t>، يبدو أن الدول الأعضاء التي تؤيد شكلاً من أشكال الكشف تتفق عموماً على الأهداف التالية:</w:t>
      </w:r>
    </w:p>
    <w:p w:rsidR="00DA34A2" w:rsidRPr="00924A6B" w:rsidRDefault="00DA34A2" w:rsidP="007E49B2">
      <w:pPr>
        <w:pStyle w:val="NormalParaAR"/>
        <w:numPr>
          <w:ilvl w:val="0"/>
          <w:numId w:val="3"/>
        </w:numPr>
        <w:spacing w:after="0"/>
        <w:ind w:left="1134" w:hanging="567"/>
        <w:rPr>
          <w:rtl/>
        </w:rPr>
      </w:pPr>
      <w:r w:rsidRPr="00924A6B">
        <w:rPr>
          <w:rtl/>
        </w:rPr>
        <w:t>ضمان الدعم المتبادل مع الاتفاقات الدولية؛</w:t>
      </w:r>
    </w:p>
    <w:p w:rsidR="00DA34A2" w:rsidRPr="00924A6B" w:rsidRDefault="00DA34A2" w:rsidP="007E49B2">
      <w:pPr>
        <w:pStyle w:val="NormalParaAR"/>
        <w:numPr>
          <w:ilvl w:val="0"/>
          <w:numId w:val="3"/>
        </w:numPr>
        <w:spacing w:after="0"/>
        <w:ind w:left="1134" w:hanging="567"/>
        <w:rPr>
          <w:rtl/>
        </w:rPr>
      </w:pPr>
      <w:r w:rsidRPr="00924A6B">
        <w:rPr>
          <w:rtl/>
        </w:rPr>
        <w:t>تعزيز الشفافية في نظام الملكية الفكرية/البراءات؛</w:t>
      </w:r>
    </w:p>
    <w:p w:rsidR="00DA34A2" w:rsidRPr="00924A6B" w:rsidRDefault="00DA34A2" w:rsidP="007E49B2">
      <w:pPr>
        <w:pStyle w:val="NormalParaAR"/>
        <w:numPr>
          <w:ilvl w:val="0"/>
          <w:numId w:val="3"/>
        </w:numPr>
        <w:ind w:left="1134" w:hanging="567"/>
        <w:rPr>
          <w:rtl/>
        </w:rPr>
      </w:pPr>
      <w:r w:rsidRPr="00924A6B">
        <w:rPr>
          <w:rtl/>
        </w:rPr>
        <w:t xml:space="preserve">ضمان حصول مكاتب الملكية الفكرية على المعلومات المناسبة </w:t>
      </w:r>
      <w:r w:rsidR="00A3558A" w:rsidRPr="00924A6B">
        <w:rPr>
          <w:rtl/>
        </w:rPr>
        <w:t>لتلافي</w:t>
      </w:r>
      <w:r w:rsidRPr="00924A6B">
        <w:rPr>
          <w:rtl/>
        </w:rPr>
        <w:t xml:space="preserve"> حالات التملك غير المشروع الناتجة عن منح حقوق ملكية فكرية/براءات عن خطأ.</w:t>
      </w:r>
    </w:p>
    <w:p w:rsidR="00DA34A2" w:rsidRPr="00924A6B" w:rsidRDefault="00DA34A2" w:rsidP="00A3558A">
      <w:pPr>
        <w:pStyle w:val="NumberedParaAR"/>
        <w:rPr>
          <w:rtl/>
        </w:rPr>
      </w:pPr>
      <w:r w:rsidRPr="00924A6B">
        <w:rPr>
          <w:rtl/>
        </w:rPr>
        <w:t xml:space="preserve">وإضافة إلى تلك الأهداف، أود أيضا الإشارة إلى التنوع الكبير الموجود في أنظمة الكشف الوطنية والإقليمية، كما يتبيَّن من الأمثلة الواردة أدناه. ويرجع ذلك جزئياً إلى </w:t>
      </w:r>
      <w:r w:rsidR="00A3558A" w:rsidRPr="00924A6B">
        <w:rPr>
          <w:rtl/>
        </w:rPr>
        <w:t>اختلاف</w:t>
      </w:r>
      <w:r w:rsidRPr="00924A6B">
        <w:rPr>
          <w:rtl/>
        </w:rPr>
        <w:t xml:space="preserve"> </w:t>
      </w:r>
      <w:r w:rsidR="00A3558A" w:rsidRPr="00924A6B">
        <w:rPr>
          <w:rtl/>
        </w:rPr>
        <w:t>طريقة</w:t>
      </w:r>
      <w:r w:rsidRPr="00924A6B">
        <w:rPr>
          <w:rtl/>
        </w:rPr>
        <w:t xml:space="preserve"> تنظيم أنظمة الكشف وطنياً وإقليمياً</w:t>
      </w:r>
      <w:r w:rsidR="00A3558A" w:rsidRPr="00924A6B">
        <w:rPr>
          <w:rtl/>
        </w:rPr>
        <w:t>: فقد ينظمها قانون</w:t>
      </w:r>
      <w:r w:rsidRPr="00924A6B">
        <w:rPr>
          <w:rtl/>
        </w:rPr>
        <w:t xml:space="preserve"> البيئة/التنوع البيولوجي أو </w:t>
      </w:r>
      <w:r w:rsidR="00A3558A" w:rsidRPr="00924A6B">
        <w:rPr>
          <w:rtl/>
        </w:rPr>
        <w:t>قانون</w:t>
      </w:r>
      <w:r w:rsidRPr="00924A6B">
        <w:rPr>
          <w:rtl/>
        </w:rPr>
        <w:t xml:space="preserve"> ا</w:t>
      </w:r>
      <w:r w:rsidR="00A3558A" w:rsidRPr="00924A6B">
        <w:rPr>
          <w:rtl/>
        </w:rPr>
        <w:t>لبراءات أو القانونان معاً</w:t>
      </w:r>
      <w:r w:rsidRPr="00924A6B">
        <w:rPr>
          <w:rtl/>
        </w:rPr>
        <w:t xml:space="preserve">. وقد تؤدي الاختلافات إلى زيادة عدم اليقين القانوني والأعباء التنظيمية/التكاليف </w:t>
      </w:r>
      <w:r w:rsidR="00A3558A" w:rsidRPr="00924A6B">
        <w:rPr>
          <w:rtl/>
        </w:rPr>
        <w:t>المفروضة على</w:t>
      </w:r>
      <w:r w:rsidRPr="00924A6B">
        <w:rPr>
          <w:rtl/>
        </w:rPr>
        <w:t xml:space="preserve"> المنشآت التي تزاول </w:t>
      </w:r>
      <w:r w:rsidR="00A3558A" w:rsidRPr="00924A6B">
        <w:rPr>
          <w:rtl/>
        </w:rPr>
        <w:t>أنشطتها في أكثر من بلد. ولذلك، قد تود</w:t>
      </w:r>
      <w:r w:rsidRPr="00924A6B">
        <w:rPr>
          <w:rtl/>
        </w:rPr>
        <w:t xml:space="preserve"> الدول الأعضاء النظر فيما إذا كان وضع مجموعة من معايير الكشف الدولية المتعلقة بالموارد الوراثية و/أو المعارف التقليدية المرتبطة بالموارد الوراثية ضمن نظام الملكية الفكرية يمكن أن يساعد في التخفيف من تلك المخاطر المحتملة.</w:t>
      </w:r>
    </w:p>
    <w:p w:rsidR="00DA34A2" w:rsidRPr="00924A6B" w:rsidRDefault="00DA34A2" w:rsidP="00DA34A2">
      <w:pPr>
        <w:pStyle w:val="NumberedParaAR"/>
        <w:rPr>
          <w:rtl/>
        </w:rPr>
      </w:pPr>
      <w:r w:rsidRPr="00924A6B">
        <w:rPr>
          <w:rtl/>
        </w:rPr>
        <w:t>وقد ترغب الدول الأعضاء في التركيز على القضايا الرئيسية التالية المتعلقة بشروط الكشف خلال الدورة السادسة والثلاثين للجنة المعارف:</w:t>
      </w:r>
    </w:p>
    <w:p w:rsidR="003A5F69" w:rsidRPr="00924A6B" w:rsidRDefault="00DA34A2" w:rsidP="00235258">
      <w:pPr>
        <w:pStyle w:val="Heading2"/>
        <w:ind w:left="1701" w:hanging="567"/>
        <w:rPr>
          <w:rtl/>
        </w:rPr>
      </w:pPr>
      <w:r w:rsidRPr="00924A6B">
        <w:rPr>
          <w:rtl/>
        </w:rPr>
        <w:t>النطاق/موضوع الحماية</w:t>
      </w:r>
    </w:p>
    <w:p w:rsidR="00570F78" w:rsidRPr="00924A6B" w:rsidRDefault="00570F78" w:rsidP="00BF41C5">
      <w:pPr>
        <w:pStyle w:val="NormalParaAR"/>
        <w:ind w:left="567"/>
        <w:rPr>
          <w:rtl/>
        </w:rPr>
      </w:pPr>
      <w:r w:rsidRPr="00924A6B">
        <w:rPr>
          <w:rtl/>
        </w:rPr>
        <w:t xml:space="preserve">إن الدول الأعضاء مدعوة إلى النظر في مسألة مهمة </w:t>
      </w:r>
      <w:r w:rsidR="006676FF" w:rsidRPr="00924A6B">
        <w:rPr>
          <w:rtl/>
        </w:rPr>
        <w:t>تخص</w:t>
      </w:r>
      <w:r w:rsidRPr="00924A6B">
        <w:rPr>
          <w:rtl/>
        </w:rPr>
        <w:t xml:space="preserve"> نطاق تطبيق الصك: هل ينبغي أن يطبَّق</w:t>
      </w:r>
      <w:r w:rsidR="006676FF" w:rsidRPr="00924A6B">
        <w:rPr>
          <w:rtl/>
        </w:rPr>
        <w:t xml:space="preserve"> الصك</w:t>
      </w:r>
      <w:r w:rsidRPr="00924A6B">
        <w:rPr>
          <w:rtl/>
        </w:rPr>
        <w:t xml:space="preserve"> على حقوق البراءات (وطلبات البراءات) حصراً أم كذلك على حقوق الملكية الفكرية الأخرى</w:t>
      </w:r>
      <w:r w:rsidR="006676FF" w:rsidRPr="00924A6B">
        <w:rPr>
          <w:rtl/>
        </w:rPr>
        <w:t>؟</w:t>
      </w:r>
      <w:r w:rsidRPr="00924A6B">
        <w:rPr>
          <w:rtl/>
        </w:rPr>
        <w:t xml:space="preserve"> وقد اُدمجت شروط الكشف في تشريعات الملكية الفكرية في العديد من البلدان. وفي عدة بلدان، تطبَّق تلك الشروط تحديداً </w:t>
      </w:r>
      <w:r w:rsidR="00BF41C5" w:rsidRPr="00924A6B">
        <w:rPr>
          <w:rtl/>
        </w:rPr>
        <w:t>بموجب</w:t>
      </w:r>
      <w:r w:rsidRPr="00924A6B">
        <w:rPr>
          <w:rtl/>
        </w:rPr>
        <w:t xml:space="preserve"> </w:t>
      </w:r>
      <w:r w:rsidRPr="00924A6B">
        <w:rPr>
          <w:rtl/>
        </w:rPr>
        <w:lastRenderedPageBreak/>
        <w:t>قانون البراءات كما هو الحال في السويد والصين. وفي بعض البلدان، تطبَّق تلك الشروط على كل حقوق الملكية الفكرية كما هو الحال في إثيوبيا والبرازيل.</w:t>
      </w:r>
    </w:p>
    <w:p w:rsidR="00A359B1" w:rsidRPr="00924A6B" w:rsidRDefault="00570F78" w:rsidP="00BF41C5">
      <w:pPr>
        <w:pStyle w:val="NormalParaAR"/>
        <w:ind w:left="567"/>
        <w:rPr>
          <w:rtl/>
        </w:rPr>
      </w:pPr>
      <w:r w:rsidRPr="00924A6B">
        <w:rPr>
          <w:rtl/>
        </w:rPr>
        <w:t>ويبدو أن ذلك يعتمد على أنوا</w:t>
      </w:r>
      <w:r w:rsidR="00BF41C5" w:rsidRPr="00924A6B">
        <w:rPr>
          <w:rtl/>
        </w:rPr>
        <w:t>ع</w:t>
      </w:r>
      <w:r w:rsidRPr="00924A6B">
        <w:rPr>
          <w:rtl/>
        </w:rPr>
        <w:t xml:space="preserve"> القوانين التي تُدخَل فيها شروط الكشف أي أن شروط الكشف المدرجة في قوانين البراءات تطبَّ</w:t>
      </w:r>
      <w:r w:rsidR="00BF41C5" w:rsidRPr="00924A6B">
        <w:rPr>
          <w:rtl/>
        </w:rPr>
        <w:t>ق</w:t>
      </w:r>
      <w:r w:rsidRPr="00924A6B">
        <w:rPr>
          <w:rtl/>
        </w:rPr>
        <w:t xml:space="preserve"> على حقوق/طلبات البراءات، في حين أن شروط الكشف المدرجة في تشريعات التنوع البيولوجي أو النفاذ وتقاسم المنافع تُطبَّق غالباً على كل الحقوق المرتبطة بالملكية الفكرية.</w:t>
      </w:r>
    </w:p>
    <w:p w:rsidR="00570F78" w:rsidRPr="00924A6B" w:rsidRDefault="00570F78" w:rsidP="00570F78">
      <w:pPr>
        <w:pStyle w:val="NormalParaAR"/>
        <w:ind w:left="567"/>
        <w:rPr>
          <w:rtl/>
        </w:rPr>
      </w:pPr>
      <w:r w:rsidRPr="00924A6B">
        <w:rPr>
          <w:rtl/>
        </w:rPr>
        <w:t>وإن الدول الأعضاء مدعوة أيضاً إلى النظر في تطبيق الصك أيضاً على المعارف التقليدية المرتبطة بالموارد الوراثية. ومن الجدير بالذكر أن المعارف التقليدية لا تُربط دائماً بالموارد الوراثية. وكذلك أن أحكاماً بشأن شرط الكشف مدرجة حالياً في نص المعارف التقليدية الذي تنظر فيه لجنة المعارف. ومن ثم، قد تود الدول الأعضاء النظر في تطبيق شروط الكشف المدرجة في نص الموارد الوراثية أيضاً على المعارف التقليدية المرتبطة بالموارد الوراثية.</w:t>
      </w:r>
    </w:p>
    <w:p w:rsidR="00570F78" w:rsidRPr="00924A6B" w:rsidRDefault="00570F78" w:rsidP="00570F78">
      <w:pPr>
        <w:pStyle w:val="NormalParaAR"/>
        <w:ind w:left="567"/>
        <w:rPr>
          <w:rtl/>
        </w:rPr>
      </w:pPr>
      <w:r w:rsidRPr="00924A6B">
        <w:rPr>
          <w:rtl/>
        </w:rPr>
        <w:t>وفي هذا السياق، ينبغي أيضاً أن تعرِّف الدول الأعضاء المصطلحين المعنيين</w:t>
      </w:r>
      <w:r w:rsidR="00BF41C5" w:rsidRPr="00924A6B">
        <w:rPr>
          <w:rtl/>
        </w:rPr>
        <w:t xml:space="preserve"> -</w:t>
      </w:r>
      <w:r w:rsidRPr="00924A6B">
        <w:rPr>
          <w:rtl/>
        </w:rPr>
        <w:t xml:space="preserve"> أي الموارد الوراثية (بما في ذلك مسألة إدراج المشتقات في تعريف الموارد الوراثية) والمعارف التقليدية المرتبطة بالموارد الوراثية. ومن المسائل الأخرى الواجب بحثها مسألة الاستثناءات من النطاق المادي لتطبيق شروط الكشف.</w:t>
      </w:r>
    </w:p>
    <w:p w:rsidR="00570F78" w:rsidRPr="00924A6B" w:rsidRDefault="00570F78" w:rsidP="00C02A1C">
      <w:pPr>
        <w:pStyle w:val="Heading2"/>
        <w:ind w:left="1701" w:hanging="567"/>
        <w:rPr>
          <w:rtl/>
        </w:rPr>
      </w:pPr>
      <w:r w:rsidRPr="00924A6B">
        <w:rPr>
          <w:rtl/>
        </w:rPr>
        <w:t>طبيعة الكشف</w:t>
      </w:r>
    </w:p>
    <w:p w:rsidR="00570F78" w:rsidRPr="00924A6B" w:rsidRDefault="00570F78" w:rsidP="00570F78">
      <w:pPr>
        <w:pStyle w:val="NormalParaAR"/>
        <w:ind w:left="567"/>
        <w:rPr>
          <w:rtl/>
        </w:rPr>
      </w:pPr>
      <w:r w:rsidRPr="00924A6B">
        <w:rPr>
          <w:rtl/>
        </w:rPr>
        <w:t>اعتمدت العديد من البلدان شكلاً من أشكال شروط الكشف المتعلقة بالموارد الوراثية و/أو المعارف التقليدية في قوانينها الوطنية، مع تحديد مستويات مختلفة من الالتزامات للمودعين:</w:t>
      </w:r>
    </w:p>
    <w:p w:rsidR="00570F78" w:rsidRPr="00924A6B" w:rsidRDefault="00570F78" w:rsidP="007E49B2">
      <w:pPr>
        <w:pStyle w:val="NormalParaAR"/>
        <w:numPr>
          <w:ilvl w:val="0"/>
          <w:numId w:val="7"/>
        </w:numPr>
        <w:ind w:left="1701" w:hanging="567"/>
        <w:rPr>
          <w:rtl/>
        </w:rPr>
      </w:pPr>
      <w:r w:rsidRPr="00924A6B">
        <w:rPr>
          <w:rtl/>
        </w:rPr>
        <w:t>شروط كشف إلزامية تتعلق بالإجراءات الشكلية وتقضي بتقديم أنواع معينة من الوثائق أو تقديمها بنسق مادي.</w:t>
      </w:r>
    </w:p>
    <w:tbl>
      <w:tblPr>
        <w:tblStyle w:val="TableGrid"/>
        <w:bidiVisual/>
        <w:tblW w:w="7364" w:type="dxa"/>
        <w:tblInd w:w="1744" w:type="dxa"/>
        <w:shd w:val="clear" w:color="auto" w:fill="DDD9C3" w:themeFill="background2" w:themeFillShade="E6"/>
        <w:tblLook w:val="04A0" w:firstRow="1" w:lastRow="0" w:firstColumn="1" w:lastColumn="0" w:noHBand="0" w:noVBand="1"/>
      </w:tblPr>
      <w:tblGrid>
        <w:gridCol w:w="7364"/>
      </w:tblGrid>
      <w:tr w:rsidR="00570F78" w:rsidRPr="00924A6B" w:rsidTr="00723A78">
        <w:tc>
          <w:tcPr>
            <w:tcW w:w="7364" w:type="dxa"/>
            <w:shd w:val="clear" w:color="auto" w:fill="DDD9C3" w:themeFill="background2" w:themeFillShade="E6"/>
          </w:tcPr>
          <w:p w:rsidR="00A359B1" w:rsidRPr="00924A6B" w:rsidRDefault="00570F78" w:rsidP="00570F78">
            <w:pPr>
              <w:pStyle w:val="ListParagraph"/>
              <w:bidi/>
              <w:spacing w:after="120" w:line="300" w:lineRule="exact"/>
              <w:ind w:left="0"/>
              <w:contextualSpacing w:val="0"/>
              <w:jc w:val="both"/>
              <w:rPr>
                <w:rFonts w:ascii="Arabic Typesetting" w:hAnsi="Arabic Typesetting"/>
                <w:sz w:val="30"/>
                <w:szCs w:val="30"/>
                <w:rtl/>
              </w:rPr>
            </w:pPr>
            <w:r w:rsidRPr="00924A6B">
              <w:rPr>
                <w:rFonts w:ascii="Arabic Typesetting" w:hAnsi="Arabic Typesetting"/>
                <w:sz w:val="30"/>
                <w:szCs w:val="30"/>
                <w:rtl/>
              </w:rPr>
              <w:t xml:space="preserve">مثال </w:t>
            </w:r>
            <w:r w:rsidRPr="00924A6B">
              <w:rPr>
                <w:rFonts w:ascii="Arabic Typesetting" w:hAnsi="Arabic Typesetting"/>
                <w:b/>
                <w:bCs/>
                <w:sz w:val="30"/>
                <w:szCs w:val="30"/>
                <w:rtl/>
              </w:rPr>
              <w:t>سويسرا</w:t>
            </w:r>
            <w:r w:rsidRPr="00924A6B">
              <w:rPr>
                <w:rFonts w:ascii="Arabic Typesetting" w:hAnsi="Arabic Typesetting"/>
                <w:sz w:val="30"/>
                <w:szCs w:val="30"/>
                <w:rtl/>
              </w:rPr>
              <w:t>:</w:t>
            </w:r>
            <w:r w:rsidRPr="00924A6B">
              <w:rPr>
                <w:rFonts w:ascii="Arabic Typesetting" w:hAnsi="Arabic Typesetting"/>
                <w:b/>
                <w:bCs/>
                <w:sz w:val="30"/>
                <w:szCs w:val="30"/>
                <w:rtl/>
              </w:rPr>
              <w:t xml:space="preserve"> </w:t>
            </w:r>
            <w:r w:rsidRPr="00924A6B">
              <w:rPr>
                <w:rFonts w:ascii="Arabic Typesetting" w:hAnsi="Arabic Typesetting"/>
                <w:sz w:val="30"/>
                <w:szCs w:val="30"/>
                <w:rtl/>
              </w:rPr>
              <w:t xml:space="preserve">المادة 49(أ) من </w:t>
            </w:r>
            <w:r w:rsidRPr="00924A6B">
              <w:rPr>
                <w:rFonts w:ascii="Arabic Typesetting" w:hAnsi="Arabic Typesetting"/>
                <w:i/>
                <w:iCs/>
                <w:sz w:val="30"/>
                <w:szCs w:val="30"/>
                <w:rtl/>
              </w:rPr>
              <w:t>القانون الاتحادي بشأن براءات الاختراعات المؤرخ 25 يونيو 1954 (النافذ اعتباراً من 1 يناير 2012)</w:t>
            </w:r>
            <w:r w:rsidRPr="00924A6B">
              <w:rPr>
                <w:rFonts w:ascii="Arabic Typesetting" w:hAnsi="Arabic Typesetting"/>
                <w:sz w:val="30"/>
                <w:szCs w:val="30"/>
                <w:rtl/>
              </w:rPr>
              <w:t xml:space="preserve"> تنص على ما يلي:</w:t>
            </w:r>
          </w:p>
          <w:p w:rsidR="00570F78" w:rsidRPr="00924A6B" w:rsidRDefault="00570F78" w:rsidP="00570F78">
            <w:pPr>
              <w:pStyle w:val="ListParagraph"/>
              <w:bidi/>
              <w:spacing w:after="120" w:line="300" w:lineRule="exact"/>
              <w:contextualSpacing w:val="0"/>
              <w:rPr>
                <w:rFonts w:ascii="Arabic Typesetting" w:hAnsi="Arabic Typesetting"/>
                <w:sz w:val="30"/>
                <w:szCs w:val="30"/>
                <w:rtl/>
              </w:rPr>
            </w:pPr>
            <w:r w:rsidRPr="00924A6B">
              <w:rPr>
                <w:rFonts w:ascii="Arabic Typesetting" w:hAnsi="Arabic Typesetting"/>
                <w:sz w:val="30"/>
                <w:szCs w:val="30"/>
                <w:rtl/>
              </w:rPr>
              <w:t>"يجب أن يتضمن طلب البراءة معلومات عن مصدر: (أ) المورد الوراثي الذي نفذ إليه المخترع أو المودع، شرط أن يكون الاختراع مستندا بشكل مباشر إلى ذلك المورد؛ (ب) والمعارف التقليدية للجماعات الأصلية أو المحلية التقليدية المرتبطة بالموارد الوراثية التي نفذ إليها المخترع أو المودع، شرط أن يكون الاختراع مستندا بشكل مباشر إلى تلك المعارف."</w:t>
            </w:r>
          </w:p>
          <w:p w:rsidR="00570F78" w:rsidRPr="00924A6B" w:rsidRDefault="00570F78" w:rsidP="00570F78">
            <w:pPr>
              <w:bidi/>
              <w:spacing w:after="120" w:line="300" w:lineRule="exact"/>
              <w:rPr>
                <w:rFonts w:ascii="Arabic Typesetting" w:hAnsi="Arabic Typesetting" w:cs="Arabic Typesetting"/>
                <w:sz w:val="30"/>
                <w:szCs w:val="30"/>
                <w:rtl/>
              </w:rPr>
            </w:pPr>
            <w:r w:rsidRPr="00924A6B">
              <w:rPr>
                <w:rFonts w:ascii="Arabic Typesetting" w:hAnsi="Arabic Typesetting" w:cs="Arabic Typesetting"/>
                <w:sz w:val="30"/>
                <w:szCs w:val="30"/>
                <w:rtl/>
              </w:rPr>
              <w:t xml:space="preserve">وتنص المادة 81(أ) من </w:t>
            </w:r>
            <w:r w:rsidRPr="00924A6B">
              <w:rPr>
                <w:rFonts w:ascii="Arabic Typesetting" w:hAnsi="Arabic Typesetting" w:cs="Arabic Typesetting"/>
                <w:i/>
                <w:iCs/>
                <w:sz w:val="30"/>
                <w:szCs w:val="30"/>
                <w:rtl/>
              </w:rPr>
              <w:t>القانون الاتحادي</w:t>
            </w:r>
            <w:r w:rsidRPr="00924A6B">
              <w:rPr>
                <w:rFonts w:ascii="Arabic Typesetting" w:hAnsi="Arabic Typesetting" w:cs="Arabic Typesetting"/>
                <w:sz w:val="30"/>
                <w:szCs w:val="30"/>
                <w:rtl/>
              </w:rPr>
              <w:t xml:space="preserve"> على ما يلي:</w:t>
            </w:r>
          </w:p>
          <w:p w:rsidR="00570F78" w:rsidRPr="00924A6B" w:rsidRDefault="00570F78" w:rsidP="00570F78">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"تُفرض على أي شخص يوفر عمدا معلومات خاطئة بناء على المادة 49(أ) غرامة قد تصل قيمتها إلى 000 100 فرنك سويسري. ويجوز للمحكمة أن تأمر بنشر الحكم."</w:t>
            </w:r>
          </w:p>
          <w:p w:rsidR="00570F78" w:rsidRPr="00924A6B" w:rsidRDefault="00570F78" w:rsidP="009B4120">
            <w:pPr>
              <w:pStyle w:val="ListParagraph"/>
              <w:bidi/>
              <w:spacing w:after="120" w:line="300" w:lineRule="exact"/>
              <w:ind w:left="0"/>
              <w:contextualSpacing w:val="0"/>
              <w:rPr>
                <w:rFonts w:ascii="Arabic Typesetting" w:hAnsi="Arabic Typesetting"/>
                <w:sz w:val="30"/>
                <w:szCs w:val="30"/>
                <w:rtl/>
              </w:rPr>
            </w:pPr>
            <w:r w:rsidRPr="00924A6B">
              <w:rPr>
                <w:rFonts w:ascii="Arabic Typesetting" w:hAnsi="Arabic Typesetting"/>
                <w:b/>
                <w:bCs/>
                <w:sz w:val="30"/>
                <w:szCs w:val="30"/>
                <w:rtl/>
              </w:rPr>
              <w:t xml:space="preserve">النرويج: </w:t>
            </w:r>
            <w:r w:rsidR="009B4120">
              <w:rPr>
                <w:rFonts w:ascii="Arabic Typesetting" w:hAnsi="Arabic Typesetting" w:hint="cs"/>
                <w:sz w:val="30"/>
                <w:szCs w:val="30"/>
                <w:rtl/>
              </w:rPr>
              <w:t>الفصل</w:t>
            </w:r>
            <w:r w:rsidRPr="00924A6B">
              <w:rPr>
                <w:rFonts w:ascii="Arabic Typesetting" w:hAnsi="Arabic Typesetting"/>
                <w:sz w:val="30"/>
                <w:szCs w:val="30"/>
                <w:rtl/>
              </w:rPr>
              <w:t xml:space="preserve"> 8(ب) من </w:t>
            </w:r>
            <w:r w:rsidRPr="00924A6B">
              <w:rPr>
                <w:rFonts w:ascii="Arabic Typesetting" w:hAnsi="Arabic Typesetting"/>
                <w:i/>
                <w:iCs/>
                <w:sz w:val="30"/>
                <w:szCs w:val="30"/>
                <w:rtl/>
              </w:rPr>
              <w:t>قانون البراءات رقم 9 المؤرخ في 15 ديسمبر 1967 (النسخة الموحدة لعام 2016)</w:t>
            </w:r>
            <w:r w:rsidRPr="00924A6B">
              <w:rPr>
                <w:rFonts w:ascii="Arabic Typesetting" w:hAnsi="Arabic Typesetting"/>
                <w:sz w:val="30"/>
                <w:szCs w:val="30"/>
                <w:rtl/>
              </w:rPr>
              <w:t xml:space="preserve"> </w:t>
            </w:r>
            <w:r w:rsidR="009B4120">
              <w:rPr>
                <w:rFonts w:ascii="Arabic Typesetting" w:hAnsi="Arabic Typesetting" w:hint="cs"/>
                <w:sz w:val="30"/>
                <w:szCs w:val="30"/>
                <w:rtl/>
              </w:rPr>
              <w:t>ينص</w:t>
            </w:r>
            <w:r w:rsidR="00BF41C5" w:rsidRPr="00924A6B">
              <w:rPr>
                <w:rFonts w:ascii="Arabic Typesetting" w:hAnsi="Arabic Typesetting"/>
                <w:sz w:val="30"/>
                <w:szCs w:val="30"/>
                <w:rtl/>
              </w:rPr>
              <w:t xml:space="preserve"> </w:t>
            </w:r>
            <w:r w:rsidRPr="00924A6B">
              <w:rPr>
                <w:rFonts w:ascii="Arabic Typesetting" w:hAnsi="Arabic Typesetting"/>
                <w:sz w:val="30"/>
                <w:szCs w:val="30"/>
                <w:rtl/>
              </w:rPr>
              <w:t>على ما يلي:</w:t>
            </w:r>
          </w:p>
          <w:p w:rsidR="00570F78" w:rsidRPr="00924A6B" w:rsidRDefault="00570F78" w:rsidP="009B4120">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"إذا كان اختراع يخص أو يستخدم م</w:t>
            </w:r>
            <w:r w:rsidR="00BF41C5" w:rsidRPr="00924A6B">
              <w:rPr>
                <w:rFonts w:ascii="Arabic Typesetting" w:hAnsi="Arabic Typesetting"/>
                <w:sz w:val="30"/>
                <w:szCs w:val="30"/>
                <w:rtl/>
              </w:rPr>
              <w:t>ادة</w:t>
            </w:r>
            <w:r w:rsidRPr="00924A6B">
              <w:rPr>
                <w:rFonts w:ascii="Arabic Typesetting" w:hAnsi="Arabic Typesetting"/>
                <w:sz w:val="30"/>
                <w:szCs w:val="30"/>
                <w:rtl/>
              </w:rPr>
              <w:t xml:space="preserve"> بيولوجية أو معارف تقليدية، </w:t>
            </w:r>
            <w:r w:rsidR="009B4120">
              <w:rPr>
                <w:rFonts w:ascii="Arabic Typesetting" w:hAnsi="Arabic Typesetting" w:hint="cs"/>
                <w:sz w:val="30"/>
                <w:szCs w:val="30"/>
                <w:rtl/>
              </w:rPr>
              <w:t>يجب أن يتضمن</w:t>
            </w:r>
            <w:r w:rsidRPr="00924A6B">
              <w:rPr>
                <w:rFonts w:ascii="Arabic Typesetting" w:hAnsi="Arabic Typesetting"/>
                <w:sz w:val="30"/>
                <w:szCs w:val="30"/>
                <w:rtl/>
              </w:rPr>
              <w:t xml:space="preserve"> طلب البراءة معلومات عن البلد الذي جمع أو تلقى منه المخترع الماد</w:t>
            </w:r>
            <w:r w:rsidR="00BF41C5" w:rsidRPr="00924A6B">
              <w:rPr>
                <w:rFonts w:ascii="Arabic Typesetting" w:hAnsi="Arabic Typesetting"/>
                <w:sz w:val="30"/>
                <w:szCs w:val="30"/>
                <w:rtl/>
              </w:rPr>
              <w:t>ة</w:t>
            </w:r>
            <w:r w:rsidRPr="00924A6B">
              <w:rPr>
                <w:rFonts w:ascii="Arabic Typesetting" w:hAnsi="Arabic Typesetting"/>
                <w:sz w:val="30"/>
                <w:szCs w:val="30"/>
                <w:rtl/>
              </w:rPr>
              <w:t xml:space="preserve"> أو المعارف (البلد المزود). وإذا كان القانون الوطني للبلد المزود يقتضي الحصول على موافقة مسبقة للنفاذ إلى الماد</w:t>
            </w:r>
            <w:r w:rsidR="00BF41C5" w:rsidRPr="00924A6B">
              <w:rPr>
                <w:rFonts w:ascii="Arabic Typesetting" w:hAnsi="Arabic Typesetting"/>
                <w:sz w:val="30"/>
                <w:szCs w:val="30"/>
                <w:rtl/>
              </w:rPr>
              <w:t>ة</w:t>
            </w:r>
            <w:r w:rsidRPr="00924A6B">
              <w:rPr>
                <w:rFonts w:ascii="Arabic Typesetting" w:hAnsi="Arabic Typesetting"/>
                <w:sz w:val="30"/>
                <w:szCs w:val="30"/>
                <w:rtl/>
              </w:rPr>
              <w:t xml:space="preserve"> البيولوجية أو استخدام المعارف التقليدية، يبيِّن الطلب الحصول على تلك الموافقة. [...] وتُفرض غرامة على كل من ينتهك واجب الإفصاح عن المعلومات طبقاً للفصل 221 من القانون الجنائي المدني العام. ولا يخل واجب الكشف عن الإفصاح عن المعلومات بمعالجة طلبات البراءات أو صلاحية الحقوق الناشئة عن البراءات الممنوحة."</w:t>
            </w:r>
          </w:p>
        </w:tc>
      </w:tr>
    </w:tbl>
    <w:p w:rsidR="00570F78" w:rsidRPr="00924A6B" w:rsidRDefault="00570F78" w:rsidP="007E49B2">
      <w:pPr>
        <w:pStyle w:val="NormalParaAR"/>
        <w:numPr>
          <w:ilvl w:val="0"/>
          <w:numId w:val="7"/>
        </w:numPr>
        <w:ind w:left="1701" w:hanging="567"/>
        <w:rPr>
          <w:rtl/>
        </w:rPr>
      </w:pPr>
      <w:r w:rsidRPr="00924A6B">
        <w:rPr>
          <w:rtl/>
        </w:rPr>
        <w:lastRenderedPageBreak/>
        <w:t>شروط الكشف الإلزامية الموضوعية الطابع، والتي تتعلق بطبيعة الاختراع أو معايير الأهلية للحماية بموجب براءة. فبعبارة أخرى، تكون لشروط الكشف آثار على الأهلية للحماية بموجب براءة.</w:t>
      </w:r>
    </w:p>
    <w:tbl>
      <w:tblPr>
        <w:tblStyle w:val="TableGrid"/>
        <w:bidiVisual/>
        <w:tblW w:w="7364" w:type="dxa"/>
        <w:tblInd w:w="1744" w:type="dxa"/>
        <w:shd w:val="clear" w:color="auto" w:fill="DDD9C3" w:themeFill="background2" w:themeFillShade="E6"/>
        <w:tblLook w:val="04A0" w:firstRow="1" w:lastRow="0" w:firstColumn="1" w:lastColumn="0" w:noHBand="0" w:noVBand="1"/>
      </w:tblPr>
      <w:tblGrid>
        <w:gridCol w:w="7364"/>
      </w:tblGrid>
      <w:tr w:rsidR="00570F78" w:rsidRPr="00924A6B" w:rsidTr="00723A78">
        <w:tc>
          <w:tcPr>
            <w:tcW w:w="7364" w:type="dxa"/>
            <w:shd w:val="clear" w:color="auto" w:fill="DDD9C3" w:themeFill="background2" w:themeFillShade="E6"/>
          </w:tcPr>
          <w:p w:rsidR="00570F78" w:rsidRPr="00924A6B" w:rsidRDefault="00570F78" w:rsidP="009B4120">
            <w:pPr>
              <w:pStyle w:val="NormalWeb"/>
              <w:bidi/>
              <w:spacing w:after="120" w:line="300" w:lineRule="exact"/>
              <w:rPr>
                <w:rFonts w:ascii="Arabic Typesetting" w:hAnsi="Arabic Typesetting"/>
                <w:sz w:val="30"/>
                <w:szCs w:val="30"/>
                <w:rtl/>
              </w:rPr>
            </w:pPr>
            <w:r w:rsidRPr="00924A6B">
              <w:rPr>
                <w:rFonts w:ascii="Arabic Typesetting" w:hAnsi="Arabic Typesetting"/>
                <w:sz w:val="30"/>
                <w:szCs w:val="30"/>
                <w:rtl/>
              </w:rPr>
              <w:t xml:space="preserve">مثال </w:t>
            </w:r>
            <w:r w:rsidRPr="00924A6B">
              <w:rPr>
                <w:rFonts w:ascii="Arabic Typesetting" w:hAnsi="Arabic Typesetting"/>
                <w:b/>
                <w:bCs/>
                <w:sz w:val="30"/>
                <w:szCs w:val="30"/>
                <w:rtl/>
              </w:rPr>
              <w:t>جنوب أفريقيا</w:t>
            </w:r>
            <w:r w:rsidRPr="00924A6B">
              <w:rPr>
                <w:rFonts w:ascii="Arabic Typesetting" w:hAnsi="Arabic Typesetting"/>
                <w:sz w:val="30"/>
                <w:szCs w:val="30"/>
                <w:rtl/>
              </w:rPr>
              <w:t>:</w:t>
            </w:r>
            <w:r w:rsidRPr="009B4120">
              <w:rPr>
                <w:rFonts w:ascii="Arabic Typesetting" w:hAnsi="Arabic Typesetting"/>
                <w:sz w:val="30"/>
                <w:szCs w:val="30"/>
                <w:rtl/>
              </w:rPr>
              <w:t xml:space="preserve"> </w:t>
            </w:r>
            <w:r w:rsidR="009B4120">
              <w:rPr>
                <w:rFonts w:ascii="Arabic Typesetting" w:hAnsi="Arabic Typesetting" w:hint="cs"/>
                <w:sz w:val="30"/>
                <w:szCs w:val="30"/>
                <w:rtl/>
              </w:rPr>
              <w:t>الفصل</w:t>
            </w:r>
            <w:r w:rsidRPr="00924A6B">
              <w:rPr>
                <w:rFonts w:ascii="Arabic Typesetting" w:hAnsi="Arabic Typesetting"/>
                <w:sz w:val="30"/>
                <w:szCs w:val="30"/>
                <w:rtl/>
              </w:rPr>
              <w:t xml:space="preserve"> 30 من </w:t>
            </w:r>
            <w:r w:rsidRPr="00924A6B">
              <w:rPr>
                <w:rFonts w:ascii="Arabic Typesetting" w:hAnsi="Arabic Typesetting"/>
                <w:i/>
                <w:iCs/>
                <w:sz w:val="30"/>
                <w:szCs w:val="30"/>
                <w:rtl/>
              </w:rPr>
              <w:t>قانون البراءات المعدَّل (القانون رقم 20 لسنة 2005)</w:t>
            </w:r>
            <w:r w:rsidR="009B4120">
              <w:rPr>
                <w:rFonts w:ascii="Arabic Typesetting" w:hAnsi="Arabic Typesetting" w:hint="cs"/>
                <w:i/>
                <w:iCs/>
                <w:sz w:val="30"/>
                <w:szCs w:val="30"/>
                <w:rtl/>
              </w:rPr>
              <w:t xml:space="preserve"> ينص</w:t>
            </w:r>
            <w:r w:rsidRPr="00924A6B">
              <w:rPr>
                <w:rFonts w:ascii="Arabic Typesetting" w:hAnsi="Arabic Typesetting"/>
                <w:sz w:val="30"/>
                <w:szCs w:val="30"/>
                <w:rtl/>
              </w:rPr>
              <w:t xml:space="preserve"> على ما يلي:</w:t>
            </w:r>
          </w:p>
          <w:p w:rsidR="00A359B1" w:rsidRPr="00924A6B" w:rsidRDefault="00570F78" w:rsidP="009B4120">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"3(أ)</w:t>
            </w:r>
            <w:r w:rsidR="009B4120">
              <w:rPr>
                <w:rFonts w:ascii="Arabic Typesetting" w:hAnsi="Arabic Typesetting" w:hint="cs"/>
                <w:sz w:val="30"/>
                <w:szCs w:val="30"/>
                <w:rtl/>
              </w:rPr>
              <w:t xml:space="preserve"> </w:t>
            </w:r>
            <w:r w:rsidRPr="00924A6B">
              <w:rPr>
                <w:rFonts w:ascii="Arabic Typesetting" w:hAnsi="Arabic Typesetting"/>
                <w:sz w:val="30"/>
                <w:szCs w:val="30"/>
                <w:rtl/>
              </w:rPr>
              <w:t xml:space="preserve">يجب على كل مودع يقدم طلباً للحصول على براءة مصحوباً بمواصفات كاملة، قبل قبول الطلب، أن يودع لدى </w:t>
            </w:r>
            <w:r w:rsidR="009B4120">
              <w:rPr>
                <w:rFonts w:ascii="Arabic Typesetting" w:hAnsi="Arabic Typesetting" w:hint="cs"/>
                <w:sz w:val="30"/>
                <w:szCs w:val="30"/>
                <w:rtl/>
              </w:rPr>
              <w:t>أمين السجل</w:t>
            </w:r>
            <w:r w:rsidRPr="00924A6B">
              <w:rPr>
                <w:rFonts w:ascii="Arabic Typesetting" w:hAnsi="Arabic Typesetting"/>
                <w:sz w:val="30"/>
                <w:szCs w:val="30"/>
                <w:rtl/>
              </w:rPr>
              <w:t xml:space="preserve"> بياناً حسب الأصول ينص على ما إذا كان الاختراع المطالب بحمايته </w:t>
            </w:r>
            <w:r w:rsidR="009B4120">
              <w:rPr>
                <w:rFonts w:ascii="Arabic Typesetting" w:hAnsi="Arabic Typesetting" w:hint="cs"/>
                <w:sz w:val="30"/>
                <w:szCs w:val="30"/>
                <w:rtl/>
              </w:rPr>
              <w:t>مستنداً</w:t>
            </w:r>
            <w:r w:rsidRPr="00924A6B">
              <w:rPr>
                <w:rFonts w:ascii="Arabic Typesetting" w:hAnsi="Arabic Typesetting"/>
                <w:sz w:val="30"/>
                <w:szCs w:val="30"/>
                <w:rtl/>
              </w:rPr>
              <w:t xml:space="preserve"> إلى مورد بيولوجي أصلي أو مورد وراثي أو معارف تقليدية أو </w:t>
            </w:r>
            <w:r w:rsidR="009B4120">
              <w:rPr>
                <w:rFonts w:ascii="Arabic Typesetting" w:hAnsi="Arabic Typesetting" w:hint="cs"/>
                <w:sz w:val="30"/>
                <w:szCs w:val="30"/>
                <w:rtl/>
              </w:rPr>
              <w:t>مشتقاً</w:t>
            </w:r>
            <w:r w:rsidRPr="00924A6B">
              <w:rPr>
                <w:rFonts w:ascii="Arabic Typesetting" w:hAnsi="Arabic Typesetting"/>
                <w:sz w:val="30"/>
                <w:szCs w:val="30"/>
                <w:rtl/>
              </w:rPr>
              <w:t xml:space="preserve"> من أي من تلك العناصر أو</w:t>
            </w:r>
            <w:r w:rsidR="009B4120">
              <w:rPr>
                <w:rFonts w:ascii="Arabic Typesetting" w:hAnsi="Arabic Typesetting" w:hint="cs"/>
                <w:sz w:val="30"/>
                <w:szCs w:val="30"/>
                <w:rtl/>
              </w:rPr>
              <w:t> </w:t>
            </w:r>
            <w:r w:rsidRPr="00924A6B">
              <w:rPr>
                <w:rFonts w:ascii="Arabic Typesetting" w:hAnsi="Arabic Typesetting"/>
                <w:sz w:val="30"/>
                <w:szCs w:val="30"/>
                <w:rtl/>
              </w:rPr>
              <w:t>يستخدمها.</w:t>
            </w:r>
          </w:p>
          <w:p w:rsidR="00570F78" w:rsidRPr="00924A6B" w:rsidRDefault="009B4120" w:rsidP="009B4120">
            <w:pPr>
              <w:pStyle w:val="ListParagraph"/>
              <w:bidi/>
              <w:spacing w:after="120" w:line="300" w:lineRule="exact"/>
              <w:ind w:left="567"/>
              <w:contextualSpacing w:val="0"/>
              <w:rPr>
                <w:rFonts w:ascii="Arabic Typesetting" w:hAnsi="Arabic Typesetting"/>
                <w:sz w:val="30"/>
                <w:szCs w:val="30"/>
                <w:rtl/>
              </w:rPr>
            </w:pPr>
            <w:r>
              <w:rPr>
                <w:rFonts w:ascii="Arabic Typesetting" w:hAnsi="Arabic Typesetting"/>
                <w:sz w:val="30"/>
                <w:szCs w:val="30"/>
                <w:rtl/>
              </w:rPr>
              <w:t xml:space="preserve">"3(ب) </w:t>
            </w:r>
            <w:r>
              <w:rPr>
                <w:rFonts w:ascii="Arabic Typesetting" w:hAnsi="Arabic Typesetting" w:hint="cs"/>
                <w:sz w:val="30"/>
                <w:szCs w:val="30"/>
                <w:rtl/>
              </w:rPr>
              <w:t>يدعو</w:t>
            </w:r>
            <w:r w:rsidR="00570F78" w:rsidRPr="00924A6B">
              <w:rPr>
                <w:rFonts w:ascii="Arabic Typesetting" w:hAnsi="Arabic Typesetting"/>
                <w:sz w:val="30"/>
                <w:szCs w:val="30"/>
                <w:rtl/>
              </w:rPr>
              <w:t xml:space="preserve"> أمين السجل المودع إلى تقديم دليل حسب الأصول على ملكيته أو سلطته لاستخدام المورد البيولوجي الأصلي أو المورد الوراثي أو </w:t>
            </w:r>
            <w:r>
              <w:rPr>
                <w:rFonts w:ascii="Arabic Typesetting" w:hAnsi="Arabic Typesetting"/>
                <w:sz w:val="30"/>
                <w:szCs w:val="30"/>
                <w:rtl/>
              </w:rPr>
              <w:t>المعارف التقليدية</w:t>
            </w:r>
            <w:r>
              <w:rPr>
                <w:rFonts w:ascii="Arabic Typesetting" w:hAnsi="Arabic Typesetting" w:hint="cs"/>
                <w:sz w:val="30"/>
                <w:szCs w:val="30"/>
                <w:rtl/>
              </w:rPr>
              <w:t xml:space="preserve"> </w:t>
            </w:r>
            <w:r w:rsidR="00570F78" w:rsidRPr="00924A6B">
              <w:rPr>
                <w:rFonts w:ascii="Arabic Typesetting" w:hAnsi="Arabic Typesetting"/>
                <w:sz w:val="30"/>
                <w:szCs w:val="30"/>
                <w:rtl/>
              </w:rPr>
              <w:t xml:space="preserve">إذا أودع المودع بياناً يقر فيه بأن الاختراع المطالب بحمايته </w:t>
            </w:r>
            <w:r>
              <w:rPr>
                <w:rFonts w:ascii="Arabic Typesetting" w:hAnsi="Arabic Typesetting" w:hint="cs"/>
                <w:sz w:val="30"/>
                <w:szCs w:val="30"/>
                <w:rtl/>
              </w:rPr>
              <w:t>مستند</w:t>
            </w:r>
            <w:r w:rsidRPr="00924A6B">
              <w:rPr>
                <w:rFonts w:ascii="Arabic Typesetting" w:hAnsi="Arabic Typesetting"/>
                <w:sz w:val="30"/>
                <w:szCs w:val="30"/>
                <w:rtl/>
              </w:rPr>
              <w:t xml:space="preserve"> إلى مورد بيولوجي أصلي أو مورد وراثي أو معارف تقليدية أو </w:t>
            </w:r>
            <w:r>
              <w:rPr>
                <w:rFonts w:ascii="Arabic Typesetting" w:hAnsi="Arabic Typesetting" w:hint="cs"/>
                <w:sz w:val="30"/>
                <w:szCs w:val="30"/>
                <w:rtl/>
              </w:rPr>
              <w:t>مشتق</w:t>
            </w:r>
            <w:r w:rsidRPr="00924A6B">
              <w:rPr>
                <w:rFonts w:ascii="Arabic Typesetting" w:hAnsi="Arabic Typesetting"/>
                <w:sz w:val="30"/>
                <w:szCs w:val="30"/>
                <w:rtl/>
              </w:rPr>
              <w:t xml:space="preserve"> من أي من تلك العناصر أو</w:t>
            </w:r>
            <w:r>
              <w:rPr>
                <w:rFonts w:ascii="Arabic Typesetting" w:hAnsi="Arabic Typesetting" w:hint="cs"/>
                <w:sz w:val="30"/>
                <w:szCs w:val="30"/>
                <w:rtl/>
              </w:rPr>
              <w:t xml:space="preserve"> </w:t>
            </w:r>
            <w:r w:rsidRPr="00924A6B">
              <w:rPr>
                <w:rFonts w:ascii="Arabic Typesetting" w:hAnsi="Arabic Typesetting"/>
                <w:sz w:val="30"/>
                <w:szCs w:val="30"/>
                <w:rtl/>
              </w:rPr>
              <w:t>يستخدمها</w:t>
            </w:r>
            <w:r>
              <w:rPr>
                <w:rFonts w:ascii="Arabic Typesetting" w:hAnsi="Arabic Typesetting" w:hint="cs"/>
                <w:sz w:val="30"/>
                <w:szCs w:val="30"/>
                <w:rtl/>
              </w:rPr>
              <w:t>.</w:t>
            </w:r>
            <w:r w:rsidR="00570F78" w:rsidRPr="00924A6B">
              <w:rPr>
                <w:rFonts w:ascii="Arabic Typesetting" w:hAnsi="Arabic Typesetting"/>
                <w:sz w:val="30"/>
                <w:szCs w:val="30"/>
                <w:rtl/>
              </w:rPr>
              <w:t>"</w:t>
            </w:r>
          </w:p>
          <w:p w:rsidR="00570F78" w:rsidRPr="00924A6B" w:rsidRDefault="00570F78" w:rsidP="009B4120">
            <w:pPr>
              <w:pStyle w:val="NormalWeb"/>
              <w:bidi/>
              <w:spacing w:after="120" w:line="300" w:lineRule="exact"/>
              <w:rPr>
                <w:rFonts w:ascii="Arabic Typesetting" w:hAnsi="Arabic Typesetting"/>
                <w:sz w:val="30"/>
                <w:szCs w:val="30"/>
                <w:rtl/>
              </w:rPr>
            </w:pPr>
            <w:r w:rsidRPr="00924A6B">
              <w:rPr>
                <w:rFonts w:ascii="Arabic Typesetting" w:hAnsi="Arabic Typesetting"/>
                <w:b/>
                <w:bCs/>
                <w:sz w:val="30"/>
                <w:szCs w:val="30"/>
                <w:rtl/>
              </w:rPr>
              <w:t>الهند:</w:t>
            </w:r>
            <w:r w:rsidRPr="00924A6B">
              <w:rPr>
                <w:rFonts w:ascii="Arabic Typesetting" w:hAnsi="Arabic Typesetting"/>
                <w:sz w:val="30"/>
                <w:szCs w:val="30"/>
                <w:rtl/>
              </w:rPr>
              <w:t xml:space="preserve"> المادة 10(4)(د)"2" من </w:t>
            </w:r>
            <w:r w:rsidR="009B4120">
              <w:rPr>
                <w:rFonts w:ascii="Arabic Typesetting" w:hAnsi="Arabic Typesetting"/>
                <w:i/>
                <w:iCs/>
                <w:sz w:val="30"/>
                <w:szCs w:val="30"/>
                <w:rtl/>
              </w:rPr>
              <w:t>قانون البراءات لسنة 1970 بصيغت</w:t>
            </w:r>
            <w:r w:rsidR="009B4120">
              <w:rPr>
                <w:rFonts w:ascii="Arabic Typesetting" w:hAnsi="Arabic Typesetting" w:hint="cs"/>
                <w:i/>
                <w:iCs/>
                <w:sz w:val="30"/>
                <w:szCs w:val="30"/>
                <w:rtl/>
              </w:rPr>
              <w:t>ه</w:t>
            </w:r>
            <w:r w:rsidR="006D4351">
              <w:rPr>
                <w:rFonts w:ascii="Arabic Typesetting" w:hAnsi="Arabic Typesetting" w:hint="cs"/>
                <w:i/>
                <w:iCs/>
                <w:sz w:val="30"/>
                <w:szCs w:val="30"/>
                <w:rtl/>
              </w:rPr>
              <w:t>ا</w:t>
            </w:r>
            <w:r w:rsidRPr="00924A6B">
              <w:rPr>
                <w:rFonts w:ascii="Arabic Typesetting" w:hAnsi="Arabic Typesetting"/>
                <w:i/>
                <w:iCs/>
                <w:sz w:val="30"/>
                <w:szCs w:val="30"/>
                <w:rtl/>
              </w:rPr>
              <w:t xml:space="preserve"> المعدَّلة بموجب قانون البراءات (المعدَّل) لسنة 2005</w:t>
            </w:r>
            <w:r w:rsidRPr="00924A6B">
              <w:rPr>
                <w:rFonts w:ascii="Arabic Typesetting" w:hAnsi="Arabic Typesetting"/>
                <w:sz w:val="30"/>
                <w:szCs w:val="30"/>
                <w:rtl/>
              </w:rPr>
              <w:t xml:space="preserve"> </w:t>
            </w:r>
            <w:r w:rsidR="009B4120">
              <w:rPr>
                <w:rFonts w:ascii="Arabic Typesetting" w:hAnsi="Arabic Typesetting" w:hint="cs"/>
                <w:sz w:val="30"/>
                <w:szCs w:val="30"/>
                <w:rtl/>
              </w:rPr>
              <w:t xml:space="preserve">تنص </w:t>
            </w:r>
            <w:r w:rsidRPr="00924A6B">
              <w:rPr>
                <w:rFonts w:ascii="Arabic Typesetting" w:hAnsi="Arabic Typesetting"/>
                <w:sz w:val="30"/>
                <w:szCs w:val="30"/>
                <w:rtl/>
              </w:rPr>
              <w:t>على ما يلي:</w:t>
            </w:r>
          </w:p>
          <w:p w:rsidR="00570F78" w:rsidRPr="00924A6B" w:rsidRDefault="00570F78" w:rsidP="00570F78">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"إذا ذكر المودع مادة بيولوجية في الوصف لا يمكن وصفها بأي طريقة تستوفي أحكام البندين (أ) و(ب)،[7] وإذا لم تكن تلك المادة متاحة للجمهور، يُستكمل الطلب بإيداع المادة لدى سلطة الإيداع الدولية بموجب معاهدة بودابست أو باستيفاء الشروط التالية: [...] (د) الكشف عن المصدر والمنشأ الجغرافي للمادة البيولوجية في الوصف إذا كانت مستخدمة في الاختراع."</w:t>
            </w:r>
          </w:p>
        </w:tc>
      </w:tr>
    </w:tbl>
    <w:p w:rsidR="00570F78" w:rsidRPr="00924A6B" w:rsidRDefault="00570F78" w:rsidP="007E49B2">
      <w:pPr>
        <w:pStyle w:val="NormalParaAR"/>
        <w:numPr>
          <w:ilvl w:val="0"/>
          <w:numId w:val="7"/>
        </w:numPr>
        <w:spacing w:before="240"/>
        <w:ind w:left="1701" w:hanging="567"/>
        <w:rPr>
          <w:rtl/>
        </w:rPr>
      </w:pPr>
      <w:r w:rsidRPr="00924A6B">
        <w:rPr>
          <w:rtl/>
        </w:rPr>
        <w:t xml:space="preserve">شروط الكشف الطوعي كجزء من إجراء البراءات دون أي آثار على معالجة </w:t>
      </w:r>
      <w:r w:rsidR="009B4120">
        <w:rPr>
          <w:rFonts w:hint="cs"/>
          <w:rtl/>
        </w:rPr>
        <w:t>الطلب</w:t>
      </w:r>
      <w:r w:rsidRPr="00924A6B">
        <w:rPr>
          <w:rtl/>
        </w:rPr>
        <w:t xml:space="preserve"> أو</w:t>
      </w:r>
      <w:r w:rsidR="009B4120">
        <w:rPr>
          <w:rFonts w:hint="cs"/>
          <w:rtl/>
        </w:rPr>
        <w:t> </w:t>
      </w:r>
      <w:r w:rsidRPr="00924A6B">
        <w:rPr>
          <w:rtl/>
        </w:rPr>
        <w:t>صلاحية البراءة.</w:t>
      </w:r>
    </w:p>
    <w:tbl>
      <w:tblPr>
        <w:tblStyle w:val="TableGrid"/>
        <w:bidiVisual/>
        <w:tblW w:w="7429" w:type="dxa"/>
        <w:tblInd w:w="1679" w:type="dxa"/>
        <w:shd w:val="clear" w:color="auto" w:fill="DDD9C3" w:themeFill="background2" w:themeFillShade="E6"/>
        <w:tblLook w:val="04A0" w:firstRow="1" w:lastRow="0" w:firstColumn="1" w:lastColumn="0" w:noHBand="0" w:noVBand="1"/>
      </w:tblPr>
      <w:tblGrid>
        <w:gridCol w:w="7429"/>
      </w:tblGrid>
      <w:tr w:rsidR="00570F78" w:rsidRPr="00924A6B" w:rsidTr="00723A78">
        <w:tc>
          <w:tcPr>
            <w:tcW w:w="7429" w:type="dxa"/>
            <w:shd w:val="clear" w:color="auto" w:fill="DDD9C3" w:themeFill="background2" w:themeFillShade="E6"/>
          </w:tcPr>
          <w:p w:rsidR="00570F78" w:rsidRPr="00924A6B" w:rsidRDefault="00570F78" w:rsidP="009B4120">
            <w:pPr>
              <w:pStyle w:val="ListParagraph"/>
              <w:bidi/>
              <w:spacing w:after="120" w:line="300" w:lineRule="exact"/>
              <w:ind w:left="0"/>
              <w:contextualSpacing w:val="0"/>
              <w:rPr>
                <w:rFonts w:ascii="Arabic Typesetting" w:hAnsi="Arabic Typesetting"/>
                <w:sz w:val="30"/>
                <w:szCs w:val="30"/>
                <w:rtl/>
              </w:rPr>
            </w:pPr>
            <w:r w:rsidRPr="00924A6B">
              <w:rPr>
                <w:rFonts w:ascii="Arabic Typesetting" w:hAnsi="Arabic Typesetting"/>
                <w:sz w:val="30"/>
                <w:szCs w:val="30"/>
                <w:rtl/>
              </w:rPr>
              <w:t xml:space="preserve">مثال </w:t>
            </w:r>
            <w:r w:rsidRPr="00924A6B">
              <w:rPr>
                <w:rFonts w:ascii="Arabic Typesetting" w:hAnsi="Arabic Typesetting"/>
                <w:b/>
                <w:bCs/>
                <w:sz w:val="30"/>
                <w:szCs w:val="30"/>
                <w:rtl/>
              </w:rPr>
              <w:t>ألمانيا</w:t>
            </w:r>
            <w:r w:rsidR="009B4120">
              <w:rPr>
                <w:rFonts w:ascii="Arabic Typesetting" w:hAnsi="Arabic Typesetting"/>
                <w:sz w:val="30"/>
                <w:szCs w:val="30"/>
                <w:rtl/>
              </w:rPr>
              <w:t xml:space="preserve">: </w:t>
            </w:r>
            <w:r w:rsidR="009B4120">
              <w:rPr>
                <w:rFonts w:ascii="Arabic Typesetting" w:hAnsi="Arabic Typesetting" w:hint="cs"/>
                <w:sz w:val="30"/>
                <w:szCs w:val="30"/>
                <w:rtl/>
              </w:rPr>
              <w:t xml:space="preserve">الفصل </w:t>
            </w:r>
            <w:r w:rsidRPr="00924A6B">
              <w:rPr>
                <w:rFonts w:ascii="Arabic Typesetting" w:hAnsi="Arabic Typesetting"/>
                <w:sz w:val="30"/>
                <w:szCs w:val="30"/>
                <w:rtl/>
              </w:rPr>
              <w:t xml:space="preserve">34(أ) من </w:t>
            </w:r>
            <w:r w:rsidRPr="00924A6B">
              <w:rPr>
                <w:rFonts w:ascii="Arabic Typesetting" w:hAnsi="Arabic Typesetting"/>
                <w:i/>
                <w:iCs/>
                <w:sz w:val="30"/>
                <w:szCs w:val="30"/>
                <w:rtl/>
              </w:rPr>
              <w:t>قانون البراءات بصيغته المنشورة في 16 ديسمبر 1980 (بصيغته المعدَّلة بموجب المادة 1 من القانون المؤرخ 19 أكتوبر 2013)</w:t>
            </w:r>
            <w:r w:rsidRPr="00924A6B">
              <w:rPr>
                <w:rFonts w:ascii="Arabic Typesetting" w:hAnsi="Arabic Typesetting"/>
                <w:sz w:val="30"/>
                <w:szCs w:val="30"/>
                <w:rtl/>
              </w:rPr>
              <w:t xml:space="preserve"> </w:t>
            </w:r>
            <w:r w:rsidR="009B4120">
              <w:rPr>
                <w:rFonts w:ascii="Arabic Typesetting" w:hAnsi="Arabic Typesetting" w:hint="cs"/>
                <w:sz w:val="30"/>
                <w:szCs w:val="30"/>
                <w:rtl/>
              </w:rPr>
              <w:t xml:space="preserve">ينص </w:t>
            </w:r>
            <w:r w:rsidRPr="00924A6B">
              <w:rPr>
                <w:rFonts w:ascii="Arabic Typesetting" w:hAnsi="Arabic Typesetting"/>
                <w:sz w:val="30"/>
                <w:szCs w:val="30"/>
                <w:rtl/>
              </w:rPr>
              <w:t>على ما يلي:</w:t>
            </w:r>
          </w:p>
          <w:p w:rsidR="00570F78" w:rsidRPr="00924A6B" w:rsidRDefault="00570F78" w:rsidP="00570F78">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"في حال كان اختراع يستند إلى مادة بيولوجية نباتية أو حيوانية الأصل أو يستخدم مادة من ذلك النوع، ينبغي أن يتضمن الطلب معلومات عن المنشأ الجغرافي لتلك المادة إذا كان معروفاً. ولا يخل ذلك بفحص الطلبات أو صلاحية الحقوق الناشئة عن البراءات الممنوحة."</w:t>
            </w:r>
          </w:p>
        </w:tc>
      </w:tr>
    </w:tbl>
    <w:p w:rsidR="00570F78" w:rsidRPr="00924A6B" w:rsidRDefault="00570F78" w:rsidP="0038128B">
      <w:pPr>
        <w:pStyle w:val="Heading2"/>
        <w:ind w:left="1701" w:hanging="567"/>
        <w:rPr>
          <w:rtl/>
        </w:rPr>
      </w:pPr>
      <w:r w:rsidRPr="00924A6B">
        <w:rPr>
          <w:rtl/>
        </w:rPr>
        <w:lastRenderedPageBreak/>
        <w:t>مسوغات الكشف</w:t>
      </w:r>
    </w:p>
    <w:p w:rsidR="00A359B1" w:rsidRPr="00924A6B" w:rsidRDefault="00570F78" w:rsidP="00EB104F">
      <w:pPr>
        <w:pStyle w:val="NormalParaAR"/>
        <w:keepNext/>
        <w:ind w:left="567"/>
        <w:rPr>
          <w:rtl/>
        </w:rPr>
      </w:pPr>
      <w:r w:rsidRPr="00924A6B">
        <w:rPr>
          <w:rtl/>
        </w:rPr>
        <w:t xml:space="preserve">اقتُرح خياران </w:t>
      </w:r>
      <w:r w:rsidR="0038128B">
        <w:rPr>
          <w:rFonts w:hint="cs"/>
          <w:rtl/>
        </w:rPr>
        <w:t>ل</w:t>
      </w:r>
      <w:r w:rsidRPr="00924A6B">
        <w:rPr>
          <w:rtl/>
        </w:rPr>
        <w:t>لمسوغات</w:t>
      </w:r>
      <w:r w:rsidR="0038128B">
        <w:rPr>
          <w:rFonts w:hint="cs"/>
          <w:rtl/>
        </w:rPr>
        <w:t xml:space="preserve"> هما</w:t>
      </w:r>
      <w:r w:rsidRPr="00924A6B">
        <w:rPr>
          <w:rtl/>
        </w:rPr>
        <w:t xml:space="preserve"> "الا</w:t>
      </w:r>
      <w:r w:rsidR="0038128B">
        <w:rPr>
          <w:rtl/>
        </w:rPr>
        <w:t xml:space="preserve">ستعمال" و"الاستناد </w:t>
      </w:r>
      <w:r w:rsidR="00EB104F">
        <w:rPr>
          <w:rFonts w:hint="cs"/>
          <w:rtl/>
        </w:rPr>
        <w:t>بشكل مباشر</w:t>
      </w:r>
      <w:r w:rsidR="0038128B">
        <w:rPr>
          <w:rtl/>
        </w:rPr>
        <w:t xml:space="preserve"> إلى"</w:t>
      </w:r>
      <w:r w:rsidR="0038128B">
        <w:rPr>
          <w:rFonts w:hint="cs"/>
          <w:rtl/>
        </w:rPr>
        <w:t>.</w:t>
      </w:r>
    </w:p>
    <w:p w:rsidR="00570F78" w:rsidRPr="00924A6B" w:rsidRDefault="00570F78" w:rsidP="007E49B2">
      <w:pPr>
        <w:pStyle w:val="NormalParaAR"/>
        <w:keepNext/>
        <w:numPr>
          <w:ilvl w:val="0"/>
          <w:numId w:val="7"/>
        </w:numPr>
        <w:spacing w:before="240"/>
        <w:ind w:left="1701" w:hanging="567"/>
        <w:rPr>
          <w:rtl/>
        </w:rPr>
      </w:pPr>
      <w:r w:rsidRPr="00924A6B">
        <w:rPr>
          <w:rtl/>
        </w:rPr>
        <w:t>"الاستعمال" مصطلح مستخدم في بروتوكول ناغويا ويركز على البحث والتطوير. وفي بعض البلدان، يُستخدم مصطلح "الاستخدام" عوضاً عن "الاستعمال".</w:t>
      </w:r>
    </w:p>
    <w:tbl>
      <w:tblPr>
        <w:tblStyle w:val="TableGrid"/>
        <w:bidiVisual/>
        <w:tblW w:w="7364" w:type="dxa"/>
        <w:tblInd w:w="1744" w:type="dxa"/>
        <w:tblLook w:val="04A0" w:firstRow="1" w:lastRow="0" w:firstColumn="1" w:lastColumn="0" w:noHBand="0" w:noVBand="1"/>
      </w:tblPr>
      <w:tblGrid>
        <w:gridCol w:w="7364"/>
      </w:tblGrid>
      <w:tr w:rsidR="00570F78" w:rsidRPr="00924A6B" w:rsidTr="0038128B">
        <w:trPr>
          <w:cantSplit/>
        </w:trPr>
        <w:tc>
          <w:tcPr>
            <w:tcW w:w="7364" w:type="dxa"/>
            <w:shd w:val="clear" w:color="auto" w:fill="DDD9C3" w:themeFill="background2" w:themeFillShade="E6"/>
          </w:tcPr>
          <w:p w:rsidR="00570F78" w:rsidRPr="00924A6B" w:rsidRDefault="00570F78" w:rsidP="0038128B">
            <w:pPr>
              <w:pStyle w:val="NormalWeb"/>
              <w:bidi/>
              <w:spacing w:after="120" w:line="300" w:lineRule="exact"/>
              <w:rPr>
                <w:rFonts w:ascii="Arabic Typesetting" w:hAnsi="Arabic Typesetting"/>
                <w:sz w:val="30"/>
                <w:szCs w:val="30"/>
                <w:rtl/>
              </w:rPr>
            </w:pPr>
            <w:r w:rsidRPr="00924A6B">
              <w:rPr>
                <w:rFonts w:ascii="Arabic Typesetting" w:hAnsi="Arabic Typesetting"/>
                <w:sz w:val="30"/>
                <w:szCs w:val="30"/>
                <w:rtl/>
              </w:rPr>
              <w:t xml:space="preserve">مثال </w:t>
            </w:r>
            <w:r w:rsidRPr="00924A6B">
              <w:rPr>
                <w:rFonts w:ascii="Arabic Typesetting" w:hAnsi="Arabic Typesetting"/>
                <w:b/>
                <w:bCs/>
                <w:sz w:val="30"/>
                <w:szCs w:val="30"/>
                <w:rtl/>
              </w:rPr>
              <w:t>جمهورية الصين الشعبية</w:t>
            </w:r>
            <w:r w:rsidRPr="00924A6B">
              <w:rPr>
                <w:rFonts w:ascii="Arabic Typesetting" w:hAnsi="Arabic Typesetting"/>
                <w:sz w:val="30"/>
                <w:szCs w:val="30"/>
                <w:rtl/>
              </w:rPr>
              <w:t>:</w:t>
            </w:r>
            <w:r w:rsidRPr="00924A6B">
              <w:rPr>
                <w:rFonts w:ascii="Arabic Typesetting" w:hAnsi="Arabic Typesetting"/>
                <w:b/>
                <w:bCs/>
                <w:sz w:val="30"/>
                <w:szCs w:val="30"/>
                <w:rtl/>
              </w:rPr>
              <w:t xml:space="preserve"> </w:t>
            </w:r>
            <w:r w:rsidRPr="00924A6B">
              <w:rPr>
                <w:rFonts w:ascii="Arabic Typesetting" w:hAnsi="Arabic Typesetting"/>
                <w:sz w:val="30"/>
                <w:szCs w:val="30"/>
                <w:rtl/>
              </w:rPr>
              <w:t xml:space="preserve">المادة 26 من </w:t>
            </w:r>
            <w:r w:rsidRPr="00924A6B">
              <w:rPr>
                <w:rFonts w:ascii="Arabic Typesetting" w:hAnsi="Arabic Typesetting"/>
                <w:i/>
                <w:iCs/>
                <w:sz w:val="30"/>
                <w:szCs w:val="30"/>
                <w:rtl/>
              </w:rPr>
              <w:t>قانون البراءات لجمهورية الصين الشعبية (بصيغتها المعدَّلة بموجب القرار المؤرخ 27 ديسمبر 2008 بشأن مراجعة قانون البراءات لجمهورية الصين الشعبية</w:t>
            </w:r>
            <w:r w:rsidRPr="00924A6B">
              <w:rPr>
                <w:rFonts w:ascii="Arabic Typesetting" w:hAnsi="Arabic Typesetting"/>
                <w:sz w:val="30"/>
                <w:szCs w:val="30"/>
                <w:rtl/>
              </w:rPr>
              <w:t xml:space="preserve"> </w:t>
            </w:r>
            <w:r w:rsidR="0038128B">
              <w:rPr>
                <w:rFonts w:ascii="Arabic Typesetting" w:hAnsi="Arabic Typesetting" w:hint="cs"/>
                <w:sz w:val="30"/>
                <w:szCs w:val="30"/>
                <w:rtl/>
              </w:rPr>
              <w:t xml:space="preserve">تنص </w:t>
            </w:r>
            <w:r w:rsidRPr="00924A6B">
              <w:rPr>
                <w:rFonts w:ascii="Arabic Typesetting" w:hAnsi="Arabic Typesetting"/>
                <w:sz w:val="30"/>
                <w:szCs w:val="30"/>
                <w:rtl/>
              </w:rPr>
              <w:t>على ما يلي:</w:t>
            </w:r>
          </w:p>
          <w:p w:rsidR="00A359B1" w:rsidRPr="00924A6B" w:rsidRDefault="00570F78" w:rsidP="0038128B">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 xml:space="preserve">"فيما يخص الاختراع/الإبداع المُنجَز </w:t>
            </w:r>
            <w:r w:rsidR="0038128B">
              <w:rPr>
                <w:rFonts w:ascii="Arabic Typesetting" w:hAnsi="Arabic Typesetting" w:hint="cs"/>
                <w:sz w:val="30"/>
                <w:szCs w:val="30"/>
                <w:rtl/>
              </w:rPr>
              <w:t>بالاستناد إلى</w:t>
            </w:r>
            <w:r w:rsidRPr="00924A6B">
              <w:rPr>
                <w:rFonts w:ascii="Arabic Typesetting" w:hAnsi="Arabic Typesetting"/>
                <w:sz w:val="30"/>
                <w:szCs w:val="30"/>
                <w:rtl/>
              </w:rPr>
              <w:t xml:space="preserve"> موارد وراثية، يبيِّن المودع في وثائق طلب البراءة المصدر المباشر والأصلي للموارد الوراثية."</w:t>
            </w:r>
          </w:p>
          <w:p w:rsidR="00570F78" w:rsidRPr="00924A6B" w:rsidRDefault="00570F78" w:rsidP="0038128B">
            <w:pPr>
              <w:pStyle w:val="NormalWeb"/>
              <w:bidi/>
              <w:spacing w:after="120" w:line="300" w:lineRule="exact"/>
              <w:rPr>
                <w:rFonts w:ascii="Arabic Typesetting" w:hAnsi="Arabic Typesetting"/>
                <w:sz w:val="30"/>
                <w:szCs w:val="30"/>
                <w:rtl/>
              </w:rPr>
            </w:pPr>
            <w:r w:rsidRPr="00924A6B">
              <w:rPr>
                <w:rFonts w:ascii="Arabic Typesetting" w:hAnsi="Arabic Typesetting"/>
                <w:sz w:val="30"/>
                <w:szCs w:val="30"/>
                <w:rtl/>
              </w:rPr>
              <w:t xml:space="preserve">وتشرح القواعد التنفيذية المعنية أيضاً أن تعبير "الاختراع/الإبداع المُنجَز </w:t>
            </w:r>
            <w:r w:rsidR="0038128B">
              <w:rPr>
                <w:rFonts w:ascii="Arabic Typesetting" w:hAnsi="Arabic Typesetting" w:hint="cs"/>
                <w:sz w:val="30"/>
                <w:szCs w:val="30"/>
                <w:rtl/>
              </w:rPr>
              <w:t>بالاستناد إلى</w:t>
            </w:r>
            <w:r w:rsidRPr="00924A6B">
              <w:rPr>
                <w:rFonts w:ascii="Arabic Typesetting" w:hAnsi="Arabic Typesetting"/>
                <w:sz w:val="30"/>
                <w:szCs w:val="30"/>
                <w:rtl/>
              </w:rPr>
              <w:t xml:space="preserve"> </w:t>
            </w:r>
            <w:r w:rsidR="0038128B">
              <w:rPr>
                <w:rFonts w:ascii="Arabic Typesetting" w:hAnsi="Arabic Typesetting" w:hint="cs"/>
                <w:sz w:val="30"/>
                <w:szCs w:val="30"/>
                <w:rtl/>
              </w:rPr>
              <w:t>ال</w:t>
            </w:r>
            <w:r w:rsidRPr="00924A6B">
              <w:rPr>
                <w:rFonts w:ascii="Arabic Typesetting" w:hAnsi="Arabic Typesetting"/>
                <w:sz w:val="30"/>
                <w:szCs w:val="30"/>
                <w:rtl/>
              </w:rPr>
              <w:t xml:space="preserve">موارد </w:t>
            </w:r>
            <w:r w:rsidR="0038128B">
              <w:rPr>
                <w:rFonts w:ascii="Arabic Typesetting" w:hAnsi="Arabic Typesetting" w:hint="cs"/>
                <w:sz w:val="30"/>
                <w:szCs w:val="30"/>
                <w:rtl/>
              </w:rPr>
              <w:t>ال</w:t>
            </w:r>
            <w:r w:rsidRPr="00924A6B">
              <w:rPr>
                <w:rFonts w:ascii="Arabic Typesetting" w:hAnsi="Arabic Typesetting"/>
                <w:sz w:val="30"/>
                <w:szCs w:val="30"/>
                <w:rtl/>
              </w:rPr>
              <w:t>وراثية" يشير إلى [...] الاختراعات/الإبداعات التي يعتمد إنجازها على الوظيفة الوراثية للموارد الوراثية".</w:t>
            </w:r>
          </w:p>
          <w:p w:rsidR="00570F78" w:rsidRPr="00924A6B" w:rsidRDefault="00570F78" w:rsidP="0038128B">
            <w:pPr>
              <w:pStyle w:val="NormalWeb"/>
              <w:bidi/>
              <w:spacing w:after="120" w:line="300" w:lineRule="exact"/>
              <w:rPr>
                <w:rFonts w:ascii="Arabic Typesetting" w:hAnsi="Arabic Typesetting"/>
                <w:sz w:val="30"/>
                <w:szCs w:val="30"/>
                <w:rtl/>
              </w:rPr>
            </w:pPr>
            <w:r w:rsidRPr="00924A6B">
              <w:rPr>
                <w:rFonts w:ascii="Arabic Typesetting" w:hAnsi="Arabic Typesetting"/>
                <w:b/>
                <w:bCs/>
                <w:sz w:val="30"/>
                <w:szCs w:val="30"/>
                <w:rtl/>
              </w:rPr>
              <w:t xml:space="preserve">الهند: </w:t>
            </w:r>
            <w:r w:rsidRPr="00924A6B">
              <w:rPr>
                <w:rFonts w:ascii="Arabic Typesetting" w:hAnsi="Arabic Typesetting"/>
                <w:sz w:val="30"/>
                <w:szCs w:val="30"/>
                <w:rtl/>
              </w:rPr>
              <w:t xml:space="preserve">المادة 10 من </w:t>
            </w:r>
            <w:r w:rsidRPr="00924A6B">
              <w:rPr>
                <w:rFonts w:ascii="Arabic Typesetting" w:hAnsi="Arabic Typesetting"/>
                <w:i/>
                <w:iCs/>
                <w:sz w:val="30"/>
                <w:szCs w:val="30"/>
                <w:rtl/>
              </w:rPr>
              <w:t>قانون البراءات (المعدَّل) لسنة 2002</w:t>
            </w:r>
            <w:r w:rsidRPr="00924A6B">
              <w:rPr>
                <w:rFonts w:ascii="Arabic Typesetting" w:hAnsi="Arabic Typesetting"/>
                <w:sz w:val="30"/>
                <w:szCs w:val="30"/>
                <w:rtl/>
              </w:rPr>
              <w:t xml:space="preserve"> </w:t>
            </w:r>
            <w:r w:rsidR="0038128B">
              <w:rPr>
                <w:rFonts w:ascii="Arabic Typesetting" w:hAnsi="Arabic Typesetting" w:hint="cs"/>
                <w:sz w:val="30"/>
                <w:szCs w:val="30"/>
                <w:rtl/>
              </w:rPr>
              <w:t xml:space="preserve">تنص </w:t>
            </w:r>
            <w:r w:rsidRPr="00924A6B">
              <w:rPr>
                <w:rFonts w:ascii="Arabic Typesetting" w:hAnsi="Arabic Typesetting"/>
                <w:sz w:val="30"/>
                <w:szCs w:val="30"/>
                <w:rtl/>
              </w:rPr>
              <w:t>على ما يلي:</w:t>
            </w:r>
          </w:p>
          <w:p w:rsidR="00570F78" w:rsidRPr="00924A6B" w:rsidRDefault="00570F78" w:rsidP="00570F78">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"يكشف كل بيان مواصفات كامل عن المصدر والمنشأ الجغرافي للمادة البيولوجية في الوصف إذا كانت مستخدمة في الاختراع."</w:t>
            </w:r>
          </w:p>
          <w:p w:rsidR="00570F78" w:rsidRPr="00924A6B" w:rsidRDefault="00570F78" w:rsidP="00570F78">
            <w:pPr>
              <w:pStyle w:val="NormalWeb"/>
              <w:bidi/>
              <w:spacing w:after="120" w:line="300" w:lineRule="exact"/>
              <w:rPr>
                <w:rFonts w:ascii="Arabic Typesetting" w:hAnsi="Arabic Typesetting"/>
                <w:sz w:val="30"/>
                <w:szCs w:val="30"/>
                <w:rtl/>
              </w:rPr>
            </w:pPr>
            <w:r w:rsidRPr="00924A6B">
              <w:rPr>
                <w:rFonts w:ascii="Arabic Typesetting" w:hAnsi="Arabic Typesetting"/>
                <w:b/>
                <w:bCs/>
                <w:sz w:val="30"/>
                <w:szCs w:val="30"/>
                <w:rtl/>
              </w:rPr>
              <w:t xml:space="preserve">النرويج: </w:t>
            </w:r>
            <w:r w:rsidRPr="00924A6B">
              <w:rPr>
                <w:rFonts w:ascii="Arabic Typesetting" w:hAnsi="Arabic Typesetting"/>
                <w:sz w:val="30"/>
                <w:szCs w:val="30"/>
                <w:rtl/>
              </w:rPr>
              <w:t xml:space="preserve">ينص القسم 8(ب) من </w:t>
            </w:r>
            <w:r w:rsidRPr="00924A6B">
              <w:rPr>
                <w:rFonts w:ascii="Arabic Typesetting" w:hAnsi="Arabic Typesetting"/>
                <w:i/>
                <w:iCs/>
                <w:sz w:val="30"/>
                <w:szCs w:val="30"/>
                <w:rtl/>
              </w:rPr>
              <w:t>قانون البراءات رقم 9 المؤرخ في 15 ديسمبر 1967 (النسخة الموحدة لعام 2016)</w:t>
            </w:r>
            <w:r w:rsidRPr="00924A6B">
              <w:rPr>
                <w:rFonts w:ascii="Arabic Typesetting" w:hAnsi="Arabic Typesetting"/>
                <w:sz w:val="30"/>
                <w:szCs w:val="30"/>
                <w:rtl/>
              </w:rPr>
              <w:t xml:space="preserve"> على ما يلي:</w:t>
            </w:r>
          </w:p>
          <w:p w:rsidR="00570F78" w:rsidRPr="00924A6B" w:rsidRDefault="00570F78" w:rsidP="00570F78">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"إذا كان اختراع يخص أو يستخدم مواد بيولوجية أو معارف تقليدية، يتضمن طلب البراءة معلومات عن البلد الذي جمع أو تلقى منه المخترع المواد أو المعارف (البلد المزود). وإذا كان القانون الوطني للبلد المزود يقتضي الحصول على موافقة مسبقة للنفاذ إلى المواد البيولوجية أو استخدام المعارف التقليدية، يبيِّن الطلب الحصول على تلك الموافقة.</w:t>
            </w:r>
          </w:p>
        </w:tc>
      </w:tr>
    </w:tbl>
    <w:p w:rsidR="00570F78" w:rsidRPr="00924A6B" w:rsidRDefault="00570F78" w:rsidP="007E49B2">
      <w:pPr>
        <w:pStyle w:val="NormalParaAR"/>
        <w:numPr>
          <w:ilvl w:val="0"/>
          <w:numId w:val="7"/>
        </w:numPr>
        <w:spacing w:before="240"/>
        <w:ind w:left="1701" w:hanging="567"/>
        <w:rPr>
          <w:rtl/>
        </w:rPr>
      </w:pPr>
      <w:r w:rsidRPr="00924A6B">
        <w:rPr>
          <w:rtl/>
        </w:rPr>
        <w:t>وتعني عبارة "</w:t>
      </w:r>
      <w:r w:rsidR="0038128B">
        <w:rPr>
          <w:rFonts w:hint="cs"/>
          <w:rtl/>
        </w:rPr>
        <w:t>مستندا</w:t>
      </w:r>
      <w:r w:rsidRPr="00924A6B">
        <w:rPr>
          <w:rtl/>
        </w:rPr>
        <w:t xml:space="preserve"> </w:t>
      </w:r>
      <w:r w:rsidR="00EB104F">
        <w:rPr>
          <w:rFonts w:hint="cs"/>
          <w:rtl/>
        </w:rPr>
        <w:t>بشكل مباشر</w:t>
      </w:r>
      <w:r w:rsidRPr="00924A6B">
        <w:rPr>
          <w:rtl/>
        </w:rPr>
        <w:t xml:space="preserve"> إلى" أن الاختراع يجب أن يستخدم المورد الوراثي مباشرة. ويبدو أنه أكثر المسوغات صرامة.</w:t>
      </w:r>
    </w:p>
    <w:tbl>
      <w:tblPr>
        <w:tblStyle w:val="TableGrid"/>
        <w:bidiVisual/>
        <w:tblW w:w="7364" w:type="dxa"/>
        <w:tblInd w:w="1744" w:type="dxa"/>
        <w:tblLook w:val="04A0" w:firstRow="1" w:lastRow="0" w:firstColumn="1" w:lastColumn="0" w:noHBand="0" w:noVBand="1"/>
      </w:tblPr>
      <w:tblGrid>
        <w:gridCol w:w="7364"/>
      </w:tblGrid>
      <w:tr w:rsidR="00570F78" w:rsidRPr="00924A6B" w:rsidTr="00723A78">
        <w:tc>
          <w:tcPr>
            <w:tcW w:w="7364" w:type="dxa"/>
            <w:shd w:val="clear" w:color="auto" w:fill="DDD9C3" w:themeFill="background2" w:themeFillShade="E6"/>
          </w:tcPr>
          <w:p w:rsidR="00570F78" w:rsidRPr="00924A6B" w:rsidRDefault="00570F78" w:rsidP="00EB104F">
            <w:pPr>
              <w:pStyle w:val="ListParagraph"/>
              <w:bidi/>
              <w:spacing w:after="120" w:line="300" w:lineRule="exact"/>
              <w:ind w:left="0"/>
              <w:contextualSpacing w:val="0"/>
              <w:rPr>
                <w:rFonts w:ascii="Arabic Typesetting" w:hAnsi="Arabic Typesetting"/>
                <w:sz w:val="30"/>
                <w:szCs w:val="30"/>
                <w:rtl/>
              </w:rPr>
            </w:pPr>
            <w:r w:rsidRPr="00924A6B">
              <w:rPr>
                <w:rFonts w:ascii="Arabic Typesetting" w:hAnsi="Arabic Typesetting"/>
                <w:sz w:val="30"/>
                <w:szCs w:val="30"/>
                <w:rtl/>
              </w:rPr>
              <w:t xml:space="preserve">مثال </w:t>
            </w:r>
            <w:r w:rsidRPr="00924A6B">
              <w:rPr>
                <w:rFonts w:ascii="Arabic Typesetting" w:hAnsi="Arabic Typesetting"/>
                <w:b/>
                <w:bCs/>
                <w:sz w:val="30"/>
                <w:szCs w:val="30"/>
                <w:rtl/>
              </w:rPr>
              <w:t>سويسرا</w:t>
            </w:r>
            <w:r w:rsidRPr="00924A6B">
              <w:rPr>
                <w:rFonts w:ascii="Arabic Typesetting" w:hAnsi="Arabic Typesetting"/>
                <w:sz w:val="30"/>
                <w:szCs w:val="30"/>
                <w:rtl/>
              </w:rPr>
              <w:t>:</w:t>
            </w:r>
            <w:r w:rsidRPr="00924A6B">
              <w:rPr>
                <w:rFonts w:ascii="Arabic Typesetting" w:hAnsi="Arabic Typesetting"/>
                <w:b/>
                <w:bCs/>
                <w:sz w:val="30"/>
                <w:szCs w:val="30"/>
                <w:rtl/>
              </w:rPr>
              <w:t xml:space="preserve"> </w:t>
            </w:r>
            <w:r w:rsidRPr="00924A6B">
              <w:rPr>
                <w:rFonts w:ascii="Arabic Typesetting" w:hAnsi="Arabic Typesetting"/>
                <w:sz w:val="30"/>
                <w:szCs w:val="30"/>
                <w:rtl/>
              </w:rPr>
              <w:t xml:space="preserve">المادة 49 من </w:t>
            </w:r>
            <w:r w:rsidRPr="00924A6B">
              <w:rPr>
                <w:rFonts w:ascii="Arabic Typesetting" w:hAnsi="Arabic Typesetting"/>
                <w:i/>
                <w:iCs/>
                <w:sz w:val="30"/>
                <w:szCs w:val="30"/>
                <w:rtl/>
              </w:rPr>
              <w:t xml:space="preserve">قانون البراءات المعدَّل المؤرخ في 2 يونيو 2007، الجريدة الرسمية </w:t>
            </w:r>
            <w:r w:rsidR="00EB104F">
              <w:rPr>
                <w:rFonts w:ascii="Arabic Typesetting" w:hAnsi="Arabic Typesetting"/>
                <w:i/>
                <w:iCs/>
                <w:sz w:val="30"/>
                <w:szCs w:val="30"/>
              </w:rPr>
              <w:t>2008 2551</w:t>
            </w:r>
            <w:r w:rsidRPr="00924A6B">
              <w:rPr>
                <w:rFonts w:ascii="Arabic Typesetting" w:hAnsi="Arabic Typesetting"/>
                <w:sz w:val="30"/>
                <w:szCs w:val="30"/>
                <w:rtl/>
              </w:rPr>
              <w:t xml:space="preserve"> </w:t>
            </w:r>
            <w:r w:rsidR="0038128B">
              <w:rPr>
                <w:rFonts w:ascii="Arabic Typesetting" w:hAnsi="Arabic Typesetting" w:hint="cs"/>
                <w:sz w:val="30"/>
                <w:szCs w:val="30"/>
                <w:rtl/>
              </w:rPr>
              <w:t xml:space="preserve">تنص </w:t>
            </w:r>
            <w:r w:rsidRPr="00924A6B">
              <w:rPr>
                <w:rFonts w:ascii="Arabic Typesetting" w:hAnsi="Arabic Typesetting"/>
                <w:sz w:val="30"/>
                <w:szCs w:val="30"/>
                <w:rtl/>
              </w:rPr>
              <w:t>على ما يلي:</w:t>
            </w:r>
          </w:p>
          <w:p w:rsidR="00570F78" w:rsidRPr="00924A6B" w:rsidRDefault="00570F78" w:rsidP="00570F78">
            <w:pPr>
              <w:pStyle w:val="ListParagraph"/>
              <w:bidi/>
              <w:spacing w:after="120" w:line="300" w:lineRule="exact"/>
              <w:ind w:left="567"/>
              <w:contextualSpacing w:val="0"/>
              <w:rPr>
                <w:rFonts w:ascii="Arabic Typesetting" w:hAnsi="Arabic Typesetting"/>
                <w:sz w:val="30"/>
                <w:szCs w:val="30"/>
                <w:rtl/>
              </w:rPr>
            </w:pPr>
            <w:r w:rsidRPr="00924A6B">
              <w:rPr>
                <w:rFonts w:ascii="Arabic Typesetting" w:hAnsi="Arabic Typesetting"/>
                <w:sz w:val="30"/>
                <w:szCs w:val="30"/>
                <w:rtl/>
              </w:rPr>
              <w:t>"للاختراعات المستندة إلى الموارد الوراثية أو المعارف التقليدية، يجب أن يتضمن طلب البراءة معلومات عن مصدر:</w:t>
            </w:r>
          </w:p>
          <w:p w:rsidR="00570F78" w:rsidRPr="00924A6B" w:rsidRDefault="00570F78" w:rsidP="00570F78">
            <w:pPr>
              <w:pStyle w:val="ListParagraph"/>
              <w:bidi/>
              <w:spacing w:after="120" w:line="300" w:lineRule="exact"/>
              <w:ind w:left="1134"/>
              <w:contextualSpacing w:val="0"/>
              <w:rPr>
                <w:rFonts w:ascii="Arabic Typesetting" w:hAnsi="Arabic Typesetting"/>
                <w:sz w:val="30"/>
                <w:szCs w:val="30"/>
                <w:rtl/>
              </w:rPr>
            </w:pPr>
            <w:r w:rsidRPr="00924A6B">
              <w:rPr>
                <w:rFonts w:ascii="Arabic Typesetting" w:hAnsi="Arabic Typesetting"/>
                <w:sz w:val="30"/>
                <w:szCs w:val="30"/>
                <w:rtl/>
              </w:rPr>
              <w:t>(أ) المورد الوراثي الذي نفذ إليه المخترع أو المودع، شرط أن يكون الاختراع مستندا بشكل مباشر إلى ذلك المورد؛</w:t>
            </w:r>
          </w:p>
          <w:p w:rsidR="00570F78" w:rsidRPr="00924A6B" w:rsidRDefault="00570F78" w:rsidP="00570F78">
            <w:pPr>
              <w:pStyle w:val="ListParagraph"/>
              <w:bidi/>
              <w:spacing w:after="120" w:line="300" w:lineRule="exact"/>
              <w:ind w:left="1134"/>
              <w:contextualSpacing w:val="0"/>
              <w:rPr>
                <w:rFonts w:ascii="Arabic Typesetting" w:hAnsi="Arabic Typesetting"/>
                <w:sz w:val="30"/>
                <w:szCs w:val="30"/>
                <w:rtl/>
              </w:rPr>
            </w:pPr>
            <w:r w:rsidRPr="00924A6B">
              <w:rPr>
                <w:rFonts w:ascii="Arabic Typesetting" w:hAnsi="Arabic Typesetting"/>
                <w:sz w:val="30"/>
                <w:szCs w:val="30"/>
                <w:rtl/>
              </w:rPr>
              <w:t xml:space="preserve">(ب) المعارف التقليدية للجماعات الأصلية أو المحلية المرتبطة بالموارد الوراثية </w:t>
            </w:r>
            <w:r w:rsidR="00EB104F">
              <w:rPr>
                <w:rFonts w:ascii="Arabic Typesetting" w:hAnsi="Arabic Typesetting" w:hint="cs"/>
                <w:sz w:val="30"/>
                <w:szCs w:val="30"/>
                <w:rtl/>
              </w:rPr>
              <w:t>و</w:t>
            </w:r>
            <w:r w:rsidRPr="00924A6B">
              <w:rPr>
                <w:rFonts w:ascii="Arabic Typesetting" w:hAnsi="Arabic Typesetting"/>
                <w:sz w:val="30"/>
                <w:szCs w:val="30"/>
                <w:rtl/>
              </w:rPr>
              <w:t>التي نفذ إليها المخترع أو المودع، شرط أن يكون الاختراع مستندا بشكل مباشر إلى تلك المعارف."</w:t>
            </w:r>
          </w:p>
        </w:tc>
      </w:tr>
    </w:tbl>
    <w:p w:rsidR="00570F78" w:rsidRPr="00924A6B" w:rsidRDefault="00570F78" w:rsidP="00EB104F">
      <w:pPr>
        <w:pStyle w:val="NormalParaAR"/>
        <w:spacing w:before="240"/>
        <w:ind w:left="567"/>
        <w:rPr>
          <w:rtl/>
        </w:rPr>
      </w:pPr>
      <w:r w:rsidRPr="00924A6B">
        <w:rPr>
          <w:rtl/>
        </w:rPr>
        <w:t>ومن المسائل الأخرى الواجب النظر فيها تعريف مصطلح "الاستعمال" وعبارة "مستند</w:t>
      </w:r>
      <w:r w:rsidR="00EB104F">
        <w:rPr>
          <w:rFonts w:hint="cs"/>
          <w:rtl/>
        </w:rPr>
        <w:t>ا</w:t>
      </w:r>
      <w:r w:rsidRPr="00924A6B">
        <w:rPr>
          <w:rtl/>
        </w:rPr>
        <w:t xml:space="preserve"> </w:t>
      </w:r>
      <w:r w:rsidR="00EB104F">
        <w:rPr>
          <w:rFonts w:hint="cs"/>
          <w:rtl/>
        </w:rPr>
        <w:t>بشكل مباشر</w:t>
      </w:r>
      <w:r w:rsidRPr="00924A6B">
        <w:rPr>
          <w:rtl/>
        </w:rPr>
        <w:t xml:space="preserve"> إلى".</w:t>
      </w:r>
    </w:p>
    <w:p w:rsidR="00570F78" w:rsidRPr="00924A6B" w:rsidRDefault="00570F78" w:rsidP="00EB104F">
      <w:pPr>
        <w:pStyle w:val="NormalParaAR"/>
        <w:keepNext/>
        <w:ind w:left="567"/>
        <w:rPr>
          <w:rtl/>
        </w:rPr>
      </w:pPr>
      <w:r w:rsidRPr="00924A6B">
        <w:rPr>
          <w:rtl/>
        </w:rPr>
        <w:lastRenderedPageBreak/>
        <w:t>وعبارة "مشتق</w:t>
      </w:r>
      <w:r w:rsidR="00EB104F">
        <w:rPr>
          <w:rFonts w:hint="cs"/>
          <w:rtl/>
        </w:rPr>
        <w:t>ا</w:t>
      </w:r>
      <w:r w:rsidRPr="00924A6B">
        <w:rPr>
          <w:rtl/>
        </w:rPr>
        <w:t xml:space="preserve"> من" عبارة أخرى مستخدمة في بعض القوانين الوطنية. ولعله أعم المسوغات. </w:t>
      </w:r>
      <w:r w:rsidR="00EB104F">
        <w:rPr>
          <w:rFonts w:hint="cs"/>
          <w:rtl/>
        </w:rPr>
        <w:t>ونظراً إلى</w:t>
      </w:r>
      <w:r w:rsidRPr="00924A6B">
        <w:rPr>
          <w:rtl/>
        </w:rPr>
        <w:t xml:space="preserve"> عدم وجود تعريف محدد، يمكن تفسير العبارة على أنها تشمل أشياء مختلفة تتراوح بين المشتق المادي المباشر من المورد الوراثي إلى أي منتج بيولوجي صناعي </w:t>
      </w:r>
      <w:r w:rsidR="00EB104F">
        <w:rPr>
          <w:rFonts w:hint="cs"/>
          <w:rtl/>
        </w:rPr>
        <w:t>استُحدث</w:t>
      </w:r>
      <w:r w:rsidRPr="00924A6B">
        <w:rPr>
          <w:rtl/>
        </w:rPr>
        <w:t xml:space="preserve"> باستخدام بيانات التسلسل الجيني التي تم الحصول عليها ببساطة من مستودع أو قاعدة بيانات شبكية.</w:t>
      </w:r>
    </w:p>
    <w:tbl>
      <w:tblPr>
        <w:tblStyle w:val="TableGrid"/>
        <w:bidiVisual/>
        <w:tblW w:w="7364" w:type="dxa"/>
        <w:tblInd w:w="1744" w:type="dxa"/>
        <w:tblLook w:val="04A0" w:firstRow="1" w:lastRow="0" w:firstColumn="1" w:lastColumn="0" w:noHBand="0" w:noVBand="1"/>
      </w:tblPr>
      <w:tblGrid>
        <w:gridCol w:w="7364"/>
      </w:tblGrid>
      <w:tr w:rsidR="00570F78" w:rsidRPr="00924A6B" w:rsidTr="00723A78">
        <w:tc>
          <w:tcPr>
            <w:tcW w:w="7364" w:type="dxa"/>
            <w:shd w:val="clear" w:color="auto" w:fill="DDD9C3" w:themeFill="background2" w:themeFillShade="E6"/>
          </w:tcPr>
          <w:p w:rsidR="00570F78" w:rsidRPr="00BB4459" w:rsidRDefault="00570F78" w:rsidP="00BB4459">
            <w:pPr>
              <w:pStyle w:val="ListParagraph"/>
              <w:bidi/>
              <w:spacing w:after="120" w:line="300" w:lineRule="exact"/>
              <w:ind w:left="0"/>
              <w:contextualSpacing w:val="0"/>
              <w:rPr>
                <w:rFonts w:ascii="Arabic Typesetting" w:hAnsi="Arabic Typesetting"/>
                <w:sz w:val="30"/>
                <w:szCs w:val="30"/>
                <w:rtl/>
              </w:rPr>
            </w:pPr>
            <w:r w:rsidRPr="00924A6B">
              <w:rPr>
                <w:rFonts w:ascii="Arabic Typesetting" w:hAnsi="Arabic Typesetting"/>
                <w:sz w:val="30"/>
                <w:szCs w:val="30"/>
                <w:rtl/>
              </w:rPr>
              <w:t xml:space="preserve">مثال </w:t>
            </w:r>
            <w:r w:rsidRPr="00924A6B">
              <w:rPr>
                <w:rFonts w:ascii="Arabic Typesetting" w:hAnsi="Arabic Typesetting"/>
                <w:b/>
                <w:bCs/>
                <w:sz w:val="30"/>
                <w:szCs w:val="30"/>
                <w:rtl/>
              </w:rPr>
              <w:t>جماعة دول الأنديز</w:t>
            </w:r>
            <w:r w:rsidRPr="00924A6B">
              <w:rPr>
                <w:rFonts w:ascii="Arabic Typesetting" w:hAnsi="Arabic Typesetting"/>
                <w:sz w:val="30"/>
                <w:szCs w:val="30"/>
                <w:rtl/>
              </w:rPr>
              <w:t>:</w:t>
            </w:r>
            <w:r w:rsidR="00EB104F">
              <w:rPr>
                <w:rFonts w:ascii="Arabic Typesetting" w:hAnsi="Arabic Typesetting" w:hint="cs"/>
                <w:sz w:val="30"/>
                <w:szCs w:val="30"/>
                <w:rtl/>
              </w:rPr>
              <w:t xml:space="preserve"> </w:t>
            </w:r>
            <w:r w:rsidRPr="00924A6B">
              <w:rPr>
                <w:rFonts w:ascii="Arabic Typesetting" w:hAnsi="Arabic Typesetting"/>
                <w:sz w:val="30"/>
                <w:szCs w:val="30"/>
                <w:rtl/>
              </w:rPr>
              <w:t xml:space="preserve">المادة 26 من </w:t>
            </w:r>
            <w:r w:rsidRPr="00924A6B">
              <w:rPr>
                <w:rFonts w:ascii="Arabic Typesetting" w:hAnsi="Arabic Typesetting"/>
                <w:i/>
                <w:iCs/>
                <w:sz w:val="30"/>
                <w:szCs w:val="30"/>
                <w:rtl/>
              </w:rPr>
              <w:t>القرار رقم 486 الذي أنشأ النظام العام للملكية ال</w:t>
            </w:r>
            <w:r w:rsidRPr="00BB4459">
              <w:rPr>
                <w:rFonts w:ascii="Arabic Typesetting" w:hAnsi="Arabic Typesetting"/>
                <w:i/>
                <w:iCs/>
                <w:sz w:val="30"/>
                <w:szCs w:val="30"/>
                <w:rtl/>
              </w:rPr>
              <w:t>صناعية</w:t>
            </w:r>
            <w:r w:rsidR="00BB4459" w:rsidRPr="00BB4459">
              <w:rPr>
                <w:rFonts w:ascii="Arabic Typesetting" w:hAnsi="Arabic Typesetting" w:hint="cs"/>
                <w:i/>
                <w:iCs/>
                <w:sz w:val="30"/>
                <w:szCs w:val="30"/>
                <w:rtl/>
              </w:rPr>
              <w:t xml:space="preserve"> (2000)</w:t>
            </w:r>
            <w:r w:rsidRPr="00BB4459">
              <w:rPr>
                <w:rFonts w:ascii="Arabic Typesetting" w:hAnsi="Arabic Typesetting"/>
                <w:sz w:val="30"/>
                <w:szCs w:val="30"/>
                <w:rtl/>
              </w:rPr>
              <w:t xml:space="preserve"> </w:t>
            </w:r>
            <w:r w:rsidR="00EB104F" w:rsidRPr="00BB4459">
              <w:rPr>
                <w:rFonts w:ascii="Arabic Typesetting" w:hAnsi="Arabic Typesetting" w:hint="cs"/>
                <w:sz w:val="30"/>
                <w:szCs w:val="30"/>
                <w:rtl/>
              </w:rPr>
              <w:t xml:space="preserve">تنص </w:t>
            </w:r>
            <w:r w:rsidRPr="00BB4459">
              <w:rPr>
                <w:rFonts w:ascii="Arabic Typesetting" w:hAnsi="Arabic Typesetting"/>
                <w:sz w:val="30"/>
                <w:szCs w:val="30"/>
                <w:rtl/>
              </w:rPr>
              <w:t>على ما يلي:</w:t>
            </w:r>
          </w:p>
          <w:p w:rsidR="00570F78" w:rsidRPr="00924A6B" w:rsidRDefault="00570F78" w:rsidP="00EB104F">
            <w:pPr>
              <w:pStyle w:val="ListParagraph"/>
              <w:bidi/>
              <w:spacing w:after="120" w:line="300" w:lineRule="exact"/>
              <w:ind w:left="567"/>
              <w:contextualSpacing w:val="0"/>
              <w:rPr>
                <w:rFonts w:ascii="Arabic Typesetting" w:hAnsi="Arabic Typesetting"/>
                <w:sz w:val="30"/>
                <w:szCs w:val="30"/>
                <w:rtl/>
              </w:rPr>
            </w:pPr>
            <w:r w:rsidRPr="00BB4459">
              <w:rPr>
                <w:rFonts w:ascii="Arabic Typesetting" w:hAnsi="Arabic Typesetting"/>
                <w:sz w:val="30"/>
                <w:szCs w:val="30"/>
                <w:rtl/>
              </w:rPr>
              <w:t>"تودع طلبات البراءات لدى المكتب الوطني المختص وتتضمن ما يلي: [...] (ح) نسخة من عقد النفاذ إذا كانت المنتجات أو العمليات المدرجة في طلب البراءة قد تم الحصول عليها أو</w:t>
            </w:r>
            <w:r w:rsidRPr="00924A6B">
              <w:rPr>
                <w:rFonts w:ascii="Arabic Typesetting" w:hAnsi="Arabic Typesetting"/>
                <w:sz w:val="30"/>
                <w:szCs w:val="30"/>
                <w:rtl/>
              </w:rPr>
              <w:t xml:space="preserve"> </w:t>
            </w:r>
            <w:r w:rsidR="00EB104F">
              <w:rPr>
                <w:rFonts w:ascii="Arabic Typesetting" w:hAnsi="Arabic Typesetting" w:hint="cs"/>
                <w:sz w:val="30"/>
                <w:szCs w:val="30"/>
                <w:rtl/>
              </w:rPr>
              <w:t>تطويرها</w:t>
            </w:r>
            <w:r w:rsidRPr="00924A6B">
              <w:rPr>
                <w:rFonts w:ascii="Arabic Typesetting" w:hAnsi="Arabic Typesetting"/>
                <w:sz w:val="30"/>
                <w:szCs w:val="30"/>
                <w:rtl/>
              </w:rPr>
              <w:t xml:space="preserve"> </w:t>
            </w:r>
            <w:r w:rsidR="00EB104F">
              <w:rPr>
                <w:rFonts w:ascii="Arabic Typesetting" w:hAnsi="Arabic Typesetting" w:hint="cs"/>
                <w:sz w:val="30"/>
                <w:szCs w:val="30"/>
                <w:rtl/>
              </w:rPr>
              <w:t>على أساس</w:t>
            </w:r>
            <w:r w:rsidRPr="00924A6B">
              <w:rPr>
                <w:rFonts w:ascii="Arabic Typesetting" w:hAnsi="Arabic Typesetting"/>
                <w:sz w:val="30"/>
                <w:szCs w:val="30"/>
                <w:rtl/>
              </w:rPr>
              <w:t xml:space="preserve"> موارد وراثية أو مشتقات ناشئة في أحد البلدان الأعضاء؛ "1" وعند الاقتضاء، نسخة من المستند الذي يثبت الحصول على ترخيص أو إذن باستخدام المعارف التقليدية من المجتمعات الأصلية أو الأفريقية الأمريكية أو المحلية في البلدان الأعضاء حيث تم الحصول على المنتجات أو العمليات </w:t>
            </w:r>
            <w:r w:rsidR="00EB104F">
              <w:rPr>
                <w:rFonts w:ascii="Arabic Typesetting" w:hAnsi="Arabic Typesetting" w:hint="cs"/>
                <w:sz w:val="30"/>
                <w:szCs w:val="30"/>
                <w:rtl/>
              </w:rPr>
              <w:t>المطالب بحمايتها</w:t>
            </w:r>
            <w:r w:rsidRPr="00924A6B">
              <w:rPr>
                <w:rFonts w:ascii="Arabic Typesetting" w:hAnsi="Arabic Typesetting"/>
                <w:sz w:val="30"/>
                <w:szCs w:val="30"/>
                <w:rtl/>
              </w:rPr>
              <w:t xml:space="preserve"> أو </w:t>
            </w:r>
            <w:r w:rsidR="00EB104F">
              <w:rPr>
                <w:rFonts w:ascii="Arabic Typesetting" w:hAnsi="Arabic Typesetting" w:hint="cs"/>
                <w:sz w:val="30"/>
                <w:szCs w:val="30"/>
                <w:rtl/>
              </w:rPr>
              <w:t>تم تطويرها</w:t>
            </w:r>
            <w:r w:rsidRPr="00924A6B">
              <w:rPr>
                <w:rFonts w:ascii="Arabic Typesetting" w:hAnsi="Arabic Typesetting"/>
                <w:sz w:val="30"/>
                <w:szCs w:val="30"/>
                <w:rtl/>
              </w:rPr>
              <w:t xml:space="preserve"> على أساس </w:t>
            </w:r>
            <w:r w:rsidR="00EB104F">
              <w:rPr>
                <w:rFonts w:ascii="Arabic Typesetting" w:hAnsi="Arabic Typesetting" w:hint="cs"/>
                <w:sz w:val="30"/>
                <w:szCs w:val="30"/>
                <w:rtl/>
              </w:rPr>
              <w:t>معارف</w:t>
            </w:r>
            <w:r w:rsidRPr="00924A6B">
              <w:rPr>
                <w:rFonts w:ascii="Arabic Typesetting" w:hAnsi="Arabic Typesetting"/>
                <w:sz w:val="30"/>
                <w:szCs w:val="30"/>
                <w:rtl/>
              </w:rPr>
              <w:t xml:space="preserve"> ناشئة في أحد البلدان الأعضاء، وفقاً لأحكام القرار 391 وتعديلاته ولوائحه السارية [...]."</w:t>
            </w:r>
          </w:p>
        </w:tc>
      </w:tr>
    </w:tbl>
    <w:p w:rsidR="00570F78" w:rsidRPr="00924A6B" w:rsidRDefault="00EB104F" w:rsidP="00EB104F">
      <w:pPr>
        <w:pStyle w:val="NormalParaAR"/>
        <w:spacing w:before="240"/>
        <w:ind w:left="567"/>
        <w:rPr>
          <w:rtl/>
        </w:rPr>
      </w:pPr>
      <w:r>
        <w:rPr>
          <w:rFonts w:hint="cs"/>
          <w:rtl/>
        </w:rPr>
        <w:t>وتوجد مسوغات أخرى تستخدم</w:t>
      </w:r>
      <w:r w:rsidR="00570F78" w:rsidRPr="00924A6B">
        <w:rPr>
          <w:rtl/>
        </w:rPr>
        <w:t xml:space="preserve"> مصطلحات</w:t>
      </w:r>
      <w:r>
        <w:rPr>
          <w:rFonts w:hint="cs"/>
          <w:rtl/>
        </w:rPr>
        <w:t xml:space="preserve"> وعبارات</w:t>
      </w:r>
      <w:r w:rsidR="00570F78" w:rsidRPr="00924A6B">
        <w:rPr>
          <w:rtl/>
        </w:rPr>
        <w:t xml:space="preserve"> مثل "</w:t>
      </w:r>
      <w:r>
        <w:rPr>
          <w:rFonts w:hint="cs"/>
          <w:rtl/>
        </w:rPr>
        <w:t>تم إنتاجه أو استحداثه</w:t>
      </w:r>
      <w:r w:rsidR="00570F78" w:rsidRPr="00924A6B">
        <w:rPr>
          <w:rtl/>
        </w:rPr>
        <w:t xml:space="preserve"> على أساس" و"مستند إلى" و"معتمد على" و"يخص".</w:t>
      </w:r>
    </w:p>
    <w:p w:rsidR="00570F78" w:rsidRPr="00924A6B" w:rsidRDefault="00570F78" w:rsidP="00C02A1C">
      <w:pPr>
        <w:pStyle w:val="Heading2"/>
        <w:ind w:left="1701" w:hanging="567"/>
        <w:rPr>
          <w:rtl/>
        </w:rPr>
      </w:pPr>
      <w:r w:rsidRPr="00924A6B">
        <w:rPr>
          <w:rtl/>
        </w:rPr>
        <w:t>مضمون الكشف</w:t>
      </w:r>
    </w:p>
    <w:p w:rsidR="00A359B1" w:rsidRPr="00924A6B" w:rsidRDefault="00570F78" w:rsidP="00C02A1C">
      <w:pPr>
        <w:pStyle w:val="NormalParaAR"/>
        <w:spacing w:before="240"/>
        <w:ind w:left="567"/>
        <w:rPr>
          <w:rtl/>
        </w:rPr>
      </w:pPr>
      <w:r w:rsidRPr="00924A6B">
        <w:rPr>
          <w:rtl/>
        </w:rPr>
        <w:t>اقتُرحت ثلاث فئات من المعلومات فيما يتعلق بمضمون الكشف يلي بيانها:</w:t>
      </w:r>
    </w:p>
    <w:p w:rsidR="00570F78" w:rsidRPr="00924A6B" w:rsidRDefault="00570F78" w:rsidP="00C02A1C">
      <w:pPr>
        <w:pStyle w:val="NormalParaAR"/>
        <w:spacing w:before="240"/>
        <w:ind w:left="1134"/>
        <w:rPr>
          <w:rtl/>
        </w:rPr>
      </w:pPr>
      <w:r w:rsidRPr="00924A6B">
        <w:rPr>
          <w:rtl/>
        </w:rPr>
        <w:t>(1) بلد المنشأ؛</w:t>
      </w:r>
    </w:p>
    <w:tbl>
      <w:tblPr>
        <w:tblStyle w:val="TableGrid"/>
        <w:bidiVisual/>
        <w:tblW w:w="0" w:type="auto"/>
        <w:tblInd w:w="1248" w:type="dxa"/>
        <w:tblLook w:val="04A0" w:firstRow="1" w:lastRow="0" w:firstColumn="1" w:lastColumn="0" w:noHBand="0" w:noVBand="1"/>
      </w:tblPr>
      <w:tblGrid>
        <w:gridCol w:w="7380"/>
      </w:tblGrid>
      <w:tr w:rsidR="00570F78" w:rsidRPr="00924A6B" w:rsidTr="00C02A1C">
        <w:tc>
          <w:tcPr>
            <w:tcW w:w="7380" w:type="dxa"/>
            <w:shd w:val="clear" w:color="auto" w:fill="DDD9C3" w:themeFill="background2" w:themeFillShade="E6"/>
          </w:tcPr>
          <w:p w:rsidR="00A359B1" w:rsidRPr="00924A6B" w:rsidRDefault="00570F78" w:rsidP="00EB104F">
            <w:pPr>
              <w:bidi/>
              <w:spacing w:after="120" w:line="300" w:lineRule="exact"/>
              <w:rPr>
                <w:rFonts w:ascii="Arabic Typesetting" w:hAnsi="Arabic Typesetting" w:cs="Arabic Typesetting"/>
                <w:sz w:val="30"/>
                <w:szCs w:val="30"/>
                <w:rtl/>
              </w:rPr>
            </w:pPr>
            <w:r w:rsidRPr="00924A6B">
              <w:rPr>
                <w:rFonts w:ascii="Arabic Typesetting" w:hAnsi="Arabic Typesetting" w:cs="Arabic Typesetting"/>
                <w:sz w:val="30"/>
                <w:szCs w:val="30"/>
                <w:rtl/>
              </w:rPr>
              <w:t xml:space="preserve">مثال </w:t>
            </w:r>
            <w:r w:rsidRPr="00924A6B">
              <w:rPr>
                <w:rFonts w:ascii="Arabic Typesetting" w:hAnsi="Arabic Typesetting" w:cs="Arabic Typesetting"/>
                <w:b/>
                <w:bCs/>
                <w:sz w:val="30"/>
                <w:szCs w:val="30"/>
                <w:rtl/>
              </w:rPr>
              <w:t>النرويج</w:t>
            </w:r>
            <w:r w:rsidRPr="00924A6B">
              <w:rPr>
                <w:rFonts w:ascii="Arabic Typesetting" w:hAnsi="Arabic Typesetting" w:cs="Arabic Typesetting"/>
                <w:sz w:val="30"/>
                <w:szCs w:val="30"/>
                <w:rtl/>
              </w:rPr>
              <w:t>:</w:t>
            </w:r>
            <w:r w:rsidRPr="00924A6B">
              <w:rPr>
                <w:rFonts w:ascii="Arabic Typesetting" w:hAnsi="Arabic Typesetting" w:cs="Arabic Typesetting"/>
                <w:sz w:val="30"/>
                <w:szCs w:val="30"/>
                <w:rtl/>
                <w:lang w:bidi="ar-EG"/>
              </w:rPr>
              <w:t xml:space="preserve"> </w:t>
            </w:r>
            <w:r w:rsidR="00EB104F">
              <w:rPr>
                <w:rFonts w:ascii="Arabic Typesetting" w:hAnsi="Arabic Typesetting" w:cs="Arabic Typesetting" w:hint="cs"/>
                <w:sz w:val="30"/>
                <w:szCs w:val="30"/>
                <w:rtl/>
              </w:rPr>
              <w:t>الفصل</w:t>
            </w:r>
            <w:r w:rsidRPr="00924A6B">
              <w:rPr>
                <w:rFonts w:ascii="Arabic Typesetting" w:hAnsi="Arabic Typesetting" w:cs="Arabic Typesetting"/>
                <w:sz w:val="30"/>
                <w:szCs w:val="30"/>
                <w:rtl/>
              </w:rPr>
              <w:t xml:space="preserve"> 8(ب) من </w:t>
            </w:r>
            <w:r w:rsidRPr="00924A6B">
              <w:rPr>
                <w:rFonts w:ascii="Arabic Typesetting" w:hAnsi="Arabic Typesetting" w:cs="Arabic Typesetting"/>
                <w:i/>
                <w:iCs/>
                <w:sz w:val="30"/>
                <w:szCs w:val="30"/>
                <w:rtl/>
              </w:rPr>
              <w:t>قانون البراءات رقم 9 المؤرخ في 15 ديسمبر 1967 (النسخة الموحدة لعام 2016)</w:t>
            </w:r>
            <w:r w:rsidRPr="00924A6B">
              <w:rPr>
                <w:rFonts w:ascii="Arabic Typesetting" w:hAnsi="Arabic Typesetting" w:cs="Arabic Typesetting"/>
                <w:sz w:val="30"/>
                <w:szCs w:val="30"/>
                <w:rtl/>
              </w:rPr>
              <w:t xml:space="preserve"> </w:t>
            </w:r>
            <w:r w:rsidR="00EB104F">
              <w:rPr>
                <w:rFonts w:ascii="Arabic Typesetting" w:hAnsi="Arabic Typesetting" w:cs="Arabic Typesetting" w:hint="cs"/>
                <w:sz w:val="30"/>
                <w:szCs w:val="30"/>
                <w:rtl/>
              </w:rPr>
              <w:t xml:space="preserve">ينص </w:t>
            </w:r>
            <w:r w:rsidRPr="00924A6B">
              <w:rPr>
                <w:rFonts w:ascii="Arabic Typesetting" w:hAnsi="Arabic Typesetting" w:cs="Arabic Typesetting"/>
                <w:sz w:val="30"/>
                <w:szCs w:val="30"/>
                <w:rtl/>
              </w:rPr>
              <w:t>على قاعدة مفصلة للغاية:</w:t>
            </w:r>
          </w:p>
          <w:p w:rsidR="00EB104F" w:rsidRPr="00924A6B" w:rsidRDefault="00570F78" w:rsidP="00EB104F">
            <w:pPr>
              <w:bidi/>
              <w:spacing w:after="120" w:line="300" w:lineRule="exact"/>
              <w:ind w:left="720"/>
              <w:rPr>
                <w:rFonts w:ascii="Arabic Typesetting" w:hAnsi="Arabic Typesetting" w:cs="Arabic Typesetting"/>
                <w:sz w:val="30"/>
                <w:szCs w:val="30"/>
                <w:rtl/>
              </w:rPr>
            </w:pPr>
            <w:r w:rsidRPr="00924A6B">
              <w:rPr>
                <w:rFonts w:ascii="Arabic Typesetting" w:hAnsi="Arabic Typesetting" w:cs="Arabic Typesetting"/>
                <w:sz w:val="30"/>
                <w:szCs w:val="30"/>
                <w:rtl/>
              </w:rPr>
              <w:t xml:space="preserve">"إذا كان اختراع يخص أو يستخدم </w:t>
            </w:r>
            <w:r w:rsidR="00EB104F">
              <w:rPr>
                <w:rFonts w:ascii="Arabic Typesetting" w:hAnsi="Arabic Typesetting" w:cs="Arabic Typesetting" w:hint="cs"/>
                <w:sz w:val="30"/>
                <w:szCs w:val="30"/>
                <w:rtl/>
              </w:rPr>
              <w:t>مادة</w:t>
            </w:r>
            <w:r w:rsidRPr="00924A6B">
              <w:rPr>
                <w:rFonts w:ascii="Arabic Typesetting" w:hAnsi="Arabic Typesetting" w:cs="Arabic Typesetting"/>
                <w:sz w:val="30"/>
                <w:szCs w:val="30"/>
                <w:rtl/>
              </w:rPr>
              <w:t xml:space="preserve"> بيولوجية، </w:t>
            </w:r>
            <w:r w:rsidR="00EB104F" w:rsidRPr="00EB104F">
              <w:rPr>
                <w:rFonts w:ascii="Arabic Typesetting" w:hAnsi="Arabic Typesetting" w:cs="Arabic Typesetting"/>
                <w:sz w:val="30"/>
                <w:szCs w:val="30"/>
                <w:rtl/>
              </w:rPr>
              <w:t xml:space="preserve">يجب أن يتضمن </w:t>
            </w:r>
            <w:r w:rsidRPr="00924A6B">
              <w:rPr>
                <w:rFonts w:ascii="Arabic Typesetting" w:hAnsi="Arabic Typesetting" w:cs="Arabic Typesetting"/>
                <w:sz w:val="30"/>
                <w:szCs w:val="30"/>
                <w:rtl/>
              </w:rPr>
              <w:t xml:space="preserve">طلب البراءة معلومات عن البلد الذي جمع أو تلقى منه المخترع </w:t>
            </w:r>
            <w:r w:rsidR="00EB104F">
              <w:rPr>
                <w:rFonts w:ascii="Arabic Typesetting" w:hAnsi="Arabic Typesetting" w:cs="Arabic Typesetting" w:hint="cs"/>
                <w:sz w:val="30"/>
                <w:szCs w:val="30"/>
                <w:rtl/>
              </w:rPr>
              <w:t>المادة</w:t>
            </w:r>
            <w:r w:rsidRPr="00924A6B">
              <w:rPr>
                <w:rFonts w:ascii="Arabic Typesetting" w:hAnsi="Arabic Typesetting" w:cs="Arabic Typesetting"/>
                <w:sz w:val="30"/>
                <w:szCs w:val="30"/>
                <w:rtl/>
              </w:rPr>
              <w:t xml:space="preserve"> (البلد المزود).</w:t>
            </w:r>
            <w:r w:rsidRPr="00924A6B">
              <w:rPr>
                <w:rFonts w:ascii="Arabic Typesetting" w:hAnsi="Arabic Typesetting" w:cs="Arabic Typesetting"/>
                <w:sz w:val="30"/>
                <w:szCs w:val="30"/>
                <w:rtl/>
                <w:lang w:bidi="ar-EG"/>
              </w:rPr>
              <w:t xml:space="preserve"> </w:t>
            </w:r>
            <w:r w:rsidRPr="00924A6B">
              <w:rPr>
                <w:rFonts w:ascii="Arabic Typesetting" w:hAnsi="Arabic Typesetting" w:cs="Arabic Typesetting"/>
                <w:sz w:val="30"/>
                <w:szCs w:val="30"/>
                <w:rtl/>
              </w:rPr>
              <w:t xml:space="preserve">وإذا كان القانون الوطني للبلد المزود يقتضي الحصول على موافقة مسبقة للنفاذ إلى </w:t>
            </w:r>
            <w:r w:rsidR="00EB104F">
              <w:rPr>
                <w:rFonts w:ascii="Arabic Typesetting" w:hAnsi="Arabic Typesetting" w:cs="Arabic Typesetting" w:hint="cs"/>
                <w:sz w:val="30"/>
                <w:szCs w:val="30"/>
                <w:rtl/>
              </w:rPr>
              <w:t>المادة</w:t>
            </w:r>
            <w:r w:rsidRPr="00924A6B">
              <w:rPr>
                <w:rFonts w:ascii="Arabic Typesetting" w:hAnsi="Arabic Typesetting" w:cs="Arabic Typesetting"/>
                <w:sz w:val="30"/>
                <w:szCs w:val="30"/>
                <w:rtl/>
              </w:rPr>
              <w:t xml:space="preserve"> البيولوجية، يبيِّن الطلب الحصول على تلك الموافقة.</w:t>
            </w:r>
            <w:r w:rsidRPr="00924A6B">
              <w:rPr>
                <w:rFonts w:ascii="Arabic Typesetting" w:hAnsi="Arabic Typesetting" w:cs="Arabic Typesetting"/>
                <w:sz w:val="30"/>
                <w:szCs w:val="30"/>
                <w:rtl/>
                <w:lang w:bidi="ar-EG"/>
              </w:rPr>
              <w:t xml:space="preserve"> </w:t>
            </w:r>
            <w:r w:rsidRPr="00924A6B">
              <w:rPr>
                <w:rFonts w:ascii="Arabic Typesetting" w:hAnsi="Arabic Typesetting" w:cs="Arabic Typesetting"/>
                <w:sz w:val="30"/>
                <w:szCs w:val="30"/>
                <w:rtl/>
              </w:rPr>
              <w:t>وإذا كان البلد المزود غير بلد منشأ المادة البيولوجية، يبيِّن الطلب بلد المنشأ.</w:t>
            </w:r>
            <w:r w:rsidRPr="00924A6B">
              <w:rPr>
                <w:rFonts w:ascii="Arabic Typesetting" w:hAnsi="Arabic Typesetting" w:cs="Arabic Typesetting"/>
                <w:sz w:val="30"/>
                <w:szCs w:val="30"/>
                <w:rtl/>
                <w:lang w:bidi="ar-EG"/>
              </w:rPr>
              <w:t xml:space="preserve"> </w:t>
            </w:r>
            <w:r w:rsidRPr="00924A6B">
              <w:rPr>
                <w:rFonts w:ascii="Arabic Typesetting" w:hAnsi="Arabic Typesetting" w:cs="Arabic Typesetting"/>
                <w:sz w:val="30"/>
                <w:szCs w:val="30"/>
                <w:rtl/>
              </w:rPr>
              <w:t>وبلد المنشأ يعني البلد الذي جُمعت المادة من بيئته الطبيعية.</w:t>
            </w:r>
            <w:r w:rsidRPr="00924A6B">
              <w:rPr>
                <w:rFonts w:ascii="Arabic Typesetting" w:hAnsi="Arabic Typesetting" w:cs="Arabic Typesetting"/>
                <w:sz w:val="30"/>
                <w:szCs w:val="30"/>
                <w:rtl/>
                <w:lang w:bidi="ar-EG"/>
              </w:rPr>
              <w:t xml:space="preserve"> </w:t>
            </w:r>
            <w:r w:rsidRPr="00924A6B">
              <w:rPr>
                <w:rFonts w:ascii="Arabic Typesetting" w:hAnsi="Arabic Typesetting" w:cs="Arabic Typesetting"/>
                <w:sz w:val="30"/>
                <w:szCs w:val="30"/>
                <w:rtl/>
              </w:rPr>
              <w:t xml:space="preserve">وإذا كان القانون الوطني لبلد المنشأ يقتضي الحصول على موافقة مسبقة للنفاذ إلى </w:t>
            </w:r>
            <w:r w:rsidR="00EB104F">
              <w:rPr>
                <w:rFonts w:ascii="Arabic Typesetting" w:hAnsi="Arabic Typesetting" w:cs="Arabic Typesetting" w:hint="cs"/>
                <w:sz w:val="30"/>
                <w:szCs w:val="30"/>
                <w:rtl/>
              </w:rPr>
              <w:t>المادة</w:t>
            </w:r>
            <w:r w:rsidRPr="00924A6B">
              <w:rPr>
                <w:rFonts w:ascii="Arabic Typesetting" w:hAnsi="Arabic Typesetting" w:cs="Arabic Typesetting"/>
                <w:sz w:val="30"/>
                <w:szCs w:val="30"/>
                <w:rtl/>
              </w:rPr>
              <w:t xml:space="preserve"> البيولوجية، يبيِّن الطلب الحصول على تلك الموافقة.</w:t>
            </w:r>
            <w:r w:rsidRPr="00924A6B">
              <w:rPr>
                <w:rFonts w:ascii="Arabic Typesetting" w:hAnsi="Arabic Typesetting" w:cs="Arabic Typesetting"/>
                <w:sz w:val="30"/>
                <w:szCs w:val="30"/>
                <w:rtl/>
                <w:lang w:bidi="ar-EG"/>
              </w:rPr>
              <w:t xml:space="preserve"> </w:t>
            </w:r>
            <w:r w:rsidRPr="00924A6B">
              <w:rPr>
                <w:rFonts w:ascii="Arabic Typesetting" w:hAnsi="Arabic Typesetting" w:cs="Arabic Typesetting"/>
                <w:sz w:val="30"/>
                <w:szCs w:val="30"/>
                <w:rtl/>
              </w:rPr>
              <w:t>وإذا كانت المعلومات المطلوبة في هذا البند غير معروفة، يذكر المودع أنها كذلك."</w:t>
            </w:r>
          </w:p>
        </w:tc>
      </w:tr>
    </w:tbl>
    <w:p w:rsidR="00570F78" w:rsidRPr="00924A6B" w:rsidRDefault="00570F78" w:rsidP="00C02A1C">
      <w:pPr>
        <w:pStyle w:val="NormalParaAR"/>
        <w:spacing w:before="240"/>
        <w:ind w:left="1134"/>
        <w:rPr>
          <w:rtl/>
        </w:rPr>
      </w:pPr>
      <w:r w:rsidRPr="00924A6B">
        <w:rPr>
          <w:rtl/>
        </w:rPr>
        <w:t>(2) مصدر الموارد الوراثية و/أو المعارف التقليدية؛</w:t>
      </w:r>
    </w:p>
    <w:tbl>
      <w:tblPr>
        <w:tblStyle w:val="TableGrid"/>
        <w:bidiVisual/>
        <w:tblW w:w="0" w:type="auto"/>
        <w:tblInd w:w="1248" w:type="dxa"/>
        <w:tblLook w:val="04A0" w:firstRow="1" w:lastRow="0" w:firstColumn="1" w:lastColumn="0" w:noHBand="0" w:noVBand="1"/>
      </w:tblPr>
      <w:tblGrid>
        <w:gridCol w:w="7380"/>
      </w:tblGrid>
      <w:tr w:rsidR="00570F78" w:rsidRPr="00924A6B" w:rsidTr="00C02A1C">
        <w:tc>
          <w:tcPr>
            <w:tcW w:w="7380" w:type="dxa"/>
            <w:shd w:val="clear" w:color="auto" w:fill="DDD9C3" w:themeFill="background2" w:themeFillShade="E6"/>
          </w:tcPr>
          <w:p w:rsidR="00570F78" w:rsidRPr="00924A6B" w:rsidRDefault="00570F78" w:rsidP="00EB104F">
            <w:pPr>
              <w:bidi/>
              <w:spacing w:after="120" w:line="300" w:lineRule="exact"/>
              <w:rPr>
                <w:rFonts w:ascii="Arabic Typesetting" w:hAnsi="Arabic Typesetting" w:cs="Arabic Typesetting"/>
                <w:sz w:val="30"/>
                <w:szCs w:val="30"/>
                <w:rtl/>
              </w:rPr>
            </w:pPr>
            <w:r w:rsidRPr="00924A6B">
              <w:rPr>
                <w:rFonts w:ascii="Arabic Typesetting" w:hAnsi="Arabic Typesetting" w:cs="Arabic Typesetting"/>
                <w:sz w:val="30"/>
                <w:szCs w:val="30"/>
                <w:rtl/>
              </w:rPr>
              <w:t xml:space="preserve">مثال </w:t>
            </w:r>
            <w:r w:rsidRPr="00924A6B">
              <w:rPr>
                <w:rFonts w:ascii="Arabic Typesetting" w:hAnsi="Arabic Typesetting" w:cs="Arabic Typesetting"/>
                <w:b/>
                <w:bCs/>
                <w:sz w:val="30"/>
                <w:szCs w:val="30"/>
                <w:rtl/>
              </w:rPr>
              <w:t>جمهورية الصين الشعبية</w:t>
            </w:r>
            <w:r w:rsidRPr="00924A6B">
              <w:rPr>
                <w:rFonts w:ascii="Arabic Typesetting" w:hAnsi="Arabic Typesetting" w:cs="Arabic Typesetting"/>
                <w:sz w:val="30"/>
                <w:szCs w:val="30"/>
                <w:rtl/>
              </w:rPr>
              <w:t>:</w:t>
            </w:r>
            <w:r w:rsidRPr="00924A6B">
              <w:rPr>
                <w:rFonts w:ascii="Arabic Typesetting" w:hAnsi="Arabic Typesetting" w:cs="Arabic Typesetting"/>
                <w:sz w:val="30"/>
                <w:szCs w:val="30"/>
                <w:rtl/>
                <w:lang w:bidi="ar-EG"/>
              </w:rPr>
              <w:t xml:space="preserve"> </w:t>
            </w:r>
            <w:r w:rsidRPr="00924A6B">
              <w:rPr>
                <w:rFonts w:ascii="Arabic Typesetting" w:hAnsi="Arabic Typesetting" w:cs="Arabic Typesetting"/>
                <w:i/>
                <w:iCs/>
                <w:sz w:val="30"/>
                <w:szCs w:val="30"/>
                <w:rtl/>
              </w:rPr>
              <w:t>المادة 26(5) من قانون البراءات المعدَّل المؤرخ في 27 ديسمبر 2008</w:t>
            </w:r>
            <w:r w:rsidRPr="00924A6B">
              <w:rPr>
                <w:rFonts w:ascii="Arabic Typesetting" w:hAnsi="Arabic Typesetting" w:cs="Arabic Typesetting"/>
                <w:sz w:val="30"/>
                <w:szCs w:val="30"/>
                <w:rtl/>
              </w:rPr>
              <w:t xml:space="preserve"> والذي دخل حيز النفاذ في أكتوبر 2009 </w:t>
            </w:r>
            <w:r w:rsidR="00EB104F">
              <w:rPr>
                <w:rFonts w:ascii="Arabic Typesetting" w:hAnsi="Arabic Typesetting" w:cs="Arabic Typesetting" w:hint="cs"/>
                <w:sz w:val="30"/>
                <w:szCs w:val="30"/>
                <w:rtl/>
              </w:rPr>
              <w:t xml:space="preserve">تنص </w:t>
            </w:r>
            <w:r w:rsidR="00EB104F">
              <w:rPr>
                <w:rFonts w:ascii="Arabic Typesetting" w:hAnsi="Arabic Typesetting" w:cs="Arabic Typesetting"/>
                <w:sz w:val="30"/>
                <w:szCs w:val="30"/>
                <w:rtl/>
              </w:rPr>
              <w:t>على ما يلي:</w:t>
            </w:r>
          </w:p>
          <w:p w:rsidR="00570F78" w:rsidRPr="00924A6B" w:rsidRDefault="00EB104F" w:rsidP="00EB104F">
            <w:pPr>
              <w:bidi/>
              <w:spacing w:after="120" w:line="300" w:lineRule="exact"/>
              <w:ind w:left="720"/>
              <w:rPr>
                <w:rFonts w:ascii="Arabic Typesetting" w:hAnsi="Arabic Typesetting" w:cs="Arabic Typesetting"/>
                <w:sz w:val="30"/>
                <w:szCs w:val="30"/>
                <w:rtl/>
              </w:rPr>
            </w:pPr>
            <w:r>
              <w:rPr>
                <w:rFonts w:ascii="Arabic Typesetting" w:hAnsi="Arabic Typesetting" w:cs="Arabic Typesetting" w:hint="cs"/>
                <w:sz w:val="30"/>
                <w:szCs w:val="30"/>
                <w:rtl/>
              </w:rPr>
              <w:t>"</w:t>
            </w:r>
            <w:r w:rsidR="00570F78" w:rsidRPr="00924A6B">
              <w:rPr>
                <w:rFonts w:ascii="Arabic Typesetting" w:hAnsi="Arabic Typesetting" w:cs="Arabic Typesetting"/>
                <w:sz w:val="30"/>
                <w:szCs w:val="30"/>
                <w:rtl/>
              </w:rPr>
              <w:t xml:space="preserve">[...] </w:t>
            </w:r>
            <w:r w:rsidRPr="00EB104F">
              <w:rPr>
                <w:rFonts w:ascii="Arabic Typesetting" w:hAnsi="Arabic Typesetting" w:cs="Arabic Typesetting"/>
                <w:sz w:val="30"/>
                <w:szCs w:val="30"/>
                <w:rtl/>
              </w:rPr>
              <w:t>فيما يخص الاختراع</w:t>
            </w:r>
            <w:r>
              <w:rPr>
                <w:rFonts w:ascii="Arabic Typesetting" w:hAnsi="Arabic Typesetting" w:cs="Arabic Typesetting" w:hint="cs"/>
                <w:sz w:val="30"/>
                <w:szCs w:val="30"/>
                <w:rtl/>
              </w:rPr>
              <w:t>ات</w:t>
            </w:r>
            <w:r w:rsidRPr="00EB104F">
              <w:rPr>
                <w:rFonts w:ascii="Arabic Typesetting" w:hAnsi="Arabic Typesetting" w:cs="Arabic Typesetting"/>
                <w:sz w:val="30"/>
                <w:szCs w:val="30"/>
                <w:rtl/>
              </w:rPr>
              <w:t>/الإبداع</w:t>
            </w:r>
            <w:r>
              <w:rPr>
                <w:rFonts w:ascii="Arabic Typesetting" w:hAnsi="Arabic Typesetting" w:cs="Arabic Typesetting" w:hint="cs"/>
                <w:sz w:val="30"/>
                <w:szCs w:val="30"/>
                <w:rtl/>
              </w:rPr>
              <w:t>ات</w:t>
            </w:r>
            <w:r w:rsidRPr="00EB104F">
              <w:rPr>
                <w:rFonts w:ascii="Arabic Typesetting" w:hAnsi="Arabic Typesetting" w:cs="Arabic Typesetting"/>
                <w:sz w:val="30"/>
                <w:szCs w:val="30"/>
                <w:rtl/>
              </w:rPr>
              <w:t xml:space="preserve"> </w:t>
            </w:r>
            <w:r>
              <w:rPr>
                <w:rFonts w:ascii="Arabic Typesetting" w:hAnsi="Arabic Typesetting" w:cs="Arabic Typesetting" w:hint="cs"/>
                <w:sz w:val="30"/>
                <w:szCs w:val="30"/>
                <w:rtl/>
              </w:rPr>
              <w:t xml:space="preserve">التي يعتمد إنجازها على </w:t>
            </w:r>
            <w:r w:rsidRPr="00EB104F">
              <w:rPr>
                <w:rFonts w:ascii="Arabic Typesetting" w:hAnsi="Arabic Typesetting" w:cs="Arabic Typesetting"/>
                <w:sz w:val="30"/>
                <w:szCs w:val="30"/>
                <w:rtl/>
              </w:rPr>
              <w:t>موارد وراثية،</w:t>
            </w:r>
            <w:r>
              <w:rPr>
                <w:rFonts w:ascii="Arabic Typesetting" w:hAnsi="Arabic Typesetting" w:cs="Arabic Typesetting" w:hint="cs"/>
                <w:sz w:val="30"/>
                <w:szCs w:val="30"/>
                <w:rtl/>
              </w:rPr>
              <w:t xml:space="preserve"> ي</w:t>
            </w:r>
            <w:r w:rsidR="00570F78" w:rsidRPr="00924A6B">
              <w:rPr>
                <w:rFonts w:ascii="Arabic Typesetting" w:hAnsi="Arabic Typesetting" w:cs="Arabic Typesetting"/>
                <w:sz w:val="30"/>
                <w:szCs w:val="30"/>
                <w:rtl/>
              </w:rPr>
              <w:t>بيِّن المودع المصدر المباشر والمصدر الأصلي لتلك الموارد الوراثية في وثائق الطلب؛ ويبيِّن المودع أسباب عدم التمكن من بيان المصدر الأصلي لتلك الموارد الوراثية."</w:t>
            </w:r>
          </w:p>
        </w:tc>
      </w:tr>
    </w:tbl>
    <w:p w:rsidR="00570F78" w:rsidRPr="00924A6B" w:rsidRDefault="00570F78" w:rsidP="006467B0">
      <w:pPr>
        <w:pStyle w:val="NormalParaAR"/>
        <w:keepNext/>
        <w:spacing w:before="240"/>
        <w:ind w:left="1134"/>
        <w:rPr>
          <w:rtl/>
        </w:rPr>
      </w:pPr>
      <w:r w:rsidRPr="00924A6B">
        <w:rPr>
          <w:rtl/>
        </w:rPr>
        <w:lastRenderedPageBreak/>
        <w:t>(3) معلومات عن الامتثال لشروط النفاذ وتقاسم المنافع بما في ذلك الموافقة المسبقة المستنيرة.</w:t>
      </w:r>
    </w:p>
    <w:tbl>
      <w:tblPr>
        <w:tblStyle w:val="TableGrid"/>
        <w:bidiVisual/>
        <w:tblW w:w="0" w:type="auto"/>
        <w:tblInd w:w="1248" w:type="dxa"/>
        <w:tblLook w:val="04A0" w:firstRow="1" w:lastRow="0" w:firstColumn="1" w:lastColumn="0" w:noHBand="0" w:noVBand="1"/>
      </w:tblPr>
      <w:tblGrid>
        <w:gridCol w:w="7380"/>
      </w:tblGrid>
      <w:tr w:rsidR="00570F78" w:rsidRPr="00924A6B" w:rsidTr="00C02A1C">
        <w:tc>
          <w:tcPr>
            <w:tcW w:w="7380" w:type="dxa"/>
            <w:shd w:val="clear" w:color="auto" w:fill="DDD9C3" w:themeFill="background2" w:themeFillShade="E6"/>
          </w:tcPr>
          <w:p w:rsidR="00A359B1" w:rsidRPr="00BB4459" w:rsidRDefault="00570F78" w:rsidP="00BB4459">
            <w:pPr>
              <w:bidi/>
              <w:spacing w:after="120" w:line="300" w:lineRule="exact"/>
              <w:rPr>
                <w:rFonts w:ascii="Arabic Typesetting" w:hAnsi="Arabic Typesetting" w:cs="Arabic Typesetting"/>
                <w:sz w:val="30"/>
                <w:szCs w:val="30"/>
                <w:rtl/>
              </w:rPr>
            </w:pPr>
            <w:r w:rsidRPr="00924A6B">
              <w:rPr>
                <w:rFonts w:ascii="Arabic Typesetting" w:hAnsi="Arabic Typesetting" w:cs="Arabic Typesetting"/>
                <w:sz w:val="30"/>
                <w:szCs w:val="30"/>
                <w:rtl/>
              </w:rPr>
              <w:t xml:space="preserve">مثال </w:t>
            </w:r>
            <w:r w:rsidRPr="00924A6B">
              <w:rPr>
                <w:rFonts w:ascii="Arabic Typesetting" w:hAnsi="Arabic Typesetting" w:cs="Arabic Typesetting"/>
                <w:b/>
                <w:bCs/>
                <w:sz w:val="30"/>
                <w:szCs w:val="30"/>
                <w:rtl/>
              </w:rPr>
              <w:t>جماعة دول الأنديز</w:t>
            </w:r>
            <w:r w:rsidRPr="00924A6B">
              <w:rPr>
                <w:rFonts w:ascii="Arabic Typesetting" w:hAnsi="Arabic Typesetting" w:cs="Arabic Typesetting"/>
                <w:sz w:val="30"/>
                <w:szCs w:val="30"/>
                <w:rtl/>
              </w:rPr>
              <w:t>:</w:t>
            </w:r>
            <w:r w:rsidRPr="00924A6B">
              <w:rPr>
                <w:rFonts w:ascii="Arabic Typesetting" w:hAnsi="Arabic Typesetting" w:cs="Arabic Typesetting"/>
                <w:sz w:val="30"/>
                <w:szCs w:val="30"/>
                <w:rtl/>
                <w:lang w:bidi="ar-EG"/>
              </w:rPr>
              <w:t xml:space="preserve"> </w:t>
            </w:r>
            <w:r w:rsidRPr="00924A6B">
              <w:rPr>
                <w:rFonts w:ascii="Arabic Typesetting" w:hAnsi="Arabic Typesetting" w:cs="Arabic Typesetting"/>
                <w:sz w:val="30"/>
                <w:szCs w:val="30"/>
                <w:rtl/>
              </w:rPr>
              <w:t xml:space="preserve">المادة 26 من </w:t>
            </w:r>
            <w:r w:rsidRPr="00924A6B">
              <w:rPr>
                <w:rFonts w:ascii="Arabic Typesetting" w:hAnsi="Arabic Typesetting" w:cs="Arabic Typesetting"/>
                <w:i/>
                <w:iCs/>
                <w:sz w:val="30"/>
                <w:szCs w:val="30"/>
                <w:rtl/>
              </w:rPr>
              <w:t>القرار رقم 486 الذي أنشأ النظام العام للملكية الصناعية</w:t>
            </w:r>
            <w:r w:rsidR="00BB4459" w:rsidRPr="00BB4459">
              <w:rPr>
                <w:rFonts w:ascii="Arabic Typesetting" w:hAnsi="Arabic Typesetting" w:cs="Arabic Typesetting" w:hint="cs"/>
                <w:i/>
                <w:iCs/>
                <w:sz w:val="30"/>
                <w:szCs w:val="30"/>
                <w:rtl/>
              </w:rPr>
              <w:t xml:space="preserve"> (2000) </w:t>
            </w:r>
            <w:r w:rsidR="006467B0" w:rsidRPr="00BB4459">
              <w:rPr>
                <w:rFonts w:ascii="Arabic Typesetting" w:hAnsi="Arabic Typesetting" w:cs="Arabic Typesetting" w:hint="cs"/>
                <w:sz w:val="30"/>
                <w:szCs w:val="30"/>
                <w:rtl/>
              </w:rPr>
              <w:t xml:space="preserve">تنص </w:t>
            </w:r>
            <w:r w:rsidRPr="00BB4459">
              <w:rPr>
                <w:rFonts w:ascii="Arabic Typesetting" w:hAnsi="Arabic Typesetting" w:cs="Arabic Typesetting"/>
                <w:sz w:val="30"/>
                <w:szCs w:val="30"/>
                <w:rtl/>
              </w:rPr>
              <w:t>على أن يتضمن طلب البراءة ما يلي:</w:t>
            </w:r>
          </w:p>
          <w:p w:rsidR="00A359B1" w:rsidRDefault="00570F78" w:rsidP="00BB4459">
            <w:pPr>
              <w:bidi/>
              <w:spacing w:after="120" w:line="300" w:lineRule="exact"/>
              <w:ind w:left="720"/>
              <w:rPr>
                <w:rFonts w:ascii="Arabic Typesetting" w:hAnsi="Arabic Typesetting" w:cs="Arabic Typesetting"/>
                <w:sz w:val="30"/>
                <w:szCs w:val="30"/>
                <w:rtl/>
              </w:rPr>
            </w:pPr>
            <w:r w:rsidRPr="00BB4459">
              <w:rPr>
                <w:rFonts w:ascii="Arabic Typesetting" w:hAnsi="Arabic Typesetting" w:cs="Arabic Typesetting"/>
                <w:sz w:val="30"/>
                <w:szCs w:val="30"/>
                <w:rtl/>
              </w:rPr>
              <w:t xml:space="preserve">"[أ] نسخة من عقد النفاذ إذا كانت المنتجات أو العمليات المدرجة في طلب البراءة قد تم الحصول عليها أو </w:t>
            </w:r>
            <w:r w:rsidR="006467B0" w:rsidRPr="00BB4459">
              <w:rPr>
                <w:rFonts w:ascii="Arabic Typesetting" w:hAnsi="Arabic Typesetting" w:cs="Arabic Typesetting" w:hint="cs"/>
                <w:sz w:val="30"/>
                <w:szCs w:val="30"/>
                <w:rtl/>
              </w:rPr>
              <w:t>تطويرها على أساس</w:t>
            </w:r>
            <w:r w:rsidRPr="00BB4459">
              <w:rPr>
                <w:rFonts w:ascii="Arabic Typesetting" w:hAnsi="Arabic Typesetting" w:cs="Arabic Typesetting"/>
                <w:sz w:val="30"/>
                <w:szCs w:val="30"/>
                <w:rtl/>
              </w:rPr>
              <w:t xml:space="preserve"> موارد وراثية أو مشتقات ناشئة في أحد البلدان الأعضاء؛ </w:t>
            </w:r>
            <w:r w:rsidR="00BB4459" w:rsidRPr="00BB4459">
              <w:rPr>
                <w:rFonts w:ascii="Arabic Typesetting" w:hAnsi="Arabic Typesetting" w:cs="Arabic Typesetting" w:hint="cs"/>
                <w:sz w:val="30"/>
                <w:szCs w:val="30"/>
                <w:rtl/>
              </w:rPr>
              <w:t>[...]</w:t>
            </w:r>
            <w:r w:rsidRPr="00BB4459">
              <w:rPr>
                <w:rFonts w:ascii="Arabic Typesetting" w:hAnsi="Arabic Typesetting" w:cs="Arabic Typesetting"/>
                <w:sz w:val="30"/>
                <w:szCs w:val="30"/>
                <w:rtl/>
              </w:rPr>
              <w:t xml:space="preserve"> وعند الاقتضاء، نسخة من المستند الذي يثبت الحصول على ترخيص أو إذن باستخدام المعارف التقليدية من المجتمعات الأصلية أو الأفريقية الأمريكية أو المحلية في البلدان الأعضاء حيث تم الحصول على المنتجات أو العمليات </w:t>
            </w:r>
            <w:r w:rsidR="006467B0" w:rsidRPr="00BB4459">
              <w:rPr>
                <w:rFonts w:ascii="Arabic Typesetting" w:hAnsi="Arabic Typesetting" w:cs="Arabic Typesetting" w:hint="cs"/>
                <w:sz w:val="30"/>
                <w:szCs w:val="30"/>
                <w:rtl/>
              </w:rPr>
              <w:t>المطالب بحمايتها</w:t>
            </w:r>
            <w:r w:rsidRPr="00BB4459">
              <w:rPr>
                <w:rFonts w:ascii="Arabic Typesetting" w:hAnsi="Arabic Typesetting" w:cs="Arabic Typesetting"/>
                <w:sz w:val="30"/>
                <w:szCs w:val="30"/>
                <w:rtl/>
              </w:rPr>
              <w:t xml:space="preserve"> أو</w:t>
            </w:r>
            <w:r w:rsidR="006467B0" w:rsidRPr="00BB4459">
              <w:rPr>
                <w:rFonts w:ascii="Arabic Typesetting" w:hAnsi="Arabic Typesetting" w:cs="Arabic Typesetting" w:hint="cs"/>
                <w:sz w:val="30"/>
                <w:szCs w:val="30"/>
                <w:rtl/>
              </w:rPr>
              <w:t xml:space="preserve"> تم تطويرها</w:t>
            </w:r>
            <w:r w:rsidRPr="00BB4459">
              <w:rPr>
                <w:rFonts w:ascii="Arabic Typesetting" w:hAnsi="Arabic Typesetting" w:cs="Arabic Typesetting"/>
                <w:sz w:val="30"/>
                <w:szCs w:val="30"/>
                <w:rtl/>
              </w:rPr>
              <w:t xml:space="preserve"> على أساس معرفة ناشئة في أحد البلد</w:t>
            </w:r>
            <w:r w:rsidRPr="00924A6B">
              <w:rPr>
                <w:rFonts w:ascii="Arabic Typesetting" w:hAnsi="Arabic Typesetting" w:cs="Arabic Typesetting"/>
                <w:sz w:val="30"/>
                <w:szCs w:val="30"/>
                <w:rtl/>
              </w:rPr>
              <w:t>ان الأعضاء، وفقاً لأحكام القرار 391 وتعديلاته ولوائحه السارية."</w:t>
            </w:r>
          </w:p>
          <w:p w:rsidR="00A359B1" w:rsidRPr="00924A6B" w:rsidRDefault="00570F78" w:rsidP="006467B0">
            <w:pPr>
              <w:bidi/>
              <w:spacing w:after="120" w:line="300" w:lineRule="exact"/>
              <w:rPr>
                <w:rFonts w:ascii="Arabic Typesetting" w:hAnsi="Arabic Typesetting" w:cs="Arabic Typesetting"/>
                <w:sz w:val="30"/>
                <w:szCs w:val="30"/>
                <w:rtl/>
              </w:rPr>
            </w:pPr>
            <w:r w:rsidRPr="00924A6B">
              <w:rPr>
                <w:rFonts w:ascii="Arabic Typesetting" w:hAnsi="Arabic Typesetting" w:cs="Arabic Typesetting"/>
                <w:b/>
                <w:bCs/>
                <w:sz w:val="30"/>
                <w:szCs w:val="30"/>
                <w:rtl/>
              </w:rPr>
              <w:t>جنوب أفريقيا:</w:t>
            </w:r>
            <w:r w:rsidRPr="00924A6B">
              <w:rPr>
                <w:rFonts w:ascii="Arabic Typesetting" w:hAnsi="Arabic Typesetting" w:cs="Arabic Typesetting"/>
                <w:sz w:val="30"/>
                <w:szCs w:val="30"/>
                <w:rtl/>
                <w:lang w:bidi="ar-EG"/>
              </w:rPr>
              <w:t xml:space="preserve"> </w:t>
            </w:r>
            <w:r w:rsidR="006467B0">
              <w:rPr>
                <w:rFonts w:ascii="Arabic Typesetting" w:hAnsi="Arabic Typesetting" w:cs="Arabic Typesetting" w:hint="cs"/>
                <w:i/>
                <w:iCs/>
                <w:sz w:val="30"/>
                <w:szCs w:val="30"/>
                <w:rtl/>
              </w:rPr>
              <w:t>الفصل</w:t>
            </w:r>
            <w:r w:rsidRPr="00924A6B">
              <w:rPr>
                <w:rFonts w:ascii="Arabic Typesetting" w:hAnsi="Arabic Typesetting" w:cs="Arabic Typesetting"/>
                <w:i/>
                <w:iCs/>
                <w:sz w:val="30"/>
                <w:szCs w:val="30"/>
                <w:rtl/>
              </w:rPr>
              <w:t xml:space="preserve"> 30 من قانون البراءات (بصيغته المُعدَّلة في عام 2005)</w:t>
            </w:r>
            <w:r w:rsidRPr="00924A6B">
              <w:rPr>
                <w:rFonts w:ascii="Arabic Typesetting" w:hAnsi="Arabic Typesetting" w:cs="Arabic Typesetting"/>
                <w:sz w:val="30"/>
                <w:szCs w:val="30"/>
                <w:rtl/>
              </w:rPr>
              <w:t xml:space="preserve"> </w:t>
            </w:r>
            <w:r w:rsidR="006467B0">
              <w:rPr>
                <w:rFonts w:ascii="Arabic Typesetting" w:hAnsi="Arabic Typesetting" w:cs="Arabic Typesetting" w:hint="cs"/>
                <w:sz w:val="30"/>
                <w:szCs w:val="30"/>
                <w:rtl/>
              </w:rPr>
              <w:t xml:space="preserve">ينص </w:t>
            </w:r>
            <w:r w:rsidRPr="00924A6B">
              <w:rPr>
                <w:rFonts w:ascii="Arabic Typesetting" w:hAnsi="Arabic Typesetting" w:cs="Arabic Typesetting"/>
                <w:sz w:val="30"/>
                <w:szCs w:val="30"/>
                <w:rtl/>
              </w:rPr>
              <w:t>على ما يلي:</w:t>
            </w:r>
          </w:p>
          <w:p w:rsidR="006467B0" w:rsidRPr="00924A6B" w:rsidRDefault="00570F78" w:rsidP="006467B0">
            <w:pPr>
              <w:bidi/>
              <w:spacing w:after="120" w:line="300" w:lineRule="exact"/>
              <w:ind w:left="720"/>
              <w:rPr>
                <w:rFonts w:ascii="Arabic Typesetting" w:hAnsi="Arabic Typesetting" w:cs="Arabic Typesetting"/>
                <w:sz w:val="30"/>
                <w:szCs w:val="30"/>
                <w:rtl/>
              </w:rPr>
            </w:pPr>
            <w:r w:rsidRPr="00924A6B">
              <w:rPr>
                <w:rFonts w:ascii="Arabic Typesetting" w:hAnsi="Arabic Typesetting" w:cs="Arabic Typesetting"/>
                <w:sz w:val="30"/>
                <w:szCs w:val="30"/>
                <w:rtl/>
              </w:rPr>
              <w:t xml:space="preserve">"يجب على كل مودع يقدم طلباً للحصول على براءة مصحوباً بمواصفات كاملة، قبل قبول الطلب، أن يودع لدى </w:t>
            </w:r>
            <w:r w:rsidR="006467B0">
              <w:rPr>
                <w:rFonts w:ascii="Arabic Typesetting" w:hAnsi="Arabic Typesetting" w:cs="Arabic Typesetting" w:hint="cs"/>
                <w:sz w:val="30"/>
                <w:szCs w:val="30"/>
                <w:rtl/>
              </w:rPr>
              <w:t>أمين السجل</w:t>
            </w:r>
            <w:r w:rsidRPr="00924A6B">
              <w:rPr>
                <w:rFonts w:ascii="Arabic Typesetting" w:hAnsi="Arabic Typesetting" w:cs="Arabic Typesetting"/>
                <w:sz w:val="30"/>
                <w:szCs w:val="30"/>
                <w:rtl/>
              </w:rPr>
              <w:t xml:space="preserve"> بياناً حسب الأصول ينص على ما إذا كان الاختراع المطالب بحمايته </w:t>
            </w:r>
            <w:r w:rsidR="006467B0">
              <w:rPr>
                <w:rFonts w:ascii="Arabic Typesetting" w:hAnsi="Arabic Typesetting" w:cs="Arabic Typesetting" w:hint="cs"/>
                <w:sz w:val="30"/>
                <w:szCs w:val="30"/>
                <w:rtl/>
              </w:rPr>
              <w:t>مستنداً</w:t>
            </w:r>
            <w:r w:rsidRPr="00924A6B">
              <w:rPr>
                <w:rFonts w:ascii="Arabic Typesetting" w:hAnsi="Arabic Typesetting" w:cs="Arabic Typesetting"/>
                <w:sz w:val="30"/>
                <w:szCs w:val="30"/>
                <w:rtl/>
              </w:rPr>
              <w:t xml:space="preserve"> إلى مورد بيولوجي أصلي أو مورد وراثي أو معارف تقليدية أو</w:t>
            </w:r>
            <w:r w:rsidR="006467B0">
              <w:rPr>
                <w:rFonts w:ascii="Arabic Typesetting" w:hAnsi="Arabic Typesetting" w:cs="Arabic Typesetting" w:hint="cs"/>
                <w:sz w:val="30"/>
                <w:szCs w:val="30"/>
                <w:rtl/>
              </w:rPr>
              <w:t xml:space="preserve"> مشتقاً</w:t>
            </w:r>
            <w:r w:rsidRPr="00924A6B">
              <w:rPr>
                <w:rFonts w:ascii="Arabic Typesetting" w:hAnsi="Arabic Typesetting" w:cs="Arabic Typesetting"/>
                <w:sz w:val="30"/>
                <w:szCs w:val="30"/>
                <w:rtl/>
              </w:rPr>
              <w:t xml:space="preserve"> من أي من تلك العناصر أو يستخدمها.</w:t>
            </w:r>
            <w:r w:rsidRPr="00924A6B">
              <w:rPr>
                <w:rFonts w:ascii="Arabic Typesetting" w:hAnsi="Arabic Typesetting" w:cs="Arabic Typesetting"/>
                <w:sz w:val="30"/>
                <w:szCs w:val="30"/>
                <w:rtl/>
                <w:lang w:bidi="ar-EG"/>
              </w:rPr>
              <w:t xml:space="preserve"> </w:t>
            </w:r>
            <w:r w:rsidR="006467B0">
              <w:rPr>
                <w:rFonts w:ascii="Arabic Typesetting" w:hAnsi="Arabic Typesetting" w:cs="Arabic Typesetting" w:hint="cs"/>
                <w:sz w:val="30"/>
                <w:szCs w:val="30"/>
                <w:rtl/>
                <w:lang w:bidi="ar-EG"/>
              </w:rPr>
              <w:t>و</w:t>
            </w:r>
            <w:r w:rsidR="006467B0">
              <w:rPr>
                <w:rFonts w:ascii="Arabic Typesetting" w:hAnsi="Arabic Typesetting" w:cs="Arabic Typesetting" w:hint="cs"/>
                <w:sz w:val="30"/>
                <w:szCs w:val="30"/>
                <w:rtl/>
              </w:rPr>
              <w:t>يدعو</w:t>
            </w:r>
            <w:r w:rsidRPr="00924A6B">
              <w:rPr>
                <w:rFonts w:ascii="Arabic Typesetting" w:hAnsi="Arabic Typesetting" w:cs="Arabic Typesetting"/>
                <w:sz w:val="30"/>
                <w:szCs w:val="30"/>
                <w:rtl/>
              </w:rPr>
              <w:t xml:space="preserve"> أمين السجل المودع إلى تقديم دليل حسب الأصول على ملكيته أو سلطته لاستخدام </w:t>
            </w:r>
            <w:r w:rsidR="006467B0" w:rsidRPr="006467B0">
              <w:rPr>
                <w:rFonts w:ascii="Arabic Typesetting" w:hAnsi="Arabic Typesetting" w:cs="Arabic Typesetting"/>
                <w:sz w:val="30"/>
                <w:szCs w:val="30"/>
                <w:rtl/>
              </w:rPr>
              <w:t>المورد البيولوجي الأصلي أو المورد الوراثي أو المعارف التقليدية</w:t>
            </w:r>
            <w:r w:rsidRPr="00924A6B">
              <w:rPr>
                <w:rFonts w:ascii="Arabic Typesetting" w:hAnsi="Arabic Typesetting" w:cs="Arabic Typesetting"/>
                <w:sz w:val="30"/>
                <w:szCs w:val="30"/>
                <w:rtl/>
              </w:rPr>
              <w:t xml:space="preserve"> إذا أودع المودع بياناً يقر فيه بأن الاختراع المطالب بحمايته </w:t>
            </w:r>
            <w:r w:rsidR="006467B0">
              <w:rPr>
                <w:rFonts w:ascii="Arabic Typesetting" w:hAnsi="Arabic Typesetting" w:cs="Arabic Typesetting" w:hint="cs"/>
                <w:sz w:val="30"/>
                <w:szCs w:val="30"/>
                <w:rtl/>
              </w:rPr>
              <w:t>م</w:t>
            </w:r>
            <w:r w:rsidRPr="00924A6B">
              <w:rPr>
                <w:rFonts w:ascii="Arabic Typesetting" w:hAnsi="Arabic Typesetting" w:cs="Arabic Typesetting"/>
                <w:sz w:val="30"/>
                <w:szCs w:val="30"/>
                <w:rtl/>
              </w:rPr>
              <w:t xml:space="preserve">ستند إلى مورد بيولوجي أصلي أو مورد وراثي أو معارف تقليدية أو </w:t>
            </w:r>
            <w:r w:rsidR="006467B0">
              <w:rPr>
                <w:rFonts w:ascii="Arabic Typesetting" w:hAnsi="Arabic Typesetting" w:cs="Arabic Typesetting" w:hint="cs"/>
                <w:sz w:val="30"/>
                <w:szCs w:val="30"/>
                <w:rtl/>
              </w:rPr>
              <w:t>م</w:t>
            </w:r>
            <w:r w:rsidRPr="00924A6B">
              <w:rPr>
                <w:rFonts w:ascii="Arabic Typesetting" w:hAnsi="Arabic Typesetting" w:cs="Arabic Typesetting"/>
                <w:sz w:val="30"/>
                <w:szCs w:val="30"/>
                <w:rtl/>
              </w:rPr>
              <w:t>شتق من</w:t>
            </w:r>
            <w:r w:rsidR="006467B0">
              <w:rPr>
                <w:rFonts w:ascii="Arabic Typesetting" w:hAnsi="Arabic Typesetting" w:cs="Arabic Typesetting" w:hint="cs"/>
                <w:sz w:val="30"/>
                <w:szCs w:val="30"/>
                <w:rtl/>
              </w:rPr>
              <w:t xml:space="preserve"> أي من تلك العناصر</w:t>
            </w:r>
            <w:r w:rsidRPr="00924A6B">
              <w:rPr>
                <w:rFonts w:ascii="Arabic Typesetting" w:hAnsi="Arabic Typesetting" w:cs="Arabic Typesetting"/>
                <w:sz w:val="30"/>
                <w:szCs w:val="30"/>
                <w:rtl/>
              </w:rPr>
              <w:t xml:space="preserve"> أو يستخدمها."</w:t>
            </w:r>
          </w:p>
        </w:tc>
      </w:tr>
    </w:tbl>
    <w:p w:rsidR="00570F78" w:rsidRPr="004B2E16" w:rsidRDefault="00570F78" w:rsidP="00C02A1C">
      <w:pPr>
        <w:pStyle w:val="NormalParaAR"/>
        <w:spacing w:before="240"/>
        <w:ind w:left="567"/>
        <w:rPr>
          <w:rtl/>
        </w:rPr>
      </w:pPr>
      <w:r w:rsidRPr="00924A6B">
        <w:rPr>
          <w:rtl/>
        </w:rPr>
        <w:t xml:space="preserve">وإضافة إلى النظر في فئات المعلومات الواجب الكشف عنها، ينبغي أيضاً النظر </w:t>
      </w:r>
      <w:r w:rsidRPr="004B2E16">
        <w:rPr>
          <w:rtl/>
        </w:rPr>
        <w:t>في تعريف "بلد منشأ" و"المصادر".</w:t>
      </w:r>
    </w:p>
    <w:p w:rsidR="00570F78" w:rsidRPr="004B2E16" w:rsidRDefault="00570F78" w:rsidP="00C02A1C">
      <w:pPr>
        <w:pStyle w:val="Heading2"/>
        <w:ind w:left="1701" w:hanging="567"/>
        <w:rPr>
          <w:rtl/>
        </w:rPr>
      </w:pPr>
      <w:r w:rsidRPr="004B2E16">
        <w:rPr>
          <w:rtl/>
        </w:rPr>
        <w:t>عواقب عدم الامتثال</w:t>
      </w:r>
    </w:p>
    <w:p w:rsidR="00570F78" w:rsidRPr="004B2E16" w:rsidRDefault="00570F78" w:rsidP="006467B0">
      <w:pPr>
        <w:pStyle w:val="NormalParaAR"/>
        <w:spacing w:before="240"/>
        <w:ind w:left="567"/>
        <w:rPr>
          <w:rtl/>
        </w:rPr>
      </w:pPr>
      <w:r w:rsidRPr="004B2E16">
        <w:rPr>
          <w:rtl/>
        </w:rPr>
        <w:t xml:space="preserve">كما ذكرت سابقاً، خضعت الوثيقة الموحدة لتنقيح كبير بتضمينها خيار آلية إدارية يركّز على ضمان الشفافية ضمن نظام الملكية الفكرية/البراءات بدلا من الاقتصار على نظام يستند إلى شرط الأهلية الموضوعية للحماية ببراءة. ومن المسائل الواجب تناولها ضرورة وصف التدابير السابقة للمنح واللاحقة للمنح بالتفصيل في الصك، علماً بأن الصكوك الدولية للملكية الفكرية تنص عادة على معايير دنيا مع إتاحة </w:t>
      </w:r>
      <w:r w:rsidR="006467B0" w:rsidRPr="004B2E16">
        <w:rPr>
          <w:rFonts w:hint="cs"/>
          <w:rtl/>
        </w:rPr>
        <w:t>هامش من المرونة</w:t>
      </w:r>
      <w:r w:rsidRPr="004B2E16">
        <w:rPr>
          <w:rtl/>
        </w:rPr>
        <w:t xml:space="preserve"> للدول الأعضاء في تنفيذ تلك الصكوك الدولية للملكية الفكرية.</w:t>
      </w:r>
    </w:p>
    <w:p w:rsidR="006467B0" w:rsidRDefault="006467B0" w:rsidP="006467B0">
      <w:pPr>
        <w:pStyle w:val="NormalParaAR"/>
        <w:spacing w:before="240"/>
        <w:ind w:left="567"/>
        <w:rPr>
          <w:rtl/>
        </w:rPr>
      </w:pPr>
      <w:r w:rsidRPr="004B2E16">
        <w:rPr>
          <w:rFonts w:hint="cs"/>
          <w:rtl/>
        </w:rPr>
        <w:t xml:space="preserve">وفي مسألة عواقب عدم الامتثال، يكون السؤال الرئيسي هو هل يؤثر </w:t>
      </w:r>
      <w:r w:rsidR="00570F78" w:rsidRPr="004B2E16">
        <w:rPr>
          <w:rtl/>
        </w:rPr>
        <w:t>عدم الامتثال في صلاحية البراءات الممنوحة</w:t>
      </w:r>
      <w:r w:rsidRPr="004B2E16">
        <w:rPr>
          <w:rFonts w:hint="cs"/>
          <w:rtl/>
        </w:rPr>
        <w:t>؟</w:t>
      </w:r>
      <w:r w:rsidR="00570F78" w:rsidRPr="004B2E16">
        <w:rPr>
          <w:rtl/>
        </w:rPr>
        <w:t xml:space="preserve"> وفي تلك الحالة، ما هي شروط الإل</w:t>
      </w:r>
      <w:r w:rsidR="00570F78" w:rsidRPr="00924A6B">
        <w:rPr>
          <w:rtl/>
        </w:rPr>
        <w:t xml:space="preserve">غاء الجائزة </w:t>
      </w:r>
      <w:r>
        <w:rPr>
          <w:rFonts w:hint="cs"/>
          <w:rtl/>
        </w:rPr>
        <w:t>ولا سيما مع وجود آلية إدارية؟ وهل من خيارات أخرى غير</w:t>
      </w:r>
      <w:r>
        <w:rPr>
          <w:rFonts w:hint="eastAsia"/>
          <w:rtl/>
        </w:rPr>
        <w:t> </w:t>
      </w:r>
      <w:r>
        <w:rPr>
          <w:rFonts w:hint="cs"/>
          <w:rtl/>
        </w:rPr>
        <w:t>الإلغاء؟</w:t>
      </w:r>
    </w:p>
    <w:tbl>
      <w:tblPr>
        <w:tblStyle w:val="TableGrid"/>
        <w:bidiVisual/>
        <w:tblW w:w="8214" w:type="dxa"/>
        <w:tblInd w:w="678" w:type="dxa"/>
        <w:tblLook w:val="04A0" w:firstRow="1" w:lastRow="0" w:firstColumn="1" w:lastColumn="0" w:noHBand="0" w:noVBand="1"/>
      </w:tblPr>
      <w:tblGrid>
        <w:gridCol w:w="8214"/>
      </w:tblGrid>
      <w:tr w:rsidR="00570F78" w:rsidRPr="00924A6B" w:rsidTr="006467B0">
        <w:trPr>
          <w:cantSplit/>
        </w:trPr>
        <w:tc>
          <w:tcPr>
            <w:tcW w:w="8214" w:type="dxa"/>
            <w:shd w:val="clear" w:color="auto" w:fill="DDD9C3" w:themeFill="background2" w:themeFillShade="E6"/>
          </w:tcPr>
          <w:p w:rsidR="00A359B1" w:rsidRPr="00924A6B" w:rsidRDefault="00570F78" w:rsidP="006467B0">
            <w:pPr>
              <w:pStyle w:val="NormalWeb"/>
              <w:bidi/>
              <w:spacing w:after="120" w:line="300" w:lineRule="exact"/>
              <w:rPr>
                <w:rFonts w:ascii="Arabic Typesetting" w:hAnsi="Arabic Typesetting"/>
                <w:sz w:val="30"/>
                <w:szCs w:val="30"/>
                <w:rtl/>
              </w:rPr>
            </w:pPr>
            <w:r w:rsidRPr="00924A6B">
              <w:rPr>
                <w:rFonts w:ascii="Arabic Typesetting" w:hAnsi="Arabic Typesetting"/>
                <w:sz w:val="30"/>
                <w:szCs w:val="30"/>
                <w:rtl/>
              </w:rPr>
              <w:lastRenderedPageBreak/>
              <w:t xml:space="preserve">مثال </w:t>
            </w:r>
            <w:r w:rsidRPr="00924A6B">
              <w:rPr>
                <w:rFonts w:ascii="Arabic Typesetting" w:hAnsi="Arabic Typesetting"/>
                <w:b/>
                <w:bCs/>
                <w:sz w:val="30"/>
                <w:szCs w:val="30"/>
                <w:rtl/>
              </w:rPr>
              <w:t>سويسرا</w:t>
            </w:r>
            <w:r w:rsidRPr="00924A6B">
              <w:rPr>
                <w:rFonts w:ascii="Arabic Typesetting" w:hAnsi="Arabic Typesetting"/>
                <w:sz w:val="30"/>
                <w:szCs w:val="30"/>
                <w:rtl/>
              </w:rPr>
              <w:t xml:space="preserve">: المادة 81(أ) من </w:t>
            </w:r>
            <w:r w:rsidRPr="00924A6B">
              <w:rPr>
                <w:rFonts w:ascii="Arabic Typesetting" w:hAnsi="Arabic Typesetting"/>
                <w:i/>
                <w:iCs/>
                <w:sz w:val="30"/>
                <w:szCs w:val="30"/>
                <w:rtl/>
              </w:rPr>
              <w:t>القانون الاتحادي بشأن براءات الاختراعات المؤرخ في 25 يونيو 1954 (بصيغته النافذة اعتباراً من 1 يناير 2012)</w:t>
            </w:r>
            <w:r w:rsidRPr="00924A6B">
              <w:rPr>
                <w:rFonts w:ascii="Arabic Typesetting" w:hAnsi="Arabic Typesetting"/>
                <w:sz w:val="30"/>
                <w:szCs w:val="30"/>
                <w:rtl/>
              </w:rPr>
              <w:t xml:space="preserve"> </w:t>
            </w:r>
            <w:r w:rsidR="006467B0">
              <w:rPr>
                <w:rFonts w:ascii="Arabic Typesetting" w:hAnsi="Arabic Typesetting" w:hint="cs"/>
                <w:sz w:val="30"/>
                <w:szCs w:val="30"/>
                <w:rtl/>
              </w:rPr>
              <w:t xml:space="preserve">تنص </w:t>
            </w:r>
            <w:r w:rsidRPr="00924A6B">
              <w:rPr>
                <w:rFonts w:ascii="Arabic Typesetting" w:hAnsi="Arabic Typesetting"/>
                <w:sz w:val="30"/>
                <w:szCs w:val="30"/>
                <w:rtl/>
              </w:rPr>
              <w:t>على فرض غرامة على من يقدِّم معلومات خاطئة دون إبطال البراءة:</w:t>
            </w:r>
          </w:p>
          <w:p w:rsidR="00570F78" w:rsidRPr="00924A6B" w:rsidRDefault="00570F78" w:rsidP="00C02A1C">
            <w:pPr>
              <w:pStyle w:val="NormalWeb"/>
              <w:bidi/>
              <w:spacing w:after="120" w:line="300" w:lineRule="exact"/>
              <w:ind w:left="720"/>
              <w:rPr>
                <w:rFonts w:ascii="Arabic Typesetting" w:hAnsi="Arabic Typesetting"/>
                <w:sz w:val="30"/>
                <w:szCs w:val="30"/>
                <w:rtl/>
              </w:rPr>
            </w:pPr>
            <w:r w:rsidRPr="00924A6B">
              <w:rPr>
                <w:rFonts w:ascii="Arabic Typesetting" w:hAnsi="Arabic Typesetting"/>
                <w:sz w:val="30"/>
                <w:szCs w:val="30"/>
                <w:rtl/>
              </w:rPr>
              <w:t>"تُفرض على أي شخص يوفر عمدا معلومات خاطئة بناء على المادة 49(أ) [بشأن الكشف عن المصدر] غرامة قد تصل قيمتها إلى 000 100 فرنك سويسري. ويجوز للمحكمة أن تأمر بنشر الحكم."</w:t>
            </w:r>
          </w:p>
          <w:p w:rsidR="00A359B1" w:rsidRPr="00924A6B" w:rsidRDefault="00570F78" w:rsidP="006467B0">
            <w:pPr>
              <w:pStyle w:val="NormalWeb"/>
              <w:bidi/>
              <w:spacing w:after="120" w:line="300" w:lineRule="exact"/>
              <w:rPr>
                <w:rFonts w:ascii="Arabic Typesetting" w:hAnsi="Arabic Typesetting"/>
                <w:sz w:val="30"/>
                <w:szCs w:val="30"/>
                <w:rtl/>
              </w:rPr>
            </w:pPr>
            <w:r w:rsidRPr="00924A6B">
              <w:rPr>
                <w:rFonts w:ascii="Arabic Typesetting" w:hAnsi="Arabic Typesetting"/>
                <w:b/>
                <w:bCs/>
                <w:sz w:val="30"/>
                <w:szCs w:val="30"/>
                <w:rtl/>
              </w:rPr>
              <w:t xml:space="preserve">جماعة دول الأنديز: </w:t>
            </w:r>
            <w:r w:rsidRPr="00924A6B">
              <w:rPr>
                <w:rFonts w:ascii="Arabic Typesetting" w:hAnsi="Arabic Typesetting"/>
                <w:sz w:val="30"/>
                <w:szCs w:val="30"/>
                <w:rtl/>
              </w:rPr>
              <w:t xml:space="preserve">المادة 75 من </w:t>
            </w:r>
            <w:r w:rsidRPr="00924A6B">
              <w:rPr>
                <w:rFonts w:ascii="Arabic Typesetting" w:hAnsi="Arabic Typesetting"/>
                <w:i/>
                <w:iCs/>
                <w:sz w:val="30"/>
                <w:szCs w:val="30"/>
                <w:rtl/>
              </w:rPr>
              <w:t>القرار رقم 486 الذي أنشأ النظام العام للملكية الصناعية</w:t>
            </w:r>
            <w:r w:rsidR="004B2E16">
              <w:rPr>
                <w:rFonts w:ascii="Arabic Typesetting" w:hAnsi="Arabic Typesetting" w:hint="cs"/>
                <w:i/>
                <w:iCs/>
                <w:sz w:val="30"/>
                <w:szCs w:val="30"/>
                <w:rtl/>
              </w:rPr>
              <w:t xml:space="preserve"> (2000)</w:t>
            </w:r>
            <w:r w:rsidRPr="00924A6B">
              <w:rPr>
                <w:rFonts w:ascii="Arabic Typesetting" w:hAnsi="Arabic Typesetting"/>
                <w:sz w:val="30"/>
                <w:szCs w:val="30"/>
                <w:rtl/>
              </w:rPr>
              <w:t xml:space="preserve"> </w:t>
            </w:r>
            <w:r w:rsidR="006467B0">
              <w:rPr>
                <w:rFonts w:ascii="Arabic Typesetting" w:hAnsi="Arabic Typesetting" w:hint="cs"/>
                <w:sz w:val="30"/>
                <w:szCs w:val="30"/>
                <w:rtl/>
              </w:rPr>
              <w:t xml:space="preserve">تنص </w:t>
            </w:r>
            <w:r w:rsidRPr="00924A6B">
              <w:rPr>
                <w:rFonts w:ascii="Arabic Typesetting" w:hAnsi="Arabic Typesetting"/>
                <w:sz w:val="30"/>
                <w:szCs w:val="30"/>
                <w:rtl/>
              </w:rPr>
              <w:t>على ما يلي:</w:t>
            </w:r>
          </w:p>
          <w:p w:rsidR="00A359B1" w:rsidRPr="00924A6B" w:rsidRDefault="006467B0" w:rsidP="006467B0">
            <w:pPr>
              <w:pStyle w:val="NormalWeb"/>
              <w:bidi/>
              <w:spacing w:after="120" w:line="300" w:lineRule="exact"/>
              <w:ind w:left="720"/>
              <w:rPr>
                <w:rFonts w:ascii="Arabic Typesetting" w:hAnsi="Arabic Typesetting"/>
                <w:sz w:val="30"/>
                <w:szCs w:val="30"/>
                <w:rtl/>
              </w:rPr>
            </w:pPr>
            <w:r>
              <w:rPr>
                <w:rFonts w:ascii="Arabic Typesetting" w:hAnsi="Arabic Typesetting"/>
                <w:sz w:val="30"/>
                <w:szCs w:val="30"/>
                <w:rtl/>
              </w:rPr>
              <w:t>"</w:t>
            </w:r>
            <w:r>
              <w:rPr>
                <w:rFonts w:ascii="Arabic Typesetting" w:hAnsi="Arabic Typesetting" w:hint="cs"/>
                <w:sz w:val="30"/>
                <w:szCs w:val="30"/>
                <w:rtl/>
              </w:rPr>
              <w:t>ل</w:t>
            </w:r>
            <w:r w:rsidR="00570F78" w:rsidRPr="00924A6B">
              <w:rPr>
                <w:rFonts w:ascii="Arabic Typesetting" w:hAnsi="Arabic Typesetting"/>
                <w:sz w:val="30"/>
                <w:szCs w:val="30"/>
                <w:rtl/>
              </w:rPr>
              <w:t xml:space="preserve">لسلطة الوطنية المختصة </w:t>
            </w:r>
            <w:r>
              <w:rPr>
                <w:rFonts w:ascii="Arabic Typesetting" w:hAnsi="Arabic Typesetting" w:hint="cs"/>
                <w:sz w:val="30"/>
                <w:szCs w:val="30"/>
                <w:rtl/>
              </w:rPr>
              <w:t xml:space="preserve">أن تقرر </w:t>
            </w:r>
            <w:r w:rsidR="00570F78" w:rsidRPr="00924A6B">
              <w:rPr>
                <w:rFonts w:ascii="Arabic Typesetting" w:hAnsi="Arabic Typesetting"/>
                <w:sz w:val="30"/>
                <w:szCs w:val="30"/>
                <w:rtl/>
              </w:rPr>
              <w:t>الإبطال المطلق للبراءة في أي وقت إما بمبادرة منها أو بناء على طلب أي شخص في الحالات التالية:</w:t>
            </w:r>
          </w:p>
          <w:p w:rsidR="00A359B1" w:rsidRPr="00924A6B" w:rsidRDefault="00570F78" w:rsidP="00C02A1C">
            <w:pPr>
              <w:pStyle w:val="NormalWeb"/>
              <w:bidi/>
              <w:spacing w:after="120" w:line="300" w:lineRule="exact"/>
              <w:ind w:left="720"/>
              <w:rPr>
                <w:rFonts w:ascii="Arabic Typesetting" w:hAnsi="Arabic Typesetting"/>
                <w:sz w:val="30"/>
                <w:szCs w:val="30"/>
                <w:rtl/>
              </w:rPr>
            </w:pPr>
            <w:r w:rsidRPr="00924A6B">
              <w:rPr>
                <w:rFonts w:ascii="Arabic Typesetting" w:hAnsi="Arabic Typesetting"/>
                <w:sz w:val="30"/>
                <w:szCs w:val="30"/>
                <w:rtl/>
              </w:rPr>
              <w:t>"[...]</w:t>
            </w:r>
          </w:p>
          <w:p w:rsidR="00A359B1" w:rsidRPr="00924A6B" w:rsidRDefault="00570F78" w:rsidP="006467B0">
            <w:pPr>
              <w:pStyle w:val="NormalWeb"/>
              <w:bidi/>
              <w:spacing w:after="120" w:line="300" w:lineRule="exact"/>
              <w:ind w:left="720"/>
              <w:rPr>
                <w:rFonts w:ascii="Arabic Typesetting" w:hAnsi="Arabic Typesetting"/>
                <w:sz w:val="30"/>
                <w:szCs w:val="30"/>
                <w:rtl/>
              </w:rPr>
            </w:pPr>
            <w:r w:rsidRPr="00924A6B">
              <w:rPr>
                <w:rFonts w:ascii="Arabic Typesetting" w:hAnsi="Arabic Typesetting"/>
                <w:sz w:val="30"/>
                <w:szCs w:val="30"/>
                <w:rtl/>
              </w:rPr>
              <w:t xml:space="preserve">"(ز) لم تودع نسخة </w:t>
            </w:r>
            <w:r w:rsidR="006467B0">
              <w:rPr>
                <w:rFonts w:ascii="Arabic Typesetting" w:hAnsi="Arabic Typesetting" w:hint="cs"/>
                <w:sz w:val="30"/>
                <w:szCs w:val="30"/>
                <w:rtl/>
              </w:rPr>
              <w:t>من</w:t>
            </w:r>
            <w:r w:rsidRPr="00924A6B">
              <w:rPr>
                <w:rFonts w:ascii="Arabic Typesetting" w:hAnsi="Arabic Typesetting"/>
                <w:sz w:val="30"/>
                <w:szCs w:val="30"/>
                <w:rtl/>
              </w:rPr>
              <w:t xml:space="preserve"> عقد النفاذ في حال كانت المنتجات أو العمليات </w:t>
            </w:r>
            <w:r w:rsidR="006467B0" w:rsidRPr="006467B0">
              <w:rPr>
                <w:rFonts w:ascii="Arabic Typesetting" w:hAnsi="Arabic Typesetting"/>
                <w:sz w:val="30"/>
                <w:szCs w:val="30"/>
                <w:rtl/>
              </w:rPr>
              <w:t xml:space="preserve">المدرجة في طلب البراءة </w:t>
            </w:r>
            <w:r w:rsidRPr="00924A6B">
              <w:rPr>
                <w:rFonts w:ascii="Arabic Typesetting" w:hAnsi="Arabic Typesetting"/>
                <w:sz w:val="30"/>
                <w:szCs w:val="30"/>
                <w:rtl/>
              </w:rPr>
              <w:t xml:space="preserve">قد </w:t>
            </w:r>
            <w:r w:rsidR="006467B0">
              <w:rPr>
                <w:rFonts w:ascii="Arabic Typesetting" w:hAnsi="Arabic Typesetting" w:hint="cs"/>
                <w:sz w:val="30"/>
                <w:szCs w:val="30"/>
                <w:rtl/>
              </w:rPr>
              <w:t>تم إنتاجها</w:t>
            </w:r>
            <w:r w:rsidRPr="00924A6B">
              <w:rPr>
                <w:rFonts w:ascii="Arabic Typesetting" w:hAnsi="Arabic Typesetting"/>
                <w:sz w:val="30"/>
                <w:szCs w:val="30"/>
                <w:rtl/>
              </w:rPr>
              <w:t xml:space="preserve"> أو </w:t>
            </w:r>
            <w:r w:rsidR="006467B0">
              <w:rPr>
                <w:rFonts w:ascii="Arabic Typesetting" w:hAnsi="Arabic Typesetting" w:hint="cs"/>
                <w:sz w:val="30"/>
                <w:szCs w:val="30"/>
                <w:rtl/>
              </w:rPr>
              <w:t>تطويرها</w:t>
            </w:r>
            <w:r w:rsidRPr="00924A6B">
              <w:rPr>
                <w:rFonts w:ascii="Arabic Typesetting" w:hAnsi="Arabic Typesetting"/>
                <w:sz w:val="30"/>
                <w:szCs w:val="30"/>
                <w:rtl/>
              </w:rPr>
              <w:t xml:space="preserve"> </w:t>
            </w:r>
            <w:r w:rsidR="006467B0">
              <w:rPr>
                <w:rFonts w:ascii="Arabic Typesetting" w:hAnsi="Arabic Typesetting" w:hint="cs"/>
                <w:sz w:val="30"/>
                <w:szCs w:val="30"/>
                <w:rtl/>
              </w:rPr>
              <w:t>على أساس</w:t>
            </w:r>
            <w:r w:rsidRPr="00924A6B">
              <w:rPr>
                <w:rFonts w:ascii="Arabic Typesetting" w:hAnsi="Arabic Typesetting"/>
                <w:sz w:val="30"/>
                <w:szCs w:val="30"/>
                <w:rtl/>
              </w:rPr>
              <w:t xml:space="preserve"> موارد وراثية أو </w:t>
            </w:r>
            <w:r w:rsidR="006467B0">
              <w:rPr>
                <w:rFonts w:ascii="Arabic Typesetting" w:hAnsi="Arabic Typesetting" w:hint="cs"/>
                <w:sz w:val="30"/>
                <w:szCs w:val="30"/>
                <w:rtl/>
              </w:rPr>
              <w:t>مشتقات</w:t>
            </w:r>
            <w:r w:rsidRPr="00924A6B">
              <w:rPr>
                <w:rFonts w:ascii="Arabic Typesetting" w:hAnsi="Arabic Typesetting"/>
                <w:sz w:val="30"/>
                <w:szCs w:val="30"/>
                <w:rtl/>
              </w:rPr>
              <w:t xml:space="preserve"> تكون أي من البلدان الأعضاء بلد منشئها؛</w:t>
            </w:r>
          </w:p>
          <w:p w:rsidR="00A359B1" w:rsidRPr="00924A6B" w:rsidRDefault="00570F78" w:rsidP="006D4351">
            <w:pPr>
              <w:pStyle w:val="NormalWeb"/>
              <w:bidi/>
              <w:spacing w:after="120" w:line="300" w:lineRule="exact"/>
              <w:ind w:left="720"/>
              <w:rPr>
                <w:rFonts w:ascii="Arabic Typesetting" w:hAnsi="Arabic Typesetting"/>
                <w:sz w:val="30"/>
                <w:szCs w:val="30"/>
                <w:rtl/>
              </w:rPr>
            </w:pPr>
            <w:r w:rsidRPr="00924A6B">
              <w:rPr>
                <w:rFonts w:ascii="Arabic Typesetting" w:hAnsi="Arabic Typesetting"/>
                <w:sz w:val="30"/>
                <w:szCs w:val="30"/>
                <w:rtl/>
              </w:rPr>
              <w:t xml:space="preserve">"(ح) لم تودَع نسخة </w:t>
            </w:r>
            <w:r w:rsidR="006D4351">
              <w:rPr>
                <w:rFonts w:ascii="Arabic Typesetting" w:hAnsi="Arabic Typesetting" w:hint="cs"/>
                <w:sz w:val="30"/>
                <w:szCs w:val="30"/>
                <w:rtl/>
              </w:rPr>
              <w:t>من</w:t>
            </w:r>
            <w:r w:rsidRPr="00924A6B">
              <w:rPr>
                <w:rFonts w:ascii="Arabic Typesetting" w:hAnsi="Arabic Typesetting"/>
                <w:sz w:val="30"/>
                <w:szCs w:val="30"/>
                <w:rtl/>
              </w:rPr>
              <w:t xml:space="preserve"> المستند الذي يثبت</w:t>
            </w:r>
            <w:r w:rsidR="006D4351">
              <w:rPr>
                <w:rFonts w:ascii="Arabic Typesetting" w:hAnsi="Arabic Typesetting" w:hint="cs"/>
                <w:sz w:val="30"/>
                <w:szCs w:val="30"/>
                <w:rtl/>
              </w:rPr>
              <w:t xml:space="preserve"> الحصول على</w:t>
            </w:r>
            <w:r w:rsidRPr="00924A6B">
              <w:rPr>
                <w:rFonts w:ascii="Arabic Typesetting" w:hAnsi="Arabic Typesetting"/>
                <w:sz w:val="30"/>
                <w:szCs w:val="30"/>
                <w:rtl/>
              </w:rPr>
              <w:t xml:space="preserve"> ترخيص أو </w:t>
            </w:r>
            <w:r w:rsidR="006D4351">
              <w:rPr>
                <w:rFonts w:ascii="Arabic Typesetting" w:hAnsi="Arabic Typesetting" w:hint="cs"/>
                <w:sz w:val="30"/>
                <w:szCs w:val="30"/>
                <w:rtl/>
              </w:rPr>
              <w:t>إذن ب</w:t>
            </w:r>
            <w:r w:rsidRPr="00924A6B">
              <w:rPr>
                <w:rFonts w:ascii="Arabic Typesetting" w:hAnsi="Arabic Typesetting"/>
                <w:sz w:val="30"/>
                <w:szCs w:val="30"/>
                <w:rtl/>
              </w:rPr>
              <w:t xml:space="preserve">استخدام المعارف التقليدية من الجماعات الأصلية </w:t>
            </w:r>
            <w:r w:rsidR="006D4351">
              <w:rPr>
                <w:rFonts w:ascii="Arabic Typesetting" w:hAnsi="Arabic Typesetting" w:hint="cs"/>
                <w:sz w:val="30"/>
                <w:szCs w:val="30"/>
                <w:rtl/>
              </w:rPr>
              <w:t xml:space="preserve">أو </w:t>
            </w:r>
            <w:r w:rsidRPr="00924A6B">
              <w:rPr>
                <w:rFonts w:ascii="Arabic Typesetting" w:hAnsi="Arabic Typesetting"/>
                <w:sz w:val="30"/>
                <w:szCs w:val="30"/>
                <w:rtl/>
              </w:rPr>
              <w:t xml:space="preserve">الأفريقية الأمريكية أو المحلية في البلدان الأعضاء </w:t>
            </w:r>
            <w:r w:rsidR="006D4351">
              <w:rPr>
                <w:rFonts w:ascii="Arabic Typesetting" w:hAnsi="Arabic Typesetting" w:hint="cs"/>
                <w:sz w:val="30"/>
                <w:szCs w:val="30"/>
                <w:rtl/>
              </w:rPr>
              <w:t>حيث تم إنتاج</w:t>
            </w:r>
            <w:r w:rsidRPr="00924A6B">
              <w:rPr>
                <w:rFonts w:ascii="Arabic Typesetting" w:hAnsi="Arabic Typesetting"/>
                <w:sz w:val="30"/>
                <w:szCs w:val="30"/>
                <w:rtl/>
              </w:rPr>
              <w:t xml:space="preserve"> المنتجات أو العمليات </w:t>
            </w:r>
            <w:r w:rsidR="006D4351">
              <w:rPr>
                <w:rFonts w:ascii="Arabic Typesetting" w:hAnsi="Arabic Typesetting" w:hint="cs"/>
                <w:sz w:val="30"/>
                <w:szCs w:val="30"/>
                <w:rtl/>
              </w:rPr>
              <w:t>المطالب بحمايتها أو تم تطويرها</w:t>
            </w:r>
            <w:r w:rsidRPr="00924A6B">
              <w:rPr>
                <w:rFonts w:ascii="Arabic Typesetting" w:hAnsi="Arabic Typesetting"/>
                <w:sz w:val="30"/>
                <w:szCs w:val="30"/>
                <w:rtl/>
              </w:rPr>
              <w:t xml:space="preserve"> على أساس معارف تكون أحد البلدان الأعضاء بلد منشئها."</w:t>
            </w:r>
          </w:p>
          <w:p w:rsidR="00A359B1" w:rsidRPr="00924A6B" w:rsidRDefault="00570F78" w:rsidP="006D4351">
            <w:pPr>
              <w:pStyle w:val="NormalWeb"/>
              <w:bidi/>
              <w:spacing w:after="120" w:line="300" w:lineRule="exact"/>
              <w:rPr>
                <w:rFonts w:ascii="Arabic Typesetting" w:hAnsi="Arabic Typesetting"/>
                <w:sz w:val="30"/>
                <w:szCs w:val="30"/>
                <w:rtl/>
              </w:rPr>
            </w:pPr>
            <w:r w:rsidRPr="00924A6B">
              <w:rPr>
                <w:rFonts w:ascii="Arabic Typesetting" w:hAnsi="Arabic Typesetting"/>
                <w:b/>
                <w:bCs/>
                <w:sz w:val="30"/>
                <w:szCs w:val="30"/>
                <w:rtl/>
              </w:rPr>
              <w:t xml:space="preserve">جنوب أفريقيا: </w:t>
            </w:r>
            <w:r w:rsidR="006D4351">
              <w:rPr>
                <w:rFonts w:ascii="Arabic Typesetting" w:hAnsi="Arabic Typesetting" w:hint="cs"/>
                <w:sz w:val="30"/>
                <w:szCs w:val="30"/>
                <w:rtl/>
              </w:rPr>
              <w:t>الفصل</w:t>
            </w:r>
            <w:r w:rsidRPr="00924A6B">
              <w:rPr>
                <w:rFonts w:ascii="Arabic Typesetting" w:hAnsi="Arabic Typesetting"/>
                <w:sz w:val="30"/>
                <w:szCs w:val="30"/>
                <w:rtl/>
              </w:rPr>
              <w:t xml:space="preserve"> 61 من </w:t>
            </w:r>
            <w:r w:rsidRPr="00924A6B">
              <w:rPr>
                <w:rFonts w:ascii="Arabic Typesetting" w:hAnsi="Arabic Typesetting"/>
                <w:i/>
                <w:iCs/>
                <w:sz w:val="30"/>
                <w:szCs w:val="30"/>
                <w:rtl/>
              </w:rPr>
              <w:t>قانون البراءات المعدَّل لسنة 2005 (القانون رقم 20 لسنة 2005)</w:t>
            </w:r>
            <w:r w:rsidRPr="00924A6B">
              <w:rPr>
                <w:rFonts w:ascii="Arabic Typesetting" w:hAnsi="Arabic Typesetting"/>
                <w:sz w:val="30"/>
                <w:szCs w:val="30"/>
                <w:rtl/>
              </w:rPr>
              <w:t xml:space="preserve"> </w:t>
            </w:r>
            <w:r w:rsidR="006D4351">
              <w:rPr>
                <w:rFonts w:ascii="Arabic Typesetting" w:hAnsi="Arabic Typesetting" w:hint="cs"/>
                <w:sz w:val="30"/>
                <w:szCs w:val="30"/>
                <w:rtl/>
              </w:rPr>
              <w:t xml:space="preserve">ينص </w:t>
            </w:r>
            <w:r w:rsidRPr="00924A6B">
              <w:rPr>
                <w:rFonts w:ascii="Arabic Typesetting" w:hAnsi="Arabic Typesetting"/>
                <w:sz w:val="30"/>
                <w:szCs w:val="30"/>
                <w:rtl/>
              </w:rPr>
              <w:t>على ما يلي:</w:t>
            </w:r>
          </w:p>
          <w:p w:rsidR="00570F78" w:rsidRPr="00924A6B" w:rsidRDefault="00570F78" w:rsidP="006D4351">
            <w:pPr>
              <w:pStyle w:val="NormalWeb"/>
              <w:bidi/>
              <w:spacing w:after="120" w:line="300" w:lineRule="exact"/>
              <w:ind w:left="720"/>
              <w:rPr>
                <w:rFonts w:ascii="Arabic Typesetting" w:hAnsi="Arabic Typesetting"/>
                <w:sz w:val="30"/>
                <w:szCs w:val="30"/>
                <w:rtl/>
              </w:rPr>
            </w:pPr>
            <w:r w:rsidRPr="00924A6B">
              <w:rPr>
                <w:rFonts w:ascii="Arabic Typesetting" w:hAnsi="Arabic Typesetting"/>
                <w:sz w:val="30"/>
                <w:szCs w:val="30"/>
                <w:rtl/>
              </w:rPr>
              <w:t xml:space="preserve">"يجوز لأي شخص أن يطلب </w:t>
            </w:r>
            <w:r w:rsidR="006D4351" w:rsidRPr="00924A6B">
              <w:rPr>
                <w:rFonts w:ascii="Arabic Typesetting" w:hAnsi="Arabic Typesetting"/>
                <w:sz w:val="30"/>
                <w:szCs w:val="30"/>
                <w:rtl/>
              </w:rPr>
              <w:t xml:space="preserve">في أي وقت </w:t>
            </w:r>
            <w:r w:rsidRPr="00924A6B">
              <w:rPr>
                <w:rFonts w:ascii="Arabic Typesetting" w:hAnsi="Arabic Typesetting"/>
                <w:sz w:val="30"/>
                <w:szCs w:val="30"/>
                <w:rtl/>
              </w:rPr>
              <w:t xml:space="preserve">حسب الأصول إلغاء براءة بناء على أي من الأسباب التالية فقط: [...] أن الإعلان الإلزامي المودع فيما يخص طلب البراءة أو الإعلان المودع بناء على </w:t>
            </w:r>
            <w:r w:rsidR="006D4351">
              <w:rPr>
                <w:rFonts w:ascii="Arabic Typesetting" w:hAnsi="Arabic Typesetting" w:hint="cs"/>
                <w:sz w:val="30"/>
                <w:szCs w:val="30"/>
                <w:rtl/>
              </w:rPr>
              <w:t>الفصل</w:t>
            </w:r>
            <w:r w:rsidRPr="00924A6B">
              <w:rPr>
                <w:rFonts w:ascii="Arabic Typesetting" w:hAnsi="Arabic Typesetting"/>
                <w:sz w:val="30"/>
                <w:szCs w:val="30"/>
                <w:rtl/>
              </w:rPr>
              <w:t xml:space="preserve"> 30(3)(أ) [بشأن شرط الكشف] يحتوي على بيان أو تصوير جوهري خاطئ وكان المودع يعلم أو من المعقول توقع أنه يعلم أنه كان خطأ في تاريخ تقديم الإعلان أو التصوير."</w:t>
            </w:r>
          </w:p>
          <w:p w:rsidR="00A359B1" w:rsidRPr="00924A6B" w:rsidRDefault="00570F78" w:rsidP="006D4351">
            <w:pPr>
              <w:pStyle w:val="NormalWeb"/>
              <w:bidi/>
              <w:spacing w:after="120" w:line="300" w:lineRule="exact"/>
              <w:rPr>
                <w:rFonts w:ascii="Arabic Typesetting" w:hAnsi="Arabic Typesetting"/>
                <w:sz w:val="30"/>
                <w:szCs w:val="30"/>
                <w:rtl/>
              </w:rPr>
            </w:pPr>
            <w:r w:rsidRPr="00924A6B">
              <w:rPr>
                <w:rFonts w:ascii="Arabic Typesetting" w:hAnsi="Arabic Typesetting"/>
                <w:b/>
                <w:bCs/>
                <w:sz w:val="30"/>
                <w:szCs w:val="30"/>
                <w:rtl/>
              </w:rPr>
              <w:t>الهند:</w:t>
            </w:r>
            <w:r w:rsidRPr="00924A6B">
              <w:rPr>
                <w:rFonts w:ascii="Arabic Typesetting" w:hAnsi="Arabic Typesetting"/>
                <w:sz w:val="30"/>
                <w:szCs w:val="30"/>
                <w:rtl/>
              </w:rPr>
              <w:t xml:space="preserve"> المادة 10(4)(د)"2" من </w:t>
            </w:r>
            <w:r w:rsidRPr="00924A6B">
              <w:rPr>
                <w:rFonts w:ascii="Arabic Typesetting" w:hAnsi="Arabic Typesetting"/>
                <w:i/>
                <w:iCs/>
                <w:sz w:val="30"/>
                <w:szCs w:val="30"/>
                <w:rtl/>
              </w:rPr>
              <w:t>قانون البراءات لسنة 1970 بصيغتها المعدَّلة بموجب قانون البراءات (المعدَّل) لسنة 2005</w:t>
            </w:r>
            <w:r w:rsidRPr="00924A6B">
              <w:rPr>
                <w:rFonts w:ascii="Arabic Typesetting" w:hAnsi="Arabic Typesetting"/>
                <w:sz w:val="30"/>
                <w:szCs w:val="30"/>
                <w:rtl/>
              </w:rPr>
              <w:t xml:space="preserve"> </w:t>
            </w:r>
            <w:r w:rsidR="006D4351">
              <w:rPr>
                <w:rFonts w:ascii="Arabic Typesetting" w:hAnsi="Arabic Typesetting" w:hint="cs"/>
                <w:sz w:val="30"/>
                <w:szCs w:val="30"/>
                <w:rtl/>
              </w:rPr>
              <w:t xml:space="preserve">تنص </w:t>
            </w:r>
            <w:r w:rsidRPr="00924A6B">
              <w:rPr>
                <w:rFonts w:ascii="Arabic Typesetting" w:hAnsi="Arabic Typesetting"/>
                <w:sz w:val="30"/>
                <w:szCs w:val="30"/>
                <w:rtl/>
              </w:rPr>
              <w:t>على ما يلي:</w:t>
            </w:r>
          </w:p>
          <w:p w:rsidR="006D4351" w:rsidRPr="00924A6B" w:rsidRDefault="00570F78" w:rsidP="006D4351">
            <w:pPr>
              <w:pStyle w:val="NormalWeb"/>
              <w:bidi/>
              <w:spacing w:after="120" w:line="300" w:lineRule="exact"/>
              <w:ind w:left="720"/>
              <w:rPr>
                <w:rFonts w:ascii="Arabic Typesetting" w:hAnsi="Arabic Typesetting"/>
                <w:sz w:val="30"/>
                <w:szCs w:val="30"/>
                <w:rtl/>
              </w:rPr>
            </w:pPr>
            <w:r w:rsidRPr="00924A6B">
              <w:rPr>
                <w:rFonts w:ascii="Arabic Typesetting" w:hAnsi="Arabic Typesetting"/>
                <w:sz w:val="30"/>
                <w:szCs w:val="30"/>
                <w:rtl/>
              </w:rPr>
              <w:t>"إذا ذكر المودع مادة بيولوجية في الوصف لا يمكن وصفها بأي طريقة تستوفي أحكام البندين (أ) و(ب)،[7] وإذا لم تكن تلك المادة متاحة للجمهور، يُستكمل الطلب بإيداع المادة لدى سلطة الإيداع الدولية بموجب معاهدة بودابست أو باستيفاء الشروط التالية: [...] (د) الكشف عن المصدر والمنشأ الجغرافي للمادة البيولوجية في الوصف إذا كانت مستخدمة في الاختراع."</w:t>
            </w:r>
          </w:p>
        </w:tc>
      </w:tr>
    </w:tbl>
    <w:p w:rsidR="00570F78" w:rsidRPr="00924A6B" w:rsidRDefault="00570F78" w:rsidP="006D4351">
      <w:pPr>
        <w:pStyle w:val="NumberedParaAR"/>
        <w:spacing w:before="240"/>
        <w:rPr>
          <w:rtl/>
        </w:rPr>
      </w:pPr>
      <w:r w:rsidRPr="00924A6B">
        <w:rPr>
          <w:rtl/>
        </w:rPr>
        <w:t xml:space="preserve">وفيما يخص </w:t>
      </w:r>
      <w:r w:rsidRPr="00924A6B">
        <w:rPr>
          <w:b/>
          <w:bCs/>
          <w:rtl/>
        </w:rPr>
        <w:t>التدابير الدفاعية/التكميلية</w:t>
      </w:r>
      <w:r w:rsidRPr="00924A6B">
        <w:rPr>
          <w:rtl/>
        </w:rPr>
        <w:t xml:space="preserve"> المبيّنة في الوثيقة الموحدة، فمن الملاحظ أن بعض الدول الأعضاء ترى أ</w:t>
      </w:r>
      <w:r w:rsidR="00A359B1" w:rsidRPr="00924A6B">
        <w:rPr>
          <w:rtl/>
        </w:rPr>
        <w:t>ن</w:t>
      </w:r>
      <w:r w:rsidR="006D4351">
        <w:rPr>
          <w:rFonts w:hint="cs"/>
          <w:rtl/>
        </w:rPr>
        <w:t xml:space="preserve"> الاكتفاء</w:t>
      </w:r>
      <w:r w:rsidR="00A359B1" w:rsidRPr="00924A6B">
        <w:rPr>
          <w:rtl/>
        </w:rPr>
        <w:t xml:space="preserve"> </w:t>
      </w:r>
      <w:r w:rsidR="006D4351">
        <w:rPr>
          <w:rFonts w:hint="cs"/>
          <w:rtl/>
        </w:rPr>
        <w:t>ب</w:t>
      </w:r>
      <w:r w:rsidR="00A359B1" w:rsidRPr="00924A6B">
        <w:rPr>
          <w:rtl/>
        </w:rPr>
        <w:t>التدابير الدفاعية دون أي</w:t>
      </w:r>
      <w:r w:rsidRPr="00924A6B">
        <w:rPr>
          <w:rtl/>
        </w:rPr>
        <w:t xml:space="preserve"> شروط كشف إضافية</w:t>
      </w:r>
      <w:r w:rsidR="006D4351">
        <w:rPr>
          <w:rFonts w:hint="cs"/>
          <w:rtl/>
        </w:rPr>
        <w:t xml:space="preserve"> هو</w:t>
      </w:r>
      <w:r w:rsidRPr="00924A6B">
        <w:rPr>
          <w:rtl/>
        </w:rPr>
        <w:t xml:space="preserve"> </w:t>
      </w:r>
      <w:r w:rsidR="006D4351">
        <w:rPr>
          <w:rFonts w:hint="cs"/>
          <w:rtl/>
        </w:rPr>
        <w:t>أفض</w:t>
      </w:r>
      <w:r w:rsidRPr="00924A6B">
        <w:rPr>
          <w:rtl/>
        </w:rPr>
        <w:t>ل سبيل إلى تحقيق الأهداف المنشودة، في حين ترى دول أعضاء أخرى أنه يمكن تكملة شروط الكشف بتدابير دفاعية.</w:t>
      </w:r>
      <w:r w:rsidRPr="00924A6B">
        <w:rPr>
          <w:rtl/>
          <w:lang w:bidi="ar-EG"/>
        </w:rPr>
        <w:t xml:space="preserve"> </w:t>
      </w:r>
      <w:r w:rsidRPr="00924A6B">
        <w:rPr>
          <w:rtl/>
        </w:rPr>
        <w:t>وفي ضوء ما تقدَّم، قد تود الدول الأعضاء النظر في ضرورة إدراج التدابير الإضافية التالية في هذا الصك الدولي:</w:t>
      </w:r>
    </w:p>
    <w:p w:rsidR="00570F78" w:rsidRPr="00924A6B" w:rsidRDefault="00570F78" w:rsidP="007E49B2">
      <w:pPr>
        <w:pStyle w:val="ListParagraph"/>
        <w:numPr>
          <w:ilvl w:val="0"/>
          <w:numId w:val="5"/>
        </w:numPr>
        <w:bidi/>
        <w:spacing w:after="240" w:line="360" w:lineRule="exact"/>
        <w:ind w:left="1134" w:hanging="567"/>
        <w:contextualSpacing w:val="0"/>
        <w:rPr>
          <w:rFonts w:ascii="Arabic Typesetting" w:hAnsi="Arabic Typesetting"/>
          <w:sz w:val="36"/>
          <w:szCs w:val="36"/>
          <w:rtl/>
        </w:rPr>
      </w:pPr>
      <w:r w:rsidRPr="00924A6B">
        <w:rPr>
          <w:rFonts w:ascii="Arabic Typesetting" w:hAnsi="Arabic Typesetting"/>
          <w:b/>
          <w:bCs/>
          <w:sz w:val="36"/>
          <w:szCs w:val="36"/>
          <w:rtl/>
        </w:rPr>
        <w:t>تدابير العناية الواجبة</w:t>
      </w:r>
      <w:r w:rsidRPr="00924A6B">
        <w:rPr>
          <w:rFonts w:ascii="Arabic Typesetting" w:hAnsi="Arabic Typesetting"/>
          <w:sz w:val="36"/>
          <w:szCs w:val="36"/>
          <w:rtl/>
        </w:rPr>
        <w:t xml:space="preserve"> للتأكد من أن النفاذ إلى الموارد الوراثية تمّ وفقا للتشريع الساري بشأن النفاذ وتقاسم</w:t>
      </w:r>
      <w:r w:rsidR="001D76BF">
        <w:rPr>
          <w:rFonts w:ascii="Arabic Typesetting" w:hAnsi="Arabic Typesetting" w:hint="eastAsia"/>
          <w:sz w:val="36"/>
          <w:szCs w:val="36"/>
          <w:rtl/>
        </w:rPr>
        <w:t> </w:t>
      </w:r>
      <w:r w:rsidRPr="00924A6B">
        <w:rPr>
          <w:rFonts w:ascii="Arabic Typesetting" w:hAnsi="Arabic Typesetting"/>
          <w:sz w:val="36"/>
          <w:szCs w:val="36"/>
          <w:rtl/>
        </w:rPr>
        <w:t>المنافع؛</w:t>
      </w:r>
    </w:p>
    <w:p w:rsidR="00570F78" w:rsidRPr="00924A6B" w:rsidRDefault="00570F78" w:rsidP="007E49B2">
      <w:pPr>
        <w:pStyle w:val="ListParagraph"/>
        <w:numPr>
          <w:ilvl w:val="0"/>
          <w:numId w:val="5"/>
        </w:numPr>
        <w:bidi/>
        <w:spacing w:after="240" w:line="360" w:lineRule="exact"/>
        <w:ind w:left="1134" w:hanging="567"/>
        <w:contextualSpacing w:val="0"/>
        <w:rPr>
          <w:rFonts w:ascii="Arabic Typesetting" w:hAnsi="Arabic Typesetting"/>
          <w:sz w:val="36"/>
          <w:szCs w:val="36"/>
          <w:rtl/>
        </w:rPr>
      </w:pPr>
      <w:r w:rsidRPr="00924A6B">
        <w:rPr>
          <w:rFonts w:ascii="Arabic Typesetting" w:hAnsi="Arabic Typesetting"/>
          <w:b/>
          <w:bCs/>
          <w:sz w:val="36"/>
          <w:szCs w:val="36"/>
          <w:rtl/>
        </w:rPr>
        <w:t>تدابير إدارية</w:t>
      </w:r>
      <w:r w:rsidRPr="00924A6B">
        <w:rPr>
          <w:rFonts w:ascii="Arabic Typesetting" w:hAnsi="Arabic Typesetting"/>
          <w:sz w:val="36"/>
          <w:szCs w:val="36"/>
          <w:rtl/>
        </w:rPr>
        <w:t xml:space="preserve"> لتلافي منح البراءات عن خطأ لاختراعات مطالب بها </w:t>
      </w:r>
      <w:r w:rsidR="006D4351">
        <w:rPr>
          <w:rFonts w:ascii="Arabic Typesetting" w:hAnsi="Arabic Typesetting" w:hint="cs"/>
          <w:sz w:val="36"/>
          <w:szCs w:val="36"/>
          <w:rtl/>
        </w:rPr>
        <w:t>وهي تستند</w:t>
      </w:r>
      <w:r w:rsidRPr="00924A6B">
        <w:rPr>
          <w:rFonts w:ascii="Arabic Typesetting" w:hAnsi="Arabic Typesetting"/>
          <w:sz w:val="36"/>
          <w:szCs w:val="36"/>
          <w:rtl/>
        </w:rPr>
        <w:t xml:space="preserve"> إلى موارد وراثية أو </w:t>
      </w:r>
      <w:r w:rsidR="006D4351">
        <w:rPr>
          <w:rFonts w:ascii="Arabic Typesetting" w:hAnsi="Arabic Typesetting" w:hint="cs"/>
          <w:sz w:val="36"/>
          <w:szCs w:val="36"/>
          <w:rtl/>
        </w:rPr>
        <w:t>تطوَّر</w:t>
      </w:r>
      <w:r w:rsidR="001D76BF">
        <w:rPr>
          <w:rFonts w:ascii="Arabic Typesetting" w:hAnsi="Arabic Typesetting" w:hint="cs"/>
          <w:sz w:val="36"/>
          <w:szCs w:val="36"/>
          <w:rtl/>
        </w:rPr>
        <w:t> </w:t>
      </w:r>
      <w:r w:rsidRPr="00924A6B">
        <w:rPr>
          <w:rFonts w:ascii="Arabic Typesetting" w:hAnsi="Arabic Typesetting"/>
          <w:sz w:val="36"/>
          <w:szCs w:val="36"/>
          <w:rtl/>
        </w:rPr>
        <w:t>باستخدامها؛</w:t>
      </w:r>
    </w:p>
    <w:p w:rsidR="00570F78" w:rsidRPr="00924A6B" w:rsidRDefault="00570F78" w:rsidP="007E49B2">
      <w:pPr>
        <w:pStyle w:val="ListParagraph"/>
        <w:numPr>
          <w:ilvl w:val="0"/>
          <w:numId w:val="5"/>
        </w:numPr>
        <w:bidi/>
        <w:spacing w:after="240" w:line="360" w:lineRule="exact"/>
        <w:ind w:left="1134" w:hanging="567"/>
        <w:contextualSpacing w:val="0"/>
        <w:rPr>
          <w:rFonts w:ascii="Arabic Typesetting" w:hAnsi="Arabic Typesetting"/>
          <w:sz w:val="36"/>
          <w:szCs w:val="36"/>
          <w:rtl/>
        </w:rPr>
      </w:pPr>
      <w:r w:rsidRPr="00924A6B">
        <w:rPr>
          <w:rFonts w:ascii="Arabic Typesetting" w:hAnsi="Arabic Typesetting"/>
          <w:b/>
          <w:bCs/>
          <w:sz w:val="36"/>
          <w:szCs w:val="36"/>
          <w:rtl/>
        </w:rPr>
        <w:t>تدابير إدارية</w:t>
      </w:r>
      <w:r w:rsidRPr="00924A6B">
        <w:rPr>
          <w:rFonts w:ascii="Arabic Typesetting" w:hAnsi="Arabic Typesetting"/>
          <w:sz w:val="36"/>
          <w:szCs w:val="36"/>
          <w:rtl/>
        </w:rPr>
        <w:t xml:space="preserve"> لتمكين الأطراف الأخرى من الطعن في صلاحية البراءة المتعلقة بالموارد الوراثية؛</w:t>
      </w:r>
    </w:p>
    <w:p w:rsidR="00A359B1" w:rsidRPr="00924A6B" w:rsidRDefault="00570F78" w:rsidP="007E49B2">
      <w:pPr>
        <w:pStyle w:val="ListParagraph"/>
        <w:numPr>
          <w:ilvl w:val="0"/>
          <w:numId w:val="5"/>
        </w:numPr>
        <w:bidi/>
        <w:spacing w:after="240" w:line="360" w:lineRule="exact"/>
        <w:ind w:left="1134" w:hanging="567"/>
        <w:contextualSpacing w:val="0"/>
        <w:rPr>
          <w:rFonts w:ascii="Arabic Typesetting" w:hAnsi="Arabic Typesetting"/>
          <w:sz w:val="36"/>
          <w:szCs w:val="36"/>
          <w:rtl/>
        </w:rPr>
      </w:pPr>
      <w:r w:rsidRPr="00924A6B">
        <w:rPr>
          <w:rFonts w:ascii="Arabic Typesetting" w:hAnsi="Arabic Typesetting"/>
          <w:b/>
          <w:bCs/>
          <w:sz w:val="36"/>
          <w:szCs w:val="36"/>
          <w:rtl/>
        </w:rPr>
        <w:t xml:space="preserve">مدونات سلوك </w:t>
      </w:r>
      <w:r w:rsidR="006D4351">
        <w:rPr>
          <w:rFonts w:ascii="Arabic Typesetting" w:hAnsi="Arabic Typesetting" w:hint="cs"/>
          <w:b/>
          <w:bCs/>
          <w:sz w:val="36"/>
          <w:szCs w:val="36"/>
          <w:rtl/>
        </w:rPr>
        <w:t>اختيارية</w:t>
      </w:r>
      <w:r w:rsidRPr="00924A6B">
        <w:rPr>
          <w:rFonts w:ascii="Arabic Typesetting" w:hAnsi="Arabic Typesetting"/>
          <w:b/>
          <w:bCs/>
          <w:sz w:val="36"/>
          <w:szCs w:val="36"/>
          <w:rtl/>
        </w:rPr>
        <w:t xml:space="preserve"> ومبادئ توجيهية</w:t>
      </w:r>
      <w:r w:rsidRPr="00924A6B">
        <w:rPr>
          <w:rFonts w:ascii="Arabic Typesetting" w:hAnsi="Arabic Typesetting"/>
          <w:sz w:val="36"/>
          <w:szCs w:val="36"/>
          <w:rtl/>
        </w:rPr>
        <w:t xml:space="preserve"> للمستخدمين </w:t>
      </w:r>
      <w:r w:rsidR="006D4351">
        <w:rPr>
          <w:rFonts w:ascii="Arabic Typesetting" w:hAnsi="Arabic Typesetting" w:hint="cs"/>
          <w:sz w:val="36"/>
          <w:szCs w:val="36"/>
          <w:rtl/>
        </w:rPr>
        <w:t>عن</w:t>
      </w:r>
      <w:r w:rsidRPr="00924A6B">
        <w:rPr>
          <w:rFonts w:ascii="Arabic Typesetting" w:hAnsi="Arabic Typesetting"/>
          <w:sz w:val="36"/>
          <w:szCs w:val="36"/>
          <w:rtl/>
        </w:rPr>
        <w:t xml:space="preserve"> استخدام الموارد الوراثية.</w:t>
      </w:r>
    </w:p>
    <w:p w:rsidR="00570F78" w:rsidRPr="00924A6B" w:rsidRDefault="00570F78" w:rsidP="006D4351">
      <w:pPr>
        <w:pStyle w:val="NumberedParaAR"/>
        <w:rPr>
          <w:rtl/>
        </w:rPr>
      </w:pPr>
      <w:r w:rsidRPr="00924A6B">
        <w:rPr>
          <w:rtl/>
        </w:rPr>
        <w:lastRenderedPageBreak/>
        <w:t xml:space="preserve">ويبدو وجود رأي واسع على مستوى الدول الأعضاء بأن </w:t>
      </w:r>
      <w:r w:rsidRPr="00924A6B">
        <w:rPr>
          <w:b/>
          <w:bCs/>
          <w:rtl/>
        </w:rPr>
        <w:t>قواعد البيانات</w:t>
      </w:r>
      <w:r w:rsidRPr="00924A6B">
        <w:rPr>
          <w:rtl/>
        </w:rPr>
        <w:t>، أيا كان النهج المُتبّع (شرط كشف جديد أم لا)، لها دور أساسي فيما يخص نظام الملكية الفكرية/البراءات والموارد الوراثية.</w:t>
      </w:r>
      <w:r w:rsidRPr="00924A6B">
        <w:rPr>
          <w:rtl/>
          <w:lang w:bidi="ar-EG"/>
        </w:rPr>
        <w:t xml:space="preserve"> </w:t>
      </w:r>
      <w:r w:rsidRPr="00924A6B">
        <w:rPr>
          <w:rtl/>
        </w:rPr>
        <w:t>وقد تود الدول الأعضاء النظر في إمكانية اعتبار قواعد البيانات تدابير دفاعية قائمة بحد ذاتها لتحقيق الأهداف</w:t>
      </w:r>
      <w:r w:rsidR="006D4351">
        <w:rPr>
          <w:rFonts w:hint="cs"/>
          <w:rtl/>
        </w:rPr>
        <w:t xml:space="preserve"> المنشودة</w:t>
      </w:r>
      <w:r w:rsidRPr="00924A6B">
        <w:rPr>
          <w:rtl/>
        </w:rPr>
        <w:t xml:space="preserve"> أو مجرّد تدابير تكميلية لشروط الكشف.</w:t>
      </w:r>
      <w:r w:rsidRPr="00924A6B">
        <w:rPr>
          <w:rtl/>
          <w:lang w:bidi="ar-EG"/>
        </w:rPr>
        <w:t xml:space="preserve"> </w:t>
      </w:r>
      <w:r w:rsidRPr="00924A6B">
        <w:rPr>
          <w:rtl/>
        </w:rPr>
        <w:t>وقد تود الدول الأعضاء أيضاً النظر في الضمانات المحتملة اللازمة فيما يخص قواعد البيانات والمعلومات المتعلقة بالموارد الوراثية.</w:t>
      </w:r>
      <w:r w:rsidRPr="00924A6B">
        <w:rPr>
          <w:rtl/>
          <w:lang w:bidi="ar-EG"/>
        </w:rPr>
        <w:t xml:space="preserve"> </w:t>
      </w:r>
      <w:r w:rsidRPr="00924A6B">
        <w:rPr>
          <w:rtl/>
        </w:rPr>
        <w:t xml:space="preserve">وإذا كان الصك ينطبق أيضاً على المعارف التقليدية المرتبطة بالموارد الوراثية، </w:t>
      </w:r>
      <w:r w:rsidR="006D4351">
        <w:rPr>
          <w:rFonts w:hint="cs"/>
          <w:rtl/>
        </w:rPr>
        <w:t>ف</w:t>
      </w:r>
      <w:r w:rsidRPr="00924A6B">
        <w:rPr>
          <w:rtl/>
        </w:rPr>
        <w:t xml:space="preserve">ما هي الضمانات الإضافية اللازمة للمعارف التقليدية المملوكة على نطاق واسع و/أو </w:t>
      </w:r>
      <w:r w:rsidR="006D4351">
        <w:rPr>
          <w:rFonts w:hint="cs"/>
          <w:rtl/>
        </w:rPr>
        <w:t>ال</w:t>
      </w:r>
      <w:r w:rsidRPr="00924A6B">
        <w:rPr>
          <w:rtl/>
        </w:rPr>
        <w:t>متاحة للجمهور؟</w:t>
      </w:r>
    </w:p>
    <w:p w:rsidR="00570F78" w:rsidRPr="00924A6B" w:rsidRDefault="00570F78" w:rsidP="00C02A1C">
      <w:pPr>
        <w:pStyle w:val="Heading1"/>
        <w:rPr>
          <w:rtl/>
        </w:rPr>
      </w:pPr>
      <w:r w:rsidRPr="00924A6B">
        <w:rPr>
          <w:rtl/>
        </w:rPr>
        <w:t>موارد مفيدة أخرى</w:t>
      </w:r>
    </w:p>
    <w:p w:rsidR="00C02A1C" w:rsidRPr="00924A6B" w:rsidRDefault="00570F78" w:rsidP="006D4351">
      <w:pPr>
        <w:pStyle w:val="NumberedParaAR"/>
      </w:pPr>
      <w:r w:rsidRPr="00924A6B">
        <w:rPr>
          <w:rtl/>
        </w:rPr>
        <w:t>ألاحظ وجود بعض الموارد المفيدة للغاية المتاحة على موقع الويبو الإلكتروني، والتي قد ترغب الدول الأعضاء في استخدامها كمواد مرجعية في تحضيرها للدورة السادسة والثلاثين للجنة المعارف، ومنها ما يلي:</w:t>
      </w:r>
    </w:p>
    <w:p w:rsidR="00570F78" w:rsidRPr="006D4351" w:rsidRDefault="00570F78" w:rsidP="007E49B2">
      <w:pPr>
        <w:pStyle w:val="ListParagraph"/>
        <w:numPr>
          <w:ilvl w:val="0"/>
          <w:numId w:val="4"/>
        </w:numPr>
        <w:bidi/>
        <w:spacing w:after="240" w:line="360" w:lineRule="exact"/>
        <w:ind w:left="1134" w:hanging="567"/>
        <w:contextualSpacing w:val="0"/>
        <w:rPr>
          <w:rFonts w:ascii="Arabic Typesetting" w:hAnsi="Arabic Typesetting"/>
          <w:sz w:val="36"/>
          <w:szCs w:val="36"/>
          <w:rtl/>
        </w:rPr>
      </w:pPr>
      <w:r w:rsidRPr="00924A6B">
        <w:rPr>
          <w:rFonts w:ascii="Arabic Typesetting" w:hAnsi="Arabic Typesetting"/>
          <w:sz w:val="36"/>
          <w:szCs w:val="36"/>
          <w:rtl/>
        </w:rPr>
        <w:t xml:space="preserve">موجز </w:t>
      </w:r>
      <w:r w:rsidRPr="006D4351">
        <w:rPr>
          <w:rFonts w:ascii="Arabic Typesetting" w:hAnsi="Arabic Typesetting"/>
          <w:sz w:val="36"/>
          <w:szCs w:val="36"/>
          <w:rtl/>
        </w:rPr>
        <w:t xml:space="preserve">المعلومات الأساسية رقم 10: الملكية الفكرية والموارد الوراثية، </w:t>
      </w:r>
      <w:hyperlink r:id="rId10" w:history="1">
        <w:r w:rsidRPr="006D4351">
          <w:rPr>
            <w:rStyle w:val="Hyperlink"/>
            <w:rFonts w:ascii="Arabic Typesetting" w:hAnsi="Arabic Typesetting"/>
            <w:color w:val="auto"/>
            <w:sz w:val="36"/>
            <w:szCs w:val="36"/>
            <w:u w:val="none"/>
          </w:rPr>
          <w:t>http://www.wipo.int/publications/ar/details.jsp?id=4011</w:t>
        </w:r>
      </w:hyperlink>
      <w:r w:rsidRPr="006D4351">
        <w:rPr>
          <w:rFonts w:ascii="Arabic Typesetting" w:hAnsi="Arabic Typesetting"/>
          <w:sz w:val="36"/>
          <w:szCs w:val="36"/>
          <w:rtl/>
        </w:rPr>
        <w:t>؛</w:t>
      </w:r>
    </w:p>
    <w:p w:rsidR="00570F78" w:rsidRPr="006D4351" w:rsidRDefault="00570F78" w:rsidP="007E49B2">
      <w:pPr>
        <w:pStyle w:val="ListParagraph"/>
        <w:numPr>
          <w:ilvl w:val="0"/>
          <w:numId w:val="4"/>
        </w:numPr>
        <w:bidi/>
        <w:spacing w:after="240" w:line="360" w:lineRule="exact"/>
        <w:ind w:left="1134" w:hanging="567"/>
        <w:contextualSpacing w:val="0"/>
        <w:rPr>
          <w:rFonts w:ascii="Arabic Typesetting" w:hAnsi="Arabic Typesetting"/>
          <w:sz w:val="36"/>
          <w:szCs w:val="36"/>
          <w:rtl/>
        </w:rPr>
      </w:pPr>
      <w:r w:rsidRPr="006D4351">
        <w:rPr>
          <w:rFonts w:ascii="Arabic Typesetting" w:hAnsi="Arabic Typesetting"/>
          <w:sz w:val="36"/>
          <w:szCs w:val="36"/>
          <w:rtl/>
        </w:rPr>
        <w:t xml:space="preserve">التجارب الإقليمية والوطنية والمحلية والمجتمعية، </w:t>
      </w:r>
      <w:hyperlink r:id="rId11" w:history="1">
        <w:r w:rsidRPr="006D4351">
          <w:rPr>
            <w:rStyle w:val="Hyperlink"/>
            <w:rFonts w:ascii="Arabic Typesetting" w:hAnsi="Arabic Typesetting"/>
            <w:color w:val="auto"/>
            <w:sz w:val="36"/>
            <w:szCs w:val="36"/>
            <w:u w:val="none"/>
          </w:rPr>
          <w:t>http://www.wipo.int/tk/en/resources/tk_experiences.html</w:t>
        </w:r>
      </w:hyperlink>
      <w:r w:rsidRPr="006D4351">
        <w:rPr>
          <w:rFonts w:ascii="Arabic Typesetting" w:hAnsi="Arabic Typesetting"/>
          <w:sz w:val="36"/>
          <w:szCs w:val="36"/>
          <w:rtl/>
        </w:rPr>
        <w:t>؛</w:t>
      </w:r>
    </w:p>
    <w:p w:rsidR="00570F78" w:rsidRPr="00924A6B" w:rsidRDefault="00570F78" w:rsidP="007E49B2">
      <w:pPr>
        <w:pStyle w:val="ListParagraph"/>
        <w:numPr>
          <w:ilvl w:val="0"/>
          <w:numId w:val="4"/>
        </w:numPr>
        <w:bidi/>
        <w:spacing w:after="240" w:line="360" w:lineRule="exact"/>
        <w:ind w:left="1134" w:hanging="567"/>
        <w:contextualSpacing w:val="0"/>
        <w:rPr>
          <w:rFonts w:ascii="Arabic Typesetting" w:hAnsi="Arabic Typesetting"/>
          <w:sz w:val="36"/>
          <w:szCs w:val="36"/>
          <w:rtl/>
        </w:rPr>
      </w:pPr>
      <w:r w:rsidRPr="006D4351">
        <w:rPr>
          <w:rFonts w:ascii="Arabic Typesetting" w:hAnsi="Arabic Typesetting"/>
          <w:sz w:val="36"/>
          <w:szCs w:val="36"/>
          <w:rtl/>
        </w:rPr>
        <w:t>محاضرات وعروض بشأن موضوعات مختارة،</w:t>
      </w:r>
      <w:r w:rsidR="00C02A1C" w:rsidRPr="006D4351">
        <w:rPr>
          <w:rFonts w:ascii="Arabic Typesetting" w:hAnsi="Arabic Typesetting"/>
          <w:sz w:val="36"/>
          <w:szCs w:val="36"/>
          <w:rtl/>
        </w:rPr>
        <w:t xml:space="preserve"> </w:t>
      </w:r>
      <w:hyperlink r:id="rId12" w:anchor="4" w:history="1">
        <w:r w:rsidRPr="006D4351">
          <w:rPr>
            <w:rStyle w:val="Hyperlink"/>
            <w:rFonts w:ascii="Arabic Typesetting" w:hAnsi="Arabic Typesetting"/>
            <w:color w:val="auto"/>
            <w:sz w:val="36"/>
            <w:szCs w:val="36"/>
            <w:u w:val="none"/>
          </w:rPr>
          <w:t>http://www.wipo.int/tk/en/resources/tk_experiences.html#4</w:t>
        </w:r>
      </w:hyperlink>
      <w:r w:rsidR="00C02A1C" w:rsidRPr="00924A6B">
        <w:rPr>
          <w:rStyle w:val="Hyperlink"/>
          <w:rFonts w:ascii="Arabic Typesetting" w:hAnsi="Arabic Typesetting"/>
          <w:color w:val="auto"/>
          <w:sz w:val="36"/>
          <w:szCs w:val="36"/>
          <w:u w:val="none"/>
          <w:rtl/>
        </w:rPr>
        <w:t>؛</w:t>
      </w:r>
    </w:p>
    <w:p w:rsidR="00570F78" w:rsidRPr="00924A6B" w:rsidRDefault="00570F78" w:rsidP="007E49B2">
      <w:pPr>
        <w:numPr>
          <w:ilvl w:val="1"/>
          <w:numId w:val="4"/>
        </w:numPr>
        <w:bidi/>
        <w:spacing w:after="240" w:line="360" w:lineRule="exact"/>
        <w:ind w:left="2266" w:hanging="567"/>
        <w:rPr>
          <w:rFonts w:ascii="Arabic Typesetting" w:hAnsi="Arabic Typesetting" w:cs="Arabic Typesetting"/>
          <w:sz w:val="36"/>
          <w:szCs w:val="36"/>
          <w:rtl/>
        </w:rPr>
      </w:pPr>
      <w:r w:rsidRPr="00924A6B">
        <w:rPr>
          <w:rFonts w:ascii="Arabic Typesetting" w:hAnsi="Arabic Typesetting" w:cs="Arabic Typesetting"/>
          <w:sz w:val="36"/>
          <w:szCs w:val="36"/>
          <w:rtl/>
        </w:rPr>
        <w:t>عروض بشأن شروط الكشف؛</w:t>
      </w:r>
    </w:p>
    <w:p w:rsidR="00570F78" w:rsidRPr="00924A6B" w:rsidRDefault="00570F78" w:rsidP="007E49B2">
      <w:pPr>
        <w:numPr>
          <w:ilvl w:val="1"/>
          <w:numId w:val="4"/>
        </w:numPr>
        <w:bidi/>
        <w:spacing w:after="240" w:line="360" w:lineRule="exact"/>
        <w:ind w:left="2266" w:hanging="567"/>
        <w:rPr>
          <w:rFonts w:ascii="Arabic Typesetting" w:hAnsi="Arabic Typesetting" w:cs="Arabic Typesetting"/>
          <w:sz w:val="36"/>
          <w:szCs w:val="36"/>
          <w:rtl/>
        </w:rPr>
      </w:pPr>
      <w:r w:rsidRPr="00924A6B">
        <w:rPr>
          <w:rFonts w:ascii="Arabic Typesetting" w:hAnsi="Arabic Typesetting" w:cs="Arabic Typesetting"/>
          <w:sz w:val="36"/>
          <w:szCs w:val="36"/>
          <w:rtl/>
        </w:rPr>
        <w:t>عروض بشأن قواعد البيانات.</w:t>
      </w:r>
    </w:p>
    <w:p w:rsidR="003C5A31" w:rsidRPr="00924A6B" w:rsidRDefault="003C5A31" w:rsidP="00757C40">
      <w:pPr>
        <w:pStyle w:val="NormalParaAR"/>
        <w:spacing w:before="480"/>
        <w:jc w:val="center"/>
        <w:rPr>
          <w:rtl/>
        </w:rPr>
      </w:pPr>
      <w:r w:rsidRPr="00924A6B">
        <w:rPr>
          <w:rtl/>
        </w:rPr>
        <w:t>ـــــــــــــــــــــــــ</w:t>
      </w:r>
    </w:p>
    <w:sectPr w:rsidR="003C5A31" w:rsidRPr="00924A6B" w:rsidSect="00EB7752">
      <w:headerReference w:type="defaul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FF" w:rsidRDefault="00311AFF">
      <w:r>
        <w:separator/>
      </w:r>
    </w:p>
  </w:endnote>
  <w:endnote w:type="continuationSeparator" w:id="0">
    <w:p w:rsidR="00311AFF" w:rsidRDefault="0031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FF" w:rsidRDefault="00311AFF" w:rsidP="009622BF">
      <w:pPr>
        <w:bidi/>
      </w:pPr>
      <w:bookmarkStart w:id="0" w:name="OLE_LINK1"/>
      <w:bookmarkStart w:id="1" w:name="OLE_LINK2"/>
      <w:r>
        <w:separator/>
      </w:r>
      <w:bookmarkEnd w:id="0"/>
      <w:bookmarkEnd w:id="1"/>
    </w:p>
  </w:footnote>
  <w:footnote w:type="continuationSeparator" w:id="0">
    <w:p w:rsidR="00311AFF" w:rsidRDefault="00311AFF" w:rsidP="009622BF">
      <w:pPr>
        <w:bidi/>
      </w:pPr>
      <w:r>
        <w:separator/>
      </w:r>
    </w:p>
  </w:footnote>
  <w:footnote w:id="1">
    <w:p w:rsidR="003C5A31" w:rsidRDefault="003C5A31" w:rsidP="00AD68F5">
      <w:pPr>
        <w:pStyle w:val="FootnoteText"/>
      </w:pPr>
      <w:r>
        <w:rPr>
          <w:rStyle w:val="FootnoteReference"/>
        </w:rPr>
        <w:footnoteRef/>
      </w:r>
      <w:r>
        <w:rPr>
          <w:rFonts w:hint="cs"/>
          <w:rtl/>
        </w:rPr>
        <w:tab/>
      </w:r>
      <w:r>
        <w:rPr>
          <w:rFonts w:hint="cs"/>
          <w:rtl/>
          <w:lang w:bidi="ar-EG"/>
        </w:rPr>
        <w:t>ملاحظة</w:t>
      </w:r>
      <w:r w:rsidRPr="001F0D91">
        <w:rPr>
          <w:rtl/>
          <w:lang w:bidi="ar-EG"/>
        </w:rPr>
        <w:t xml:space="preserve"> من أمانة الويبو: أعد</w:t>
      </w:r>
      <w:r>
        <w:rPr>
          <w:rFonts w:hint="cs"/>
          <w:rtl/>
          <w:lang w:bidi="ar-EG"/>
        </w:rPr>
        <w:t>َّ</w:t>
      </w:r>
      <w:r>
        <w:rPr>
          <w:rtl/>
          <w:lang w:bidi="ar-EG"/>
        </w:rPr>
        <w:t xml:space="preserve"> رئيس </w:t>
      </w:r>
      <w:r w:rsidRPr="001F0D91">
        <w:rPr>
          <w:rtl/>
          <w:lang w:bidi="ar-EG"/>
        </w:rPr>
        <w:t xml:space="preserve">لجنة </w:t>
      </w:r>
      <w:r w:rsidR="00AD68F5">
        <w:rPr>
          <w:rFonts w:hint="cs"/>
          <w:rtl/>
          <w:lang w:bidi="ar-EG"/>
        </w:rPr>
        <w:t>المعارف</w:t>
      </w:r>
      <w:r w:rsidRPr="001F0D91">
        <w:rPr>
          <w:rtl/>
          <w:lang w:bidi="ar-EG"/>
        </w:rPr>
        <w:t xml:space="preserve">، السيد إيان غوس، هذه المذكرة الإعلامية لمساعدة الدول الأعضاء </w:t>
      </w:r>
      <w:r>
        <w:rPr>
          <w:rFonts w:hint="cs"/>
          <w:rtl/>
          <w:lang w:bidi="ar-EG"/>
        </w:rPr>
        <w:t xml:space="preserve">على التحضير للدورة </w:t>
      </w:r>
      <w:r w:rsidR="00AD68F5">
        <w:rPr>
          <w:rFonts w:hint="cs"/>
          <w:rtl/>
          <w:lang w:bidi="ar-EG"/>
        </w:rPr>
        <w:t>السادسة</w:t>
      </w:r>
      <w:r>
        <w:rPr>
          <w:rFonts w:hint="cs"/>
          <w:rtl/>
          <w:lang w:bidi="ar-EG"/>
        </w:rPr>
        <w:t xml:space="preserve"> والثلاثين</w:t>
      </w:r>
      <w:r w:rsidRPr="001F0D91">
        <w:rPr>
          <w:rtl/>
          <w:lang w:bidi="ar-EG"/>
        </w:rPr>
        <w:t xml:space="preserve"> للجنة </w:t>
      </w:r>
      <w:r>
        <w:rPr>
          <w:rFonts w:hint="cs"/>
          <w:rtl/>
        </w:rPr>
        <w:t>المعارف</w:t>
      </w:r>
      <w:r w:rsidRPr="001F0D91">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276B93" w:rsidP="00796CF7"/>
  <w:p w:rsidR="00276B93" w:rsidRDefault="00276B93" w:rsidP="00D61541">
    <w:r>
      <w:fldChar w:fldCharType="begin"/>
    </w:r>
    <w:r>
      <w:instrText xml:space="preserve"> PAGE  \* MERGEFORMAT </w:instrText>
    </w:r>
    <w:r>
      <w:fldChar w:fldCharType="separate"/>
    </w:r>
    <w:r w:rsidR="00284C39">
      <w:rPr>
        <w:noProof/>
      </w:rPr>
      <w:t>10</w:t>
    </w:r>
    <w:r>
      <w:fldChar w:fldCharType="end"/>
    </w:r>
  </w:p>
  <w:p w:rsidR="00276B93" w:rsidRDefault="00276B9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12B"/>
    <w:multiLevelType w:val="hybridMultilevel"/>
    <w:tmpl w:val="C3182688"/>
    <w:lvl w:ilvl="0" w:tplc="9658268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87973"/>
    <w:multiLevelType w:val="hybridMultilevel"/>
    <w:tmpl w:val="3A9CF774"/>
    <w:lvl w:ilvl="0" w:tplc="D6AAC6A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F2354F"/>
    <w:multiLevelType w:val="hybridMultilevel"/>
    <w:tmpl w:val="D4124356"/>
    <w:lvl w:ilvl="0" w:tplc="B0041FF8">
      <w:start w:val="1"/>
      <w:numFmt w:val="bullet"/>
      <w:lvlText w:val=""/>
      <w:lvlJc w:val="left"/>
      <w:pPr>
        <w:ind w:left="720" w:hanging="360"/>
      </w:pPr>
      <w:rPr>
        <w:rFonts w:ascii="Symbol" w:hAnsi="Symbol" w:hint="default"/>
        <w:sz w:val="24"/>
        <w:szCs w:val="24"/>
      </w:rPr>
    </w:lvl>
    <w:lvl w:ilvl="1" w:tplc="C3A4001C">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E74750"/>
    <w:multiLevelType w:val="hybridMultilevel"/>
    <w:tmpl w:val="71483A32"/>
    <w:lvl w:ilvl="0" w:tplc="FD1A90DE">
      <w:start w:val="1"/>
      <w:numFmt w:val="decimal"/>
      <w:pStyle w:val="Heading2"/>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5F050D23"/>
    <w:multiLevelType w:val="hybridMultilevel"/>
    <w:tmpl w:val="826E35C0"/>
    <w:lvl w:ilvl="0" w:tplc="70F86E5E">
      <w:start w:val="1"/>
      <w:numFmt w:val="bullet"/>
      <w:lvlText w:val=""/>
      <w:lvlJc w:val="left"/>
      <w:pPr>
        <w:ind w:left="1287" w:hanging="360"/>
      </w:pPr>
      <w:rPr>
        <w:rFonts w:ascii="Symbol" w:hAnsi="Symbol" w:hint="default"/>
        <w:sz w:val="24"/>
        <w:szCs w:val="24"/>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B41A39"/>
    <w:multiLevelType w:val="hybridMultilevel"/>
    <w:tmpl w:val="64046494"/>
    <w:lvl w:ilvl="0" w:tplc="E42AB7BA">
      <w:start w:val="1"/>
      <w:numFmt w:val="bullet"/>
      <w:lvlText w:val=""/>
      <w:lvlJc w:val="left"/>
      <w:pPr>
        <w:ind w:left="846" w:hanging="360"/>
      </w:pPr>
      <w:rPr>
        <w:rFonts w:ascii="Symbol" w:hAnsi="Symbol" w:hint="default"/>
        <w:sz w:val="24"/>
        <w:szCs w:val="24"/>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A3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4D5C"/>
    <w:rsid w:val="000B5064"/>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868"/>
    <w:rsid w:val="000F49FA"/>
    <w:rsid w:val="000F58C4"/>
    <w:rsid w:val="000F5E56"/>
    <w:rsid w:val="000F70F9"/>
    <w:rsid w:val="000F7AF3"/>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C6B"/>
    <w:rsid w:val="00130FC9"/>
    <w:rsid w:val="001310EE"/>
    <w:rsid w:val="0013191A"/>
    <w:rsid w:val="00131E8F"/>
    <w:rsid w:val="00135C24"/>
    <w:rsid w:val="00136389"/>
    <w:rsid w:val="0013681B"/>
    <w:rsid w:val="00136A1A"/>
    <w:rsid w:val="00136A96"/>
    <w:rsid w:val="001376B6"/>
    <w:rsid w:val="00140A35"/>
    <w:rsid w:val="00142F4D"/>
    <w:rsid w:val="00143428"/>
    <w:rsid w:val="0014412C"/>
    <w:rsid w:val="00144713"/>
    <w:rsid w:val="001447D9"/>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6BF"/>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258"/>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4C39"/>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1AFF"/>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1B3"/>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28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5F69"/>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A3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13B"/>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2E16"/>
    <w:rsid w:val="004B3AF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4C48"/>
    <w:rsid w:val="00565379"/>
    <w:rsid w:val="005674C3"/>
    <w:rsid w:val="00567990"/>
    <w:rsid w:val="00567C4C"/>
    <w:rsid w:val="00570F78"/>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670"/>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713"/>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7B0"/>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6FF"/>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4351"/>
    <w:rsid w:val="006D6E46"/>
    <w:rsid w:val="006D7FA8"/>
    <w:rsid w:val="006E4601"/>
    <w:rsid w:val="006E5B86"/>
    <w:rsid w:val="006E63FF"/>
    <w:rsid w:val="006E652D"/>
    <w:rsid w:val="006E7572"/>
    <w:rsid w:val="006F2F22"/>
    <w:rsid w:val="006F434A"/>
    <w:rsid w:val="006F7974"/>
    <w:rsid w:val="00700A60"/>
    <w:rsid w:val="007025FA"/>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C40"/>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9B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796"/>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20E"/>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A6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C0A"/>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6D43"/>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120"/>
    <w:rsid w:val="009B528E"/>
    <w:rsid w:val="009B54FE"/>
    <w:rsid w:val="009B77DD"/>
    <w:rsid w:val="009B79DE"/>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5FE2"/>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58A"/>
    <w:rsid w:val="00A359B1"/>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8D2"/>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68F5"/>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17C"/>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459"/>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1C5"/>
    <w:rsid w:val="00BF4D03"/>
    <w:rsid w:val="00BF4E85"/>
    <w:rsid w:val="00BF54BD"/>
    <w:rsid w:val="00BF5892"/>
    <w:rsid w:val="00C00784"/>
    <w:rsid w:val="00C01804"/>
    <w:rsid w:val="00C026BC"/>
    <w:rsid w:val="00C02A1C"/>
    <w:rsid w:val="00C02AD4"/>
    <w:rsid w:val="00C03869"/>
    <w:rsid w:val="00C07988"/>
    <w:rsid w:val="00C07C5E"/>
    <w:rsid w:val="00C10068"/>
    <w:rsid w:val="00C10AC5"/>
    <w:rsid w:val="00C12DAD"/>
    <w:rsid w:val="00C12E17"/>
    <w:rsid w:val="00C141E2"/>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1C13"/>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96B"/>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94B"/>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4A2"/>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3FA9"/>
    <w:rsid w:val="00DB432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D6F"/>
    <w:rsid w:val="00EA04AE"/>
    <w:rsid w:val="00EA062F"/>
    <w:rsid w:val="00EA17A9"/>
    <w:rsid w:val="00EA311B"/>
    <w:rsid w:val="00EA36CA"/>
    <w:rsid w:val="00EA3D9C"/>
    <w:rsid w:val="00EA43C0"/>
    <w:rsid w:val="00EA4CB0"/>
    <w:rsid w:val="00EA566F"/>
    <w:rsid w:val="00EB104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571"/>
    <w:rsid w:val="00EF5B34"/>
    <w:rsid w:val="00EF657C"/>
    <w:rsid w:val="00F004D1"/>
    <w:rsid w:val="00F00C0D"/>
    <w:rsid w:val="00F0128B"/>
    <w:rsid w:val="00F02663"/>
    <w:rsid w:val="00F02D1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DDF"/>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A8B"/>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D1796B"/>
    <w:pPr>
      <w:keepNext/>
      <w:bidi/>
      <w:spacing w:before="240" w:after="240" w:line="360" w:lineRule="exact"/>
      <w:outlineLvl w:val="0"/>
    </w:pPr>
    <w:rPr>
      <w:rFonts w:ascii="Arabic Typesetting" w:hAnsi="Arabic Typesetting" w:cs="Arabic Typesetting"/>
      <w:bCs/>
      <w:sz w:val="36"/>
      <w:szCs w:val="36"/>
      <w:u w:val="single"/>
      <w:lang w:bidi="ar-EG"/>
    </w:rPr>
  </w:style>
  <w:style w:type="paragraph" w:styleId="Heading2">
    <w:name w:val="heading 2"/>
    <w:basedOn w:val="NormalParaAR"/>
    <w:next w:val="NormalParaAR"/>
    <w:qFormat/>
    <w:rsid w:val="00C02A1C"/>
    <w:pPr>
      <w:keepNext/>
      <w:numPr>
        <w:numId w:val="6"/>
      </w:numPr>
      <w:outlineLvl w:val="1"/>
    </w:pPr>
    <w:rPr>
      <w:b/>
      <w:bCs/>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nhideWhenUsed/>
    <w:rsid w:val="003C5A31"/>
    <w:rPr>
      <w:color w:val="0000FF" w:themeColor="hyperlink"/>
      <w:u w:val="single"/>
    </w:rPr>
  </w:style>
  <w:style w:type="character" w:customStyle="1" w:styleId="Heading1Char">
    <w:name w:val="Heading 1 Char"/>
    <w:basedOn w:val="DefaultParagraphFont"/>
    <w:link w:val="Heading1"/>
    <w:rsid w:val="00EF5571"/>
    <w:rPr>
      <w:rFonts w:ascii="Arabic Typesetting" w:hAnsi="Arabic Typesetting" w:cs="Arabic Typesetting"/>
      <w:bCs/>
      <w:sz w:val="36"/>
      <w:szCs w:val="36"/>
      <w:u w:val="single"/>
      <w:lang w:bidi="ar-EG"/>
    </w:rPr>
  </w:style>
  <w:style w:type="paragraph" w:styleId="ListParagraph">
    <w:name w:val="List Paragraph"/>
    <w:basedOn w:val="Normal"/>
    <w:uiPriority w:val="34"/>
    <w:qFormat/>
    <w:rsid w:val="00570F78"/>
    <w:pPr>
      <w:ind w:left="720"/>
      <w:contextualSpacing/>
    </w:pPr>
    <w:rPr>
      <w:rFonts w:ascii="Times New Roman" w:hAnsi="Times New Roman" w:cs="Arabic Typesetting"/>
      <w:sz w:val="24"/>
      <w:szCs w:val="24"/>
      <w:lang w:bidi="ar-EG"/>
    </w:rPr>
  </w:style>
  <w:style w:type="paragraph" w:styleId="NormalWeb">
    <w:name w:val="Normal (Web)"/>
    <w:basedOn w:val="Normal"/>
    <w:uiPriority w:val="99"/>
    <w:unhideWhenUsed/>
    <w:rsid w:val="00570F78"/>
    <w:rPr>
      <w:rFonts w:ascii="Times New Roman" w:hAnsi="Times New Roman" w:cs="Arabic Typesetting"/>
      <w:sz w:val="24"/>
      <w:szCs w:val="24"/>
      <w:lang w:bidi="ar-EG"/>
    </w:rPr>
  </w:style>
  <w:style w:type="paragraph" w:styleId="BalloonText">
    <w:name w:val="Balloon Text"/>
    <w:basedOn w:val="Normal"/>
    <w:link w:val="BalloonTextChar"/>
    <w:rsid w:val="000F4868"/>
    <w:rPr>
      <w:rFonts w:ascii="Tahoma" w:hAnsi="Tahoma" w:cs="Tahoma"/>
      <w:sz w:val="16"/>
      <w:szCs w:val="16"/>
    </w:rPr>
  </w:style>
  <w:style w:type="character" w:customStyle="1" w:styleId="BalloonTextChar">
    <w:name w:val="Balloon Text Char"/>
    <w:basedOn w:val="DefaultParagraphFont"/>
    <w:link w:val="BalloonText"/>
    <w:rsid w:val="000F4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D1796B"/>
    <w:pPr>
      <w:keepNext/>
      <w:bidi/>
      <w:spacing w:before="240" w:after="240" w:line="360" w:lineRule="exact"/>
      <w:outlineLvl w:val="0"/>
    </w:pPr>
    <w:rPr>
      <w:rFonts w:ascii="Arabic Typesetting" w:hAnsi="Arabic Typesetting" w:cs="Arabic Typesetting"/>
      <w:bCs/>
      <w:sz w:val="36"/>
      <w:szCs w:val="36"/>
      <w:u w:val="single"/>
      <w:lang w:bidi="ar-EG"/>
    </w:rPr>
  </w:style>
  <w:style w:type="paragraph" w:styleId="Heading2">
    <w:name w:val="heading 2"/>
    <w:basedOn w:val="NormalParaAR"/>
    <w:next w:val="NormalParaAR"/>
    <w:qFormat/>
    <w:rsid w:val="00C02A1C"/>
    <w:pPr>
      <w:keepNext/>
      <w:numPr>
        <w:numId w:val="6"/>
      </w:numPr>
      <w:outlineLvl w:val="1"/>
    </w:pPr>
    <w:rPr>
      <w:b/>
      <w:bCs/>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nhideWhenUsed/>
    <w:rsid w:val="003C5A31"/>
    <w:rPr>
      <w:color w:val="0000FF" w:themeColor="hyperlink"/>
      <w:u w:val="single"/>
    </w:rPr>
  </w:style>
  <w:style w:type="character" w:customStyle="1" w:styleId="Heading1Char">
    <w:name w:val="Heading 1 Char"/>
    <w:basedOn w:val="DefaultParagraphFont"/>
    <w:link w:val="Heading1"/>
    <w:rsid w:val="00EF5571"/>
    <w:rPr>
      <w:rFonts w:ascii="Arabic Typesetting" w:hAnsi="Arabic Typesetting" w:cs="Arabic Typesetting"/>
      <w:bCs/>
      <w:sz w:val="36"/>
      <w:szCs w:val="36"/>
      <w:u w:val="single"/>
      <w:lang w:bidi="ar-EG"/>
    </w:rPr>
  </w:style>
  <w:style w:type="paragraph" w:styleId="ListParagraph">
    <w:name w:val="List Paragraph"/>
    <w:basedOn w:val="Normal"/>
    <w:uiPriority w:val="34"/>
    <w:qFormat/>
    <w:rsid w:val="00570F78"/>
    <w:pPr>
      <w:ind w:left="720"/>
      <w:contextualSpacing/>
    </w:pPr>
    <w:rPr>
      <w:rFonts w:ascii="Times New Roman" w:hAnsi="Times New Roman" w:cs="Arabic Typesetting"/>
      <w:sz w:val="24"/>
      <w:szCs w:val="24"/>
      <w:lang w:bidi="ar-EG"/>
    </w:rPr>
  </w:style>
  <w:style w:type="paragraph" w:styleId="NormalWeb">
    <w:name w:val="Normal (Web)"/>
    <w:basedOn w:val="Normal"/>
    <w:uiPriority w:val="99"/>
    <w:unhideWhenUsed/>
    <w:rsid w:val="00570F78"/>
    <w:rPr>
      <w:rFonts w:ascii="Times New Roman" w:hAnsi="Times New Roman" w:cs="Arabic Typesetting"/>
      <w:sz w:val="24"/>
      <w:szCs w:val="24"/>
      <w:lang w:bidi="ar-EG"/>
    </w:rPr>
  </w:style>
  <w:style w:type="paragraph" w:styleId="BalloonText">
    <w:name w:val="Balloon Text"/>
    <w:basedOn w:val="Normal"/>
    <w:link w:val="BalloonTextChar"/>
    <w:rsid w:val="000F4868"/>
    <w:rPr>
      <w:rFonts w:ascii="Tahoma" w:hAnsi="Tahoma" w:cs="Tahoma"/>
      <w:sz w:val="16"/>
      <w:szCs w:val="16"/>
    </w:rPr>
  </w:style>
  <w:style w:type="character" w:customStyle="1" w:styleId="BalloonTextChar">
    <w:name w:val="Balloon Text Char"/>
    <w:basedOn w:val="DefaultParagraphFont"/>
    <w:link w:val="BalloonText"/>
    <w:rsid w:val="000F4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publications/en/details.jsp?id=419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ipo.int/tk/en/resources/tk_experien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tk/en/resources/tk_experienc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publications/ar/details.jsp?id=4011" TargetMode="External"/><Relationship Id="rId4" Type="http://schemas.openxmlformats.org/officeDocument/2006/relationships/settings" Target="settings.xml"/><Relationship Id="rId9" Type="http://schemas.openxmlformats.org/officeDocument/2006/relationships/hyperlink" Target="http://www.wipo.int/export/sites/www/tk/en/documents/pdf/genetic_resources_disclosur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3621</Words>
  <Characters>19649</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Ahmed Hassan</dc:creator>
  <cp:lastModifiedBy>MORENO PALESTINI Maria Del Pilar</cp:lastModifiedBy>
  <cp:revision>2</cp:revision>
  <cp:lastPrinted>2018-06-22T15:11:00Z</cp:lastPrinted>
  <dcterms:created xsi:type="dcterms:W3CDTF">2018-06-26T08:14:00Z</dcterms:created>
  <dcterms:modified xsi:type="dcterms:W3CDTF">2018-06-26T08:14:00Z</dcterms:modified>
</cp:coreProperties>
</file>