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93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205693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6C2C242C" wp14:editId="74749076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93" w:rsidRDefault="00FD0C32" w:rsidP="007029A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WIPO/GRTKF/IC/3</w:t>
      </w:r>
      <w:r w:rsidR="007029A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C33D2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INF/5</w:t>
      </w:r>
    </w:p>
    <w:bookmarkEnd w:id="2"/>
    <w:p w:rsidR="00205693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C33D22">
        <w:rPr>
          <w:b/>
          <w:bCs/>
          <w:sz w:val="30"/>
          <w:szCs w:val="30"/>
          <w:rtl/>
        </w:rPr>
        <w:t>بالإنكليزية</w:t>
      </w:r>
      <w:proofErr w:type="gramEnd"/>
    </w:p>
    <w:p w:rsidR="00205693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C33D22">
        <w:rPr>
          <w:b/>
          <w:bCs/>
          <w:sz w:val="30"/>
          <w:szCs w:val="30"/>
          <w:rtl/>
        </w:rPr>
        <w:t xml:space="preserve">13 </w:t>
      </w:r>
      <w:proofErr w:type="gramStart"/>
      <w:r w:rsidR="00C33D22">
        <w:rPr>
          <w:b/>
          <w:bCs/>
          <w:sz w:val="30"/>
          <w:szCs w:val="30"/>
          <w:rtl/>
        </w:rPr>
        <w:t>نوفمبر</w:t>
      </w:r>
      <w:proofErr w:type="gramEnd"/>
      <w:r w:rsidR="00C33D22">
        <w:rPr>
          <w:b/>
          <w:bCs/>
          <w:sz w:val="30"/>
          <w:szCs w:val="30"/>
          <w:rtl/>
        </w:rPr>
        <w:t xml:space="preserve"> 2018</w:t>
      </w:r>
    </w:p>
    <w:p w:rsidR="00205693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05693" w:rsidRDefault="00FD0C32" w:rsidP="007029AA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7029AA">
        <w:rPr>
          <w:rFonts w:ascii="Arial Black" w:hAnsi="Arial Black" w:cs="PT Bold Heading" w:hint="cs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  <w:proofErr w:type="gramEnd"/>
    </w:p>
    <w:p w:rsidR="00205693" w:rsidRDefault="00FD0C32" w:rsidP="007029AA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proofErr w:type="gramStart"/>
      <w:r>
        <w:rPr>
          <w:b/>
          <w:bCs/>
          <w:rtl/>
        </w:rPr>
        <w:t>من</w:t>
      </w:r>
      <w:proofErr w:type="gramEnd"/>
      <w:r w:rsidR="007029AA">
        <w:rPr>
          <w:rFonts w:hint="cs"/>
          <w:b/>
          <w:bCs/>
          <w:rtl/>
        </w:rPr>
        <w:t xml:space="preserve"> 10 إلى 14 ديسمبر 2018</w:t>
      </w:r>
    </w:p>
    <w:p w:rsidR="00205693" w:rsidRDefault="00C33D22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مذكرة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إعلامية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لمنبر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الجماعات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الأصلية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والمحلية</w:t>
      </w:r>
      <w:proofErr w:type="gramEnd"/>
    </w:p>
    <w:p w:rsidR="00205693" w:rsidRDefault="00C33D22" w:rsidP="00874721">
      <w:pPr>
        <w:spacing w:before="200" w:after="960"/>
        <w:rPr>
          <w:i/>
          <w:iCs/>
          <w:rtl/>
        </w:rPr>
      </w:pPr>
      <w:proofErr w:type="gramStart"/>
      <w:r>
        <w:rPr>
          <w:i/>
          <w:iCs/>
          <w:rtl/>
        </w:rPr>
        <w:t>وثيقة</w:t>
      </w:r>
      <w:proofErr w:type="gramEnd"/>
      <w:r>
        <w:rPr>
          <w:i/>
          <w:iCs/>
          <w:rtl/>
        </w:rPr>
        <w:t xml:space="preserve">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2A5B82" w:rsidRDefault="002A5B82" w:rsidP="002A5B82">
      <w:pPr>
        <w:pStyle w:val="ONUMA"/>
        <w:rPr>
          <w:rFonts w:hint="cs"/>
          <w:rtl/>
        </w:rPr>
      </w:pPr>
      <w:r w:rsidRPr="002A5B82">
        <w:rPr>
          <w:rtl/>
        </w:rPr>
        <w:t>اتفقت اللجنة الحكومية الدولية المعنية بالملكية الفكرية والموارد الوراثية والمعارف التقليدية والفولكلور ("اللجنة")، في</w:t>
      </w:r>
      <w:r>
        <w:rPr>
          <w:rFonts w:hint="cs"/>
          <w:rtl/>
        </w:rPr>
        <w:t> </w:t>
      </w:r>
      <w:r w:rsidRPr="002A5B82">
        <w:rPr>
          <w:rtl/>
        </w:rPr>
        <w:t>دورتها السابعة، على "أن ينظَّم، تماما قبل استهلال دورات اللجنة، منبر يدوم نصف اليوم ويترأسه ممثل عن أحد ا</w:t>
      </w:r>
      <w:r>
        <w:rPr>
          <w:rtl/>
        </w:rPr>
        <w:t xml:space="preserve">لمجتمعات المحلية أو الأصلية". </w:t>
      </w:r>
      <w:r w:rsidRPr="002A5B82">
        <w:rPr>
          <w:rtl/>
        </w:rPr>
        <w:t>وقد تواصل تنظيم منابر على ذلك المنوال قبل كل دورة من دورات اللجنة المعقودة منذ عام</w:t>
      </w:r>
      <w:r>
        <w:rPr>
          <w:rFonts w:hint="cs"/>
          <w:rtl/>
        </w:rPr>
        <w:t> </w:t>
      </w:r>
      <w:r w:rsidRPr="002A5B82">
        <w:rPr>
          <w:rtl/>
        </w:rPr>
        <w:t>2005.</w:t>
      </w:r>
    </w:p>
    <w:p w:rsidR="0047241F" w:rsidRDefault="002A5B82" w:rsidP="0047241F">
      <w:pPr>
        <w:pStyle w:val="ONUMA"/>
        <w:spacing w:before="120"/>
        <w:rPr>
          <w:rtl/>
        </w:rPr>
      </w:pPr>
      <w:proofErr w:type="gramStart"/>
      <w:r w:rsidRPr="002A5B82">
        <w:rPr>
          <w:rtl/>
        </w:rPr>
        <w:t>وطبقا</w:t>
      </w:r>
      <w:proofErr w:type="gramEnd"/>
      <w:r w:rsidRPr="002A5B82">
        <w:rPr>
          <w:rtl/>
        </w:rPr>
        <w:t xml:space="preserve"> لولاية لجنة المعارف وب</w:t>
      </w:r>
      <w:r w:rsidR="0047241F">
        <w:rPr>
          <w:rtl/>
        </w:rPr>
        <w:t>رنامج عملها للثنائية 2018-2019</w:t>
      </w:r>
      <w:r w:rsidR="0047241F">
        <w:rPr>
          <w:rFonts w:hint="cs"/>
          <w:rtl/>
        </w:rPr>
        <w:t xml:space="preserve">، </w:t>
      </w:r>
      <w:r w:rsidRPr="002A5B82">
        <w:rPr>
          <w:rtl/>
        </w:rPr>
        <w:t>ستركّز الدورة الثامنة والثلاثون على المعارف التقليدية وأ</w:t>
      </w:r>
      <w:r w:rsidR="0047241F">
        <w:rPr>
          <w:rtl/>
        </w:rPr>
        <w:t xml:space="preserve">شكال التعبير الثقافي التقليدي. </w:t>
      </w:r>
      <w:proofErr w:type="gramStart"/>
      <w:r w:rsidRPr="002A5B82">
        <w:rPr>
          <w:rtl/>
        </w:rPr>
        <w:t>وبناء</w:t>
      </w:r>
      <w:proofErr w:type="gramEnd"/>
      <w:r w:rsidRPr="002A5B82">
        <w:rPr>
          <w:rtl/>
        </w:rPr>
        <w:t xml:space="preserve"> عليه، فإن موضوع المنبر في تلك الدورة هو: "وجهات نظر الشعوب الأصلية والجماعات المحلية بشأن الفجوات القائمة في حماية الملكية الفكرية للمعارف التقليدية وأشكال التعبير الثقافي التقليدي: أمثلة</w:t>
      </w:r>
      <w:r w:rsidR="0047241F">
        <w:rPr>
          <w:rFonts w:hint="cs"/>
          <w:rtl/>
        </w:rPr>
        <w:t xml:space="preserve"> </w:t>
      </w:r>
      <w:r w:rsidRPr="002A5B82">
        <w:rPr>
          <w:rtl/>
        </w:rPr>
        <w:t>وحلول مقترحة".</w:t>
      </w:r>
    </w:p>
    <w:p w:rsidR="0047241F" w:rsidRDefault="0047241F" w:rsidP="0047241F">
      <w:pPr>
        <w:pStyle w:val="ONUMA"/>
        <w:spacing w:before="120"/>
        <w:rPr>
          <w:rFonts w:hint="cs"/>
        </w:rPr>
      </w:pPr>
      <w:r w:rsidRPr="0047241F">
        <w:rPr>
          <w:rtl/>
        </w:rPr>
        <w:t xml:space="preserve">ويرد في مرفق هذه الوثيقة البرنامج المؤقت لجلسة المنبر في الدورة الثامنة </w:t>
      </w:r>
      <w:proofErr w:type="gramStart"/>
      <w:r w:rsidRPr="0047241F">
        <w:rPr>
          <w:rtl/>
        </w:rPr>
        <w:t>والثلاثين</w:t>
      </w:r>
      <w:proofErr w:type="gramEnd"/>
      <w:r w:rsidRPr="0047241F">
        <w:rPr>
          <w:rtl/>
        </w:rPr>
        <w:t>.</w:t>
      </w:r>
    </w:p>
    <w:p w:rsidR="0047241F" w:rsidRDefault="0047241F" w:rsidP="0047241F">
      <w:pPr>
        <w:pStyle w:val="Endofdocument-Annex"/>
        <w:spacing w:before="120"/>
        <w:rPr>
          <w:rtl/>
        </w:rPr>
        <w:sectPr w:rsidR="0047241F" w:rsidSect="00EB77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205693" w:rsidRPr="0047241F" w:rsidRDefault="0047241F" w:rsidP="00DF51CB">
      <w:pPr>
        <w:pStyle w:val="BodyText"/>
        <w:keepNext/>
        <w:spacing w:after="240"/>
        <w:rPr>
          <w:sz w:val="40"/>
          <w:szCs w:val="40"/>
        </w:rPr>
      </w:pPr>
      <w:r w:rsidRPr="0047241F">
        <w:rPr>
          <w:sz w:val="40"/>
          <w:szCs w:val="40"/>
          <w:rtl/>
        </w:rPr>
        <w:t>البرنامج المؤقت لجلسة المنبر</w:t>
      </w:r>
    </w:p>
    <w:tbl>
      <w:tblPr>
        <w:bidiVisual/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47241F" w:rsidRPr="0047241F" w:rsidTr="0047241F">
        <w:tc>
          <w:tcPr>
            <w:tcW w:w="3438" w:type="dxa"/>
            <w:gridSpan w:val="2"/>
            <w:shd w:val="clear" w:color="auto" w:fill="auto"/>
          </w:tcPr>
          <w:p w:rsidR="0047241F" w:rsidRPr="0047241F" w:rsidRDefault="00DF51CB" w:rsidP="0047241F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u w:val="single"/>
                <w:rtl/>
                <w:lang w:eastAsia="zh-CN"/>
              </w:rPr>
              <w:t>ال</w:t>
            </w:r>
            <w:r>
              <w:rPr>
                <w:rFonts w:eastAsia="SimSun" w:hint="cs"/>
                <w:u w:val="single"/>
                <w:rtl/>
                <w:lang w:eastAsia="zh-CN"/>
              </w:rPr>
              <w:t>إ</w:t>
            </w:r>
            <w:r w:rsidR="0047241F" w:rsidRPr="0047241F">
              <w:rPr>
                <w:rFonts w:eastAsia="SimSun"/>
                <w:u w:val="single"/>
                <w:rtl/>
                <w:lang w:eastAsia="zh-CN"/>
              </w:rPr>
              <w:t>ثنين</w:t>
            </w:r>
            <w:proofErr w:type="spellEnd"/>
            <w:r w:rsidR="0047241F" w:rsidRPr="0047241F">
              <w:rPr>
                <w:rFonts w:eastAsia="SimSun"/>
                <w:u w:val="single"/>
                <w:rtl/>
                <w:lang w:eastAsia="zh-CN"/>
              </w:rPr>
              <w:t>، 10 ديسمبر 2018</w:t>
            </w:r>
          </w:p>
        </w:tc>
        <w:tc>
          <w:tcPr>
            <w:tcW w:w="6133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u w:val="single"/>
                <w:lang w:eastAsia="zh-CN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>11.00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rtl/>
                <w:lang w:eastAsia="zh-CN"/>
              </w:rPr>
              <w:t>افت</w:t>
            </w:r>
            <w:r>
              <w:rPr>
                <w:rFonts w:eastAsia="SimSun" w:hint="cs"/>
                <w:rtl/>
                <w:lang w:eastAsia="zh-CN"/>
              </w:rPr>
              <w:t>ت</w:t>
            </w:r>
            <w:r w:rsidRPr="0047241F">
              <w:rPr>
                <w:rFonts w:eastAsia="SimSun"/>
                <w:rtl/>
                <w:lang w:eastAsia="zh-CN"/>
              </w:rPr>
              <w:t>اح</w:t>
            </w:r>
            <w:proofErr w:type="gramEnd"/>
            <w:r w:rsidRPr="0047241F">
              <w:rPr>
                <w:rFonts w:eastAsia="SimSun"/>
                <w:rtl/>
                <w:lang w:eastAsia="zh-CN"/>
              </w:rPr>
              <w:t xml:space="preserve"> الجلسة</w:t>
            </w: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>الرئيس - (يختاره منتدى السكان الأصليين الاستشاري في الويبو)</w:t>
            </w: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 xml:space="preserve">11.00 - </w:t>
            </w:r>
            <w:r w:rsidRPr="0047241F">
              <w:rPr>
                <w:rFonts w:eastAsia="SimSun" w:hint="cs"/>
                <w:rtl/>
                <w:lang w:eastAsia="zh-CN"/>
              </w:rPr>
              <w:t xml:space="preserve"> </w:t>
            </w:r>
            <w:r w:rsidRPr="0047241F">
              <w:rPr>
                <w:rFonts w:eastAsia="SimSun"/>
                <w:rtl/>
                <w:lang w:eastAsia="zh-CN"/>
              </w:rPr>
              <w:t>11.15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val="en-GB"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 xml:space="preserve">السيد </w:t>
            </w:r>
            <w:proofErr w:type="spellStart"/>
            <w:r w:rsidRPr="0047241F">
              <w:rPr>
                <w:rFonts w:eastAsia="SimSun"/>
                <w:rtl/>
                <w:lang w:eastAsia="zh-CN"/>
              </w:rPr>
              <w:t>إليفوراها</w:t>
            </w:r>
            <w:proofErr w:type="spellEnd"/>
            <w:r w:rsidRPr="0047241F">
              <w:rPr>
                <w:rFonts w:eastAsia="SimSun"/>
                <w:rtl/>
                <w:lang w:eastAsia="zh-CN"/>
              </w:rPr>
              <w:t xml:space="preserve"> </w:t>
            </w:r>
            <w:proofErr w:type="spellStart"/>
            <w:r w:rsidRPr="0047241F">
              <w:rPr>
                <w:rFonts w:eastAsia="SimSun"/>
                <w:rtl/>
                <w:lang w:eastAsia="zh-CN"/>
              </w:rPr>
              <w:t>لالتيكا</w:t>
            </w:r>
            <w:proofErr w:type="spellEnd"/>
            <w:r w:rsidRPr="0047241F">
              <w:rPr>
                <w:rFonts w:eastAsia="SimSun"/>
                <w:rtl/>
                <w:lang w:eastAsia="zh-CN"/>
              </w:rPr>
              <w:t>، المدير التنفيذي لقانون ومناصرة الرعاة، تنزانيا</w:t>
            </w: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>11.15 - 11.30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 xml:space="preserve">السيدة جون ل. </w:t>
            </w:r>
            <w:proofErr w:type="spellStart"/>
            <w:r w:rsidRPr="0047241F">
              <w:rPr>
                <w:rFonts w:eastAsia="SimSun"/>
                <w:rtl/>
                <w:lang w:eastAsia="zh-CN"/>
              </w:rPr>
              <w:t>لورينزو</w:t>
            </w:r>
            <w:proofErr w:type="spellEnd"/>
            <w:r w:rsidRPr="0047241F">
              <w:rPr>
                <w:rFonts w:eastAsia="SimSun"/>
                <w:rtl/>
                <w:lang w:eastAsia="zh-CN"/>
              </w:rPr>
              <w:t>، عض</w:t>
            </w:r>
            <w:r>
              <w:rPr>
                <w:rFonts w:eastAsia="SimSun"/>
                <w:rtl/>
                <w:lang w:eastAsia="zh-CN"/>
              </w:rPr>
              <w:t xml:space="preserve">و، مجلس معاهدة الهنود الدولية، </w:t>
            </w:r>
            <w:r w:rsidRPr="0047241F">
              <w:rPr>
                <w:rFonts w:eastAsia="SimSun"/>
                <w:rtl/>
                <w:lang w:eastAsia="zh-CN"/>
              </w:rPr>
              <w:t>الولايات المتحدة الأمريكية</w:t>
            </w:r>
            <w:r w:rsidRPr="0047241F">
              <w:rPr>
                <w:rFonts w:eastAsia="SimSun"/>
                <w:lang w:eastAsia="zh-CN"/>
              </w:rPr>
              <w:t xml:space="preserve"> </w:t>
            </w: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>11.30 - 11.45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 xml:space="preserve">السيد </w:t>
            </w:r>
            <w:proofErr w:type="spellStart"/>
            <w:r w:rsidRPr="0047241F">
              <w:rPr>
                <w:rFonts w:eastAsia="SimSun"/>
                <w:rtl/>
                <w:lang w:eastAsia="zh-CN"/>
              </w:rPr>
              <w:t>كعباج</w:t>
            </w:r>
            <w:proofErr w:type="spellEnd"/>
            <w:r w:rsidRPr="0047241F">
              <w:rPr>
                <w:rFonts w:eastAsia="SimSun"/>
                <w:rtl/>
                <w:lang w:eastAsia="zh-CN"/>
              </w:rPr>
              <w:t xml:space="preserve"> </w:t>
            </w:r>
            <w:proofErr w:type="spellStart"/>
            <w:r w:rsidRPr="0047241F">
              <w:rPr>
                <w:rFonts w:eastAsia="SimSun"/>
                <w:rtl/>
                <w:lang w:eastAsia="zh-CN"/>
              </w:rPr>
              <w:t>كوندي</w:t>
            </w:r>
            <w:proofErr w:type="spellEnd"/>
            <w:r w:rsidRPr="0047241F">
              <w:rPr>
                <w:rFonts w:eastAsia="SimSun"/>
                <w:rtl/>
                <w:lang w:eastAsia="zh-CN"/>
              </w:rPr>
              <w:t xml:space="preserve"> تشوك، محام </w:t>
            </w:r>
            <w:proofErr w:type="spellStart"/>
            <w:r w:rsidRPr="0047241F">
              <w:rPr>
                <w:rFonts w:eastAsia="SimSun"/>
                <w:rtl/>
                <w:lang w:eastAsia="zh-CN"/>
              </w:rPr>
              <w:t>أيماري</w:t>
            </w:r>
            <w:proofErr w:type="spellEnd"/>
            <w:r w:rsidRPr="0047241F">
              <w:rPr>
                <w:rFonts w:eastAsia="SimSun"/>
                <w:rtl/>
                <w:lang w:eastAsia="zh-CN"/>
              </w:rPr>
              <w:t>، مركز الدراسات المتعددة التخصصات - أيمارا، بوليفيا (دولة – المتعددة القوميات)</w:t>
            </w: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r w:rsidRPr="0047241F">
              <w:rPr>
                <w:rFonts w:eastAsia="SimSun"/>
                <w:rtl/>
                <w:lang w:eastAsia="zh-CN"/>
              </w:rPr>
              <w:t>11.45 - 12.00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  <w:proofErr w:type="gramStart"/>
            <w:r w:rsidRPr="0047241F">
              <w:rPr>
                <w:rFonts w:eastAsia="SimSun"/>
                <w:rtl/>
                <w:lang w:eastAsia="zh-CN"/>
              </w:rPr>
              <w:t>نقاش</w:t>
            </w:r>
            <w:proofErr w:type="gramEnd"/>
            <w:r w:rsidRPr="0047241F">
              <w:rPr>
                <w:rFonts w:eastAsia="SimSun"/>
                <w:rtl/>
                <w:lang w:eastAsia="zh-CN"/>
              </w:rPr>
              <w:t xml:space="preserve"> مع الحاضرين واختتام الجلسة</w:t>
            </w: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</w:tr>
      <w:tr w:rsidR="0047241F" w:rsidRPr="0047241F" w:rsidTr="0047241F">
        <w:tc>
          <w:tcPr>
            <w:tcW w:w="2898" w:type="dxa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47241F" w:rsidRPr="0047241F" w:rsidRDefault="0047241F" w:rsidP="0047241F">
            <w:pPr>
              <w:rPr>
                <w:rFonts w:eastAsia="SimSun"/>
                <w:lang w:eastAsia="zh-CN"/>
              </w:rPr>
            </w:pPr>
          </w:p>
        </w:tc>
      </w:tr>
    </w:tbl>
    <w:p w:rsidR="00205693" w:rsidRDefault="0047241F" w:rsidP="0047241F">
      <w:pPr>
        <w:pStyle w:val="Endofdocument-Annex"/>
        <w:rPr>
          <w:rtl/>
        </w:rPr>
      </w:pPr>
      <w:r w:rsidRPr="0047241F">
        <w:rPr>
          <w:rtl/>
        </w:rPr>
        <w:t>[نهاي</w:t>
      </w:r>
      <w:bookmarkStart w:id="3" w:name="_GoBack"/>
      <w:bookmarkEnd w:id="3"/>
      <w:r w:rsidRPr="0047241F">
        <w:rPr>
          <w:rtl/>
        </w:rPr>
        <w:t xml:space="preserve">ة المرفق </w:t>
      </w:r>
      <w:proofErr w:type="gramStart"/>
      <w:r w:rsidRPr="0047241F">
        <w:rPr>
          <w:rtl/>
        </w:rPr>
        <w:t>والوثيقة</w:t>
      </w:r>
      <w:proofErr w:type="gramEnd"/>
      <w:r w:rsidRPr="0047241F">
        <w:rPr>
          <w:rtl/>
        </w:rPr>
        <w:t>]</w:t>
      </w:r>
    </w:p>
    <w:sectPr w:rsidR="00205693" w:rsidSect="00EB7752">
      <w:headerReference w:type="first" r:id="rId16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22" w:rsidRDefault="00C33D22">
      <w:r>
        <w:separator/>
      </w:r>
    </w:p>
  </w:endnote>
  <w:endnote w:type="continuationSeparator" w:id="0">
    <w:p w:rsidR="00C33D22" w:rsidRDefault="00C3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82" w:rsidRDefault="002A5B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82" w:rsidRDefault="002A5B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82" w:rsidRPr="00DF51CB" w:rsidRDefault="002A5B82" w:rsidP="00DF51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22" w:rsidRDefault="00C33D2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33D22" w:rsidRDefault="00C33D2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82" w:rsidRDefault="002A5B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22" w:rsidRDefault="002A5B82" w:rsidP="002A5B82">
    <w:pPr>
      <w:rPr>
        <w:rFonts w:ascii="Arial" w:hAnsi="Arial" w:cs="Arial"/>
        <w:sz w:val="22"/>
        <w:szCs w:val="22"/>
      </w:rPr>
    </w:pPr>
    <w:r w:rsidRPr="002A5B82">
      <w:rPr>
        <w:rFonts w:ascii="Arial" w:hAnsi="Arial" w:cs="Arial"/>
        <w:color w:val="800080"/>
        <w:sz w:val="22"/>
        <w:szCs w:val="22"/>
      </w:rPr>
      <w:t>WIPO/GRTKF/IC/38/INF/5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7241F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82" w:rsidRPr="00DF51CB" w:rsidRDefault="002A5B82" w:rsidP="00DF51C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CB" w:rsidRPr="00DF51CB" w:rsidRDefault="00DF51CB" w:rsidP="00DF51CB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DF51CB">
      <w:rPr>
        <w:rFonts w:ascii="Arial" w:eastAsia="SimSun" w:hAnsi="Arial" w:cs="Arial"/>
        <w:sz w:val="22"/>
        <w:szCs w:val="20"/>
        <w:lang w:eastAsia="zh-CN"/>
      </w:rPr>
      <w:t>WIPO/GRTKF/IC/38/INF/5</w:t>
    </w:r>
  </w:p>
  <w:p w:rsidR="00DF51CB" w:rsidRDefault="00DF51CB" w:rsidP="00DF51CB">
    <w:pPr>
      <w:bidi w:val="0"/>
      <w:rPr>
        <w:rFonts w:ascii="Arial" w:eastAsia="SimSun" w:hAnsi="Arial" w:cs="Arial" w:hint="cs"/>
        <w:sz w:val="22"/>
        <w:szCs w:val="20"/>
        <w:rtl/>
        <w:lang w:eastAsia="zh-CN"/>
      </w:rPr>
    </w:pPr>
    <w:r w:rsidRPr="00DF51CB">
      <w:rPr>
        <w:rFonts w:ascii="Arial" w:eastAsia="SimSun" w:hAnsi="Arial" w:cs="Arial"/>
        <w:sz w:val="22"/>
        <w:szCs w:val="20"/>
        <w:lang w:eastAsia="zh-CN"/>
      </w:rPr>
      <w:t>ANNEX</w:t>
    </w:r>
  </w:p>
  <w:p w:rsidR="00DF51CB" w:rsidRDefault="00DF51CB" w:rsidP="00DF51CB">
    <w:pPr>
      <w:jc w:val="right"/>
      <w:rPr>
        <w:rFonts w:eastAsia="SimSun" w:hint="cs"/>
        <w:rtl/>
        <w:lang w:eastAsia="zh-CN"/>
      </w:rPr>
    </w:pPr>
    <w:r w:rsidRPr="00DF51CB">
      <w:rPr>
        <w:rFonts w:eastAsia="SimSun"/>
        <w:rtl/>
        <w:lang w:eastAsia="zh-CN"/>
      </w:rPr>
      <w:t>المرفق</w:t>
    </w:r>
  </w:p>
  <w:p w:rsidR="00DF51CB" w:rsidRPr="00DF51CB" w:rsidRDefault="00DF51CB" w:rsidP="00DF51CB">
    <w:pPr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Empty"/>
    <w:docVar w:name="TermBaseURL" w:val="empty"/>
    <w:docVar w:name="TextBases" w:val="TextBase TMs\WorkspaceATS\Global Issues"/>
    <w:docVar w:name="TextBaseURL" w:val="empty"/>
    <w:docVar w:name="UILng" w:val="en"/>
  </w:docVars>
  <w:rsids>
    <w:rsidRoot w:val="00C33D2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5693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5B82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41F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3D22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1CB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13F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WIPO_GRTKF_IC_3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62A7-F650-4901-AF37-CE418C50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WIPO_GRTKF_IC_38_AR.dotm</Template>
  <TotalTime>39</TotalTime>
  <Pages>2</Pages>
  <Words>238</Words>
  <Characters>1395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WIPO/GRTKF/IC/38/INF/5_x000d_ (Arabic)</vt:lpstr>
    </vt:vector>
  </TitlesOfParts>
  <Company>World Intellectual Property Organization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WIPO/GRTKF/IC/38/INF/5_x000d_ (Arabic)</dc:title>
  <dc:creator>MERZOUK Fawzi</dc:creator>
  <cp:lastModifiedBy>MERZOUK Fawzi</cp:lastModifiedBy>
  <cp:revision>2</cp:revision>
  <cp:lastPrinted>2018-06-12T09:05:00Z</cp:lastPrinted>
  <dcterms:created xsi:type="dcterms:W3CDTF">2018-11-15T14:48:00Z</dcterms:created>
  <dcterms:modified xsi:type="dcterms:W3CDTF">2018-11-15T15:27:00Z</dcterms:modified>
</cp:coreProperties>
</file>