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93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205693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6C2C242C" wp14:editId="74749076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93" w:rsidRDefault="00FD0C32" w:rsidP="003C1E6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3C1E6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33D2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INF/5</w:t>
      </w:r>
    </w:p>
    <w:bookmarkEnd w:id="3"/>
    <w:p w:rsidR="00205693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C33D22">
        <w:rPr>
          <w:b/>
          <w:bCs/>
          <w:sz w:val="30"/>
          <w:szCs w:val="30"/>
          <w:rtl/>
        </w:rPr>
        <w:t>بالإنكليزية</w:t>
      </w:r>
    </w:p>
    <w:p w:rsidR="00205693" w:rsidRDefault="003F7284" w:rsidP="0046406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464066">
        <w:rPr>
          <w:rFonts w:hint="cs"/>
          <w:b/>
          <w:bCs/>
          <w:sz w:val="30"/>
          <w:szCs w:val="30"/>
          <w:rtl/>
        </w:rPr>
        <w:t>14</w:t>
      </w:r>
      <w:r w:rsidR="00C33D22">
        <w:rPr>
          <w:b/>
          <w:bCs/>
          <w:sz w:val="30"/>
          <w:szCs w:val="30"/>
          <w:rtl/>
        </w:rPr>
        <w:t xml:space="preserve"> </w:t>
      </w:r>
      <w:r w:rsidR="00464066">
        <w:rPr>
          <w:rFonts w:hint="cs"/>
          <w:b/>
          <w:bCs/>
          <w:sz w:val="30"/>
          <w:szCs w:val="30"/>
          <w:rtl/>
        </w:rPr>
        <w:t>فبراي</w:t>
      </w:r>
      <w:r w:rsidR="00464066">
        <w:rPr>
          <w:b/>
          <w:bCs/>
          <w:sz w:val="30"/>
          <w:szCs w:val="30"/>
          <w:rtl/>
        </w:rPr>
        <w:t>ر 201</w:t>
      </w:r>
      <w:r w:rsidR="00464066">
        <w:rPr>
          <w:rFonts w:hint="cs"/>
          <w:b/>
          <w:bCs/>
          <w:sz w:val="30"/>
          <w:szCs w:val="30"/>
          <w:rtl/>
        </w:rPr>
        <w:t>9</w:t>
      </w:r>
    </w:p>
    <w:p w:rsidR="00205693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05693" w:rsidRDefault="00FD0C32" w:rsidP="00464066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46406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05693" w:rsidRDefault="00FD0C32" w:rsidP="00464066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7029AA">
        <w:rPr>
          <w:rFonts w:hint="cs"/>
          <w:b/>
          <w:bCs/>
          <w:rtl/>
        </w:rPr>
        <w:t xml:space="preserve"> </w:t>
      </w:r>
      <w:r w:rsidR="00464066">
        <w:rPr>
          <w:rFonts w:hint="cs"/>
          <w:b/>
          <w:bCs/>
          <w:rtl/>
        </w:rPr>
        <w:t>18</w:t>
      </w:r>
      <w:r w:rsidR="007029AA">
        <w:rPr>
          <w:rFonts w:hint="cs"/>
          <w:b/>
          <w:bCs/>
          <w:rtl/>
        </w:rPr>
        <w:t xml:space="preserve"> إلى </w:t>
      </w:r>
      <w:r w:rsidR="00464066">
        <w:rPr>
          <w:rFonts w:hint="cs"/>
          <w:b/>
          <w:bCs/>
          <w:rtl/>
        </w:rPr>
        <w:t>22</w:t>
      </w:r>
      <w:r w:rsidR="007029AA">
        <w:rPr>
          <w:rFonts w:hint="cs"/>
          <w:b/>
          <w:bCs/>
          <w:rtl/>
        </w:rPr>
        <w:t xml:space="preserve"> </w:t>
      </w:r>
      <w:r w:rsidR="00464066">
        <w:rPr>
          <w:rFonts w:hint="cs"/>
          <w:b/>
          <w:bCs/>
          <w:rtl/>
        </w:rPr>
        <w:t>مارس 2019</w:t>
      </w:r>
    </w:p>
    <w:p w:rsidR="00205693" w:rsidRDefault="00C33D22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مذكرة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إعلامية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لمنبر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الجماعات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الأصلية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والمحلية</w:t>
      </w:r>
    </w:p>
    <w:p w:rsidR="00205693" w:rsidRDefault="00C33D22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2A5B82" w:rsidRDefault="002A5B82" w:rsidP="002A5B82">
      <w:pPr>
        <w:pStyle w:val="ONUMA"/>
        <w:rPr>
          <w:rtl/>
        </w:rPr>
      </w:pPr>
      <w:r w:rsidRPr="002A5B82">
        <w:rPr>
          <w:rtl/>
        </w:rPr>
        <w:t>اتفقت اللجنة الحكومية الدولية المعنية بالملكية الفكرية والموارد الوراثية والمعارف التقليدية والفولكلور ("اللجنة")، في</w:t>
      </w:r>
      <w:r>
        <w:rPr>
          <w:rFonts w:hint="cs"/>
          <w:rtl/>
        </w:rPr>
        <w:t> </w:t>
      </w:r>
      <w:r w:rsidRPr="002A5B82">
        <w:rPr>
          <w:rtl/>
        </w:rPr>
        <w:t>دورتها السابعة، على "أن ينظَّم، تماما قبل استهلال دورات اللجنة، منبر يدوم نصف اليوم ويترأسه ممثل عن أحد ا</w:t>
      </w:r>
      <w:r>
        <w:rPr>
          <w:rtl/>
        </w:rPr>
        <w:t xml:space="preserve">لمجتمعات المحلية أو الأصلية". </w:t>
      </w:r>
      <w:r w:rsidRPr="002A5B82">
        <w:rPr>
          <w:rtl/>
        </w:rPr>
        <w:t>وقد تواصل تنظيم منابر على ذلك المنوال قبل كل دورة من دورات اللجنة المعقودة منذ عام</w:t>
      </w:r>
      <w:r>
        <w:rPr>
          <w:rFonts w:hint="cs"/>
          <w:rtl/>
        </w:rPr>
        <w:t> </w:t>
      </w:r>
      <w:r w:rsidRPr="002A5B82">
        <w:rPr>
          <w:rtl/>
        </w:rPr>
        <w:t>2005.</w:t>
      </w:r>
    </w:p>
    <w:p w:rsidR="0047241F" w:rsidRDefault="002A5B82" w:rsidP="00464066">
      <w:pPr>
        <w:pStyle w:val="ONUMA"/>
        <w:spacing w:before="120"/>
        <w:rPr>
          <w:rtl/>
        </w:rPr>
      </w:pPr>
      <w:r w:rsidRPr="002A5B82">
        <w:rPr>
          <w:rtl/>
        </w:rPr>
        <w:t>وطبقا لولاية لجنة المعارف وب</w:t>
      </w:r>
      <w:r w:rsidR="0047241F">
        <w:rPr>
          <w:rtl/>
        </w:rPr>
        <w:t>رنامج عملها للثنائية 2018-2019</w:t>
      </w:r>
      <w:r w:rsidR="0047241F">
        <w:rPr>
          <w:rFonts w:hint="cs"/>
          <w:rtl/>
        </w:rPr>
        <w:t xml:space="preserve">، </w:t>
      </w:r>
      <w:r w:rsidRPr="002A5B82">
        <w:rPr>
          <w:rtl/>
        </w:rPr>
        <w:t xml:space="preserve">ستركّز الدورة </w:t>
      </w:r>
      <w:r w:rsidR="00464066">
        <w:rPr>
          <w:rFonts w:hint="cs"/>
          <w:rtl/>
        </w:rPr>
        <w:t>التاسعة</w:t>
      </w:r>
      <w:r w:rsidRPr="002A5B82">
        <w:rPr>
          <w:rtl/>
        </w:rPr>
        <w:t xml:space="preserve"> والثلاثون على المعارف التقليدية وأ</w:t>
      </w:r>
      <w:r w:rsidR="0047241F">
        <w:rPr>
          <w:rtl/>
        </w:rPr>
        <w:t xml:space="preserve">شكال التعبير الثقافي التقليدي. </w:t>
      </w:r>
      <w:r w:rsidRPr="002A5B82">
        <w:rPr>
          <w:rtl/>
        </w:rPr>
        <w:t>وبناء عليه، فإن موضوع المنبر في تلك الدورة هو: "</w:t>
      </w:r>
      <w:r w:rsidR="00464066">
        <w:rPr>
          <w:rFonts w:hint="cs"/>
          <w:rtl/>
        </w:rPr>
        <w:t>مشروع مواد</w:t>
      </w:r>
      <w:r w:rsidRPr="002A5B82">
        <w:rPr>
          <w:rtl/>
        </w:rPr>
        <w:t xml:space="preserve"> </w:t>
      </w:r>
      <w:r w:rsidR="00464066">
        <w:rPr>
          <w:rFonts w:hint="cs"/>
          <w:rtl/>
        </w:rPr>
        <w:t xml:space="preserve">بشأن </w:t>
      </w:r>
      <w:r w:rsidRPr="002A5B82">
        <w:rPr>
          <w:rtl/>
        </w:rPr>
        <w:t xml:space="preserve">الملكية الفكرية </w:t>
      </w:r>
      <w:r w:rsidR="00464066">
        <w:rPr>
          <w:rFonts w:hint="cs"/>
          <w:rtl/>
        </w:rPr>
        <w:t>وا</w:t>
      </w:r>
      <w:r w:rsidRPr="002A5B82">
        <w:rPr>
          <w:rtl/>
        </w:rPr>
        <w:t xml:space="preserve">لمعارف التقليدية وأشكال التعبير الثقافي التقليدي: </w:t>
      </w:r>
      <w:r w:rsidR="00464066" w:rsidRPr="002A5B82">
        <w:rPr>
          <w:rtl/>
        </w:rPr>
        <w:t xml:space="preserve">وجهات نظر الشعوب الأصلية والجماعات المحلية </w:t>
      </w:r>
      <w:r w:rsidR="00464066">
        <w:rPr>
          <w:rFonts w:hint="cs"/>
          <w:rtl/>
        </w:rPr>
        <w:t>بشأن الموضوع ونطاق الحماية</w:t>
      </w:r>
      <w:r w:rsidRPr="002A5B82">
        <w:rPr>
          <w:rtl/>
        </w:rPr>
        <w:t>".</w:t>
      </w:r>
    </w:p>
    <w:p w:rsidR="0047241F" w:rsidRDefault="0047241F" w:rsidP="00464066">
      <w:pPr>
        <w:pStyle w:val="ONUMA"/>
        <w:spacing w:before="120"/>
      </w:pPr>
      <w:r w:rsidRPr="0047241F">
        <w:rPr>
          <w:rtl/>
        </w:rPr>
        <w:t xml:space="preserve">ويرد في مرفق هذه الوثيقة البرنامج المؤقت لجلسة المنبر في الدورة </w:t>
      </w:r>
      <w:r w:rsidR="00464066">
        <w:rPr>
          <w:rFonts w:hint="cs"/>
          <w:rtl/>
        </w:rPr>
        <w:t>التاسعة</w:t>
      </w:r>
      <w:r w:rsidRPr="0047241F">
        <w:rPr>
          <w:rtl/>
        </w:rPr>
        <w:t xml:space="preserve"> والثلاثين.</w:t>
      </w:r>
    </w:p>
    <w:p w:rsidR="0047241F" w:rsidRDefault="0047241F" w:rsidP="0047241F">
      <w:pPr>
        <w:pStyle w:val="Endofdocument-Annex"/>
        <w:spacing w:before="120"/>
        <w:rPr>
          <w:rtl/>
        </w:rPr>
        <w:sectPr w:rsidR="0047241F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205693" w:rsidRPr="0047241F" w:rsidRDefault="0047241F" w:rsidP="00DF51CB">
      <w:pPr>
        <w:pStyle w:val="BodyText"/>
        <w:keepNext/>
        <w:spacing w:after="240"/>
        <w:rPr>
          <w:sz w:val="40"/>
          <w:szCs w:val="40"/>
        </w:rPr>
      </w:pPr>
      <w:r w:rsidRPr="0047241F">
        <w:rPr>
          <w:sz w:val="40"/>
          <w:szCs w:val="40"/>
          <w:rtl/>
        </w:rPr>
        <w:lastRenderedPageBreak/>
        <w:t>البرنامج المؤقت لجلسة المنبر</w:t>
      </w:r>
    </w:p>
    <w:tbl>
      <w:tblPr>
        <w:bidiVisual/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47241F" w:rsidRPr="0047241F" w:rsidTr="0047241F">
        <w:tc>
          <w:tcPr>
            <w:tcW w:w="3438" w:type="dxa"/>
            <w:gridSpan w:val="2"/>
            <w:shd w:val="clear" w:color="auto" w:fill="auto"/>
          </w:tcPr>
          <w:p w:rsidR="0047241F" w:rsidRPr="00464066" w:rsidRDefault="00DF51CB" w:rsidP="00464066">
            <w:pPr>
              <w:rPr>
                <w:rFonts w:eastAsia="SimSun"/>
                <w:rtl/>
                <w:lang w:val="fr-CH" w:eastAsia="zh-CN"/>
              </w:rPr>
            </w:pPr>
            <w:r>
              <w:rPr>
                <w:rFonts w:eastAsia="SimSun"/>
                <w:u w:val="single"/>
                <w:rtl/>
                <w:lang w:eastAsia="zh-CN"/>
              </w:rPr>
              <w:t>ال</w:t>
            </w:r>
            <w:r>
              <w:rPr>
                <w:rFonts w:eastAsia="SimSun" w:hint="cs"/>
                <w:u w:val="single"/>
                <w:rtl/>
                <w:lang w:eastAsia="zh-CN"/>
              </w:rPr>
              <w:t>إ</w:t>
            </w:r>
            <w:r w:rsidR="0047241F" w:rsidRPr="0047241F">
              <w:rPr>
                <w:rFonts w:eastAsia="SimSun"/>
                <w:u w:val="single"/>
                <w:rtl/>
                <w:lang w:eastAsia="zh-CN"/>
              </w:rPr>
              <w:t xml:space="preserve">ثنين، </w:t>
            </w:r>
            <w:r w:rsidR="00464066">
              <w:rPr>
                <w:rFonts w:eastAsia="SimSun" w:hint="cs"/>
                <w:u w:val="single"/>
                <w:rtl/>
                <w:lang w:eastAsia="zh-CN"/>
              </w:rPr>
              <w:t>18 مارس 2019</w:t>
            </w:r>
          </w:p>
        </w:tc>
        <w:tc>
          <w:tcPr>
            <w:tcW w:w="6133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u w:val="single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rtl/>
                <w:lang w:eastAsia="zh-CN"/>
              </w:rPr>
              <w:t>افت</w:t>
            </w:r>
            <w:r>
              <w:rPr>
                <w:rFonts w:eastAsia="SimSun" w:hint="cs"/>
                <w:rtl/>
                <w:lang w:eastAsia="zh-CN"/>
              </w:rPr>
              <w:t>ت</w:t>
            </w:r>
            <w:r w:rsidRPr="0047241F">
              <w:rPr>
                <w:rFonts w:eastAsia="SimSun"/>
                <w:rtl/>
                <w:lang w:eastAsia="zh-CN"/>
              </w:rPr>
              <w:t>اح الجلسة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الرئيس - (يختاره منتدى السكان الأصليين الاستشاري في الويبو)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 xml:space="preserve">11.00 - </w:t>
            </w:r>
            <w:r w:rsidRPr="0047241F">
              <w:rPr>
                <w:rFonts w:eastAsia="SimSun" w:hint="cs"/>
                <w:rtl/>
                <w:lang w:eastAsia="zh-CN"/>
              </w:rPr>
              <w:t xml:space="preserve"> </w:t>
            </w:r>
            <w:r w:rsidRPr="0047241F">
              <w:rPr>
                <w:rFonts w:eastAsia="SimSun"/>
                <w:rtl/>
                <w:lang w:eastAsia="zh-CN"/>
              </w:rPr>
              <w:t>11.15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64066" w:rsidP="00464066">
            <w:pPr>
              <w:rPr>
                <w:rFonts w:eastAsia="SimSun"/>
                <w:lang w:val="en-GB" w:eastAsia="zh-CN"/>
              </w:rPr>
            </w:pPr>
            <w:r w:rsidRPr="00464066">
              <w:rPr>
                <w:rFonts w:eastAsia="SimSun"/>
                <w:rtl/>
                <w:lang w:eastAsia="zh-CN"/>
              </w:rPr>
              <w:t xml:space="preserve">السيدة جينفر تولي كوربوز، </w:t>
            </w:r>
            <w:r>
              <w:rPr>
                <w:rFonts w:eastAsia="SimSun" w:hint="cs"/>
                <w:rtl/>
                <w:lang w:eastAsia="zh-CN"/>
              </w:rPr>
              <w:t xml:space="preserve">من </w:t>
            </w:r>
            <w:r w:rsidRPr="00464066">
              <w:rPr>
                <w:rFonts w:eastAsia="SimSun"/>
                <w:rtl/>
                <w:lang w:eastAsia="zh-CN"/>
              </w:rPr>
              <w:t>شعب كانكانا-إي إيغوروت</w:t>
            </w:r>
            <w:r>
              <w:rPr>
                <w:rFonts w:eastAsia="SimSun" w:hint="cs"/>
                <w:rtl/>
                <w:lang w:eastAsia="zh-CN"/>
              </w:rPr>
              <w:t xml:space="preserve"> في مقاطعة شعب الجبل</w:t>
            </w:r>
            <w:r w:rsidRPr="00464066">
              <w:rPr>
                <w:rFonts w:eastAsia="SimSun"/>
                <w:rtl/>
                <w:lang w:eastAsia="zh-CN"/>
              </w:rPr>
              <w:t>، الفلبين</w:t>
            </w:r>
            <w:r>
              <w:rPr>
                <w:rFonts w:eastAsia="SimSun" w:hint="cs"/>
                <w:rtl/>
                <w:lang w:eastAsia="zh-CN"/>
              </w:rPr>
              <w:t>.</w:t>
            </w:r>
            <w:r w:rsidRPr="00464066">
              <w:rPr>
                <w:rFonts w:eastAsia="SimSun"/>
                <w:rtl/>
                <w:lang w:eastAsia="zh-CN"/>
              </w:rPr>
              <w:t xml:space="preserve"> </w:t>
            </w:r>
            <w:r>
              <w:rPr>
                <w:rFonts w:eastAsia="SimSun" w:hint="cs"/>
                <w:rtl/>
                <w:lang w:eastAsia="zh-CN"/>
              </w:rPr>
              <w:t>وتعمل حاليا منسقة ل</w:t>
            </w:r>
            <w:r w:rsidRPr="00464066">
              <w:rPr>
                <w:rFonts w:eastAsia="SimSun"/>
                <w:rtl/>
                <w:lang w:eastAsia="zh-CN"/>
              </w:rPr>
              <w:t xml:space="preserve">مكتب الشؤون القانونية </w:t>
            </w:r>
            <w:r>
              <w:rPr>
                <w:rFonts w:eastAsia="SimSun" w:hint="cs"/>
                <w:rtl/>
                <w:lang w:eastAsia="zh-CN"/>
              </w:rPr>
              <w:t xml:space="preserve">في </w:t>
            </w:r>
            <w:r w:rsidRPr="00464066">
              <w:rPr>
                <w:rFonts w:eastAsia="SimSun"/>
                <w:rtl/>
                <w:lang w:eastAsia="zh-CN"/>
              </w:rPr>
              <w:t>مؤسسة تبتيبا - مركز الشعوب الأصلية الدولي للبحث في السياسة العامة والتعليم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11.15 - 11.30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64066" w:rsidP="008A5614">
            <w:pPr>
              <w:rPr>
                <w:rFonts w:eastAsia="SimSun"/>
                <w:lang w:eastAsia="zh-CN"/>
              </w:rPr>
            </w:pPr>
            <w:r w:rsidRPr="00464066">
              <w:rPr>
                <w:rFonts w:eastAsia="SimSun"/>
                <w:rtl/>
                <w:lang w:eastAsia="zh-CN"/>
              </w:rPr>
              <w:t>السيدة</w:t>
            </w:r>
            <w:r>
              <w:rPr>
                <w:rFonts w:eastAsia="SimSun" w:hint="cs"/>
                <w:rtl/>
                <w:lang w:eastAsia="zh-CN"/>
              </w:rPr>
              <w:t xml:space="preserve"> إيديث باستيداس</w:t>
            </w:r>
            <w:r w:rsidRPr="00464066">
              <w:rPr>
                <w:rFonts w:eastAsia="SimSun"/>
                <w:rtl/>
                <w:lang w:eastAsia="zh-CN"/>
              </w:rPr>
              <w:t xml:space="preserve">، ممثلة </w:t>
            </w:r>
            <w:r w:rsidR="008A5614">
              <w:rPr>
                <w:rFonts w:eastAsia="SimSun" w:hint="cs"/>
                <w:rtl/>
                <w:lang w:eastAsia="zh-CN"/>
              </w:rPr>
              <w:t>ل</w:t>
            </w:r>
            <w:r w:rsidR="008A5614" w:rsidRPr="00464066">
              <w:rPr>
                <w:rFonts w:eastAsia="SimSun"/>
                <w:rtl/>
                <w:lang w:eastAsia="zh-CN"/>
              </w:rPr>
              <w:t>شع</w:t>
            </w:r>
            <w:r w:rsidR="008A5614">
              <w:rPr>
                <w:rFonts w:eastAsia="SimSun" w:hint="cs"/>
                <w:rtl/>
                <w:lang w:eastAsia="zh-CN"/>
              </w:rPr>
              <w:t>و</w:t>
            </w:r>
            <w:r w:rsidR="008A5614" w:rsidRPr="00464066">
              <w:rPr>
                <w:rFonts w:eastAsia="SimSun"/>
                <w:rtl/>
                <w:lang w:eastAsia="zh-CN"/>
              </w:rPr>
              <w:t xml:space="preserve">ب </w:t>
            </w:r>
            <w:r w:rsidR="008A5614">
              <w:rPr>
                <w:rFonts w:eastAsia="SimSun" w:hint="cs"/>
                <w:rtl/>
                <w:lang w:eastAsia="zh-CN"/>
              </w:rPr>
              <w:t xml:space="preserve">باستوس </w:t>
            </w:r>
            <w:r w:rsidR="008A5614">
              <w:rPr>
                <w:rFonts w:eastAsia="SimSun"/>
                <w:rtl/>
                <w:lang w:eastAsia="zh-CN"/>
              </w:rPr>
              <w:t>الأصلي</w:t>
            </w:r>
            <w:r w:rsidR="008A5614">
              <w:rPr>
                <w:rFonts w:eastAsia="SimSun" w:hint="cs"/>
                <w:rtl/>
                <w:lang w:eastAsia="zh-CN"/>
              </w:rPr>
              <w:t>ة</w:t>
            </w:r>
            <w:r w:rsidRPr="00464066">
              <w:rPr>
                <w:rFonts w:eastAsia="SimSun"/>
                <w:rtl/>
                <w:lang w:eastAsia="zh-CN"/>
              </w:rPr>
              <w:t xml:space="preserve">، </w:t>
            </w:r>
            <w:r w:rsidR="008A5614">
              <w:rPr>
                <w:rFonts w:eastAsia="SimSun" w:hint="cs"/>
                <w:rtl/>
                <w:lang w:eastAsia="zh-CN"/>
              </w:rPr>
              <w:t xml:space="preserve">محمية إيباليس للشعوب الأصلية، </w:t>
            </w:r>
            <w:r w:rsidRPr="00464066">
              <w:rPr>
                <w:rFonts w:eastAsia="SimSun"/>
                <w:rtl/>
                <w:lang w:eastAsia="zh-CN"/>
              </w:rPr>
              <w:t>كولومبيا. وهي محام</w:t>
            </w:r>
            <w:r w:rsidR="008A5614">
              <w:rPr>
                <w:rFonts w:eastAsia="SimSun" w:hint="cs"/>
                <w:rtl/>
                <w:lang w:eastAsia="zh-CN"/>
              </w:rPr>
              <w:t>ية</w:t>
            </w:r>
            <w:r w:rsidRPr="00464066">
              <w:rPr>
                <w:rFonts w:eastAsia="SimSun"/>
                <w:rtl/>
                <w:lang w:eastAsia="zh-CN"/>
              </w:rPr>
              <w:t xml:space="preserve"> ومتخصصة في حقوق الشعوب الأصلية.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11.30 - 11.45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8A5614" w:rsidP="008A5614">
            <w:pPr>
              <w:rPr>
                <w:rFonts w:eastAsia="SimSun"/>
                <w:lang w:eastAsia="zh-CN"/>
              </w:rPr>
            </w:pPr>
            <w:r w:rsidRPr="008A5614">
              <w:rPr>
                <w:rFonts w:eastAsia="SimSun"/>
                <w:rtl/>
                <w:lang w:eastAsia="zh-CN"/>
              </w:rPr>
              <w:t>السيد</w:t>
            </w:r>
            <w:r>
              <w:rPr>
                <w:rFonts w:eastAsia="SimSun" w:hint="cs"/>
                <w:rtl/>
                <w:lang w:eastAsia="zh-CN"/>
              </w:rPr>
              <w:t xml:space="preserve"> أسلات هولمبيرغ</w:t>
            </w:r>
            <w:r>
              <w:rPr>
                <w:rFonts w:eastAsia="SimSun"/>
                <w:rtl/>
                <w:lang w:eastAsia="zh-CN"/>
              </w:rPr>
              <w:t xml:space="preserve">، </w:t>
            </w:r>
            <w:r>
              <w:rPr>
                <w:rFonts w:eastAsia="SimSun" w:hint="cs"/>
                <w:rtl/>
                <w:lang w:eastAsia="zh-CN"/>
              </w:rPr>
              <w:t xml:space="preserve">من </w:t>
            </w:r>
            <w:r w:rsidRPr="008A5614">
              <w:rPr>
                <w:rFonts w:eastAsia="SimSun"/>
                <w:rtl/>
                <w:lang w:eastAsia="zh-CN"/>
              </w:rPr>
              <w:t xml:space="preserve">شعب الصامي </w:t>
            </w:r>
            <w:r>
              <w:rPr>
                <w:rFonts w:eastAsia="SimSun" w:hint="cs"/>
                <w:rtl/>
                <w:lang w:eastAsia="zh-CN"/>
              </w:rPr>
              <w:t xml:space="preserve">في </w:t>
            </w:r>
            <w:r w:rsidRPr="008A5614">
              <w:rPr>
                <w:rFonts w:eastAsia="SimSun"/>
                <w:rtl/>
                <w:lang w:eastAsia="zh-CN"/>
              </w:rPr>
              <w:t xml:space="preserve">فنلندا. وهو نائب رئيس مجلس </w:t>
            </w:r>
            <w:r>
              <w:rPr>
                <w:rFonts w:eastAsia="SimSun" w:hint="cs"/>
                <w:rtl/>
                <w:lang w:eastAsia="zh-CN"/>
              </w:rPr>
              <w:t xml:space="preserve">الشعب </w:t>
            </w:r>
            <w:r w:rsidRPr="008A5614">
              <w:rPr>
                <w:rFonts w:eastAsia="SimSun"/>
                <w:rtl/>
                <w:lang w:eastAsia="zh-CN"/>
              </w:rPr>
              <w:t xml:space="preserve">الصامي، </w:t>
            </w:r>
            <w:r>
              <w:rPr>
                <w:rFonts w:eastAsia="SimSun" w:hint="cs"/>
                <w:rtl/>
                <w:lang w:eastAsia="zh-CN"/>
              </w:rPr>
              <w:t>و</w:t>
            </w:r>
            <w:r>
              <w:rPr>
                <w:rFonts w:eastAsia="SimSun"/>
                <w:rtl/>
                <w:lang w:eastAsia="zh-CN"/>
              </w:rPr>
              <w:t>ممثل</w:t>
            </w:r>
            <w:r w:rsidRPr="008A5614">
              <w:rPr>
                <w:rFonts w:eastAsia="SimSun"/>
                <w:rtl/>
                <w:lang w:eastAsia="zh-CN"/>
              </w:rPr>
              <w:t xml:space="preserve"> للمنظمة </w:t>
            </w:r>
            <w:r>
              <w:rPr>
                <w:rFonts w:eastAsia="SimSun" w:hint="cs"/>
                <w:rtl/>
                <w:lang w:eastAsia="zh-CN"/>
              </w:rPr>
              <w:t xml:space="preserve">المركزية </w:t>
            </w:r>
            <w:r w:rsidRPr="008A5614">
              <w:rPr>
                <w:rFonts w:eastAsia="SimSun"/>
                <w:rtl/>
                <w:lang w:eastAsia="zh-CN"/>
              </w:rPr>
              <w:t xml:space="preserve">الفنلندية </w:t>
            </w:r>
            <w:r>
              <w:rPr>
                <w:rFonts w:eastAsia="SimSun" w:hint="cs"/>
                <w:rtl/>
                <w:lang w:eastAsia="zh-CN"/>
              </w:rPr>
              <w:t xml:space="preserve">للشعب </w:t>
            </w:r>
            <w:r w:rsidRPr="008A5614">
              <w:rPr>
                <w:rFonts w:eastAsia="SimSun"/>
                <w:rtl/>
                <w:lang w:eastAsia="zh-CN"/>
              </w:rPr>
              <w:t>ال</w:t>
            </w:r>
            <w:r>
              <w:rPr>
                <w:rFonts w:eastAsia="SimSun" w:hint="cs"/>
                <w:rtl/>
                <w:lang w:eastAsia="zh-CN"/>
              </w:rPr>
              <w:t>ص</w:t>
            </w:r>
            <w:r w:rsidRPr="008A5614">
              <w:rPr>
                <w:rFonts w:eastAsia="SimSun"/>
                <w:rtl/>
                <w:lang w:eastAsia="zh-CN"/>
              </w:rPr>
              <w:t>امي.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11.45 - 12.00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نقاش مع الحاضرين واختتام الجلسة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</w:tbl>
    <w:p w:rsidR="00205693" w:rsidRDefault="0047241F" w:rsidP="0047241F">
      <w:pPr>
        <w:pStyle w:val="Endofdocument-Annex"/>
        <w:rPr>
          <w:rtl/>
        </w:rPr>
      </w:pPr>
      <w:r w:rsidRPr="0047241F">
        <w:rPr>
          <w:rtl/>
        </w:rPr>
        <w:t>[نهاية المرفق والوثيقة]</w:t>
      </w:r>
    </w:p>
    <w:sectPr w:rsidR="00205693" w:rsidSect="00EB7752"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4C" w:rsidRDefault="00AF614C">
      <w:r>
        <w:separator/>
      </w:r>
    </w:p>
  </w:endnote>
  <w:endnote w:type="continuationSeparator" w:id="0">
    <w:p w:rsidR="00AF614C" w:rsidRDefault="00A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4C" w:rsidRDefault="00AF614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614C" w:rsidRDefault="00AF614C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22" w:rsidRDefault="002A5B82" w:rsidP="002A5B82">
    <w:pPr>
      <w:rPr>
        <w:rFonts w:ascii="Arial" w:hAnsi="Arial" w:cs="Arial"/>
        <w:sz w:val="22"/>
        <w:szCs w:val="22"/>
      </w:rPr>
    </w:pPr>
    <w:r w:rsidRPr="002A5B82">
      <w:rPr>
        <w:rFonts w:ascii="Arial" w:hAnsi="Arial" w:cs="Arial"/>
        <w:color w:val="800080"/>
        <w:sz w:val="22"/>
        <w:szCs w:val="22"/>
      </w:rPr>
      <w:t>WIPO/GRTKF/IC/38/INF/5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7241F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CB" w:rsidRPr="00DF51CB" w:rsidRDefault="00DF51CB" w:rsidP="00464066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DF51CB">
      <w:rPr>
        <w:rFonts w:ascii="Arial" w:eastAsia="SimSun" w:hAnsi="Arial" w:cs="Arial"/>
        <w:sz w:val="22"/>
        <w:szCs w:val="20"/>
        <w:lang w:eastAsia="zh-CN"/>
      </w:rPr>
      <w:t>WIPO/GRTKF/IC/</w:t>
    </w:r>
    <w:r w:rsidR="00464066">
      <w:rPr>
        <w:rFonts w:ascii="Arial" w:eastAsia="SimSun" w:hAnsi="Arial" w:cs="Arial"/>
        <w:sz w:val="22"/>
        <w:szCs w:val="20"/>
        <w:lang w:eastAsia="zh-CN"/>
      </w:rPr>
      <w:t>39</w:t>
    </w:r>
    <w:r w:rsidRPr="00DF51CB">
      <w:rPr>
        <w:rFonts w:ascii="Arial" w:eastAsia="SimSun" w:hAnsi="Arial" w:cs="Arial"/>
        <w:sz w:val="22"/>
        <w:szCs w:val="20"/>
        <w:lang w:eastAsia="zh-CN"/>
      </w:rPr>
      <w:t>/INF/5</w:t>
    </w:r>
  </w:p>
  <w:p w:rsidR="00DF51CB" w:rsidRDefault="00DF51CB" w:rsidP="00DF51CB">
    <w:pPr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DF51CB">
      <w:rPr>
        <w:rFonts w:ascii="Arial" w:eastAsia="SimSun" w:hAnsi="Arial" w:cs="Arial"/>
        <w:sz w:val="22"/>
        <w:szCs w:val="20"/>
        <w:lang w:eastAsia="zh-CN"/>
      </w:rPr>
      <w:t>ANNEX</w:t>
    </w:r>
  </w:p>
  <w:p w:rsidR="00DF51CB" w:rsidRDefault="00DF51CB" w:rsidP="00DF51CB">
    <w:pPr>
      <w:jc w:val="right"/>
      <w:rPr>
        <w:rFonts w:eastAsia="SimSun"/>
        <w:rtl/>
        <w:lang w:eastAsia="zh-CN"/>
      </w:rPr>
    </w:pPr>
    <w:r w:rsidRPr="00DF51CB">
      <w:rPr>
        <w:rFonts w:eastAsia="SimSun"/>
        <w:rtl/>
        <w:lang w:eastAsia="zh-CN"/>
      </w:rPr>
      <w:t>المرفق</w:t>
    </w:r>
  </w:p>
  <w:p w:rsidR="00DF51CB" w:rsidRPr="00DF51CB" w:rsidRDefault="00DF51CB" w:rsidP="00DF51CB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Empty"/>
    <w:docVar w:name="TermBaseURL" w:val="empty"/>
    <w:docVar w:name="TextBases" w:val="TextBase TMs\WorkspaceATS\Global Issues"/>
    <w:docVar w:name="TextBaseURL" w:val="empty"/>
    <w:docVar w:name="UILng" w:val="en"/>
  </w:docVars>
  <w:rsids>
    <w:rsidRoot w:val="00C33D2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5693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5B82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E61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066"/>
    <w:rsid w:val="004647BB"/>
    <w:rsid w:val="0046482B"/>
    <w:rsid w:val="004648E0"/>
    <w:rsid w:val="00466020"/>
    <w:rsid w:val="00472043"/>
    <w:rsid w:val="0047241F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5614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0F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14C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3D22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1CB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1C81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4B1502-2647-4FEB-9C4F-09204BDF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4B4A-514C-45A7-BED0-FD9E661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WIPO/GRTKF/IC/38/INF/5_x000d_ (Arabic)</vt:lpstr>
    </vt:vector>
  </TitlesOfParts>
  <Company>World Intellectual Property Organization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WIPO/GRTKF/IC/38/INF/5_x000d_ (Arabic)</dc:title>
  <dc:creator>MERZOUK Fawzi</dc:creator>
  <cp:lastModifiedBy>COPPOLA Martine</cp:lastModifiedBy>
  <cp:revision>2</cp:revision>
  <cp:lastPrinted>2019-02-26T10:02:00Z</cp:lastPrinted>
  <dcterms:created xsi:type="dcterms:W3CDTF">2019-03-06T14:25:00Z</dcterms:created>
  <dcterms:modified xsi:type="dcterms:W3CDTF">2019-03-06T14:25:00Z</dcterms:modified>
</cp:coreProperties>
</file>