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1F0DBC"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300E4F">
        <w:rPr>
          <w:rFonts w:ascii="Arial Black" w:hAnsi="Arial Black"/>
          <w:caps/>
          <w:sz w:val="15"/>
          <w:szCs w:val="15"/>
        </w:rPr>
        <w:t>45</w:t>
      </w:r>
      <w:r>
        <w:rPr>
          <w:rFonts w:ascii="Arial Black" w:hAnsi="Arial Black"/>
          <w:caps/>
          <w:sz w:val="15"/>
          <w:szCs w:val="15"/>
        </w:rPr>
        <w:t>/</w:t>
      </w:r>
      <w:bookmarkStart w:id="0" w:name="Code"/>
      <w:bookmarkEnd w:id="0"/>
      <w:r w:rsidR="001F0DBC">
        <w:rPr>
          <w:rFonts w:ascii="Arial Black" w:hAnsi="Arial Black"/>
          <w:caps/>
          <w:sz w:val="15"/>
          <w:szCs w:val="15"/>
        </w:rPr>
        <w:t>INF/8</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300E4F">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300E4F">
        <w:rPr>
          <w:rFonts w:asciiTheme="minorHAnsi" w:hAnsiTheme="minorHAnsi" w:cstheme="minorHAnsi" w:hint="cs"/>
          <w:b/>
          <w:bCs/>
          <w:caps/>
          <w:sz w:val="15"/>
          <w:szCs w:val="15"/>
          <w:rtl/>
        </w:rPr>
        <w:t>27</w:t>
      </w:r>
      <w:r w:rsidR="005A53BE">
        <w:rPr>
          <w:rFonts w:asciiTheme="minorHAnsi" w:hAnsiTheme="minorHAnsi" w:cstheme="minorHAnsi" w:hint="cs"/>
          <w:b/>
          <w:bCs/>
          <w:caps/>
          <w:sz w:val="15"/>
          <w:szCs w:val="15"/>
          <w:rtl/>
        </w:rPr>
        <w:t xml:space="preserve"> </w:t>
      </w:r>
      <w:r w:rsidR="00300E4F">
        <w:rPr>
          <w:rFonts w:asciiTheme="minorHAnsi" w:hAnsiTheme="minorHAnsi" w:cstheme="minorHAnsi" w:hint="cs"/>
          <w:b/>
          <w:bCs/>
          <w:caps/>
          <w:sz w:val="15"/>
          <w:szCs w:val="15"/>
          <w:rtl/>
        </w:rPr>
        <w:t>سبتمبر</w:t>
      </w:r>
      <w:r w:rsidR="00B93CF5">
        <w:rPr>
          <w:rFonts w:asciiTheme="minorHAnsi" w:hAnsiTheme="minorHAnsi" w:cstheme="minorHAnsi" w:hint="cs"/>
          <w:b/>
          <w:bCs/>
          <w:caps/>
          <w:sz w:val="15"/>
          <w:szCs w:val="15"/>
          <w:rtl/>
        </w:rPr>
        <w:t xml:space="preserve"> </w:t>
      </w:r>
      <w:r w:rsidR="005A53BE">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300E4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300E4F">
        <w:rPr>
          <w:rFonts w:asciiTheme="minorHAnsi" w:hAnsiTheme="minorHAnsi" w:cstheme="minorHAnsi" w:hint="cs"/>
          <w:bCs/>
          <w:sz w:val="24"/>
          <w:szCs w:val="24"/>
          <w:rtl/>
        </w:rPr>
        <w:t xml:space="preserve">خامسة </w:t>
      </w:r>
      <w:r w:rsidRPr="00D67EAE">
        <w:rPr>
          <w:rFonts w:asciiTheme="minorHAnsi" w:hAnsiTheme="minorHAnsi" w:cstheme="minorHAnsi" w:hint="cs"/>
          <w:bCs/>
          <w:sz w:val="24"/>
          <w:szCs w:val="24"/>
          <w:rtl/>
        </w:rPr>
        <w:t>والأربعون</w:t>
      </w:r>
    </w:p>
    <w:p w:rsidR="008B2CC1" w:rsidRPr="00D67EAE" w:rsidRDefault="00D67EAE" w:rsidP="00300E4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00E4F">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300E4F">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300E4F">
        <w:rPr>
          <w:rFonts w:asciiTheme="minorHAnsi" w:hAnsiTheme="minorHAnsi" w:cstheme="minorHAnsi" w:hint="cs"/>
          <w:bCs/>
          <w:sz w:val="24"/>
          <w:szCs w:val="24"/>
          <w:rtl/>
        </w:rPr>
        <w:t>ديس</w:t>
      </w:r>
      <w:r w:rsidR="00FC1833">
        <w:rPr>
          <w:rFonts w:asciiTheme="minorHAnsi" w:hAnsiTheme="minorHAnsi" w:cstheme="minorHAnsi" w:hint="cs"/>
          <w:bCs/>
          <w:sz w:val="24"/>
          <w:szCs w:val="24"/>
          <w:rtl/>
        </w:rPr>
        <w:t xml:space="preserve">مبر </w:t>
      </w:r>
      <w:r w:rsidR="00AA4217">
        <w:rPr>
          <w:rFonts w:asciiTheme="minorHAnsi" w:hAnsiTheme="minorHAnsi" w:cstheme="minorHAnsi" w:hint="cs"/>
          <w:bCs/>
          <w:sz w:val="24"/>
          <w:szCs w:val="24"/>
          <w:rtl/>
        </w:rPr>
        <w:t>2022</w:t>
      </w:r>
    </w:p>
    <w:p w:rsidR="008B2CC1" w:rsidRDefault="006E3BB4" w:rsidP="002A62C3">
      <w:pPr>
        <w:rPr>
          <w:rFonts w:ascii="Calibri" w:hAnsi="Calibri"/>
          <w:sz w:val="24"/>
          <w:szCs w:val="24"/>
          <w:lang w:eastAsia="ar"/>
        </w:rPr>
      </w:pPr>
      <w:bookmarkStart w:id="3" w:name="TitleOfDoc"/>
      <w:r>
        <w:rPr>
          <w:rFonts w:asciiTheme="minorHAnsi" w:hAnsiTheme="minorHAnsi" w:hint="cs"/>
          <w:caps/>
          <w:sz w:val="28"/>
          <w:szCs w:val="24"/>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2A62C3" w:rsidRPr="002A62C3" w:rsidRDefault="002A62C3" w:rsidP="002A62C3">
      <w:pPr>
        <w:rPr>
          <w:rFonts w:ascii="Calibri" w:hAnsi="Calibri"/>
          <w:sz w:val="24"/>
          <w:szCs w:val="24"/>
          <w:lang w:eastAsia="ar"/>
        </w:rPr>
      </w:pPr>
    </w:p>
    <w:p w:rsidR="002928D3" w:rsidRDefault="00D27931" w:rsidP="00C04F3B">
      <w:pPr>
        <w:spacing w:after="1040"/>
        <w:rPr>
          <w:rFonts w:asciiTheme="minorHAnsi" w:hAnsiTheme="minorHAnsi"/>
          <w:iCs/>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2A62C3" w:rsidRPr="002A62C3" w:rsidRDefault="002A62C3" w:rsidP="002A62C3">
      <w:pPr>
        <w:pStyle w:val="ONUMA"/>
        <w:rPr>
          <w:rFonts w:cstheme="minorHAnsi"/>
          <w:rtl/>
        </w:rPr>
      </w:pPr>
      <w:r w:rsidRPr="002A62C3">
        <w:rPr>
          <w:rtl/>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1F42CA">
        <w:rPr>
          <w:i/>
          <w:iCs/>
          <w:rtl/>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2A62C3">
        <w:rPr>
          <w:rtl/>
        </w:rPr>
        <w:t xml:space="preserve"> (</w:t>
      </w:r>
      <w:r w:rsidRPr="002A62C3">
        <w:rPr>
          <w:rFonts w:cstheme="minorHAnsi"/>
        </w:rPr>
        <w:t>WIPO/GRTKF/IC/29/INF/10</w:t>
      </w:r>
      <w:r w:rsidRPr="002A62C3">
        <w:rPr>
          <w:rtl/>
        </w:rPr>
        <w:t xml:space="preserve">) (المُشار إليه فيما يلي باسم "الاستعراض التقني")، الذي أعدَّه أحد خبراء الشعوب الأصلية، وهو الأستاذ جيمس </w:t>
      </w:r>
      <w:proofErr w:type="spellStart"/>
      <w:r w:rsidRPr="002A62C3">
        <w:rPr>
          <w:rtl/>
        </w:rPr>
        <w:t>أنايا</w:t>
      </w:r>
      <w:proofErr w:type="spellEnd"/>
      <w:r w:rsidRPr="002A62C3">
        <w:rPr>
          <w:rtl/>
        </w:rPr>
        <w:t>،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 المتاحة، أحد خبراء الشعوب الأصلية بتحديث الاستعراض التقني كي تنظر فيه اللجنة خلال الثنائية 2020-2021.</w:t>
      </w:r>
      <w:r w:rsidR="00A91F7C" w:rsidRPr="00A91F7C">
        <w:rPr>
          <w:rStyle w:val="FOOTNOTEChar"/>
          <w:vertAlign w:val="superscript"/>
          <w:rtl/>
        </w:rPr>
        <w:footnoteReference w:id="2"/>
      </w:r>
      <w:r w:rsidRPr="00A91F7C">
        <w:rPr>
          <w:rStyle w:val="FOOTNOTEChar"/>
          <w:vertAlign w:val="superscript"/>
          <w:rtl/>
        </w:rPr>
        <w:t xml:space="preserve"> </w:t>
      </w:r>
    </w:p>
    <w:p w:rsidR="002A62C3" w:rsidRPr="002A62C3" w:rsidRDefault="002A62C3" w:rsidP="002A62C3">
      <w:pPr>
        <w:pStyle w:val="ONUMA"/>
        <w:rPr>
          <w:rFonts w:cstheme="minorHAnsi"/>
        </w:rPr>
      </w:pPr>
      <w:r w:rsidRPr="002A62C3">
        <w:rPr>
          <w:rtl/>
        </w:rPr>
        <w:t xml:space="preserve">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2A62C3">
        <w:rPr>
          <w:rtl/>
        </w:rPr>
        <w:t>إليفوراها</w:t>
      </w:r>
      <w:proofErr w:type="spellEnd"/>
      <w:r w:rsidRPr="002A62C3">
        <w:rPr>
          <w:rtl/>
        </w:rPr>
        <w:t xml:space="preserve"> </w:t>
      </w:r>
      <w:proofErr w:type="spellStart"/>
      <w:r w:rsidRPr="002A62C3">
        <w:rPr>
          <w:rtl/>
        </w:rPr>
        <w:t>لالتيكا</w:t>
      </w:r>
      <w:proofErr w:type="spellEnd"/>
      <w:r w:rsidRPr="002A62C3">
        <w:rPr>
          <w:rtl/>
        </w:rPr>
        <w:t xml:space="preserve">، كبير المحاضرين ومدير البحوث بجامعة طميني </w:t>
      </w:r>
      <w:proofErr w:type="spellStart"/>
      <w:r w:rsidRPr="002A62C3">
        <w:rPr>
          <w:rtl/>
        </w:rPr>
        <w:t>ماكوميرا</w:t>
      </w:r>
      <w:proofErr w:type="spellEnd"/>
      <w:r w:rsidRPr="002A62C3">
        <w:rPr>
          <w:rtl/>
        </w:rPr>
        <w:t>،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w:t>
      </w:r>
      <w:r>
        <w:rPr>
          <w:rtl/>
        </w:rPr>
        <w:t>يرا الشعوب الأصلية المُكلَّفان.</w:t>
      </w:r>
    </w:p>
    <w:p w:rsidR="002A62C3" w:rsidRPr="002A62C3" w:rsidRDefault="002A62C3" w:rsidP="002A62C3">
      <w:pPr>
        <w:spacing w:after="480"/>
        <w:ind w:left="5533"/>
        <w:rPr>
          <w:rFonts w:ascii="Calibri" w:hAnsi="Calibri"/>
          <w:i/>
          <w:sz w:val="24"/>
          <w:rtl/>
          <w:lang w:bidi="ar-EG"/>
        </w:rPr>
      </w:pPr>
      <w:r>
        <w:rPr>
          <w:rFonts w:cstheme="minorHAnsi" w:hint="cs"/>
          <w:rtl/>
        </w:rPr>
        <w:t xml:space="preserve"> </w:t>
      </w:r>
      <w:r w:rsidR="00BE0E62">
        <w:rPr>
          <w:rFonts w:ascii="Calibri" w:hAnsi="Calibri"/>
          <w:i/>
          <w:iCs/>
          <w:sz w:val="24"/>
          <w:rtl/>
          <w:lang w:eastAsia="ar" w:bidi="ar-EG"/>
        </w:rPr>
        <w:t>3.</w:t>
      </w:r>
      <w:r w:rsidR="00BE0E62">
        <w:rPr>
          <w:rFonts w:ascii="Calibri" w:hAnsi="Calibri"/>
          <w:i/>
          <w:iCs/>
          <w:sz w:val="24"/>
          <w:rtl/>
          <w:lang w:eastAsia="ar" w:bidi="ar-EG"/>
        </w:rPr>
        <w:tab/>
      </w:r>
      <w:r w:rsidR="00BE0E62">
        <w:rPr>
          <w:rFonts w:ascii="Calibri" w:hAnsi="Calibri" w:hint="cs"/>
          <w:i/>
          <w:iCs/>
          <w:sz w:val="24"/>
          <w:rtl/>
          <w:lang w:val="fr-CH" w:eastAsia="ar" w:bidi="ar-EG"/>
        </w:rPr>
        <w:t xml:space="preserve">إن </w:t>
      </w:r>
      <w:r w:rsidRPr="00280A89">
        <w:rPr>
          <w:rFonts w:ascii="Calibri" w:hAnsi="Calibri"/>
          <w:i/>
          <w:iCs/>
          <w:sz w:val="24"/>
          <w:rtl/>
          <w:lang w:eastAsia="ar" w:bidi="ar-EG"/>
        </w:rPr>
        <w:t>اللجنة مدعوةٌ إلى الإحاطة علماً بمرفق هذه الوثيقة.</w:t>
      </w:r>
    </w:p>
    <w:p w:rsidR="002A62C3" w:rsidRDefault="002A62C3" w:rsidP="002A62C3">
      <w:pPr>
        <w:pStyle w:val="Endofdocument-Annex"/>
        <w:rPr>
          <w:rtl/>
        </w:rPr>
        <w:sectPr w:rsidR="002A62C3" w:rsidSect="00EB7752">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rsidR="002A62C3" w:rsidRPr="002A62C3" w:rsidRDefault="002A62C3" w:rsidP="002A62C3">
      <w:pPr>
        <w:pStyle w:val="Endofdocument-Annex"/>
        <w:rPr>
          <w:rFonts w:cstheme="minorHAnsi"/>
          <w:rtl/>
        </w:rPr>
      </w:pPr>
    </w:p>
    <w:p w:rsidR="002A62C3" w:rsidRPr="006E3BB4" w:rsidRDefault="002A62C3" w:rsidP="006E3BB4">
      <w:pPr>
        <w:pStyle w:val="Heading1"/>
        <w:spacing w:after="360"/>
        <w:jc w:val="center"/>
        <w:rPr>
          <w:rFonts w:cstheme="minorHAnsi"/>
          <w:sz w:val="22"/>
          <w:szCs w:val="22"/>
          <w:rtl/>
        </w:rPr>
      </w:pPr>
      <w:r w:rsidRPr="006E3BB4">
        <w:rPr>
          <w:sz w:val="22"/>
          <w:szCs w:val="22"/>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2A62C3" w:rsidRPr="002A62C3" w:rsidRDefault="002A62C3" w:rsidP="006E3BB4">
      <w:pPr>
        <w:pStyle w:val="BodyText"/>
        <w:jc w:val="center"/>
        <w:rPr>
          <w:rFonts w:cstheme="minorHAnsi"/>
          <w:rtl/>
        </w:rPr>
      </w:pPr>
      <w:r w:rsidRPr="002A62C3">
        <w:rPr>
          <w:rtl/>
        </w:rPr>
        <w:t xml:space="preserve">من إعداد السيد </w:t>
      </w:r>
      <w:proofErr w:type="spellStart"/>
      <w:r w:rsidRPr="002A62C3">
        <w:rPr>
          <w:rtl/>
        </w:rPr>
        <w:t>إليفوراها</w:t>
      </w:r>
      <w:proofErr w:type="spellEnd"/>
      <w:r w:rsidRPr="002A62C3">
        <w:rPr>
          <w:rtl/>
        </w:rPr>
        <w:t xml:space="preserve"> </w:t>
      </w:r>
      <w:proofErr w:type="spellStart"/>
      <w:r w:rsidRPr="002A62C3">
        <w:rPr>
          <w:rtl/>
        </w:rPr>
        <w:t>لالتيكا</w:t>
      </w:r>
      <w:proofErr w:type="spellEnd"/>
      <w:r w:rsidRPr="002A62C3">
        <w:rPr>
          <w:rtl/>
        </w:rPr>
        <w:t xml:space="preserve"> والسيدة نيفا كولينس</w:t>
      </w:r>
    </w:p>
    <w:p w:rsidR="002A62C3" w:rsidRPr="002A62C3" w:rsidRDefault="002A62C3" w:rsidP="002A62C3">
      <w:pPr>
        <w:pStyle w:val="Heading2"/>
        <w:spacing w:before="480" w:after="240"/>
        <w:rPr>
          <w:rFonts w:cstheme="minorHAnsi"/>
          <w:i/>
          <w:iCs w:val="0"/>
          <w:sz w:val="22"/>
          <w:szCs w:val="22"/>
          <w:rtl/>
        </w:rPr>
      </w:pPr>
      <w:r w:rsidRPr="002A62C3">
        <w:rPr>
          <w:i/>
          <w:iCs w:val="0"/>
          <w:sz w:val="22"/>
          <w:szCs w:val="22"/>
          <w:rtl/>
        </w:rPr>
        <w:t xml:space="preserve">المعلومات الأساسية والمقدمة </w:t>
      </w:r>
    </w:p>
    <w:p w:rsidR="002A62C3" w:rsidRPr="002A62C3" w:rsidRDefault="002A62C3" w:rsidP="00A91F7C">
      <w:pPr>
        <w:pStyle w:val="ONUMA"/>
        <w:numPr>
          <w:ilvl w:val="0"/>
          <w:numId w:val="44"/>
        </w:numPr>
        <w:rPr>
          <w:rFonts w:cstheme="minorHAnsi"/>
          <w:rtl/>
        </w:rPr>
      </w:pPr>
      <w:r w:rsidRPr="002A62C3">
        <w:rPr>
          <w:rtl/>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00A91F7C" w:rsidRPr="00280A89">
        <w:rPr>
          <w:rFonts w:ascii="Calibri" w:hAnsi="Calibri"/>
          <w:sz w:val="24"/>
          <w:vertAlign w:val="superscript"/>
          <w:rtl/>
          <w:lang w:eastAsia="ar" w:bidi="ar-EG"/>
        </w:rPr>
        <w:footnoteReference w:id="3"/>
      </w:r>
      <w:r w:rsidR="00A91F7C" w:rsidRPr="00280A89">
        <w:rPr>
          <w:rFonts w:ascii="Calibri" w:hAnsi="Calibri"/>
          <w:sz w:val="24"/>
          <w:rtl/>
          <w:lang w:eastAsia="ar" w:bidi="ar-EG"/>
        </w:rPr>
        <w:t xml:space="preserve"> </w:t>
      </w:r>
      <w:r w:rsidRPr="00A91F7C">
        <w:rPr>
          <w:rtl/>
        </w:rPr>
        <w:t xml:space="preserve"> </w:t>
      </w:r>
      <w:r w:rsidRPr="002A62C3">
        <w:rPr>
          <w:rtl/>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w:t>
      </w:r>
      <w:proofErr w:type="spellStart"/>
      <w:r w:rsidRPr="002A62C3">
        <w:rPr>
          <w:rtl/>
        </w:rPr>
        <w:t>أنايا</w:t>
      </w:r>
      <w:proofErr w:type="spellEnd"/>
      <w:r w:rsidRPr="002A62C3">
        <w:rPr>
          <w:rtl/>
        </w:rPr>
        <w:t xml:space="preserve"> في عام 2014.</w:t>
      </w:r>
      <w:r w:rsidR="00A91F7C" w:rsidRPr="00280A89">
        <w:rPr>
          <w:rFonts w:ascii="Calibri" w:hAnsi="Calibri"/>
          <w:sz w:val="24"/>
          <w:vertAlign w:val="superscript"/>
          <w:rtl/>
          <w:lang w:eastAsia="ar" w:bidi="ar-EG"/>
        </w:rPr>
        <w:footnoteReference w:id="4"/>
      </w:r>
      <w:r w:rsidRPr="002A62C3">
        <w:rPr>
          <w:rtl/>
        </w:rPr>
        <w:t xml:space="preserve"> </w:t>
      </w:r>
    </w:p>
    <w:p w:rsidR="002A62C3" w:rsidRPr="002A62C3" w:rsidRDefault="002A62C3" w:rsidP="002A62C3">
      <w:pPr>
        <w:pStyle w:val="ONUMA"/>
        <w:rPr>
          <w:rFonts w:cstheme="minorHAnsi"/>
          <w:rtl/>
        </w:rPr>
      </w:pPr>
      <w:r w:rsidRPr="002A62C3">
        <w:rPr>
          <w:rtl/>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00A91F7C" w:rsidRPr="00280A89">
        <w:rPr>
          <w:rFonts w:ascii="Calibri" w:hAnsi="Calibri"/>
          <w:sz w:val="24"/>
          <w:vertAlign w:val="superscript"/>
          <w:rtl/>
          <w:lang w:eastAsia="ar" w:bidi="ar-EG"/>
        </w:rPr>
        <w:footnoteReference w:id="5"/>
      </w:r>
      <w:r w:rsidRPr="002A62C3">
        <w:rPr>
          <w:rtl/>
        </w:rPr>
        <w:t xml:space="preserve"> ويحتوي هذا التقرير على التحديث المطلوب للاستعراض التقني. </w:t>
      </w:r>
    </w:p>
    <w:p w:rsidR="002A62C3" w:rsidRPr="002A62C3" w:rsidRDefault="002A62C3" w:rsidP="00A91F7C">
      <w:pPr>
        <w:pStyle w:val="ONUMA"/>
        <w:rPr>
          <w:rFonts w:cstheme="minorHAnsi"/>
          <w:rtl/>
        </w:rPr>
      </w:pPr>
      <w:r w:rsidRPr="002A62C3">
        <w:rPr>
          <w:rtl/>
        </w:rPr>
        <w:t xml:space="preserve">ويُعدّ الاستعراض التقني الذي أجراه الأستاذ جيمس </w:t>
      </w:r>
      <w:proofErr w:type="spellStart"/>
      <w:r w:rsidRPr="002A62C3">
        <w:rPr>
          <w:rtl/>
        </w:rPr>
        <w:t>أنايا</w:t>
      </w:r>
      <w:proofErr w:type="spellEnd"/>
      <w:r w:rsidRPr="002A62C3">
        <w:rPr>
          <w:rtl/>
        </w:rPr>
        <w:t xml:space="preserve"> عملاً ذا أهمية </w:t>
      </w:r>
      <w:proofErr w:type="spellStart"/>
      <w:r w:rsidRPr="002A62C3">
        <w:rPr>
          <w:rtl/>
        </w:rPr>
        <w:t>مفاهيمية</w:t>
      </w:r>
      <w:proofErr w:type="spellEnd"/>
      <w:r w:rsidRPr="002A62C3">
        <w:rPr>
          <w:rtl/>
        </w:rPr>
        <w:t xml:space="preserve"> وعملية دائمة للربط بين حماية الملكية الفكرية والحقوق الإنسانية للشعوب الأصلية. </w:t>
      </w:r>
      <w:proofErr w:type="spellStart"/>
      <w:r w:rsidRPr="002A62C3">
        <w:rPr>
          <w:rtl/>
        </w:rPr>
        <w:t>ويُرسي</w:t>
      </w:r>
      <w:proofErr w:type="spellEnd"/>
      <w:r w:rsidRPr="002A62C3">
        <w:rPr>
          <w:rtl/>
        </w:rPr>
        <w:t xml:space="preserve"> هذا الاستعراض التقني أسسَ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00A91F7C" w:rsidRPr="00280A89">
        <w:rPr>
          <w:rFonts w:ascii="Calibri" w:hAnsi="Calibri"/>
          <w:sz w:val="24"/>
          <w:vertAlign w:val="superscript"/>
          <w:rtl/>
          <w:lang w:eastAsia="ar" w:bidi="ar-EG"/>
        </w:rPr>
        <w:footnoteReference w:id="6"/>
      </w:r>
      <w:r w:rsidR="00A91F7C"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ONUMA"/>
        <w:rPr>
          <w:rFonts w:cstheme="minorHAnsi"/>
          <w:rtl/>
        </w:rPr>
      </w:pPr>
      <w:r w:rsidRPr="002A62C3">
        <w:rPr>
          <w:rtl/>
        </w:rPr>
        <w:t xml:space="preserve">ولذلك فإن هذا الاستعراض التقني المُحدَّث يستند إلى عمل الأستاذ جيمس </w:t>
      </w:r>
      <w:proofErr w:type="spellStart"/>
      <w:r w:rsidRPr="002A62C3">
        <w:rPr>
          <w:rtl/>
        </w:rPr>
        <w:t>أنايا</w:t>
      </w:r>
      <w:proofErr w:type="spellEnd"/>
      <w:r w:rsidRPr="002A62C3">
        <w:rPr>
          <w:rtl/>
        </w:rPr>
        <w:t xml:space="preserve">،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w:t>
      </w:r>
      <w:proofErr w:type="spellStart"/>
      <w:r w:rsidRPr="002A62C3">
        <w:rPr>
          <w:rtl/>
        </w:rPr>
        <w:t>أنايا</w:t>
      </w:r>
      <w:proofErr w:type="spellEnd"/>
      <w:r w:rsidRPr="002A62C3">
        <w:rPr>
          <w:rtl/>
        </w:rPr>
        <w:t>.</w:t>
      </w:r>
    </w:p>
    <w:p w:rsidR="002A62C3" w:rsidRPr="002A62C3" w:rsidRDefault="002A62C3" w:rsidP="00A91F7C">
      <w:pPr>
        <w:pStyle w:val="ONUMA"/>
        <w:rPr>
          <w:rFonts w:cstheme="minorHAnsi"/>
          <w:rtl/>
        </w:rPr>
      </w:pPr>
      <w:r w:rsidRPr="002A62C3">
        <w:rPr>
          <w:rtl/>
        </w:rPr>
        <w:t xml:space="preserve">وأما من ناحية التنظيم، فينقسم هذا التحديث إلى ثلاثة أجزاء. يشمل الجزء الأول استعراضاً مُحدَّثاً لمشروع مواد لجنة </w:t>
      </w:r>
      <w:r w:rsidR="00655D5F">
        <w:rPr>
          <w:rtl/>
        </w:rPr>
        <w:t>المعارف بشأن المعارف التقليدية</w:t>
      </w:r>
      <w:r w:rsidR="00A91F7C" w:rsidRPr="00280A89">
        <w:rPr>
          <w:rFonts w:ascii="Calibri" w:hAnsi="Calibri"/>
          <w:sz w:val="24"/>
          <w:vertAlign w:val="superscript"/>
          <w:rtl/>
          <w:lang w:eastAsia="ar" w:bidi="ar-EG"/>
        </w:rPr>
        <w:footnoteReference w:id="7"/>
      </w:r>
      <w:r w:rsidR="00655D5F">
        <w:rPr>
          <w:rtl/>
        </w:rPr>
        <w:t xml:space="preserve"> </w:t>
      </w:r>
      <w:r w:rsidRPr="002A62C3">
        <w:rPr>
          <w:rtl/>
        </w:rPr>
        <w:t>وأشكال التعبير الثقافي التقليدي.</w:t>
      </w:r>
      <w:r w:rsidR="00A91F7C" w:rsidRPr="00280A89">
        <w:rPr>
          <w:rFonts w:ascii="Calibri" w:hAnsi="Calibri"/>
          <w:sz w:val="24"/>
          <w:vertAlign w:val="superscript"/>
          <w:rtl/>
          <w:lang w:eastAsia="ar" w:bidi="ar-EG"/>
        </w:rPr>
        <w:footnoteReference w:id="8"/>
      </w:r>
      <w:r w:rsidR="00A91F7C">
        <w:rPr>
          <w:rtl/>
        </w:rPr>
        <w:t xml:space="preserve"> </w:t>
      </w:r>
      <w:r w:rsidRPr="002A62C3">
        <w:rPr>
          <w:rtl/>
        </w:rPr>
        <w:t>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00A91F7C" w:rsidRPr="00280A89">
        <w:rPr>
          <w:rFonts w:ascii="Calibri" w:hAnsi="Calibri"/>
          <w:sz w:val="24"/>
          <w:vertAlign w:val="superscript"/>
          <w:rtl/>
          <w:lang w:eastAsia="ar" w:bidi="ar-EG"/>
        </w:rPr>
        <w:footnoteReference w:id="9"/>
      </w:r>
      <w:r w:rsidRPr="002A62C3">
        <w:rPr>
          <w:rtl/>
        </w:rPr>
        <w:t xml:space="preserve">   ويتناول الجزء الثالث الاعتبارات الختامية.</w:t>
      </w:r>
    </w:p>
    <w:p w:rsidR="002A62C3" w:rsidRPr="002A62C3" w:rsidRDefault="002A62C3" w:rsidP="002A62C3">
      <w:pPr>
        <w:pStyle w:val="ONUMA"/>
        <w:rPr>
          <w:rFonts w:cstheme="minorHAnsi"/>
          <w:rtl/>
        </w:rPr>
      </w:pPr>
      <w:r w:rsidRPr="002A62C3">
        <w:rPr>
          <w:rtl/>
        </w:rPr>
        <w:lastRenderedPageBreak/>
        <w:t>ويتحمل المؤلفان وحدهما مسؤولية إعداد هذا التحديث. ولا يُعبِّر التحديث بأ</w:t>
      </w:r>
      <w:bookmarkStart w:id="6" w:name="_GoBack"/>
      <w:bookmarkEnd w:id="6"/>
      <w:r w:rsidRPr="002A62C3">
        <w:rPr>
          <w:rtl/>
        </w:rPr>
        <w:t xml:space="preserve">ي حال من الأحوال عن آراء أمانة الويبو أو الدول الأعضاء أو المراقبين في الويبو.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الأول: مشروع نصوص لجنة المعارف بشأن المعارف التقليدية وأشكال التعبير الثقافي التقليدي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الموازنة </w:t>
      </w:r>
    </w:p>
    <w:p w:rsidR="002A62C3" w:rsidRPr="002A62C3" w:rsidRDefault="002A62C3" w:rsidP="002A62C3">
      <w:pPr>
        <w:pStyle w:val="ONUMA"/>
        <w:rPr>
          <w:rFonts w:cstheme="minorHAnsi"/>
          <w:rtl/>
        </w:rPr>
      </w:pPr>
      <w:r w:rsidRPr="002A62C3">
        <w:rPr>
          <w:rtl/>
        </w:rPr>
        <w:t xml:space="preserve">إن مفهوم "الموازنة" على النحو المُطبَّق في نظام حماية حقوق الملكية الفكرية يُتيح مزايا متبادلة لأصحاب الموضوع المحمي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w:t>
      </w:r>
      <w:proofErr w:type="spellStart"/>
      <w:r w:rsidRPr="002A62C3">
        <w:rPr>
          <w:rtl/>
        </w:rPr>
        <w:t>تريبس</w:t>
      </w:r>
      <w:proofErr w:type="spellEnd"/>
      <w:r w:rsidRPr="002A62C3">
        <w:rPr>
          <w:rtl/>
        </w:rPr>
        <w:t>) مثالٌ صارخٌ على تطبيق هذا المفهوم في الصكوك القانونية الدولية. فتنص هذه المادة 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00A91F7C" w:rsidRPr="00280A89">
        <w:rPr>
          <w:rFonts w:ascii="Calibri" w:hAnsi="Calibri"/>
          <w:sz w:val="24"/>
          <w:vertAlign w:val="superscript"/>
          <w:rtl/>
          <w:lang w:eastAsia="ar" w:bidi="ar-EG"/>
        </w:rPr>
        <w:footnoteReference w:id="10"/>
      </w:r>
      <w:r w:rsidRPr="002A62C3">
        <w:rPr>
          <w:rtl/>
        </w:rPr>
        <w:t xml:space="preserve">   </w:t>
      </w:r>
    </w:p>
    <w:p w:rsidR="00655D5F" w:rsidRDefault="002A62C3" w:rsidP="00655D5F">
      <w:pPr>
        <w:pStyle w:val="ONUMA"/>
        <w:rPr>
          <w:rFonts w:cstheme="minorHAnsi"/>
        </w:rPr>
      </w:pPr>
      <w:r w:rsidRPr="002A62C3">
        <w:rPr>
          <w:rtl/>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w:t>
      </w:r>
      <w:proofErr w:type="spellStart"/>
      <w:r w:rsidRPr="002A62C3">
        <w:rPr>
          <w:rtl/>
        </w:rPr>
        <w:t>المفاهيمية</w:t>
      </w:r>
      <w:proofErr w:type="spellEnd"/>
      <w:r w:rsidRPr="002A62C3">
        <w:rPr>
          <w:rtl/>
        </w:rPr>
        <w:t xml:space="preserve">،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rsidR="002A62C3" w:rsidRPr="00655D5F" w:rsidRDefault="002A62C3" w:rsidP="008F787E">
      <w:pPr>
        <w:pStyle w:val="ONUMA"/>
        <w:rPr>
          <w:rFonts w:cstheme="minorHAnsi"/>
          <w:rtl/>
        </w:rPr>
      </w:pPr>
      <w:r w:rsidRPr="002A62C3">
        <w:rPr>
          <w:rtl/>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00A91F7C" w:rsidRPr="00280A89">
        <w:rPr>
          <w:rFonts w:ascii="Calibri" w:hAnsi="Calibri"/>
          <w:sz w:val="24"/>
          <w:vertAlign w:val="superscript"/>
          <w:rtl/>
          <w:lang w:eastAsia="ar" w:bidi="ar-EG"/>
        </w:rPr>
        <w:footnoteReference w:id="11"/>
      </w:r>
      <w:r w:rsidRPr="002A62C3">
        <w:rPr>
          <w:rtl/>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w:t>
      </w:r>
      <w:r>
        <w:rPr>
          <w:rtl/>
        </w:rPr>
        <w:t>افقة الحرة المسبقة والمستنيرة.</w:t>
      </w:r>
      <w:r w:rsidR="008F787E" w:rsidRPr="00280A89">
        <w:rPr>
          <w:rFonts w:ascii="Calibri" w:hAnsi="Calibri"/>
          <w:sz w:val="24"/>
          <w:vertAlign w:val="superscript"/>
          <w:rtl/>
          <w:lang w:eastAsia="ar" w:bidi="ar-EG"/>
        </w:rPr>
        <w:footnoteReference w:id="12"/>
      </w:r>
      <w:r>
        <w:rPr>
          <w:rtl/>
        </w:rPr>
        <w:t xml:space="preserve"> </w:t>
      </w:r>
    </w:p>
    <w:p w:rsidR="002A62C3" w:rsidRPr="002A62C3" w:rsidRDefault="002A62C3" w:rsidP="002A62C3">
      <w:pPr>
        <w:pStyle w:val="ONUMA"/>
        <w:rPr>
          <w:rFonts w:cstheme="minorHAnsi"/>
          <w:rtl/>
        </w:rPr>
      </w:pPr>
      <w:r w:rsidRPr="002A62C3">
        <w:rPr>
          <w:rtl/>
        </w:rPr>
        <w:t>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w:t>
      </w:r>
      <w:r>
        <w:rPr>
          <w:rtl/>
        </w:rPr>
        <w:t>أشكال تعبيرهم الثقافي التقليدي.</w:t>
      </w:r>
    </w:p>
    <w:p w:rsidR="002A62C3" w:rsidRPr="002A62C3" w:rsidRDefault="002A62C3" w:rsidP="008F787E">
      <w:pPr>
        <w:pStyle w:val="ONUMA"/>
        <w:rPr>
          <w:rFonts w:cstheme="minorHAnsi"/>
          <w:rtl/>
        </w:rPr>
      </w:pPr>
      <w:r w:rsidRPr="002A62C3">
        <w:rPr>
          <w:rtl/>
        </w:rPr>
        <w:t>وأحد الحلول المحتملة للمُعضلة المذكورة أعلاه يكمن جزئياً في صياغة نظام فريد (</w:t>
      </w:r>
      <w:r w:rsidRPr="002A62C3">
        <w:rPr>
          <w:rFonts w:cstheme="minorHAnsi"/>
        </w:rPr>
        <w:t>Sui Generis</w:t>
      </w:r>
      <w:r w:rsidR="00655D5F">
        <w:rPr>
          <w:rtl/>
        </w:rPr>
        <w:t>)</w:t>
      </w:r>
      <w:r w:rsidR="008F787E" w:rsidRPr="00280A89">
        <w:rPr>
          <w:rFonts w:ascii="Calibri" w:hAnsi="Calibri"/>
          <w:sz w:val="24"/>
          <w:vertAlign w:val="superscript"/>
          <w:rtl/>
          <w:lang w:eastAsia="ar" w:bidi="ar-EG"/>
        </w:rPr>
        <w:footnoteReference w:id="13"/>
      </w:r>
      <w:r w:rsidR="00655D5F">
        <w:rPr>
          <w:rtl/>
        </w:rPr>
        <w:t xml:space="preserve"> </w:t>
      </w:r>
      <w:r w:rsidRPr="002A62C3">
        <w:rPr>
          <w:rtl/>
        </w:rPr>
        <w:t>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rsidR="002A62C3" w:rsidRPr="002A62C3" w:rsidRDefault="002A62C3" w:rsidP="008F787E">
      <w:pPr>
        <w:pStyle w:val="ONUMA"/>
        <w:rPr>
          <w:rFonts w:cstheme="minorHAnsi"/>
          <w:rtl/>
        </w:rPr>
      </w:pPr>
      <w:r w:rsidRPr="002A62C3">
        <w:rPr>
          <w:rtl/>
        </w:rPr>
        <w:t>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w:t>
      </w:r>
      <w:r w:rsidR="008F787E">
        <w:rPr>
          <w:rtl/>
        </w:rPr>
        <w:t xml:space="preserve">لبيانات، </w:t>
      </w:r>
      <w:r w:rsidR="008F787E">
        <w:rPr>
          <w:rtl/>
        </w:rPr>
        <w:lastRenderedPageBreak/>
        <w:t>وللتعويض أو الاسترداد.</w:t>
      </w:r>
      <w:r w:rsidR="008F787E" w:rsidRPr="00280A89">
        <w:rPr>
          <w:rFonts w:ascii="Calibri" w:hAnsi="Calibri"/>
          <w:sz w:val="24"/>
          <w:vertAlign w:val="superscript"/>
          <w:rtl/>
          <w:lang w:eastAsia="ar" w:bidi="ar-EG"/>
        </w:rPr>
        <w:footnoteReference w:id="14"/>
      </w:r>
      <w:r w:rsidRPr="002A62C3">
        <w:rPr>
          <w:rtl/>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w:t>
      </w:r>
      <w:r w:rsidR="008F787E">
        <w:rPr>
          <w:rFonts w:hint="cs"/>
          <w:rtl/>
          <w:lang w:bidi="ar-EG"/>
        </w:rPr>
        <w:t>و</w:t>
      </w:r>
      <w:r w:rsidRPr="002A62C3">
        <w:rPr>
          <w:rtl/>
        </w:rPr>
        <w:t>المستنيرة.</w:t>
      </w:r>
      <w:r w:rsidR="008F787E" w:rsidRPr="00280A89">
        <w:rPr>
          <w:rFonts w:ascii="Calibri" w:hAnsi="Calibri"/>
          <w:sz w:val="24"/>
          <w:vertAlign w:val="superscript"/>
          <w:rtl/>
          <w:lang w:eastAsia="ar" w:bidi="ar-EG"/>
        </w:rPr>
        <w:footnoteReference w:id="15"/>
      </w:r>
    </w:p>
    <w:p w:rsidR="002A62C3" w:rsidRPr="002A62C3" w:rsidRDefault="002A62C3" w:rsidP="008F787E">
      <w:pPr>
        <w:pStyle w:val="ONUMA"/>
        <w:rPr>
          <w:rFonts w:cstheme="minorHAnsi"/>
          <w:rtl/>
        </w:rPr>
      </w:pPr>
      <w:r w:rsidRPr="002A62C3">
        <w:rPr>
          <w:rtl/>
        </w:rPr>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w:t>
      </w:r>
      <w:r w:rsidR="008F787E">
        <w:rPr>
          <w:rtl/>
        </w:rPr>
        <w:t>دية للشعوب الأصلية واستخدامها.</w:t>
      </w:r>
      <w:r w:rsidR="008F787E" w:rsidRPr="00280A89">
        <w:rPr>
          <w:rFonts w:ascii="Calibri" w:hAnsi="Calibri"/>
          <w:sz w:val="24"/>
          <w:vertAlign w:val="superscript"/>
          <w:rtl/>
          <w:lang w:eastAsia="ar" w:bidi="ar-EG"/>
        </w:rPr>
        <w:footnoteReference w:id="16"/>
      </w:r>
      <w:r w:rsidR="008F787E" w:rsidRPr="00280A89">
        <w:rPr>
          <w:rFonts w:ascii="Calibri" w:hAnsi="Calibri"/>
          <w:sz w:val="24"/>
          <w:rtl/>
          <w:lang w:eastAsia="ar" w:bidi="ar-EG"/>
        </w:rPr>
        <w:t xml:space="preserve"> </w:t>
      </w:r>
      <w:r w:rsidRPr="002A62C3">
        <w:rPr>
          <w:rtl/>
        </w:rPr>
        <w:t>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008F787E" w:rsidRPr="008F787E">
        <w:rPr>
          <w:rFonts w:ascii="Calibri" w:hAnsi="Calibri"/>
          <w:sz w:val="24"/>
          <w:vertAlign w:val="superscript"/>
          <w:rtl/>
          <w:lang w:eastAsia="ar" w:bidi="ar-EG"/>
        </w:rPr>
        <w:t xml:space="preserve"> </w:t>
      </w:r>
      <w:r w:rsidR="008F787E" w:rsidRPr="00280A89">
        <w:rPr>
          <w:rFonts w:ascii="Calibri" w:hAnsi="Calibri"/>
          <w:sz w:val="24"/>
          <w:vertAlign w:val="superscript"/>
          <w:rtl/>
          <w:lang w:eastAsia="ar" w:bidi="ar-EG"/>
        </w:rPr>
        <w:footnoteReference w:id="17"/>
      </w:r>
      <w:r w:rsidR="008F787E"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الإنصاف</w:t>
      </w:r>
    </w:p>
    <w:p w:rsidR="002A62C3" w:rsidRPr="002A62C3" w:rsidRDefault="002A62C3" w:rsidP="008F787E">
      <w:pPr>
        <w:pStyle w:val="ONUMA"/>
        <w:rPr>
          <w:rFonts w:cstheme="minorHAnsi"/>
          <w:rtl/>
        </w:rPr>
      </w:pPr>
      <w:r w:rsidRPr="002A62C3">
        <w:rPr>
          <w:rtl/>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008F787E" w:rsidRPr="00280A89">
        <w:rPr>
          <w:rFonts w:ascii="Calibri" w:hAnsi="Calibri"/>
          <w:sz w:val="24"/>
          <w:vertAlign w:val="superscript"/>
          <w:rtl/>
          <w:lang w:eastAsia="ar" w:bidi="ar-EG"/>
        </w:rPr>
        <w:footnoteReference w:id="18"/>
      </w:r>
      <w:r w:rsidR="008F787E">
        <w:rPr>
          <w:rtl/>
        </w:rPr>
        <w:t xml:space="preserve"> </w:t>
      </w:r>
      <w:r w:rsidRPr="002A62C3">
        <w:rPr>
          <w:rtl/>
        </w:rPr>
        <w:t>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w:t>
      </w:r>
      <w:r>
        <w:rPr>
          <w:rtl/>
        </w:rPr>
        <w:t>رة من تراث ثقافي وملكية فكرية</w:t>
      </w:r>
      <w:r w:rsidR="008F787E">
        <w:rPr>
          <w:rFonts w:hint="cs"/>
          <w:rtl/>
        </w:rPr>
        <w:t>.</w:t>
      </w:r>
      <w:r w:rsidR="008F787E" w:rsidRPr="00280A89">
        <w:rPr>
          <w:rFonts w:ascii="Calibri" w:hAnsi="Calibri"/>
          <w:sz w:val="24"/>
          <w:vertAlign w:val="superscript"/>
          <w:rtl/>
          <w:lang w:eastAsia="ar" w:bidi="ar-EG"/>
        </w:rPr>
        <w:footnoteReference w:id="19"/>
      </w:r>
      <w:r>
        <w:rPr>
          <w:rtl/>
        </w:rPr>
        <w:t xml:space="preserve"> </w:t>
      </w:r>
    </w:p>
    <w:p w:rsidR="002A62C3" w:rsidRPr="002A62C3" w:rsidRDefault="002A62C3" w:rsidP="002A62C3">
      <w:pPr>
        <w:pStyle w:val="ONUMA"/>
        <w:rPr>
          <w:rFonts w:cstheme="minorHAnsi"/>
          <w:rtl/>
        </w:rPr>
      </w:pPr>
      <w:r w:rsidRPr="002A62C3">
        <w:rPr>
          <w:rtl/>
        </w:rPr>
        <w:t>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–أصحاب المعارف التقليدية الأصليين–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008F787E" w:rsidRPr="00280A89">
        <w:rPr>
          <w:rFonts w:ascii="Calibri" w:hAnsi="Calibri"/>
          <w:sz w:val="24"/>
          <w:vertAlign w:val="superscript"/>
          <w:rtl/>
          <w:lang w:eastAsia="ar" w:bidi="ar-EG"/>
        </w:rPr>
        <w:footnoteReference w:id="20"/>
      </w:r>
      <w:r w:rsidRPr="002A62C3">
        <w:rPr>
          <w:rtl/>
        </w:rPr>
        <w:t xml:space="preserve"> </w:t>
      </w:r>
    </w:p>
    <w:p w:rsidR="002A62C3" w:rsidRPr="002A62C3" w:rsidRDefault="002A62C3" w:rsidP="008F787E">
      <w:pPr>
        <w:pStyle w:val="ONUMA"/>
        <w:rPr>
          <w:rFonts w:cstheme="minorHAnsi"/>
          <w:rtl/>
        </w:rPr>
      </w:pPr>
      <w:r w:rsidRPr="002A62C3">
        <w:rPr>
          <w:rtl/>
        </w:rPr>
        <w:t>وتكتسي "</w:t>
      </w:r>
      <w:r w:rsidRPr="001F42CA">
        <w:rPr>
          <w:i/>
          <w:iCs/>
          <w:rtl/>
        </w:rPr>
        <w:t xml:space="preserve">مبادئ </w:t>
      </w:r>
      <w:proofErr w:type="spellStart"/>
      <w:r w:rsidRPr="001F42CA">
        <w:rPr>
          <w:i/>
          <w:iCs/>
          <w:rtl/>
        </w:rPr>
        <w:t>روتسوليهيرساجيك</w:t>
      </w:r>
      <w:proofErr w:type="spellEnd"/>
      <w:r w:rsidRPr="001F42CA">
        <w:rPr>
          <w:i/>
          <w:iCs/>
          <w:rtl/>
        </w:rPr>
        <w:t xml:space="preserve"> التوجيهية الطوعية لإعادة توطين المعارف التقليدية ذات الصلة بحفظ التنوع البيولوجي واستخدامه المستدام</w:t>
      </w:r>
      <w:r w:rsidRPr="002A62C3">
        <w:rPr>
          <w:rtl/>
        </w:rPr>
        <w:t>" المنبثقة عن اتفاقية التنوع البيولوجي قدراً من الأهمية فيما يخص الاسترداد، فهذه المبادئ تقدم إرشادات بشأن جهود إعادة التوطين، ومنها إرشادات بشأن تقاسم المنافع.</w:t>
      </w:r>
      <w:r w:rsidR="008F787E" w:rsidRPr="00280A89">
        <w:rPr>
          <w:rFonts w:ascii="Calibri" w:hAnsi="Calibri"/>
          <w:sz w:val="24"/>
          <w:vertAlign w:val="superscript"/>
          <w:rtl/>
          <w:lang w:eastAsia="ar" w:bidi="ar-EG"/>
        </w:rPr>
        <w:footnoteReference w:id="21"/>
      </w:r>
      <w:r w:rsidRPr="002A62C3">
        <w:rPr>
          <w:rtl/>
        </w:rPr>
        <w:t xml:space="preserve">  </w:t>
      </w:r>
    </w:p>
    <w:p w:rsidR="002A62C3" w:rsidRPr="002A62C3" w:rsidRDefault="002A62C3" w:rsidP="002A62C3">
      <w:pPr>
        <w:pStyle w:val="ONUMA"/>
        <w:rPr>
          <w:rFonts w:cstheme="minorHAnsi"/>
          <w:rtl/>
        </w:rPr>
      </w:pPr>
      <w:r w:rsidRPr="002A62C3">
        <w:rPr>
          <w:rtl/>
        </w:rPr>
        <w:t xml:space="preserve">وتنص مبادئ </w:t>
      </w:r>
      <w:proofErr w:type="spellStart"/>
      <w:r w:rsidRPr="002A62C3">
        <w:rPr>
          <w:rtl/>
        </w:rPr>
        <w:t>روتسوليهيرساجيك</w:t>
      </w:r>
      <w:proofErr w:type="spellEnd"/>
      <w:r w:rsidRPr="002A62C3">
        <w:rPr>
          <w:rtl/>
        </w:rPr>
        <w:t xml:space="preserve">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008909D8" w:rsidRPr="008909D8">
        <w:rPr>
          <w:rFonts w:ascii="Calibri" w:hAnsi="Calibri"/>
          <w:sz w:val="24"/>
          <w:vertAlign w:val="superscript"/>
          <w:rtl/>
          <w:lang w:eastAsia="ar" w:bidi="ar-EG"/>
        </w:rPr>
        <w:t xml:space="preserve"> </w:t>
      </w:r>
      <w:r w:rsidR="008909D8" w:rsidRPr="00280A89">
        <w:rPr>
          <w:rFonts w:ascii="Calibri" w:hAnsi="Calibri"/>
          <w:sz w:val="24"/>
          <w:vertAlign w:val="superscript"/>
          <w:rtl/>
          <w:lang w:eastAsia="ar" w:bidi="ar-EG"/>
        </w:rPr>
        <w:footnoteReference w:id="22"/>
      </w:r>
      <w:r w:rsidR="008909D8" w:rsidRPr="00280A89">
        <w:rPr>
          <w:rFonts w:ascii="Calibri" w:hAnsi="Calibri"/>
          <w:sz w:val="24"/>
          <w:rtl/>
          <w:lang w:eastAsia="ar" w:bidi="ar-EG"/>
        </w:rPr>
        <w:t xml:space="preserve"> </w:t>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الملك العام </w:t>
      </w:r>
    </w:p>
    <w:p w:rsidR="002A62C3" w:rsidRPr="002A62C3" w:rsidRDefault="002A62C3" w:rsidP="008909D8">
      <w:pPr>
        <w:pStyle w:val="ONUMA"/>
        <w:rPr>
          <w:rFonts w:cstheme="minorHAnsi"/>
          <w:rtl/>
        </w:rPr>
      </w:pPr>
      <w:r w:rsidRPr="002A62C3">
        <w:rPr>
          <w:rtl/>
        </w:rPr>
        <w:t xml:space="preserve">يشيع استخدام مفهوم "الملك العام" في مجال حق المؤلف، ويشير، على سبيل المثال، إلى "انتهاء الحقوق </w:t>
      </w:r>
      <w:proofErr w:type="spellStart"/>
      <w:r w:rsidRPr="002A62C3">
        <w:rPr>
          <w:rtl/>
        </w:rPr>
        <w:t>الاستئثارية</w:t>
      </w:r>
      <w:proofErr w:type="spellEnd"/>
      <w:r w:rsidRPr="002A62C3">
        <w:rPr>
          <w:rtl/>
        </w:rPr>
        <w:t>"، بما في ذلك زوال ما يقع على عاتق المنتفعين بمصنف أدبي من التزامات بتقديم استحقاقات إلى أصحاب الحقوق أو بالحصول على موافقتهم قبل الانتفاع بالموضو</w:t>
      </w:r>
      <w:r w:rsidR="008909D8">
        <w:rPr>
          <w:rtl/>
        </w:rPr>
        <w:t>ع المحمي.</w:t>
      </w:r>
      <w:r w:rsidR="008909D8" w:rsidRPr="00280A89">
        <w:rPr>
          <w:rFonts w:ascii="Calibri" w:hAnsi="Calibri"/>
          <w:sz w:val="24"/>
          <w:vertAlign w:val="superscript"/>
          <w:rtl/>
          <w:lang w:eastAsia="ar" w:bidi="ar-EG"/>
        </w:rPr>
        <w:footnoteReference w:id="23"/>
      </w:r>
      <w:r w:rsidR="008909D8" w:rsidRPr="00280A89">
        <w:rPr>
          <w:rFonts w:ascii="Calibri" w:hAnsi="Calibri"/>
          <w:sz w:val="24"/>
          <w:rtl/>
          <w:lang w:eastAsia="ar" w:bidi="ar-EG"/>
        </w:rPr>
        <w:t xml:space="preserve"> </w:t>
      </w:r>
      <w:r w:rsidRPr="002A62C3">
        <w:rPr>
          <w:rtl/>
        </w:rPr>
        <w:t xml:space="preserve">ويعني ذلك أنه بعد انتهاء الحقوق المالية </w:t>
      </w:r>
      <w:proofErr w:type="spellStart"/>
      <w:r w:rsidRPr="002A62C3">
        <w:rPr>
          <w:rtl/>
        </w:rPr>
        <w:t>الاستئثارية</w:t>
      </w:r>
      <w:proofErr w:type="spellEnd"/>
      <w:r w:rsidRPr="002A62C3">
        <w:rPr>
          <w:rtl/>
        </w:rPr>
        <w:t>، تصبح المصنفات الإبداعية متاحةً مجانًا لعامة الناس. والهدف من ذلك هو تعزيز النفاذ إلى المعلومات والمواد اللازمة لإبداع مصنفات مستقبلية.</w:t>
      </w:r>
      <w:r w:rsidR="008909D8" w:rsidRPr="00280A89">
        <w:rPr>
          <w:rFonts w:ascii="Calibri" w:hAnsi="Calibri"/>
          <w:sz w:val="24"/>
          <w:vertAlign w:val="superscript"/>
          <w:rtl/>
          <w:lang w:eastAsia="ar" w:bidi="ar-EG"/>
        </w:rPr>
        <w:footnoteReference w:id="24"/>
      </w:r>
      <w:r w:rsidRPr="002A62C3">
        <w:rPr>
          <w:rtl/>
        </w:rPr>
        <w:t xml:space="preserve"> </w:t>
      </w:r>
    </w:p>
    <w:p w:rsidR="002A62C3" w:rsidRPr="002A62C3" w:rsidRDefault="002A62C3" w:rsidP="008909D8">
      <w:pPr>
        <w:pStyle w:val="ONUMA"/>
        <w:rPr>
          <w:rFonts w:cstheme="minorHAnsi"/>
          <w:rtl/>
        </w:rPr>
      </w:pPr>
      <w:r w:rsidRPr="002A62C3">
        <w:rPr>
          <w:rtl/>
        </w:rPr>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008909D8" w:rsidRPr="00280A89">
        <w:rPr>
          <w:rFonts w:ascii="Calibri" w:hAnsi="Calibri"/>
          <w:sz w:val="24"/>
          <w:vertAlign w:val="superscript"/>
          <w:rtl/>
          <w:lang w:eastAsia="ar" w:bidi="ar-EG"/>
        </w:rPr>
        <w:footnoteReference w:id="25"/>
      </w:r>
      <w:r w:rsidRPr="002A62C3">
        <w:rPr>
          <w:rtl/>
        </w:rPr>
        <w:t xml:space="preserve">  </w:t>
      </w:r>
    </w:p>
    <w:p w:rsidR="002A62C3" w:rsidRPr="002A62C3" w:rsidRDefault="002A62C3" w:rsidP="002A62C3">
      <w:pPr>
        <w:pStyle w:val="ONUMA"/>
        <w:rPr>
          <w:rFonts w:cstheme="minorHAnsi"/>
          <w:rtl/>
        </w:rPr>
      </w:pPr>
      <w:r w:rsidRPr="002A62C3">
        <w:rPr>
          <w:rtl/>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rsidR="002A62C3" w:rsidRPr="002A62C3" w:rsidRDefault="002A62C3" w:rsidP="002A62C3">
      <w:pPr>
        <w:pStyle w:val="ONUMA"/>
        <w:rPr>
          <w:rFonts w:cstheme="minorHAnsi"/>
          <w:rtl/>
        </w:rPr>
      </w:pPr>
      <w:r w:rsidRPr="002A62C3">
        <w:rPr>
          <w:rtl/>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008909D8" w:rsidRPr="00280A89">
        <w:rPr>
          <w:rFonts w:ascii="Calibri" w:hAnsi="Calibri"/>
          <w:sz w:val="24"/>
          <w:vertAlign w:val="superscript"/>
          <w:rtl/>
          <w:lang w:eastAsia="ar" w:bidi="ar-EG"/>
        </w:rPr>
        <w:footnoteReference w:id="26"/>
      </w:r>
      <w:r w:rsidRPr="002A62C3">
        <w:rPr>
          <w:rtl/>
        </w:rPr>
        <w:t xml:space="preserve"> </w:t>
      </w:r>
    </w:p>
    <w:p w:rsidR="002A62C3" w:rsidRPr="002A62C3" w:rsidRDefault="002A62C3" w:rsidP="002A62C3">
      <w:pPr>
        <w:pStyle w:val="ONUMA"/>
        <w:rPr>
          <w:rFonts w:cstheme="minorHAnsi"/>
          <w:rtl/>
        </w:rPr>
      </w:pPr>
      <w:r w:rsidRPr="002A62C3">
        <w:rPr>
          <w:rtl/>
        </w:rPr>
        <w:t>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–مثل الحق في تقرير المصير، ومبدأ ا</w:t>
      </w:r>
      <w:r w:rsidR="008909D8">
        <w:rPr>
          <w:rtl/>
        </w:rPr>
        <w:t>لموافقة الحرة المسبقة المستنيرة</w:t>
      </w:r>
      <w:r w:rsidR="008909D8" w:rsidRPr="00280A89">
        <w:rPr>
          <w:rFonts w:ascii="Calibri" w:hAnsi="Calibri"/>
          <w:sz w:val="24"/>
          <w:vertAlign w:val="superscript"/>
          <w:rtl/>
          <w:lang w:eastAsia="ar" w:bidi="ar-EG"/>
        </w:rPr>
        <w:footnoteReference w:id="27"/>
      </w:r>
      <w:r w:rsidRPr="002A62C3">
        <w:rPr>
          <w:rtl/>
        </w:rPr>
        <w:t xml:space="preserve">، والحقوق المتعلقة بالأراضي والأقاليم والموارد–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rsidR="002A62C3" w:rsidRPr="002A62C3" w:rsidRDefault="002A62C3" w:rsidP="002A62C3">
      <w:pPr>
        <w:pStyle w:val="ONUMA"/>
        <w:rPr>
          <w:rFonts w:cstheme="minorHAnsi"/>
          <w:rtl/>
        </w:rPr>
      </w:pPr>
      <w:r w:rsidRPr="002A62C3">
        <w:rPr>
          <w:rtl/>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rsidR="002A62C3" w:rsidRPr="002A62C3" w:rsidRDefault="002A62C3" w:rsidP="002A62C3">
      <w:pPr>
        <w:pStyle w:val="ONUMA"/>
        <w:rPr>
          <w:rFonts w:cstheme="minorHAnsi"/>
          <w:rtl/>
        </w:rPr>
      </w:pPr>
      <w:r w:rsidRPr="002A62C3">
        <w:rPr>
          <w:rtl/>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r>
        <w:rPr>
          <w:rFonts w:cstheme="minorHAnsi"/>
          <w:rtl/>
        </w:rPr>
        <w:br w:type="page"/>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الاستثناءات والتقييدات </w:t>
      </w:r>
    </w:p>
    <w:p w:rsidR="002A62C3" w:rsidRPr="002A62C3" w:rsidRDefault="002A62C3" w:rsidP="008909D8">
      <w:pPr>
        <w:pStyle w:val="ONUMA"/>
        <w:rPr>
          <w:rFonts w:cstheme="minorHAnsi"/>
          <w:rtl/>
        </w:rPr>
      </w:pPr>
      <w:r w:rsidRPr="002A62C3">
        <w:rPr>
          <w:rtl/>
        </w:rPr>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w:t>
      </w:r>
      <w:r w:rsidR="008909D8">
        <w:rPr>
          <w:rtl/>
        </w:rPr>
        <w:t>سم "الاستثناء(ات) والتقييدات".</w:t>
      </w:r>
      <w:r w:rsidR="008909D8" w:rsidRPr="00280A89">
        <w:rPr>
          <w:rFonts w:ascii="Calibri" w:hAnsi="Calibri"/>
          <w:sz w:val="24"/>
          <w:vertAlign w:val="superscript"/>
          <w:rtl/>
          <w:lang w:eastAsia="ar" w:bidi="ar-EG"/>
        </w:rPr>
        <w:footnoteReference w:id="28"/>
      </w:r>
      <w:r w:rsidR="008909D8" w:rsidRPr="00280A89">
        <w:rPr>
          <w:rFonts w:ascii="Calibri" w:hAnsi="Calibri"/>
          <w:sz w:val="24"/>
          <w:rtl/>
          <w:lang w:eastAsia="ar" w:bidi="ar-EG"/>
        </w:rPr>
        <w:t xml:space="preserve"> </w:t>
      </w:r>
      <w:r w:rsidRPr="002A62C3">
        <w:rPr>
          <w:rtl/>
        </w:rPr>
        <w:t>وتشمل أسباب الاستثناء(ات) والتقييدات إتاحة المعرفة من أجل الدراسة والتعليم، والاستخدامات غير التجارية، والمتاحف، والمكتبات.</w:t>
      </w:r>
      <w:r w:rsidR="008909D8" w:rsidRPr="00280A89">
        <w:rPr>
          <w:rFonts w:ascii="Calibri" w:hAnsi="Calibri"/>
          <w:sz w:val="24"/>
          <w:vertAlign w:val="superscript"/>
          <w:rtl/>
          <w:lang w:eastAsia="ar" w:bidi="ar-EG"/>
        </w:rPr>
        <w:footnoteReference w:id="29"/>
      </w:r>
      <w:r w:rsidRPr="002A62C3">
        <w:rPr>
          <w:rtl/>
        </w:rPr>
        <w:t xml:space="preserve"> </w:t>
      </w:r>
    </w:p>
    <w:p w:rsidR="002A62C3" w:rsidRPr="002A62C3" w:rsidRDefault="002A62C3" w:rsidP="002A62C3">
      <w:pPr>
        <w:pStyle w:val="ONUMA"/>
        <w:rPr>
          <w:rFonts w:cstheme="minorHAnsi"/>
          <w:rtl/>
        </w:rPr>
      </w:pPr>
      <w:r w:rsidRPr="002A62C3">
        <w:rPr>
          <w:rtl/>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rsidR="002A62C3" w:rsidRPr="002A62C3" w:rsidRDefault="002A62C3" w:rsidP="002A62C3">
      <w:pPr>
        <w:pStyle w:val="ONUMA"/>
        <w:rPr>
          <w:rFonts w:cstheme="minorHAnsi"/>
          <w:rtl/>
        </w:rPr>
      </w:pPr>
      <w:r w:rsidRPr="002A62C3">
        <w:rPr>
          <w:rtl/>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rsidR="002A62C3" w:rsidRPr="002A62C3" w:rsidRDefault="002A62C3" w:rsidP="008909D8">
      <w:pPr>
        <w:pStyle w:val="ONUMA"/>
        <w:rPr>
          <w:rFonts w:cstheme="minorHAnsi"/>
          <w:rtl/>
        </w:rPr>
      </w:pPr>
      <w:r w:rsidRPr="002A62C3">
        <w:rPr>
          <w:rtl/>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w:t>
      </w:r>
      <w:r w:rsidR="008909D8">
        <w:rPr>
          <w:rtl/>
        </w:rPr>
        <w:t>سبقة مستنيرة من الشعوب الأصلية.</w:t>
      </w:r>
      <w:r w:rsidR="008909D8" w:rsidRPr="00280A89">
        <w:rPr>
          <w:rFonts w:ascii="Calibri" w:hAnsi="Calibri"/>
          <w:sz w:val="24"/>
          <w:vertAlign w:val="superscript"/>
          <w:rtl/>
          <w:lang w:eastAsia="ar" w:bidi="ar-EG"/>
        </w:rPr>
        <w:footnoteReference w:id="30"/>
      </w:r>
      <w:r w:rsidR="008909D8" w:rsidRPr="00280A89">
        <w:rPr>
          <w:rFonts w:ascii="Calibri" w:hAnsi="Calibri"/>
          <w:sz w:val="24"/>
          <w:rtl/>
          <w:lang w:eastAsia="ar" w:bidi="ar-EG"/>
        </w:rPr>
        <w:t xml:space="preserve"> </w:t>
      </w:r>
      <w:r w:rsidRPr="002A62C3">
        <w:rPr>
          <w:rtl/>
        </w:rPr>
        <w:t>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rsidR="002A62C3" w:rsidRPr="002A62C3" w:rsidRDefault="002A62C3" w:rsidP="008909D8">
      <w:pPr>
        <w:pStyle w:val="ONUMA"/>
        <w:rPr>
          <w:rFonts w:cstheme="minorHAnsi"/>
          <w:rtl/>
        </w:rPr>
      </w:pPr>
      <w:r w:rsidRPr="002A62C3">
        <w:rPr>
          <w:rtl/>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8909D8">
        <w:rPr>
          <w:i/>
          <w:iCs/>
          <w:rtl/>
        </w:rPr>
        <w:t>اتفاق التجارة الحرة بين الولايات المتحدة وكندا والمكسيك</w:t>
      </w:r>
      <w:r w:rsidRPr="002A62C3">
        <w:rPr>
          <w:rtl/>
        </w:rPr>
        <w:t>.</w:t>
      </w:r>
      <w:r w:rsidR="008909D8" w:rsidRPr="00280A89">
        <w:rPr>
          <w:rFonts w:ascii="Calibri" w:hAnsi="Calibri"/>
          <w:sz w:val="24"/>
          <w:vertAlign w:val="superscript"/>
          <w:rtl/>
          <w:lang w:eastAsia="ar" w:bidi="ar-EG"/>
        </w:rPr>
        <w:footnoteReference w:id="31"/>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نطاق الحماية: النهج المتدرج </w:t>
      </w:r>
    </w:p>
    <w:p w:rsidR="002A62C3" w:rsidRPr="002A62C3" w:rsidRDefault="002A62C3" w:rsidP="002A62C3">
      <w:pPr>
        <w:pStyle w:val="ONUMA"/>
        <w:rPr>
          <w:rFonts w:cstheme="minorHAnsi"/>
          <w:rtl/>
        </w:rPr>
      </w:pPr>
      <w:r w:rsidRPr="002A62C3">
        <w:rPr>
          <w:rtl/>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rsidR="002A62C3" w:rsidRPr="002A62C3" w:rsidRDefault="002A62C3" w:rsidP="002A62C3">
      <w:pPr>
        <w:pStyle w:val="ONUMA"/>
        <w:rPr>
          <w:rFonts w:cstheme="minorHAnsi"/>
          <w:rtl/>
        </w:rPr>
      </w:pPr>
      <w:r w:rsidRPr="002A62C3">
        <w:rPr>
          <w:rtl/>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rsidR="002A62C3" w:rsidRPr="002A62C3" w:rsidRDefault="002A62C3" w:rsidP="002A62C3">
      <w:pPr>
        <w:pStyle w:val="ONUMA"/>
        <w:rPr>
          <w:rtl/>
        </w:rPr>
      </w:pPr>
      <w:r w:rsidRPr="002A62C3">
        <w:rPr>
          <w:rtl/>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w:t>
      </w:r>
      <w:proofErr w:type="spellStart"/>
      <w:r w:rsidRPr="002A62C3">
        <w:rPr>
          <w:rtl/>
        </w:rPr>
        <w:t>الإجحافات</w:t>
      </w:r>
      <w:proofErr w:type="spellEnd"/>
      <w:r w:rsidRPr="002A62C3">
        <w:rPr>
          <w:rtl/>
        </w:rPr>
        <w:t xml:space="preserve"> السابقة عن طريق إعادة توطين المعارف التقليدية وأشكال التعبير الثقافي التقليدي المُختلَسة. </w:t>
      </w:r>
    </w:p>
    <w:p w:rsidR="002A62C3" w:rsidRPr="002A62C3" w:rsidRDefault="002A62C3" w:rsidP="008909D8">
      <w:pPr>
        <w:pStyle w:val="ONUMA"/>
        <w:rPr>
          <w:rtl/>
        </w:rPr>
      </w:pPr>
      <w:r w:rsidRPr="002A62C3">
        <w:rPr>
          <w:rtl/>
        </w:rPr>
        <w:t xml:space="preserve">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مُكلِّف، فإن القضاة قد لا يتفهمون أو يقدرون تماماً المذاهب القانونية للشعوب الأصلية، خصوصاً ما يتعلق بالصلات الروحية. وثاني تلك العناصر أن المعارف التقليدية وأشكال </w:t>
      </w:r>
      <w:r w:rsidRPr="002A62C3">
        <w:rPr>
          <w:rtl/>
        </w:rPr>
        <w:lastRenderedPageBreak/>
        <w:t>التعبير الثقافي التقليدي المقدسة والسرية لا يعنيها ما إذا كانت منتشرةً على نطاق واسع أو ضيق. وكونها غير منتشرة ينبغي ألا يكون 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008909D8" w:rsidRPr="00280A89">
        <w:rPr>
          <w:rFonts w:ascii="Calibri" w:hAnsi="Calibri"/>
          <w:sz w:val="24"/>
          <w:vertAlign w:val="superscript"/>
          <w:rtl/>
          <w:lang w:eastAsia="ar" w:bidi="ar-EG"/>
        </w:rPr>
        <w:footnoteReference w:id="32"/>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قواعد البيانات وسجلات المعارف </w:t>
      </w:r>
    </w:p>
    <w:p w:rsidR="002A62C3" w:rsidRPr="002A62C3" w:rsidRDefault="002A62C3" w:rsidP="008909D8">
      <w:pPr>
        <w:pStyle w:val="ONUMA"/>
        <w:rPr>
          <w:rFonts w:cstheme="minorHAnsi"/>
          <w:rtl/>
        </w:rPr>
      </w:pPr>
      <w:r w:rsidRPr="002A62C3">
        <w:rPr>
          <w:rtl/>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w:t>
      </w:r>
      <w:r w:rsidR="008909D8">
        <w:rPr>
          <w:rtl/>
        </w:rPr>
        <w:t>ن المهارة في المجال من تطبيقه.</w:t>
      </w:r>
      <w:r w:rsidR="008909D8" w:rsidRPr="00280A89">
        <w:rPr>
          <w:rFonts w:ascii="Calibri" w:hAnsi="Calibri"/>
          <w:sz w:val="24"/>
          <w:vertAlign w:val="superscript"/>
          <w:rtl/>
          <w:lang w:eastAsia="ar" w:bidi="ar-EG"/>
        </w:rPr>
        <w:footnoteReference w:id="33"/>
      </w:r>
    </w:p>
    <w:p w:rsidR="002A62C3" w:rsidRPr="002A62C3" w:rsidRDefault="002A62C3" w:rsidP="002A62C3">
      <w:pPr>
        <w:pStyle w:val="ONUMA"/>
        <w:rPr>
          <w:rFonts w:cstheme="minorHAnsi"/>
          <w:rtl/>
        </w:rPr>
      </w:pPr>
      <w:r w:rsidRPr="002A62C3">
        <w:rPr>
          <w:rtl/>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rsidR="002A62C3" w:rsidRPr="002A62C3" w:rsidRDefault="002A62C3" w:rsidP="008909D8">
      <w:pPr>
        <w:pStyle w:val="ONUMA"/>
        <w:rPr>
          <w:rFonts w:cstheme="minorHAnsi"/>
          <w:rtl/>
        </w:rPr>
      </w:pPr>
      <w:r w:rsidRPr="002A62C3">
        <w:rPr>
          <w:rtl/>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008909D8" w:rsidRPr="00280A89">
        <w:rPr>
          <w:rFonts w:ascii="Calibri" w:hAnsi="Calibri"/>
          <w:sz w:val="24"/>
          <w:vertAlign w:val="superscript"/>
          <w:rtl/>
          <w:lang w:eastAsia="ar" w:bidi="ar-EG"/>
        </w:rPr>
        <w:footnoteReference w:id="34"/>
      </w:r>
      <w:r w:rsidRPr="002A62C3">
        <w:rPr>
          <w:rtl/>
        </w:rPr>
        <w:t xml:space="preserve">  </w:t>
      </w:r>
    </w:p>
    <w:p w:rsidR="00655D5F" w:rsidRDefault="002A62C3" w:rsidP="008909D8">
      <w:pPr>
        <w:pStyle w:val="ONUMA"/>
        <w:rPr>
          <w:rFonts w:cstheme="minorHAnsi"/>
        </w:rPr>
      </w:pPr>
      <w:r w:rsidRPr="002A62C3">
        <w:rPr>
          <w:rtl/>
        </w:rPr>
        <w:t>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 أصحاب المعارف التقليدية وأشكال التعبير الثقافي التقليدي.</w:t>
      </w:r>
      <w:r w:rsidR="008909D8" w:rsidRPr="00280A89">
        <w:rPr>
          <w:rFonts w:ascii="Calibri" w:hAnsi="Calibri"/>
          <w:sz w:val="24"/>
          <w:vertAlign w:val="superscript"/>
          <w:rtl/>
          <w:lang w:eastAsia="ar" w:bidi="ar-EG"/>
        </w:rPr>
        <w:footnoteReference w:id="35"/>
      </w:r>
      <w:r w:rsidRPr="002A62C3">
        <w:rPr>
          <w:rtl/>
        </w:rPr>
        <w:t xml:space="preserve">  </w:t>
      </w:r>
    </w:p>
    <w:p w:rsidR="002A62C3" w:rsidRPr="00655D5F" w:rsidRDefault="002A62C3" w:rsidP="00655D5F">
      <w:pPr>
        <w:pStyle w:val="ONUMA"/>
        <w:rPr>
          <w:rFonts w:cstheme="minorHAnsi"/>
          <w:rtl/>
        </w:rPr>
      </w:pPr>
      <w:r w:rsidRPr="002A62C3">
        <w:rPr>
          <w:rtl/>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الثاني: مشاريع نصوص بشأن الموارد الوراثية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حقوق الشعوب الأصلية في الموارد الوراثية</w:t>
      </w:r>
    </w:p>
    <w:p w:rsidR="002A62C3" w:rsidRPr="002A62C3" w:rsidRDefault="002A62C3" w:rsidP="008909D8">
      <w:pPr>
        <w:pStyle w:val="ONUMA"/>
        <w:rPr>
          <w:rFonts w:cstheme="minorHAnsi"/>
          <w:rtl/>
        </w:rPr>
      </w:pPr>
      <w:r w:rsidRPr="002A62C3">
        <w:rPr>
          <w:rtl/>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008909D8" w:rsidRPr="00280A89">
        <w:rPr>
          <w:rFonts w:ascii="Calibri" w:hAnsi="Calibri"/>
          <w:sz w:val="24"/>
          <w:vertAlign w:val="superscript"/>
          <w:rtl/>
          <w:lang w:eastAsia="ar" w:bidi="ar-EG"/>
        </w:rPr>
        <w:footnoteReference w:id="36"/>
      </w:r>
      <w:r w:rsidRPr="002A62C3">
        <w:rPr>
          <w:rtl/>
        </w:rPr>
        <w:t xml:space="preserve">  </w:t>
      </w:r>
    </w:p>
    <w:p w:rsidR="002A62C3" w:rsidRPr="002A62C3" w:rsidRDefault="002A62C3" w:rsidP="008909D8">
      <w:pPr>
        <w:pStyle w:val="ONUMA"/>
        <w:rPr>
          <w:rFonts w:cstheme="minorHAnsi"/>
          <w:rtl/>
        </w:rPr>
      </w:pPr>
      <w:r w:rsidRPr="002A62C3">
        <w:rPr>
          <w:rtl/>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w:t>
      </w:r>
      <w:r w:rsidR="008909D8">
        <w:rPr>
          <w:rtl/>
        </w:rPr>
        <w:t>ستند إلى الحق في تقرير المصير.</w:t>
      </w:r>
      <w:r w:rsidR="008909D8" w:rsidRPr="00280A89">
        <w:rPr>
          <w:rFonts w:ascii="Calibri" w:hAnsi="Calibri"/>
          <w:sz w:val="24"/>
          <w:vertAlign w:val="superscript"/>
          <w:rtl/>
          <w:lang w:eastAsia="ar" w:bidi="ar-EG"/>
        </w:rPr>
        <w:footnoteReference w:id="37"/>
      </w:r>
      <w:r w:rsidR="008909D8" w:rsidRPr="00280A89">
        <w:rPr>
          <w:rFonts w:ascii="Calibri" w:hAnsi="Calibri"/>
          <w:sz w:val="24"/>
          <w:rtl/>
          <w:lang w:eastAsia="ar" w:bidi="ar-EG"/>
        </w:rPr>
        <w:t xml:space="preserve"> </w:t>
      </w:r>
      <w:r w:rsidRPr="002A62C3">
        <w:rPr>
          <w:rtl/>
        </w:rPr>
        <w:t xml:space="preserve"> </w:t>
      </w:r>
      <w:r w:rsidRPr="002A62C3">
        <w:rPr>
          <w:rtl/>
        </w:rPr>
        <w:lastRenderedPageBreak/>
        <w:t>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rsidR="002A62C3" w:rsidRPr="002A62C3" w:rsidRDefault="002A62C3" w:rsidP="008909D8">
      <w:pPr>
        <w:pStyle w:val="ONUMA"/>
        <w:rPr>
          <w:rFonts w:cstheme="minorHAnsi"/>
          <w:rtl/>
        </w:rPr>
      </w:pPr>
      <w:r w:rsidRPr="002A62C3">
        <w:rPr>
          <w:rtl/>
        </w:rPr>
        <w:t xml:space="preserve">ووفقاً للاستعراض التقني الذي أجراه الأستاذ جيمس </w:t>
      </w:r>
      <w:proofErr w:type="spellStart"/>
      <w:r w:rsidRPr="002A62C3">
        <w:rPr>
          <w:rtl/>
        </w:rPr>
        <w:t>أنايا</w:t>
      </w:r>
      <w:proofErr w:type="spellEnd"/>
      <w:r w:rsidRPr="002A62C3">
        <w:rPr>
          <w:rtl/>
        </w:rPr>
        <w:t>، تُعتبر حقوق موارد الشعوب الأصلية شاملةً لجميع أشكال "الموارد الطبيعية"، ومنها الموارد الوراثية، التي جرى العرف على أن تستخدمها الشعوب الأصلية وفقاً لأنماط م</w:t>
      </w:r>
      <w:r w:rsidR="008909D8">
        <w:rPr>
          <w:rtl/>
        </w:rPr>
        <w:t>ُحدَّدة بوضوح.</w:t>
      </w:r>
      <w:r w:rsidR="008909D8" w:rsidRPr="00280A89">
        <w:rPr>
          <w:rFonts w:ascii="Calibri" w:hAnsi="Calibri"/>
          <w:sz w:val="24"/>
          <w:vertAlign w:val="superscript"/>
          <w:rtl/>
          <w:lang w:eastAsia="ar" w:bidi="ar-EG"/>
        </w:rPr>
        <w:footnoteReference w:id="38"/>
      </w:r>
      <w:r w:rsidRPr="002A62C3">
        <w:rPr>
          <w:rtl/>
        </w:rPr>
        <w:t xml:space="preserve"> كما أن </w:t>
      </w:r>
      <w:r w:rsidRPr="008909D8">
        <w:rPr>
          <w:i/>
          <w:iCs/>
          <w:rtl/>
        </w:rPr>
        <w:t xml:space="preserve">بروتوكول </w:t>
      </w:r>
      <w:proofErr w:type="spellStart"/>
      <w:r w:rsidRPr="008909D8">
        <w:rPr>
          <w:i/>
          <w:iCs/>
          <w:rtl/>
        </w:rPr>
        <w:t>ناغويا</w:t>
      </w:r>
      <w:proofErr w:type="spellEnd"/>
      <w:r w:rsidRPr="008909D8">
        <w:rPr>
          <w:i/>
          <w:iCs/>
          <w:rtl/>
        </w:rPr>
        <w:t xml:space="preserve"> بشأن الحصول على الموارد الجينية والتقاسم العادل والمنصف للمنافع الناشئة عن استخدامها الملحق باتفاقية التنوع البيولوجي (بروتوكول </w:t>
      </w:r>
      <w:proofErr w:type="spellStart"/>
      <w:r w:rsidRPr="008909D8">
        <w:rPr>
          <w:i/>
          <w:iCs/>
          <w:rtl/>
        </w:rPr>
        <w:t>ناغويا</w:t>
      </w:r>
      <w:proofErr w:type="spellEnd"/>
      <w:r w:rsidRPr="008909D8">
        <w:rPr>
          <w:i/>
          <w:iCs/>
          <w:rtl/>
        </w:rPr>
        <w:t>)</w:t>
      </w:r>
      <w:r w:rsidRPr="002A62C3">
        <w:rPr>
          <w:rtl/>
        </w:rPr>
        <w:t xml:space="preserve"> أكَّد حقوق الشعو</w:t>
      </w:r>
      <w:r w:rsidR="008909D8">
        <w:rPr>
          <w:rtl/>
        </w:rPr>
        <w:t>ب الأصلية في الموارد الوراثية.</w:t>
      </w:r>
      <w:r w:rsidR="008909D8" w:rsidRPr="00280A89">
        <w:rPr>
          <w:rFonts w:ascii="Calibri" w:hAnsi="Calibri"/>
          <w:sz w:val="24"/>
          <w:vertAlign w:val="superscript"/>
          <w:rtl/>
          <w:lang w:eastAsia="ar" w:bidi="ar-EG"/>
        </w:rPr>
        <w:footnoteReference w:id="39"/>
      </w:r>
      <w:r w:rsidR="008909D8">
        <w:rPr>
          <w:rtl/>
        </w:rPr>
        <w:t xml:space="preserve"> </w:t>
      </w:r>
      <w:r w:rsidRPr="002A62C3">
        <w:rPr>
          <w:rtl/>
        </w:rPr>
        <w:t xml:space="preserve">وبالمثل، فإن </w:t>
      </w:r>
      <w:r w:rsidRPr="008909D8">
        <w:rPr>
          <w:i/>
          <w:iCs/>
          <w:rtl/>
        </w:rPr>
        <w:t xml:space="preserve">التقارير الوطنية المؤقتة بشأن تنفيذ بروتوكول </w:t>
      </w:r>
      <w:proofErr w:type="spellStart"/>
      <w:r w:rsidRPr="008909D8">
        <w:rPr>
          <w:i/>
          <w:iCs/>
          <w:rtl/>
        </w:rPr>
        <w:t>ناغويا</w:t>
      </w:r>
      <w:proofErr w:type="spellEnd"/>
      <w:r w:rsidRPr="008909D8">
        <w:rPr>
          <w:i/>
          <w:iCs/>
          <w:rtl/>
        </w:rPr>
        <w:t xml:space="preserve"> فيما يخص النفاذ وتقاسم المنافع</w:t>
      </w:r>
      <w:r w:rsidRPr="002A62C3">
        <w:rPr>
          <w:rtl/>
        </w:rPr>
        <w:t xml:space="preserve"> تؤكد حقوق الشعوب الأصلية في منح حق النفاذ إلى الموارد الوراثية.</w:t>
      </w:r>
      <w:r w:rsidR="008909D8" w:rsidRPr="00280A89">
        <w:rPr>
          <w:rFonts w:ascii="Calibri" w:hAnsi="Calibri"/>
          <w:sz w:val="24"/>
          <w:vertAlign w:val="superscript"/>
          <w:rtl/>
          <w:lang w:eastAsia="ar" w:bidi="ar-EG"/>
        </w:rPr>
        <w:footnoteReference w:id="40"/>
      </w:r>
      <w:r w:rsidRPr="002A62C3">
        <w:rPr>
          <w:rtl/>
        </w:rPr>
        <w:t xml:space="preserve"> </w:t>
      </w:r>
    </w:p>
    <w:p w:rsidR="002A62C3" w:rsidRPr="002A62C3" w:rsidRDefault="002A62C3" w:rsidP="008909D8">
      <w:pPr>
        <w:pStyle w:val="ONUMA"/>
        <w:rPr>
          <w:rFonts w:cstheme="minorHAnsi"/>
          <w:rtl/>
        </w:rPr>
      </w:pPr>
      <w:r w:rsidRPr="002A62C3">
        <w:rPr>
          <w:rtl/>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w:t>
      </w:r>
      <w:r w:rsidR="008909D8">
        <w:rPr>
          <w:rtl/>
        </w:rPr>
        <w:t>لمستنيرة والشروط المُتفق عليها.</w:t>
      </w:r>
      <w:r w:rsidR="008909D8" w:rsidRPr="00280A89">
        <w:rPr>
          <w:rFonts w:ascii="Calibri" w:hAnsi="Calibri"/>
          <w:sz w:val="24"/>
          <w:vertAlign w:val="superscript"/>
          <w:rtl/>
          <w:lang w:eastAsia="ar" w:bidi="ar-EG"/>
        </w:rPr>
        <w:footnoteReference w:id="41"/>
      </w:r>
      <w:r w:rsidRPr="002A62C3">
        <w:rPr>
          <w:rtl/>
        </w:rPr>
        <w:t xml:space="preserve"> وقد تكون لذلك تداعيات على حقوق الشعوب الأصلية في امتلاك الموارد والتحكم فيها وحماية المعارف التقليدية المرتبطة ب</w:t>
      </w:r>
      <w:r w:rsidR="008909D8">
        <w:rPr>
          <w:rtl/>
        </w:rPr>
        <w:t>ها والحفاظ عليها والتحكم فيها.</w:t>
      </w:r>
      <w:r w:rsidR="008909D8" w:rsidRPr="00280A89">
        <w:rPr>
          <w:rFonts w:ascii="Calibri" w:hAnsi="Calibri"/>
          <w:sz w:val="24"/>
          <w:vertAlign w:val="superscript"/>
          <w:rtl/>
          <w:lang w:eastAsia="ar" w:bidi="ar-EG"/>
        </w:rPr>
        <w:footnoteReference w:id="42"/>
      </w:r>
      <w:r w:rsidR="008909D8">
        <w:rPr>
          <w:rtl/>
        </w:rPr>
        <w:t xml:space="preserve"> </w:t>
      </w:r>
      <w:r w:rsidRPr="002A62C3">
        <w:rPr>
          <w:rtl/>
        </w:rPr>
        <w:t xml:space="preserve">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rsidR="002A62C3" w:rsidRPr="002A62C3" w:rsidRDefault="002A62C3" w:rsidP="008909D8">
      <w:pPr>
        <w:pStyle w:val="ONUMA"/>
        <w:rPr>
          <w:rFonts w:cstheme="minorHAnsi"/>
          <w:rtl/>
        </w:rPr>
      </w:pPr>
      <w:r w:rsidRPr="002A62C3">
        <w:rPr>
          <w:rtl/>
        </w:rPr>
        <w:t xml:space="preserve">وتوجد محافل أخرى، منها فريق </w:t>
      </w:r>
      <w:r w:rsidRPr="008909D8">
        <w:rPr>
          <w:i/>
          <w:iCs/>
          <w:rtl/>
        </w:rPr>
        <w:t>الخبراء التقنيين المخصص المعني بمعلومات التسلسل الرقمي للموارد الوراثية</w:t>
      </w:r>
      <w:r w:rsidRPr="002A62C3">
        <w:rPr>
          <w:rtl/>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w:t>
      </w:r>
      <w:r w:rsidR="008909D8">
        <w:rPr>
          <w:rtl/>
        </w:rPr>
        <w:t>معالجة هذه القضايا عند ظهورها.</w:t>
      </w:r>
      <w:r w:rsidR="008909D8" w:rsidRPr="00280A89">
        <w:rPr>
          <w:rFonts w:ascii="Calibri" w:hAnsi="Calibri"/>
          <w:sz w:val="24"/>
          <w:vertAlign w:val="superscript"/>
          <w:rtl/>
          <w:lang w:eastAsia="ar" w:bidi="ar-EG"/>
        </w:rPr>
        <w:footnoteReference w:id="43"/>
      </w:r>
      <w:r w:rsidR="008909D8" w:rsidRPr="00280A89">
        <w:rPr>
          <w:rFonts w:ascii="Calibri" w:hAnsi="Calibri"/>
          <w:sz w:val="24"/>
          <w:rtl/>
          <w:lang w:eastAsia="ar" w:bidi="ar-EG"/>
        </w:rPr>
        <w:t xml:space="preserve"> </w:t>
      </w:r>
      <w:r w:rsidRPr="002A62C3">
        <w:rPr>
          <w:rtl/>
        </w:rPr>
        <w:t>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008909D8" w:rsidRPr="00280A89">
        <w:rPr>
          <w:rFonts w:ascii="Calibri" w:hAnsi="Calibri"/>
          <w:sz w:val="24"/>
          <w:vertAlign w:val="superscript"/>
          <w:rtl/>
          <w:lang w:eastAsia="ar" w:bidi="ar-EG"/>
        </w:rPr>
        <w:footnoteReference w:id="44"/>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الكشف الإلزامي</w:t>
      </w:r>
    </w:p>
    <w:p w:rsidR="002A62C3" w:rsidRPr="002A62C3" w:rsidRDefault="002A62C3" w:rsidP="002A62C3">
      <w:pPr>
        <w:pStyle w:val="ONUMA"/>
        <w:rPr>
          <w:rFonts w:cstheme="minorHAnsi"/>
          <w:rtl/>
        </w:rPr>
      </w:pPr>
      <w:r w:rsidRPr="002A62C3">
        <w:rPr>
          <w:rtl/>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rsidR="002A62C3" w:rsidRPr="002A62C3" w:rsidRDefault="002A62C3" w:rsidP="008909D8">
      <w:pPr>
        <w:pStyle w:val="ONUMA"/>
        <w:rPr>
          <w:rFonts w:cstheme="minorHAnsi"/>
          <w:rtl/>
        </w:rPr>
      </w:pPr>
      <w:r w:rsidRPr="002A62C3">
        <w:rPr>
          <w:rtl/>
        </w:rPr>
        <w:t>والكشف الإلزامي إجراءٌ دفاعيٌّ يهدف إلى منع الاستيلاء غير المشروع على الموارد الوراثية وما يتعلق بها من معارف تقليدية.</w:t>
      </w:r>
      <w:r w:rsidR="008909D8" w:rsidRPr="00280A89">
        <w:rPr>
          <w:rFonts w:ascii="Calibri" w:hAnsi="Calibri"/>
          <w:sz w:val="24"/>
          <w:vertAlign w:val="superscript"/>
          <w:rtl/>
          <w:lang w:eastAsia="ar" w:bidi="ar-EG"/>
        </w:rPr>
        <w:footnoteReference w:id="45"/>
      </w:r>
      <w:r w:rsidR="008909D8">
        <w:rPr>
          <w:rFonts w:hint="cs"/>
          <w:rtl/>
        </w:rPr>
        <w:t xml:space="preserve"> </w:t>
      </w:r>
      <w:r w:rsidRPr="002A62C3">
        <w:rPr>
          <w:rtl/>
        </w:rPr>
        <w:t xml:space="preserve">وسيقتضي هذا الشرط الكشف عن المعلومات ذات الصلة في الطلبات إذا كان الموضوع المطلوب حمايته يستخدم موارد وراثية أو </w:t>
      </w:r>
      <w:r w:rsidRPr="002A62C3">
        <w:rPr>
          <w:rtl/>
        </w:rPr>
        <w:lastRenderedPageBreak/>
        <w:t>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w:t>
      </w:r>
      <w:r w:rsidR="008909D8">
        <w:rPr>
          <w:rtl/>
        </w:rPr>
        <w:t>ية استناداً جوهرياً أو مباشراً.</w:t>
      </w:r>
      <w:r w:rsidR="008909D8" w:rsidRPr="00280A89">
        <w:rPr>
          <w:rFonts w:ascii="Calibri" w:hAnsi="Calibri"/>
          <w:sz w:val="24"/>
          <w:vertAlign w:val="superscript"/>
          <w:rtl/>
          <w:lang w:eastAsia="ar" w:bidi="ar-EG"/>
        </w:rPr>
        <w:footnoteReference w:id="46"/>
      </w:r>
      <w:r w:rsidRPr="002A62C3">
        <w:rPr>
          <w:rtl/>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المنافع، وذلك وفقاً لما اقترحه مشروع الوثيقة الموحدة. ويقترح نص الرئيس أيضاً الكشف عن الشعوب الأصلية التي قدمت المعارف التقليدية ذات الصلة.</w:t>
      </w:r>
      <w:r w:rsidR="008909D8" w:rsidRPr="00280A89">
        <w:rPr>
          <w:rFonts w:ascii="Calibri" w:hAnsi="Calibri"/>
          <w:sz w:val="24"/>
          <w:vertAlign w:val="superscript"/>
          <w:rtl/>
          <w:lang w:eastAsia="ar" w:bidi="ar-EG"/>
        </w:rPr>
        <w:footnoteReference w:id="47"/>
      </w:r>
      <w:r w:rsidRPr="002A62C3">
        <w:rPr>
          <w:rtl/>
        </w:rPr>
        <w:t xml:space="preserve"> </w:t>
      </w:r>
    </w:p>
    <w:p w:rsidR="002A62C3" w:rsidRPr="002A62C3" w:rsidRDefault="002A62C3" w:rsidP="008909D8">
      <w:pPr>
        <w:pStyle w:val="ONUMA"/>
        <w:rPr>
          <w:rFonts w:cstheme="minorHAnsi"/>
          <w:rtl/>
        </w:rPr>
      </w:pPr>
      <w:r w:rsidRPr="002A62C3">
        <w:rPr>
          <w:rtl/>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008909D8" w:rsidRPr="00280A89">
        <w:rPr>
          <w:rFonts w:ascii="Calibri" w:hAnsi="Calibri"/>
          <w:sz w:val="24"/>
          <w:vertAlign w:val="superscript"/>
          <w:rtl/>
          <w:lang w:eastAsia="ar" w:bidi="ar-EG"/>
        </w:rPr>
        <w:footnoteReference w:id="48"/>
      </w:r>
      <w:r w:rsidRPr="002A62C3">
        <w:rPr>
          <w:rtl/>
        </w:rPr>
        <w:t xml:space="preserve">  </w:t>
      </w:r>
    </w:p>
    <w:p w:rsidR="002A62C3" w:rsidRPr="002A62C3" w:rsidRDefault="002A62C3" w:rsidP="008909D8">
      <w:pPr>
        <w:pStyle w:val="ONUMA"/>
        <w:rPr>
          <w:rFonts w:cstheme="minorHAnsi"/>
          <w:rtl/>
        </w:rPr>
      </w:pPr>
      <w:r w:rsidRPr="002A62C3">
        <w:rPr>
          <w:rtl/>
        </w:rPr>
        <w:t xml:space="preserve">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w:t>
      </w:r>
      <w:r w:rsidR="008909D8">
        <w:rPr>
          <w:rtl/>
        </w:rPr>
        <w:t>رقمياً ينطوي على تحديات فريدة.</w:t>
      </w:r>
      <w:r w:rsidR="008909D8" w:rsidRPr="00280A89">
        <w:rPr>
          <w:rFonts w:ascii="Calibri" w:hAnsi="Calibri"/>
          <w:sz w:val="24"/>
          <w:vertAlign w:val="superscript"/>
          <w:rtl/>
          <w:lang w:eastAsia="ar" w:bidi="ar-EG"/>
        </w:rPr>
        <w:footnoteReference w:id="49"/>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تسوية المنازعات </w:t>
      </w:r>
    </w:p>
    <w:p w:rsidR="002A62C3" w:rsidRPr="002A62C3" w:rsidRDefault="002A62C3" w:rsidP="008909D8">
      <w:pPr>
        <w:pStyle w:val="ONUMA"/>
        <w:rPr>
          <w:rFonts w:cstheme="minorHAnsi"/>
          <w:rtl/>
        </w:rPr>
      </w:pPr>
      <w:r w:rsidRPr="002A62C3">
        <w:rPr>
          <w:rtl/>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w:t>
      </w:r>
      <w:r>
        <w:rPr>
          <w:rtl/>
        </w:rPr>
        <w:t>د تشمل اتفاقات تحصيل الإتاوات،</w:t>
      </w:r>
      <w:r w:rsidR="008909D8" w:rsidRPr="00280A89">
        <w:rPr>
          <w:rFonts w:ascii="Calibri" w:hAnsi="Calibri"/>
          <w:sz w:val="24"/>
          <w:vertAlign w:val="superscript"/>
          <w:rtl/>
          <w:lang w:eastAsia="ar" w:bidi="ar-EG"/>
        </w:rPr>
        <w:footnoteReference w:id="50"/>
      </w:r>
      <w:r>
        <w:rPr>
          <w:rtl/>
        </w:rPr>
        <w:t xml:space="preserve"> </w:t>
      </w:r>
      <w:r w:rsidRPr="002A62C3">
        <w:rPr>
          <w:rtl/>
        </w:rPr>
        <w:t>بينما تقترح الوثيقة الموحدة وضع آليات مناسبة لتسوية المنازعات.</w:t>
      </w:r>
      <w:r w:rsidR="008909D8" w:rsidRPr="00280A89">
        <w:rPr>
          <w:rFonts w:ascii="Calibri" w:hAnsi="Calibri"/>
          <w:sz w:val="24"/>
          <w:vertAlign w:val="superscript"/>
          <w:rtl/>
          <w:lang w:eastAsia="ar" w:bidi="ar-EG"/>
        </w:rPr>
        <w:footnoteReference w:id="51"/>
      </w:r>
      <w:r w:rsidRPr="002A62C3">
        <w:rPr>
          <w:rtl/>
        </w:rPr>
        <w:t xml:space="preserve"> </w:t>
      </w:r>
    </w:p>
    <w:p w:rsidR="002A62C3" w:rsidRPr="002A62C3" w:rsidRDefault="002A62C3" w:rsidP="008909D8">
      <w:pPr>
        <w:pStyle w:val="ONUMA"/>
        <w:rPr>
          <w:rFonts w:cstheme="minorHAnsi"/>
          <w:rtl/>
        </w:rPr>
      </w:pPr>
      <w:r w:rsidRPr="002A62C3">
        <w:rPr>
          <w:rtl/>
        </w:rPr>
        <w:t>وتُعدّ إمكانية النفاذ أمراً أساسياً، من منظور الشعوب الأصلية، نظراً إلى 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008909D8" w:rsidRPr="00280A89">
        <w:rPr>
          <w:rFonts w:ascii="Calibri" w:hAnsi="Calibri"/>
          <w:sz w:val="24"/>
          <w:vertAlign w:val="superscript"/>
          <w:rtl/>
          <w:lang w:eastAsia="ar" w:bidi="ar-EG"/>
        </w:rPr>
        <w:footnoteReference w:id="52"/>
      </w:r>
      <w:r w:rsidRPr="002A62C3">
        <w:rPr>
          <w:rtl/>
        </w:rPr>
        <w:t xml:space="preserve"> </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t>إمكانية التتبع</w:t>
      </w:r>
    </w:p>
    <w:p w:rsidR="002A62C3" w:rsidRPr="002A62C3" w:rsidRDefault="002A62C3" w:rsidP="008909D8">
      <w:pPr>
        <w:pStyle w:val="ONUMA"/>
        <w:rPr>
          <w:rFonts w:cstheme="minorHAnsi"/>
          <w:rtl/>
        </w:rPr>
      </w:pPr>
      <w:r w:rsidRPr="002A62C3">
        <w:rPr>
          <w:rtl/>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w:t>
      </w:r>
      <w:proofErr w:type="spellStart"/>
      <w:r w:rsidRPr="002A62C3">
        <w:rPr>
          <w:rtl/>
        </w:rPr>
        <w:t>بل</w:t>
      </w:r>
      <w:r w:rsidR="008909D8">
        <w:rPr>
          <w:rtl/>
        </w:rPr>
        <w:t>وكتشاين</w:t>
      </w:r>
      <w:proofErr w:type="spellEnd"/>
      <w:r w:rsidR="008909D8">
        <w:rPr>
          <w:rtl/>
        </w:rPr>
        <w:t>) أن تساعد على التتبُّع.</w:t>
      </w:r>
      <w:r w:rsidR="008909D8" w:rsidRPr="00280A89">
        <w:rPr>
          <w:rFonts w:ascii="Calibri" w:hAnsi="Calibri"/>
          <w:sz w:val="24"/>
          <w:vertAlign w:val="superscript"/>
          <w:rtl/>
          <w:lang w:eastAsia="ar" w:bidi="ar-EG"/>
        </w:rPr>
        <w:footnoteReference w:id="53"/>
      </w:r>
      <w:r w:rsidRPr="002A62C3">
        <w:rPr>
          <w:rtl/>
        </w:rPr>
        <w:t xml:space="preserve"> وتتطلب هذه التدابير المُبتكَرة مشاركةً مستنيرةً من الشعوب الأصلية في تحديد المخاطر والفوائد.</w:t>
      </w:r>
    </w:p>
    <w:p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الجزء الثالث: اعتبارات ختامية </w:t>
      </w:r>
    </w:p>
    <w:p w:rsidR="002A62C3" w:rsidRPr="002A62C3" w:rsidRDefault="002A62C3" w:rsidP="002A62C3">
      <w:pPr>
        <w:pStyle w:val="ONUMA"/>
        <w:rPr>
          <w:rtl/>
        </w:rPr>
      </w:pPr>
      <w:r>
        <w:rPr>
          <w:rFonts w:hint="cs"/>
          <w:rtl/>
          <w:lang w:val="fr-CH" w:bidi="ar-EG"/>
        </w:rPr>
        <w:t>إ</w:t>
      </w:r>
      <w:r w:rsidRPr="002A62C3">
        <w:rPr>
          <w:rtl/>
        </w:rPr>
        <w:t xml:space="preserve">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rsidR="002A62C3" w:rsidRPr="002A62C3" w:rsidRDefault="002A62C3" w:rsidP="002A62C3">
      <w:pPr>
        <w:pStyle w:val="ONUMA"/>
        <w:rPr>
          <w:rtl/>
        </w:rPr>
      </w:pPr>
      <w:r w:rsidRPr="002A62C3">
        <w:rPr>
          <w:rtl/>
        </w:rPr>
        <w:t>وتعزز مشاريع النصوص الدعمَ المتبادل، وتُشير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w:t>
      </w:r>
      <w:r>
        <w:rPr>
          <w:rtl/>
        </w:rPr>
        <w:t xml:space="preserve"> توقُّع التطبيق العالمي لأحكامه</w:t>
      </w:r>
      <w:r>
        <w:rPr>
          <w:rFonts w:hint="cs"/>
          <w:rtl/>
        </w:rPr>
        <w:t>.</w:t>
      </w:r>
    </w:p>
    <w:p w:rsidR="002A62C3" w:rsidRDefault="002A62C3" w:rsidP="008909D8">
      <w:pPr>
        <w:pStyle w:val="ONUMA"/>
        <w:rPr>
          <w:rtl/>
        </w:rPr>
      </w:pPr>
      <w:r w:rsidRPr="002A62C3">
        <w:rPr>
          <w:rtl/>
        </w:rPr>
        <w:t>وفي حين أن الدول يمكنها أن تحقق التوازن بين مصالح الجماعات داخل بلدانها، تظل حقوق الشعوب الأصلية قائمةً ويجب احترامها. ولا يمكن لحقوق الملكية الفكرية لجماعة ما أن تطغى على الحقوق المكفولة للشعوب الأصلية.</w:t>
      </w:r>
      <w:r w:rsidR="008909D8" w:rsidRPr="00280A89">
        <w:rPr>
          <w:rFonts w:ascii="Calibri" w:hAnsi="Calibri"/>
          <w:sz w:val="24"/>
          <w:vertAlign w:val="superscript"/>
          <w:rtl/>
          <w:lang w:eastAsia="ar" w:bidi="ar-EG"/>
        </w:rPr>
        <w:footnoteReference w:id="54"/>
      </w:r>
      <w:r w:rsidRPr="002A62C3">
        <w:rPr>
          <w:rtl/>
        </w:rPr>
        <w:t xml:space="preserve"> </w:t>
      </w:r>
    </w:p>
    <w:p w:rsidR="00FE339E" w:rsidRPr="008909D8" w:rsidRDefault="002A62C3" w:rsidP="008909D8">
      <w:pPr>
        <w:pStyle w:val="Endofdocument-Annex"/>
        <w:spacing w:before="360"/>
      </w:pPr>
      <w:r w:rsidRPr="008909D8">
        <w:rPr>
          <w:rtl/>
        </w:rPr>
        <w:t>[نهاي</w:t>
      </w:r>
      <w:r w:rsidRPr="008909D8">
        <w:rPr>
          <w:rFonts w:hint="cs"/>
          <w:rtl/>
        </w:rPr>
        <w:t>ة المرفق و</w:t>
      </w:r>
      <w:r w:rsidR="005875D1" w:rsidRPr="008909D8">
        <w:rPr>
          <w:rtl/>
        </w:rPr>
        <w:t>الوثيقة]</w:t>
      </w:r>
    </w:p>
    <w:sectPr w:rsidR="00FE339E" w:rsidRPr="008909D8" w:rsidSect="00171FF1">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7C4" w:rsidRDefault="006F27C4">
      <w:r>
        <w:separator/>
      </w:r>
    </w:p>
  </w:endnote>
  <w:endnote w:type="continuationSeparator" w:id="0">
    <w:p w:rsidR="006F27C4" w:rsidRDefault="006F27C4" w:rsidP="003B38C1">
      <w:r>
        <w:separator/>
      </w:r>
    </w:p>
    <w:p w:rsidR="006F27C4" w:rsidRPr="003B38C1" w:rsidRDefault="006F27C4" w:rsidP="003B38C1">
      <w:pPr>
        <w:spacing w:after="60"/>
        <w:rPr>
          <w:sz w:val="17"/>
        </w:rPr>
      </w:pPr>
      <w:r>
        <w:rPr>
          <w:sz w:val="17"/>
        </w:rPr>
        <w:t>[Endnote continued from previous page]</w:t>
      </w:r>
    </w:p>
  </w:endnote>
  <w:endnote w:type="continuationNotice" w:id="1">
    <w:p w:rsidR="006F27C4" w:rsidRPr="003B38C1" w:rsidRDefault="006F27C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7C4" w:rsidRDefault="006F27C4">
      <w:r>
        <w:separator/>
      </w:r>
    </w:p>
  </w:footnote>
  <w:footnote w:type="continuationSeparator" w:id="0">
    <w:p w:rsidR="006F27C4" w:rsidRDefault="006F27C4" w:rsidP="008B60B2">
      <w:r>
        <w:separator/>
      </w:r>
    </w:p>
    <w:p w:rsidR="006F27C4" w:rsidRPr="00ED77FB" w:rsidRDefault="006F27C4" w:rsidP="008B60B2">
      <w:pPr>
        <w:spacing w:after="60"/>
        <w:rPr>
          <w:sz w:val="17"/>
          <w:szCs w:val="17"/>
        </w:rPr>
      </w:pPr>
      <w:r w:rsidRPr="00ED77FB">
        <w:rPr>
          <w:sz w:val="17"/>
          <w:szCs w:val="17"/>
        </w:rPr>
        <w:t>[Footnote continued from previous page]</w:t>
      </w:r>
    </w:p>
  </w:footnote>
  <w:footnote w:type="continuationNotice" w:id="1">
    <w:p w:rsidR="006F27C4" w:rsidRPr="00ED77FB" w:rsidRDefault="006F27C4" w:rsidP="008B60B2">
      <w:pPr>
        <w:spacing w:before="60"/>
        <w:jc w:val="right"/>
        <w:rPr>
          <w:sz w:val="17"/>
          <w:szCs w:val="17"/>
        </w:rPr>
      </w:pPr>
      <w:r w:rsidRPr="00ED77FB">
        <w:rPr>
          <w:sz w:val="17"/>
          <w:szCs w:val="17"/>
        </w:rPr>
        <w:t>[Footnote continued on next page]</w:t>
      </w:r>
    </w:p>
  </w:footnote>
  <w:footnote w:id="2">
    <w:p w:rsidR="00A91F7C" w:rsidRPr="00A91F7C" w:rsidRDefault="00A91F7C">
      <w:pPr>
        <w:pStyle w:val="FootnoteText"/>
        <w:rPr>
          <w:lang w:val="fr-CH"/>
        </w:rPr>
      </w:pPr>
      <w:r w:rsidRPr="00A91F7C">
        <w:rPr>
          <w:rStyle w:val="FootnoteReference"/>
          <w:rFonts w:ascii="Arial" w:hAnsi="Arial" w:cs="Calibri"/>
          <w:sz w:val="18"/>
          <w:szCs w:val="18"/>
        </w:rPr>
        <w:footnoteRef/>
      </w:r>
      <w:r w:rsidRPr="00A91F7C">
        <w:rPr>
          <w:rtl/>
        </w:rPr>
        <w:t xml:space="preserve"> </w:t>
      </w:r>
      <w:r w:rsidR="00300E4F">
        <w:t xml:space="preserve"> </w:t>
      </w:r>
      <w:r w:rsidRPr="00A91F7C">
        <w:rPr>
          <w:rtl/>
          <w:lang w:eastAsia="ar"/>
        </w:rPr>
        <w:t>انظر قرارات الدورة الأربعين للجنة، الصفحة 3.</w:t>
      </w:r>
    </w:p>
  </w:footnote>
  <w:footnote w:id="3">
    <w:p w:rsidR="00A91F7C" w:rsidRPr="006E3BB4" w:rsidRDefault="00A91F7C" w:rsidP="00A91F7C">
      <w:pPr>
        <w:pStyle w:val="FootnoteText"/>
      </w:pPr>
      <w:r w:rsidRPr="006E3BB4">
        <w:rPr>
          <w:rStyle w:val="FootnoteReference"/>
          <w:rFonts w:ascii="Arial" w:hAnsi="Arial" w:cs="Calibri"/>
          <w:sz w:val="18"/>
          <w:szCs w:val="18"/>
        </w:rPr>
        <w:footnoteRef/>
      </w:r>
      <w:r w:rsidRPr="006E3BB4">
        <w:rPr>
          <w:rtl/>
          <w:lang w:eastAsia="ar"/>
        </w:rPr>
        <w:t xml:space="preserve"> </w:t>
      </w:r>
      <w:r w:rsidRPr="006E3BB4">
        <w:rPr>
          <w:lang w:eastAsia="ar"/>
        </w:rPr>
        <w:tab/>
      </w:r>
      <w:r w:rsidRPr="006E3BB4">
        <w:rPr>
          <w:rtl/>
          <w:lang w:eastAsia="ar"/>
        </w:rPr>
        <w:t xml:space="preserve">منتدى الأمم المتحدة الدائم المعني بقضايا الشعوب الأصلية، تقرير عن الدورة الثامنة عشرة، </w:t>
      </w:r>
      <w:r w:rsidRPr="006E3BB4">
        <w:rPr>
          <w:lang w:eastAsia="ar" w:bidi="en-US"/>
        </w:rPr>
        <w:t>E/2019/43-E/C</w:t>
      </w:r>
      <w:r w:rsidRPr="006E3BB4">
        <w:rPr>
          <w:rtl/>
          <w:lang w:eastAsia="ar"/>
        </w:rPr>
        <w:t>.</w:t>
      </w:r>
      <w:r w:rsidRPr="006E3BB4">
        <w:rPr>
          <w:rFonts w:hint="cs"/>
          <w:rtl/>
          <w:lang w:eastAsia="ar"/>
        </w:rPr>
        <w:t xml:space="preserve"> </w:t>
      </w:r>
      <w:r w:rsidRPr="006E3BB4">
        <w:rPr>
          <w:rtl/>
          <w:lang w:eastAsia="ar"/>
        </w:rPr>
        <w:t>19/2019/10. انظر الفقرة 10 من الوثيقة المتاحة على</w:t>
      </w:r>
      <w:r w:rsidRPr="006E3BB4">
        <w:rPr>
          <w:rFonts w:hint="cs"/>
          <w:rtl/>
          <w:lang w:eastAsia="ar"/>
        </w:rPr>
        <w:t xml:space="preserve">: </w:t>
      </w:r>
      <w:hyperlink r:id="rId1" w:history="1">
        <w:r w:rsidRPr="006E3BB4">
          <w:rPr>
            <w:rStyle w:val="Hyperlink"/>
            <w:color w:val="auto"/>
            <w:u w:val="none"/>
            <w:lang w:eastAsia="ar"/>
          </w:rPr>
          <w:t>https://www.un.org/development/desa/indigenouspeoples/news/2019/06/18-session-report</w:t>
        </w:r>
        <w:r w:rsidRPr="006E3BB4">
          <w:rPr>
            <w:rStyle w:val="Hyperlink"/>
            <w:color w:val="auto"/>
            <w:u w:val="none"/>
            <w:rtl/>
            <w:lang w:eastAsia="ar"/>
          </w:rPr>
          <w:t>/</w:t>
        </w:r>
      </w:hyperlink>
      <w:r w:rsidRPr="006E3BB4">
        <w:rPr>
          <w:rFonts w:hint="cs"/>
          <w:rtl/>
          <w:lang w:eastAsia="ar"/>
        </w:rPr>
        <w:t>.</w:t>
      </w:r>
    </w:p>
  </w:footnote>
  <w:footnote w:id="4">
    <w:p w:rsidR="00A91F7C" w:rsidRPr="006E3BB4" w:rsidRDefault="00A91F7C" w:rsidP="00A91F7C">
      <w:pPr>
        <w:pStyle w:val="FootnoteText"/>
        <w:rPr>
          <w:lang w:val="fr-CH" w:eastAsia="ar" w:bidi="ar-SY"/>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الوثيقة </w:t>
      </w:r>
      <w:r w:rsidRPr="006E3BB4">
        <w:rPr>
          <w:lang w:eastAsia="ar" w:bidi="en-US"/>
        </w:rPr>
        <w:t>WIPO/GRTKF/IC/29/INF</w:t>
      </w:r>
      <w:r w:rsidRPr="006E3BB4">
        <w:rPr>
          <w:lang w:eastAsia="ar"/>
        </w:rPr>
        <w:t>/10</w:t>
      </w:r>
      <w:r w:rsidRPr="006E3BB4">
        <w:rPr>
          <w:rtl/>
          <w:lang w:eastAsia="ar"/>
        </w:rPr>
        <w:t>، المتاحة على</w:t>
      </w:r>
      <w:r w:rsidRPr="006E3BB4">
        <w:rPr>
          <w:rFonts w:hint="cs"/>
          <w:rtl/>
          <w:lang w:val="fr-CH" w:eastAsia="ar" w:bidi="ar-SY"/>
        </w:rPr>
        <w:t>:</w:t>
      </w:r>
    </w:p>
    <w:p w:rsidR="00A91F7C" w:rsidRPr="006E3BB4" w:rsidRDefault="006F27C4" w:rsidP="00A91F7C">
      <w:pPr>
        <w:pStyle w:val="FootnoteText"/>
        <w:rPr>
          <w:rtl/>
          <w:lang w:val="fr-CH" w:eastAsia="ar" w:bidi="ar-SY"/>
        </w:rPr>
      </w:pPr>
      <w:hyperlink r:id="rId2" w:history="1">
        <w:r w:rsidR="00A91F7C" w:rsidRPr="006E3BB4">
          <w:rPr>
            <w:rStyle w:val="Hyperlink"/>
            <w:color w:val="auto"/>
            <w:u w:val="none"/>
            <w:lang w:val="fr-CH" w:eastAsia="ar" w:bidi="ar-SY"/>
          </w:rPr>
          <w:t>https://www.wipo.int/edocs/mdocs/tk/ar/wipo_grtkf_ic_29/wipo_grtkf_ic_29_inf_10.pdf</w:t>
        </w:r>
      </w:hyperlink>
      <w:r w:rsidR="00A91F7C" w:rsidRPr="006E3BB4">
        <w:rPr>
          <w:rFonts w:hint="cs"/>
          <w:rtl/>
          <w:lang w:val="fr-CH" w:eastAsia="ar" w:bidi="ar-SY"/>
        </w:rPr>
        <w:t>.</w:t>
      </w:r>
    </w:p>
  </w:footnote>
  <w:footnote w:id="5">
    <w:p w:rsidR="00A91F7C" w:rsidRPr="006E3BB4" w:rsidRDefault="00A91F7C" w:rsidP="00A91F7C">
      <w:pPr>
        <w:pStyle w:val="FootnoteText"/>
        <w:rPr>
          <w:lang w:val="uz-Cyrl-UZ"/>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lang w:eastAsia="ar" w:bidi="en-US"/>
        </w:rPr>
        <w:t>E/2019/43-E/C</w:t>
      </w:r>
      <w:r w:rsidRPr="006E3BB4">
        <w:rPr>
          <w:lang w:eastAsia="ar"/>
        </w:rPr>
        <w:t>. 19/10</w:t>
      </w:r>
      <w:r w:rsidRPr="006E3BB4">
        <w:rPr>
          <w:rtl/>
          <w:lang w:eastAsia="ar"/>
        </w:rPr>
        <w:t xml:space="preserve"> في الفقرة 10.</w:t>
      </w:r>
    </w:p>
  </w:footnote>
  <w:footnote w:id="6">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bookmarkStart w:id="5" w:name="_Hlk49439221"/>
      <w:r w:rsidRPr="006E3BB4">
        <w:rPr>
          <w:lang w:eastAsia="ar"/>
        </w:rPr>
        <w:tab/>
      </w:r>
      <w:r w:rsidRPr="006E3BB4">
        <w:rPr>
          <w:lang w:eastAsia="ar" w:bidi="en-US"/>
        </w:rPr>
        <w:t>WIPO/GRTKF/IC/29/INF</w:t>
      </w:r>
      <w:r w:rsidRPr="006E3BB4">
        <w:rPr>
          <w:lang w:eastAsia="ar"/>
        </w:rPr>
        <w:t>/10</w:t>
      </w:r>
      <w:r w:rsidRPr="006E3BB4">
        <w:rPr>
          <w:rtl/>
          <w:lang w:eastAsia="ar"/>
        </w:rPr>
        <w:t xml:space="preserve"> في الفقرة 11</w:t>
      </w:r>
      <w:bookmarkEnd w:id="5"/>
      <w:r w:rsidRPr="006E3BB4">
        <w:rPr>
          <w:rtl/>
          <w:lang w:eastAsia="ar"/>
        </w:rPr>
        <w:t>.</w:t>
      </w:r>
    </w:p>
  </w:footnote>
  <w:footnote w:id="7">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الأول: حماية المعارف التقليدية: مشروع مواد، نسخة الميسِّرين المعدَّلة (19 يونيو 2019)، المتاح على </w:t>
      </w:r>
      <w:hyperlink r:id="rId3" w:history="1">
        <w:r w:rsidRPr="006E3BB4">
          <w:rPr>
            <w:rStyle w:val="Hyperlink"/>
            <w:color w:val="auto"/>
            <w:u w:val="none"/>
            <w:lang w:eastAsia="ar" w:bidi="en-US"/>
          </w:rPr>
          <w:t>https://www.wipo.int/meetings/en/doc_details.jsp?doc_id</w:t>
        </w:r>
        <w:r w:rsidRPr="006E3BB4">
          <w:rPr>
            <w:rStyle w:val="Hyperlink"/>
            <w:color w:val="auto"/>
            <w:u w:val="none"/>
            <w:lang w:eastAsia="ar"/>
          </w:rPr>
          <w:t>=443934</w:t>
        </w:r>
      </w:hyperlink>
      <w:r w:rsidRPr="006E3BB4">
        <w:rPr>
          <w:rtl/>
          <w:lang w:eastAsia="ar"/>
        </w:rPr>
        <w:t xml:space="preserve">. </w:t>
      </w:r>
    </w:p>
  </w:footnote>
  <w:footnote w:id="8">
    <w:p w:rsidR="00A91F7C" w:rsidRPr="006E3BB4" w:rsidRDefault="00A91F7C" w:rsidP="00A91F7C">
      <w:pPr>
        <w:pStyle w:val="FootnoteText"/>
        <w:rPr>
          <w:rFonts w:asciiTheme="minorHAnsi" w:hAnsiTheme="minorHAnsi" w:cstheme="minorHAnsi"/>
        </w:rPr>
      </w:pPr>
      <w:r w:rsidRPr="006E3BB4">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الثاني: حماية أشكال التعبير الثقافي التقليدي: مشروع مواد، نسخة الميسِّرين المعدَّلة (19 يونيو 2019)، المتاح على </w:t>
      </w:r>
      <w:hyperlink r:id="rId4" w:history="1">
        <w:r w:rsidRPr="006E3BB4">
          <w:rPr>
            <w:rStyle w:val="Hyperlink"/>
            <w:color w:val="auto"/>
            <w:u w:val="none"/>
            <w:lang w:eastAsia="ar" w:bidi="en-US"/>
          </w:rPr>
          <w:t>https://www.wipo.int/meetings/en/doc_details.jsp?doc_id</w:t>
        </w:r>
        <w:r w:rsidRPr="006E3BB4">
          <w:rPr>
            <w:rStyle w:val="Hyperlink"/>
            <w:color w:val="auto"/>
            <w:u w:val="none"/>
            <w:lang w:eastAsia="ar"/>
          </w:rPr>
          <w:t>=443934</w:t>
        </w:r>
      </w:hyperlink>
      <w:r w:rsidRPr="006E3BB4">
        <w:rPr>
          <w:rtl/>
          <w:lang w:eastAsia="ar"/>
        </w:rPr>
        <w:t xml:space="preserve">. </w:t>
      </w:r>
    </w:p>
  </w:footnote>
  <w:footnote w:id="9">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الثالث: الوثيقة الموحدة بشأن الملكية الفكرية والموارد الوراثية - النسخة المعدَّلة الثانية (23 مارس 2018)، المتاح على </w:t>
      </w:r>
      <w:hyperlink r:id="rId5" w:history="1">
        <w:r w:rsidRPr="006E3BB4">
          <w:rPr>
            <w:rStyle w:val="Hyperlink"/>
            <w:color w:val="auto"/>
            <w:u w:val="none"/>
            <w:lang w:eastAsia="ar" w:bidi="en-US"/>
          </w:rPr>
          <w:t>https://www.wipo.int/meetings/en/doc_details.jsp?doc_id</w:t>
        </w:r>
        <w:r w:rsidRPr="006E3BB4">
          <w:rPr>
            <w:rStyle w:val="Hyperlink"/>
            <w:color w:val="auto"/>
            <w:u w:val="none"/>
            <w:lang w:eastAsia="ar"/>
          </w:rPr>
          <w:t>=443934</w:t>
        </w:r>
      </w:hyperlink>
      <w:r w:rsidRPr="006E3BB4">
        <w:rPr>
          <w:rStyle w:val="Hyperlink"/>
          <w:rFonts w:eastAsia="Times New Roman"/>
          <w:color w:val="auto"/>
          <w:u w:val="none"/>
          <w:rtl/>
          <w:lang w:eastAsia="ar"/>
        </w:rPr>
        <w:t xml:space="preserve">، </w:t>
      </w:r>
      <w:r w:rsidRPr="006E3BB4">
        <w:rPr>
          <w:rtl/>
          <w:lang w:eastAsia="ar"/>
        </w:rPr>
        <w:t xml:space="preserve">والمرفق الرابع: مشروع صك قانوني دولي بشأن الملكية الفكرية والموارد الوراثية والمعارف التقليدية المرتبطة بالموارد الوراثية، من إعداد السيد إيان </w:t>
      </w:r>
      <w:proofErr w:type="spellStart"/>
      <w:r w:rsidRPr="006E3BB4">
        <w:rPr>
          <w:rtl/>
          <w:lang w:eastAsia="ar"/>
        </w:rPr>
        <w:t>غوس</w:t>
      </w:r>
      <w:proofErr w:type="spellEnd"/>
      <w:r w:rsidRPr="006E3BB4">
        <w:rPr>
          <w:rtl/>
          <w:lang w:eastAsia="ar"/>
        </w:rPr>
        <w:t>، وهو متاح على</w:t>
      </w:r>
      <w:r w:rsidRPr="006E3BB4">
        <w:rPr>
          <w:rStyle w:val="Hyperlink"/>
          <w:rFonts w:eastAsia="Times New Roman"/>
          <w:color w:val="auto"/>
          <w:u w:val="none"/>
          <w:rtl/>
          <w:lang w:eastAsia="ar"/>
        </w:rPr>
        <w:t xml:space="preserve"> </w:t>
      </w:r>
      <w:hyperlink r:id="rId6" w:history="1">
        <w:r w:rsidRPr="006E3BB4">
          <w:rPr>
            <w:rStyle w:val="Hyperlink"/>
            <w:color w:val="auto"/>
            <w:u w:val="none"/>
            <w:lang w:eastAsia="ar" w:bidi="en-US"/>
          </w:rPr>
          <w:t>https://www.wipo.int/meetings/en/doc_details.jsp?doc_id</w:t>
        </w:r>
        <w:r w:rsidRPr="006E3BB4">
          <w:rPr>
            <w:rStyle w:val="Hyperlink"/>
            <w:color w:val="auto"/>
            <w:u w:val="none"/>
            <w:lang w:eastAsia="ar"/>
          </w:rPr>
          <w:t>=443934</w:t>
        </w:r>
      </w:hyperlink>
      <w:r w:rsidRPr="006E3BB4">
        <w:rPr>
          <w:rStyle w:val="Hyperlink"/>
          <w:rFonts w:eastAsia="Times New Roman"/>
          <w:color w:val="auto"/>
          <w:u w:val="none"/>
          <w:rtl/>
          <w:lang w:eastAsia="ar"/>
        </w:rPr>
        <w:t>.</w:t>
      </w:r>
    </w:p>
  </w:footnote>
  <w:footnote w:id="10">
    <w:p w:rsidR="00A91F7C" w:rsidRPr="006E3BB4" w:rsidRDefault="00A91F7C" w:rsidP="00A91F7C">
      <w:pPr>
        <w:rPr>
          <w:sz w:val="18"/>
          <w:szCs w:val="18"/>
        </w:rPr>
      </w:pPr>
      <w:r w:rsidRPr="006E3BB4">
        <w:rPr>
          <w:rStyle w:val="FootnoteReference"/>
          <w:rFonts w:ascii="Arial" w:hAnsi="Arial" w:cs="Calibri"/>
          <w:sz w:val="18"/>
          <w:szCs w:val="18"/>
          <w:rtl/>
          <w:lang w:eastAsia="ar"/>
        </w:rPr>
        <w:footnoteRef/>
      </w:r>
      <w:r w:rsidRPr="006E3BB4">
        <w:rPr>
          <w:sz w:val="18"/>
          <w:szCs w:val="18"/>
          <w:rtl/>
          <w:lang w:eastAsia="ar"/>
        </w:rPr>
        <w:t xml:space="preserve"> </w:t>
      </w:r>
      <w:r w:rsidRPr="006E3BB4">
        <w:rPr>
          <w:sz w:val="18"/>
          <w:szCs w:val="18"/>
          <w:lang w:eastAsia="ar"/>
        </w:rPr>
        <w:tab/>
      </w:r>
      <w:r w:rsidRPr="006E3BB4">
        <w:rPr>
          <w:sz w:val="18"/>
          <w:szCs w:val="18"/>
          <w:rtl/>
          <w:lang w:eastAsia="ar"/>
        </w:rPr>
        <w:t>انظر المرفق (جيم1)، المتاح على</w:t>
      </w:r>
      <w:r w:rsidRPr="006E3BB4">
        <w:rPr>
          <w:rFonts w:hint="cs"/>
          <w:sz w:val="18"/>
          <w:szCs w:val="18"/>
          <w:rtl/>
          <w:lang w:val="fr-CH" w:eastAsia="ar" w:bidi="ar-SY"/>
        </w:rPr>
        <w:t xml:space="preserve">: </w:t>
      </w:r>
      <w:hyperlink r:id="rId7" w:history="1">
        <w:r w:rsidRPr="006E3BB4">
          <w:rPr>
            <w:rStyle w:val="Hyperlink"/>
            <w:rFonts w:eastAsia="Times New Roman"/>
            <w:color w:val="auto"/>
            <w:sz w:val="18"/>
            <w:szCs w:val="18"/>
            <w:u w:val="none"/>
            <w:lang w:eastAsia="ar" w:bidi="en-US"/>
          </w:rPr>
          <w:t>https://www.wto.org/english/docs_e/legal_e/27-trips.pdf</w:t>
        </w:r>
      </w:hyperlink>
      <w:r w:rsidRPr="006E3BB4">
        <w:rPr>
          <w:rStyle w:val="Hyperlink"/>
          <w:rFonts w:eastAsia="Times New Roman"/>
          <w:color w:val="auto"/>
          <w:sz w:val="18"/>
          <w:szCs w:val="18"/>
          <w:u w:val="none"/>
          <w:rtl/>
          <w:lang w:eastAsia="ar"/>
        </w:rPr>
        <w:t>.</w:t>
      </w:r>
    </w:p>
  </w:footnote>
  <w:footnote w:id="11">
    <w:p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4، وهو متاح على </w:t>
      </w:r>
      <w:hyperlink r:id="rId8" w:history="1">
        <w:r w:rsidRPr="006E3BB4">
          <w:rPr>
            <w:rStyle w:val="Hyperlink"/>
            <w:color w:val="auto"/>
            <w:u w:val="none"/>
            <w:lang w:eastAsia="ar" w:bidi="en-US"/>
          </w:rPr>
          <w:t>https://undocs.org/ar/A/RES</w:t>
        </w:r>
        <w:r w:rsidRPr="006E3BB4">
          <w:rPr>
            <w:rStyle w:val="Hyperlink"/>
            <w:color w:val="auto"/>
            <w:u w:val="none"/>
            <w:lang w:eastAsia="ar"/>
          </w:rPr>
          <w:t>/61/295</w:t>
        </w:r>
      </w:hyperlink>
      <w:r w:rsidRPr="006E3BB4">
        <w:rPr>
          <w:rtl/>
          <w:lang w:eastAsia="ar"/>
        </w:rPr>
        <w:t>.</w:t>
      </w:r>
    </w:p>
  </w:footnote>
  <w:footnote w:id="12">
    <w:p w:rsidR="008F787E" w:rsidRPr="006E3BB4" w:rsidRDefault="008F787E" w:rsidP="008F787E">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19. </w:t>
      </w:r>
    </w:p>
  </w:footnote>
  <w:footnote w:id="13">
    <w:p w:rsidR="008F787E" w:rsidRPr="00B04DB4" w:rsidRDefault="008F787E" w:rsidP="008F787E">
      <w:pPr>
        <w:pStyle w:val="FootnoteText"/>
        <w:rPr>
          <w:rFonts w:asciiTheme="minorHAnsi" w:hAnsiTheme="minorHAnsi" w:cstheme="minorHAnsi"/>
        </w:rPr>
      </w:pPr>
      <w:r w:rsidRPr="006E3BB4">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 xml:space="preserve">العبارة اللاتينية </w:t>
      </w:r>
      <w:r w:rsidRPr="006E3BB4">
        <w:rPr>
          <w:lang w:eastAsia="ar" w:bidi="en-US"/>
        </w:rPr>
        <w:t>Sui Generis</w:t>
      </w:r>
      <w:r w:rsidRPr="006E3BB4">
        <w:rPr>
          <w:rtl/>
          <w:lang w:eastAsia="ar"/>
        </w:rPr>
        <w:t>، وفقاً لقاموس "</w:t>
      </w:r>
      <w:proofErr w:type="spellStart"/>
      <w:r w:rsidRPr="006E3BB4">
        <w:rPr>
          <w:rtl/>
          <w:lang w:eastAsia="ar"/>
        </w:rPr>
        <w:t>بلاكس</w:t>
      </w:r>
      <w:proofErr w:type="spellEnd"/>
      <w:r w:rsidRPr="006E3BB4">
        <w:rPr>
          <w:rtl/>
          <w:lang w:eastAsia="ar"/>
        </w:rPr>
        <w:t xml:space="preserve"> لو"، تعني فريداً من نوعه أو خاصاً أو منقطع النظير.</w:t>
      </w:r>
      <w:r w:rsidRPr="006E3BB4">
        <w:rPr>
          <w:rFonts w:asciiTheme="minorHAnsi" w:hAnsiTheme="minorHAnsi" w:cstheme="minorHAnsi"/>
          <w:rtl/>
          <w:lang w:eastAsia="ar"/>
        </w:rPr>
        <w:t xml:space="preserve"> </w:t>
      </w:r>
    </w:p>
  </w:footnote>
  <w:footnote w:id="14">
    <w:p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w:t>
      </w:r>
      <w:r w:rsidRPr="006E3BB4">
        <w:rPr>
          <w:rFonts w:asciiTheme="minorHAnsi" w:eastAsia="Times New Roman" w:hAnsiTheme="minorHAnsi" w:cstheme="minorHAnsi" w:hint="cs"/>
          <w:sz w:val="18"/>
          <w:szCs w:val="18"/>
          <w:rtl/>
          <w:lang w:eastAsia="ar"/>
        </w:rPr>
        <w:t>؛</w:t>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w:t>
      </w:r>
      <w:proofErr w:type="spellStart"/>
      <w:r w:rsidRPr="006E3BB4">
        <w:rPr>
          <w:rFonts w:eastAsia="Times New Roman"/>
          <w:sz w:val="18"/>
          <w:szCs w:val="18"/>
          <w:lang w:val="en-AU" w:eastAsia="en-GB"/>
        </w:rPr>
        <w:t>Stoianoff</w:t>
      </w:r>
      <w:proofErr w:type="spellEnd"/>
      <w:r w:rsidRPr="006E3BB4">
        <w:rPr>
          <w:rFonts w:eastAsia="Times New Roman"/>
          <w:sz w:val="18"/>
          <w:szCs w:val="18"/>
          <w:lang w:val="en-AU" w:eastAsia="en-GB"/>
        </w:rPr>
        <w:t xml:space="preserve"> and </w:t>
      </w:r>
      <w:proofErr w:type="spellStart"/>
      <w:r w:rsidRPr="006E3BB4">
        <w:rPr>
          <w:rFonts w:eastAsia="Times New Roman"/>
          <w:sz w:val="18"/>
          <w:szCs w:val="18"/>
          <w:lang w:val="en-AU" w:eastAsia="en-GB"/>
        </w:rPr>
        <w:t>Alpana</w:t>
      </w:r>
      <w:proofErr w:type="spellEnd"/>
      <w:r w:rsidRPr="006E3BB4">
        <w:rPr>
          <w:rFonts w:eastAsia="Times New Roman"/>
          <w:sz w:val="18"/>
          <w:szCs w:val="18"/>
          <w:lang w:val="en-AU" w:eastAsia="en-GB"/>
        </w:rPr>
        <w:t xml:space="preserve">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w:t>
      </w:r>
      <w:proofErr w:type="gramStart"/>
      <w:r w:rsidRPr="006E3BB4">
        <w:rPr>
          <w:rFonts w:eastAsia="Times New Roman"/>
          <w:sz w:val="18"/>
          <w:szCs w:val="18"/>
          <w:lang w:val="en-AU" w:eastAsia="en-GB"/>
        </w:rPr>
        <w:t>2015),</w:t>
      </w:r>
      <w:proofErr w:type="gramEnd"/>
      <w:r w:rsidRPr="006E3BB4">
        <w:rPr>
          <w:rFonts w:eastAsia="Times New Roman"/>
          <w:sz w:val="18"/>
          <w:szCs w:val="18"/>
          <w:lang w:val="en-AU" w:eastAsia="en-GB"/>
        </w:rPr>
        <w:t xml:space="preserve"> 748. &lt;</w:t>
      </w:r>
      <w:hyperlink r:id="rId9" w:history="1">
        <w:r w:rsidRPr="006E3BB4">
          <w:rPr>
            <w:rStyle w:val="Hyperlink"/>
            <w:rFonts w:eastAsia="Times New Roman"/>
            <w:color w:val="auto"/>
            <w:sz w:val="18"/>
            <w:szCs w:val="18"/>
            <w:u w:val="none"/>
            <w:lang w:val="en-AU" w:eastAsia="en-GB"/>
          </w:rPr>
          <w:t>https://papers.ssrn.com/abstract=2765827</w:t>
        </w:r>
      </w:hyperlink>
      <w:r w:rsidRPr="006E3BB4">
        <w:rPr>
          <w:rFonts w:eastAsia="Times New Roman"/>
          <w:sz w:val="18"/>
          <w:szCs w:val="18"/>
          <w:lang w:val="en-AU" w:eastAsia="en-GB"/>
        </w:rPr>
        <w:t>&gt;</w:t>
      </w:r>
      <w:r w:rsidRPr="006E3BB4">
        <w:rPr>
          <w:sz w:val="18"/>
          <w:szCs w:val="18"/>
        </w:rPr>
        <w:t xml:space="preserve">;  Graham </w:t>
      </w:r>
      <w:proofErr w:type="spellStart"/>
      <w:r w:rsidRPr="006E3BB4">
        <w:rPr>
          <w:sz w:val="18"/>
          <w:szCs w:val="18"/>
        </w:rPr>
        <w:t>Dutfield</w:t>
      </w:r>
      <w:proofErr w:type="spellEnd"/>
      <w:r w:rsidRPr="006E3BB4">
        <w:rPr>
          <w:sz w:val="18"/>
          <w:szCs w:val="18"/>
        </w:rPr>
        <w:t xml:space="preserve">, ‘Legal and Economic Aspects of Traditional Knowledge’ in Keith E </w:t>
      </w:r>
      <w:proofErr w:type="spellStart"/>
      <w:r w:rsidRPr="006E3BB4">
        <w:rPr>
          <w:sz w:val="18"/>
          <w:szCs w:val="18"/>
        </w:rPr>
        <w:t>Maskus</w:t>
      </w:r>
      <w:proofErr w:type="spellEnd"/>
      <w:r w:rsidRPr="006E3BB4">
        <w:rPr>
          <w:sz w:val="18"/>
          <w:szCs w:val="18"/>
        </w:rPr>
        <w:t xml:space="preserve"> and Jerome H </w:t>
      </w:r>
      <w:proofErr w:type="spellStart"/>
      <w:r w:rsidRPr="006E3BB4">
        <w:rPr>
          <w:sz w:val="18"/>
          <w:szCs w:val="18"/>
        </w:rPr>
        <w:t>Reichman</w:t>
      </w:r>
      <w:proofErr w:type="spellEnd"/>
      <w:r w:rsidRPr="006E3BB4">
        <w:rPr>
          <w:sz w:val="18"/>
          <w:szCs w:val="18"/>
        </w:rPr>
        <w:t xml:space="preserve"> (</w:t>
      </w:r>
      <w:proofErr w:type="spellStart"/>
      <w:r w:rsidRPr="006E3BB4">
        <w:rPr>
          <w:sz w:val="18"/>
          <w:szCs w:val="18"/>
        </w:rPr>
        <w:t>eds</w:t>
      </w:r>
      <w:proofErr w:type="spellEnd"/>
      <w:r w:rsidRPr="006E3BB4">
        <w:rPr>
          <w:sz w:val="18"/>
          <w:szCs w:val="18"/>
        </w:rPr>
        <w:t xml:space="preserve">), </w:t>
      </w:r>
      <w:r w:rsidRPr="006E3BB4">
        <w:rPr>
          <w:i/>
          <w:iCs/>
          <w:sz w:val="18"/>
          <w:szCs w:val="18"/>
        </w:rPr>
        <w:t>International Public Goods and Transfer of Technology Under a Globalized Intellectual Property Regime</w:t>
      </w:r>
      <w:r w:rsidRPr="006E3BB4">
        <w:rPr>
          <w:sz w:val="18"/>
          <w:szCs w:val="18"/>
        </w:rPr>
        <w:t xml:space="preserve"> (Cambridge University Press, 1</w:t>
      </w:r>
      <w:r w:rsidRPr="006E3BB4">
        <w:rPr>
          <w:sz w:val="18"/>
          <w:szCs w:val="18"/>
          <w:vertAlign w:val="superscript"/>
        </w:rPr>
        <w:t>st</w:t>
      </w:r>
      <w:r w:rsidRPr="006E3BB4">
        <w:rPr>
          <w:sz w:val="18"/>
          <w:szCs w:val="18"/>
        </w:rPr>
        <w:t xml:space="preserve"> </w:t>
      </w:r>
      <w:proofErr w:type="spellStart"/>
      <w:r w:rsidRPr="006E3BB4">
        <w:rPr>
          <w:sz w:val="18"/>
          <w:szCs w:val="18"/>
        </w:rPr>
        <w:t>ed</w:t>
      </w:r>
      <w:proofErr w:type="spellEnd"/>
      <w:r w:rsidRPr="006E3BB4">
        <w:rPr>
          <w:sz w:val="18"/>
          <w:szCs w:val="18"/>
        </w:rPr>
        <w:t>, 2005), 506.</w:t>
      </w:r>
      <w:r w:rsidRPr="006E3BB4">
        <w:rPr>
          <w:rFonts w:asciiTheme="minorHAnsi" w:hAnsiTheme="minorHAnsi" w:cstheme="minorHAnsi"/>
          <w:sz w:val="18"/>
          <w:szCs w:val="18"/>
          <w:rtl/>
          <w:lang w:eastAsia="ar"/>
        </w:rPr>
        <w:t xml:space="preserve"> </w:t>
      </w:r>
    </w:p>
  </w:footnote>
  <w:footnote w:id="15">
    <w:p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28(12).</w:t>
      </w:r>
    </w:p>
  </w:footnote>
  <w:footnote w:id="16">
    <w:p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w:t>
      </w:r>
      <w:proofErr w:type="spellStart"/>
      <w:r w:rsidRPr="006E3BB4">
        <w:rPr>
          <w:rFonts w:eastAsia="Times New Roman"/>
          <w:sz w:val="18"/>
          <w:szCs w:val="18"/>
          <w:lang w:val="en-AU" w:eastAsia="en-GB"/>
        </w:rPr>
        <w:t>Stoianoff</w:t>
      </w:r>
      <w:proofErr w:type="spellEnd"/>
      <w:r w:rsidRPr="006E3BB4">
        <w:rPr>
          <w:rFonts w:eastAsia="Times New Roman"/>
          <w:sz w:val="18"/>
          <w:szCs w:val="18"/>
          <w:lang w:val="en-AU" w:eastAsia="en-GB"/>
        </w:rPr>
        <w:t xml:space="preserve"> and </w:t>
      </w:r>
      <w:proofErr w:type="spellStart"/>
      <w:r w:rsidRPr="006E3BB4">
        <w:rPr>
          <w:rFonts w:eastAsia="Times New Roman"/>
          <w:sz w:val="18"/>
          <w:szCs w:val="18"/>
          <w:lang w:val="en-AU" w:eastAsia="en-GB"/>
        </w:rPr>
        <w:t>Alpana</w:t>
      </w:r>
      <w:proofErr w:type="spellEnd"/>
      <w:r w:rsidRPr="006E3BB4">
        <w:rPr>
          <w:rFonts w:eastAsia="Times New Roman"/>
          <w:sz w:val="18"/>
          <w:szCs w:val="18"/>
          <w:lang w:val="en-AU" w:eastAsia="en-GB"/>
        </w:rPr>
        <w:t xml:space="preserve"> Roy, </w:t>
      </w:r>
      <w:r w:rsidRPr="006E3BB4">
        <w:rPr>
          <w:rFonts w:eastAsia="Times New Roman"/>
          <w:i/>
          <w:iCs/>
          <w:sz w:val="18"/>
          <w:szCs w:val="18"/>
          <w:lang w:val="en-AU" w:eastAsia="en-GB"/>
        </w:rPr>
        <w:t xml:space="preserve">Indigenous Knowledge and Culture in Australia — </w:t>
      </w:r>
      <w:proofErr w:type="gramStart"/>
      <w:r w:rsidRPr="006E3BB4">
        <w:rPr>
          <w:rFonts w:eastAsia="Times New Roman"/>
          <w:i/>
          <w:iCs/>
          <w:sz w:val="18"/>
          <w:szCs w:val="18"/>
          <w:lang w:val="en-AU" w:eastAsia="en-GB"/>
        </w:rPr>
        <w:t>The</w:t>
      </w:r>
      <w:proofErr w:type="gramEnd"/>
      <w:r w:rsidRPr="006E3BB4">
        <w:rPr>
          <w:rFonts w:eastAsia="Times New Roman"/>
          <w:i/>
          <w:iCs/>
          <w:sz w:val="18"/>
          <w:szCs w:val="18"/>
          <w:lang w:val="en-AU" w:eastAsia="en-GB"/>
        </w:rPr>
        <w:t xml:space="preserve"> Case for Sui Generis Legislation</w:t>
      </w:r>
      <w:r w:rsidRPr="006E3BB4">
        <w:rPr>
          <w:rFonts w:eastAsia="Times New Roman"/>
          <w:sz w:val="18"/>
          <w:szCs w:val="18"/>
          <w:lang w:val="en-AU" w:eastAsia="en-GB"/>
        </w:rPr>
        <w:t xml:space="preserve"> (SSRN Scholarly Paper No ID 2765827, Social Science Research Network, 31 December 2015), 748. &lt;</w:t>
      </w:r>
      <w:hyperlink r:id="rId10" w:history="1">
        <w:r w:rsidRPr="006E3BB4">
          <w:rPr>
            <w:rStyle w:val="Hyperlink"/>
            <w:rFonts w:eastAsia="Times New Roman"/>
            <w:color w:val="auto"/>
            <w:sz w:val="18"/>
            <w:szCs w:val="18"/>
            <w:u w:val="none"/>
            <w:lang w:val="en-AU" w:eastAsia="en-GB"/>
          </w:rPr>
          <w:t>https://papers.ssrn.com/abstract=2765827</w:t>
        </w:r>
      </w:hyperlink>
      <w:r w:rsidRPr="006E3BB4">
        <w:rPr>
          <w:rFonts w:eastAsia="Times New Roman"/>
          <w:sz w:val="18"/>
          <w:szCs w:val="18"/>
          <w:lang w:val="en-AU" w:eastAsia="en-GB"/>
        </w:rPr>
        <w:t>&gt;.</w:t>
      </w:r>
    </w:p>
  </w:footnote>
  <w:footnote w:id="17">
    <w:p w:rsidR="008F787E" w:rsidRPr="006E3BB4" w:rsidRDefault="008F787E" w:rsidP="008F787E">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32(2)، المادة 18،</w:t>
      </w:r>
      <w:r w:rsidRPr="006E3BB4">
        <w:rPr>
          <w:rFonts w:asciiTheme="minorHAnsi" w:eastAsia="Times New Roman" w:hAnsiTheme="minorHAnsi" w:cstheme="minorHAnsi" w:hint="cs"/>
          <w:sz w:val="18"/>
          <w:szCs w:val="18"/>
          <w:rtl/>
          <w:lang w:eastAsia="ar"/>
        </w:rPr>
        <w:t xml:space="preserve"> </w:t>
      </w:r>
      <w:r w:rsidRPr="006E3BB4">
        <w:rPr>
          <w:rFonts w:asciiTheme="minorHAnsi" w:eastAsia="Times New Roman" w:hAnsiTheme="minorHAnsi" w:cstheme="minorHAnsi"/>
          <w:sz w:val="18"/>
          <w:szCs w:val="18"/>
          <w:rtl/>
          <w:lang w:eastAsia="ar"/>
        </w:rPr>
        <w:t xml:space="preserve">المادة 34؛ </w:t>
      </w:r>
      <w:r w:rsidRPr="006E3BB4">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6E3BB4">
        <w:rPr>
          <w:rFonts w:asciiTheme="minorHAnsi" w:eastAsia="Times New Roman" w:hAnsiTheme="minorHAnsi" w:cstheme="minorHAnsi"/>
          <w:sz w:val="18"/>
          <w:szCs w:val="18"/>
          <w:lang w:eastAsia="ar" w:bidi="en-US"/>
        </w:rPr>
        <w:t>UNEP/CBD/WG8J/4/INF</w:t>
      </w:r>
      <w:r w:rsidRPr="006E3BB4">
        <w:rPr>
          <w:rFonts w:asciiTheme="minorHAnsi" w:eastAsia="Times New Roman" w:hAnsiTheme="minorHAnsi" w:cstheme="minorHAnsi"/>
          <w:sz w:val="18"/>
          <w:szCs w:val="18"/>
          <w:lang w:eastAsia="ar"/>
        </w:rPr>
        <w:t>/9</w:t>
      </w:r>
      <w:r w:rsidRPr="006E3BB4">
        <w:rPr>
          <w:rFonts w:asciiTheme="minorHAnsi" w:hAnsiTheme="minorHAnsi" w:cstheme="minorHAnsi"/>
          <w:sz w:val="18"/>
          <w:szCs w:val="18"/>
          <w:rtl/>
          <w:lang w:eastAsia="ar"/>
        </w:rPr>
        <w:t>.</w:t>
      </w:r>
    </w:p>
  </w:footnote>
  <w:footnote w:id="18">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 المادة 28؛ الاتفاقية الدولية للقضاء على جميع أشكال التمييز العنصري</w:t>
      </w:r>
      <w:r w:rsidRPr="006E3BB4">
        <w:rPr>
          <w:rFonts w:asciiTheme="minorHAnsi" w:hAnsiTheme="minorHAnsi"/>
          <w:rtl/>
          <w:lang w:eastAsia="ar" w:bidi="en-US"/>
        </w:rPr>
        <w:t>‏</w:t>
      </w:r>
      <w:r w:rsidRPr="006E3BB4">
        <w:rPr>
          <w:rFonts w:asciiTheme="minorHAnsi" w:hAnsiTheme="minorHAnsi" w:cstheme="minorHAnsi"/>
          <w:rtl/>
          <w:lang w:eastAsia="ar"/>
        </w:rPr>
        <w:t>، المادة. 2(2).</w:t>
      </w:r>
    </w:p>
  </w:footnote>
  <w:footnote w:id="19">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w:t>
      </w:r>
    </w:p>
  </w:footnote>
  <w:footnote w:id="20">
    <w:p w:rsidR="008F787E" w:rsidRPr="006E3BB4" w:rsidRDefault="008F787E" w:rsidP="008F787E">
      <w:pPr>
        <w:pStyle w:val="FootnoteText"/>
        <w:rPr>
          <w:rFonts w:asciiTheme="minorHAnsi" w:hAnsiTheme="minorHAnsi" w:cstheme="minorHAnsi"/>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7" w:name="_Hlk49439119"/>
      <w:r w:rsidRPr="006E3BB4">
        <w:rPr>
          <w:rFonts w:asciiTheme="minorHAnsi" w:hAnsiTheme="minorHAnsi" w:cstheme="minorHAnsi"/>
          <w:lang w:eastAsia="ar"/>
        </w:rPr>
        <w:tab/>
      </w:r>
      <w:r w:rsidRPr="006E3BB4">
        <w:rPr>
          <w:rFonts w:asciiTheme="minorHAnsi" w:hAnsiTheme="minorHAnsi" w:cstheme="minorHAnsi"/>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w:t>
      </w:r>
      <w:proofErr w:type="spellStart"/>
      <w:r w:rsidRPr="006E3BB4">
        <w:rPr>
          <w:rFonts w:asciiTheme="minorHAnsi" w:hAnsiTheme="minorHAnsi" w:cstheme="minorHAnsi"/>
          <w:rtl/>
          <w:lang w:eastAsia="ar"/>
        </w:rPr>
        <w:t>تبتيبا</w:t>
      </w:r>
      <w:proofErr w:type="spellEnd"/>
      <w:r w:rsidRPr="006E3BB4">
        <w:rPr>
          <w:rFonts w:asciiTheme="minorHAnsi" w:hAnsiTheme="minorHAnsi" w:cstheme="minorHAnsi"/>
          <w:rtl/>
          <w:lang w:eastAsia="ar"/>
        </w:rPr>
        <w:t xml:space="preserve"> باسم تجمع الشعوب الأصلية، الفقرة 23، الوثيقة </w:t>
      </w:r>
      <w:r w:rsidRPr="006E3BB4">
        <w:rPr>
          <w:rFonts w:asciiTheme="minorHAnsi" w:hAnsiTheme="minorHAnsi" w:cstheme="minorHAnsi"/>
          <w:lang w:eastAsia="ar" w:bidi="en-US"/>
        </w:rPr>
        <w:t>WIPO/GRTKF/IC</w:t>
      </w:r>
      <w:r w:rsidRPr="006E3BB4">
        <w:rPr>
          <w:rFonts w:asciiTheme="minorHAnsi" w:hAnsiTheme="minorHAnsi" w:cstheme="minorHAnsi"/>
          <w:lang w:eastAsia="ar"/>
        </w:rPr>
        <w:t>/35/10</w:t>
      </w:r>
      <w:r w:rsidRPr="006E3BB4">
        <w:rPr>
          <w:rFonts w:asciiTheme="minorHAnsi" w:hAnsiTheme="minorHAnsi" w:cstheme="minorHAnsi"/>
          <w:rtl/>
          <w:lang w:eastAsia="ar"/>
        </w:rPr>
        <w:t>.</w:t>
      </w:r>
      <w:bookmarkEnd w:id="7"/>
    </w:p>
  </w:footnote>
  <w:footnote w:id="21">
    <w:p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hint="cs"/>
          <w:rtl/>
          <w:lang w:eastAsia="ar"/>
        </w:rPr>
        <w:t>يرجى م</w:t>
      </w:r>
      <w:r w:rsidRPr="006E3BB4">
        <w:rPr>
          <w:rFonts w:asciiTheme="minorHAnsi" w:hAnsiTheme="minorHAnsi" w:cstheme="minorHAnsi"/>
          <w:rtl/>
          <w:lang w:eastAsia="ar"/>
        </w:rPr>
        <w:t>راجع</w:t>
      </w:r>
      <w:r w:rsidRPr="006E3BB4">
        <w:rPr>
          <w:rFonts w:asciiTheme="minorHAnsi" w:hAnsiTheme="minorHAnsi" w:cstheme="minorHAnsi" w:hint="cs"/>
          <w:rtl/>
          <w:lang w:eastAsia="ar"/>
        </w:rPr>
        <w:t>ة</w:t>
      </w:r>
      <w:r w:rsidRPr="006E3BB4">
        <w:rPr>
          <w:rFonts w:asciiTheme="minorHAnsi" w:hAnsiTheme="minorHAnsi" w:cstheme="minorHAnsi"/>
          <w:rtl/>
          <w:lang w:eastAsia="ar"/>
        </w:rPr>
        <w:t xml:space="preserve">: </w:t>
      </w:r>
      <w:hyperlink r:id="rId11" w:history="1">
        <w:r w:rsidRPr="006E3BB4">
          <w:rPr>
            <w:rStyle w:val="Hyperlink"/>
            <w:rFonts w:asciiTheme="minorHAnsi" w:eastAsia="Times New Roman" w:hAnsiTheme="minorHAnsi" w:cstheme="minorHAnsi"/>
            <w:color w:val="auto"/>
            <w:u w:val="none"/>
            <w:lang w:eastAsia="ar" w:bidi="en-US"/>
          </w:rPr>
          <w:t>https://www.cbd.int/doc/guidelines/cbd-RutzolijirisaxikGuidelines-en.pdf</w:t>
        </w:r>
      </w:hyperlink>
      <w:r w:rsidRPr="006E3BB4">
        <w:rPr>
          <w:rFonts w:asciiTheme="minorHAnsi" w:eastAsia="Times New Roman" w:hAnsiTheme="minorHAnsi" w:cstheme="minorHAnsi"/>
          <w:rtl/>
          <w:lang w:eastAsia="ar"/>
        </w:rPr>
        <w:t>.</w:t>
      </w:r>
    </w:p>
  </w:footnote>
  <w:footnote w:id="22">
    <w:p w:rsidR="008909D8" w:rsidRPr="008909D8"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مبادئ </w:t>
      </w:r>
      <w:proofErr w:type="spellStart"/>
      <w:r w:rsidRPr="006E3BB4">
        <w:rPr>
          <w:rFonts w:asciiTheme="minorHAnsi" w:hAnsiTheme="minorHAnsi" w:cstheme="minorHAnsi"/>
          <w:rtl/>
          <w:lang w:eastAsia="ar"/>
        </w:rPr>
        <w:t>روتسوليهيرساجيك</w:t>
      </w:r>
      <w:proofErr w:type="spellEnd"/>
      <w:r w:rsidRPr="006E3BB4">
        <w:rPr>
          <w:rFonts w:asciiTheme="minorHAnsi" w:hAnsiTheme="minorHAnsi" w:cstheme="minorHAnsi"/>
          <w:rtl/>
          <w:lang w:eastAsia="ar"/>
        </w:rPr>
        <w:t xml:space="preserve"> التوجيهية، الفقرة 11(ك).</w:t>
      </w:r>
    </w:p>
  </w:footnote>
  <w:footnote w:id="23">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انظر المناقشة الواردة في </w:t>
      </w:r>
      <w:r w:rsidRPr="006E3BB4">
        <w:rPr>
          <w:rFonts w:asciiTheme="minorHAnsi" w:hAnsiTheme="minorHAnsi" w:cstheme="minorHAnsi"/>
          <w:lang w:eastAsia="ar" w:bidi="en-US"/>
        </w:rPr>
        <w:t>Patricia L. Judd, The Difficulties in Harmonizing Legal Protections for Traditional Knowledge and Intellectual Property</w:t>
      </w:r>
      <w:r w:rsidRPr="006E3BB4">
        <w:rPr>
          <w:rFonts w:asciiTheme="minorHAnsi" w:hAnsiTheme="minorHAnsi" w:cstheme="minorHAnsi"/>
          <w:rtl/>
          <w:lang w:eastAsia="ar"/>
        </w:rPr>
        <w:t xml:space="preserve">. </w:t>
      </w:r>
      <w:r w:rsidRPr="006E3BB4">
        <w:rPr>
          <w:rFonts w:asciiTheme="minorHAnsi" w:hAnsiTheme="minorHAnsi" w:cstheme="minorHAnsi"/>
          <w:i/>
          <w:iCs/>
          <w:lang w:eastAsia="ar" w:bidi="en-US"/>
        </w:rPr>
        <w:t>The Washburn Law Journal</w:t>
      </w:r>
      <w:r w:rsidRPr="006E3BB4">
        <w:rPr>
          <w:rFonts w:asciiTheme="minorHAnsi" w:hAnsiTheme="minorHAnsi" w:cstheme="minorHAnsi"/>
          <w:i/>
          <w:iCs/>
          <w:rtl/>
          <w:lang w:eastAsia="ar"/>
        </w:rPr>
        <w:t xml:space="preserve">. </w:t>
      </w:r>
      <w:r w:rsidRPr="006E3BB4">
        <w:rPr>
          <w:rFonts w:asciiTheme="minorHAnsi" w:hAnsiTheme="minorHAnsi" w:cstheme="minorHAnsi"/>
          <w:rtl/>
          <w:lang w:eastAsia="ar"/>
        </w:rPr>
        <w:t xml:space="preserve">المجلد 58، 2019. ص 249-270. </w:t>
      </w:r>
    </w:p>
  </w:footnote>
  <w:footnote w:id="24">
    <w:p w:rsidR="008909D8" w:rsidRPr="006E3B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lang w:eastAsia="ar" w:bidi="en-US"/>
        </w:rPr>
        <w:t xml:space="preserve">Ruth L. </w:t>
      </w:r>
      <w:proofErr w:type="spellStart"/>
      <w:r w:rsidRPr="006E3BB4">
        <w:rPr>
          <w:rFonts w:asciiTheme="minorHAnsi" w:hAnsiTheme="minorHAnsi" w:cstheme="minorHAnsi"/>
          <w:sz w:val="18"/>
          <w:szCs w:val="18"/>
          <w:lang w:eastAsia="ar" w:bidi="en-US"/>
        </w:rPr>
        <w:t>Okediji</w:t>
      </w:r>
      <w:proofErr w:type="spellEnd"/>
      <w:r w:rsidRPr="006E3BB4">
        <w:rPr>
          <w:rFonts w:asciiTheme="minorHAnsi" w:hAnsiTheme="minorHAnsi" w:cstheme="minorHAnsi"/>
          <w:sz w:val="18"/>
          <w:szCs w:val="18"/>
          <w:lang w:eastAsia="ar" w:bidi="en-US"/>
        </w:rPr>
        <w:t>, Traditional Knowledge and the Public Domain</w:t>
      </w:r>
      <w:r w:rsidRPr="006E3BB4">
        <w:rPr>
          <w:rFonts w:asciiTheme="minorHAnsi" w:hAnsiTheme="minorHAnsi" w:cstheme="minorHAnsi"/>
          <w:sz w:val="18"/>
          <w:szCs w:val="18"/>
          <w:rtl/>
          <w:lang w:eastAsia="ar"/>
        </w:rPr>
        <w:t>. البحث رقم 176 الذي نشره مركز الابتكار في أسلوب الحكم الدولي (</w:t>
      </w:r>
      <w:r w:rsidRPr="006E3BB4">
        <w:rPr>
          <w:rFonts w:asciiTheme="minorHAnsi" w:hAnsiTheme="minorHAnsi" w:cstheme="minorHAnsi"/>
          <w:sz w:val="18"/>
          <w:szCs w:val="18"/>
          <w:lang w:eastAsia="ar" w:bidi="en-US"/>
        </w:rPr>
        <w:t>CIGI</w:t>
      </w:r>
      <w:r w:rsidRPr="006E3BB4">
        <w:rPr>
          <w:rFonts w:asciiTheme="minorHAnsi" w:hAnsiTheme="minorHAnsi" w:cstheme="minorHAnsi"/>
          <w:sz w:val="18"/>
          <w:szCs w:val="18"/>
          <w:rtl/>
          <w:lang w:eastAsia="ar"/>
        </w:rPr>
        <w:t xml:space="preserve">) بتاريخ يونيو 2018، ص 8، وهو متاح على </w:t>
      </w:r>
      <w:hyperlink r:id="rId12" w:history="1">
        <w:r w:rsidRPr="006E3BB4">
          <w:rPr>
            <w:rStyle w:val="Hyperlink"/>
            <w:rFonts w:asciiTheme="minorHAnsi" w:eastAsia="Times New Roman" w:hAnsiTheme="minorHAnsi" w:cstheme="minorHAnsi"/>
            <w:color w:val="auto"/>
            <w:sz w:val="18"/>
            <w:szCs w:val="18"/>
            <w:u w:val="none"/>
            <w:lang w:eastAsia="ar" w:bidi="en-US"/>
          </w:rPr>
          <w:t>https://www.cigionline.org/sites/default/files/documents/Paper%20no.176web.pdf</w:t>
        </w:r>
      </w:hyperlink>
      <w:r w:rsidRPr="006E3BB4">
        <w:rPr>
          <w:rStyle w:val="Hyperlink"/>
          <w:rFonts w:asciiTheme="minorHAnsi" w:eastAsia="Times New Roman" w:hAnsiTheme="minorHAnsi" w:cstheme="minorHAnsi"/>
          <w:color w:val="auto"/>
          <w:sz w:val="18"/>
          <w:szCs w:val="18"/>
          <w:u w:val="none"/>
          <w:rtl/>
          <w:lang w:eastAsia="ar"/>
        </w:rPr>
        <w:t>.</w:t>
      </w:r>
      <w:r w:rsidRPr="006E3BB4">
        <w:rPr>
          <w:rFonts w:asciiTheme="minorHAnsi" w:eastAsia="Times New Roman" w:hAnsiTheme="minorHAnsi" w:cstheme="minorHAnsi"/>
          <w:sz w:val="18"/>
          <w:szCs w:val="18"/>
          <w:rtl/>
          <w:lang w:eastAsia="ar"/>
        </w:rPr>
        <w:t xml:space="preserve"> </w:t>
      </w:r>
    </w:p>
  </w:footnote>
  <w:footnote w:id="25">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8" w:name="_Hlk49439153"/>
      <w:r w:rsidRPr="006E3BB4">
        <w:rPr>
          <w:rFonts w:asciiTheme="minorHAnsi" w:hAnsiTheme="minorHAnsi" w:cstheme="minorHAnsi"/>
          <w:lang w:eastAsia="ar"/>
        </w:rPr>
        <w:tab/>
      </w:r>
      <w:r w:rsidRPr="006E3BB4">
        <w:rPr>
          <w:rFonts w:asciiTheme="minorHAnsi" w:hAnsiTheme="minorHAnsi" w:cstheme="minorHAnsi"/>
          <w:rtl/>
          <w:lang w:eastAsia="ar"/>
        </w:rPr>
        <w:t xml:space="preserve">انظر الفقرات من 4 إلى 6 من "الاستعراض التقني" المتاح على </w:t>
      </w:r>
      <w:hyperlink r:id="rId13" w:history="1">
        <w:r w:rsidRPr="006E3BB4">
          <w:rPr>
            <w:rStyle w:val="Hyperlink"/>
            <w:rFonts w:asciiTheme="minorHAnsi" w:hAnsiTheme="minorHAnsi" w:cstheme="minorHAnsi"/>
            <w:color w:val="auto"/>
            <w:u w:val="none"/>
            <w:lang w:eastAsia="ar" w:bidi="en-US"/>
          </w:rPr>
          <w:t>https://www.wipo.int/edocs/mdocs/tk/en/wipo_grtkf_ic_29/wipo_grtkf_ic_29_inf_10.pdf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bookmarkEnd w:id="8"/>
    </w:p>
  </w:footnote>
  <w:footnote w:id="26">
    <w:p w:rsidR="008909D8" w:rsidRPr="006E3BB4" w:rsidRDefault="008909D8" w:rsidP="008909D8">
      <w:pPr>
        <w:pStyle w:val="FootnoteText"/>
        <w:rPr>
          <w:rFonts w:asciiTheme="minorHAnsi" w:hAnsiTheme="minorHAnsi" w:cstheme="minorHAnsi"/>
          <w:rtl/>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proofErr w:type="spellStart"/>
      <w:r w:rsidRPr="006E3BB4">
        <w:rPr>
          <w:rFonts w:asciiTheme="minorHAnsi" w:hAnsiTheme="minorHAnsi" w:cstheme="minorHAnsi"/>
          <w:rtl/>
          <w:lang w:eastAsia="ar"/>
        </w:rPr>
        <w:t>باغلي</w:t>
      </w:r>
      <w:proofErr w:type="spellEnd"/>
      <w:r w:rsidRPr="006E3BB4">
        <w:rPr>
          <w:rFonts w:asciiTheme="minorHAnsi" w:hAnsiTheme="minorHAnsi" w:cstheme="minorHAnsi"/>
          <w:rtl/>
          <w:lang w:eastAsia="ar"/>
        </w:rPr>
        <w:t xml:space="preserve">، المرجع السابق نفسه. </w:t>
      </w:r>
    </w:p>
  </w:footnote>
  <w:footnote w:id="27">
    <w:p w:rsidR="008909D8" w:rsidRPr="00B04D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19.</w:t>
      </w:r>
    </w:p>
  </w:footnote>
  <w:footnote w:id="28">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 </w:t>
      </w:r>
      <w:hyperlink r:id="rId14" w:history="1">
        <w:r w:rsidRPr="006E3BB4">
          <w:rPr>
            <w:rStyle w:val="Hyperlink"/>
            <w:rFonts w:asciiTheme="minorHAnsi" w:hAnsiTheme="minorHAnsi" w:cstheme="minorHAnsi"/>
            <w:color w:val="auto"/>
            <w:u w:val="none"/>
            <w:lang w:eastAsia="ar" w:bidi="en-US"/>
          </w:rPr>
          <w:t>https://www.wipo.int/edocs/mdocs/copyright/en/sccr_9/sccr_9_7.pdf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p>
  </w:footnote>
  <w:footnote w:id="29">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9" w:name="_Hlk49439170"/>
      <w:r w:rsidRPr="006E3BB4">
        <w:rPr>
          <w:rFonts w:asciiTheme="minorHAnsi" w:hAnsiTheme="minorHAnsi" w:cstheme="minorHAnsi"/>
          <w:rtl/>
          <w:lang w:eastAsia="ar"/>
        </w:rPr>
        <w:tab/>
        <w:t xml:space="preserve">انظر المرفق الأول للوثيقة </w:t>
      </w:r>
      <w:r w:rsidRPr="006E3BB4">
        <w:rPr>
          <w:rFonts w:asciiTheme="minorHAnsi" w:hAnsiTheme="minorHAnsi" w:cstheme="minorHAnsi"/>
          <w:lang w:eastAsia="ar" w:bidi="en-US"/>
        </w:rPr>
        <w:t>WO/GA</w:t>
      </w:r>
      <w:r w:rsidRPr="006E3BB4">
        <w:rPr>
          <w:rFonts w:asciiTheme="minorHAnsi" w:hAnsiTheme="minorHAnsi" w:cstheme="minorHAnsi"/>
          <w:lang w:eastAsia="ar"/>
        </w:rPr>
        <w:t>/51/12</w:t>
      </w:r>
      <w:r w:rsidRPr="006E3BB4">
        <w:rPr>
          <w:rFonts w:asciiTheme="minorHAnsi" w:hAnsiTheme="minorHAnsi" w:cstheme="minorHAnsi"/>
          <w:rtl/>
          <w:lang w:eastAsia="ar"/>
        </w:rPr>
        <w:t xml:space="preserve"> في الصفحة 18 بشأن "الاستثناءات والتقييدات".</w:t>
      </w:r>
      <w:bookmarkEnd w:id="9"/>
    </w:p>
  </w:footnote>
  <w:footnote w:id="30">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المادتان 11(2) و19. </w:t>
      </w:r>
    </w:p>
  </w:footnote>
  <w:footnote w:id="31">
    <w:p w:rsidR="008909D8" w:rsidRPr="00B04D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rtl/>
          <w:lang w:eastAsia="ar"/>
        </w:rPr>
        <w:tab/>
        <w:t xml:space="preserve">راجع المادة 32.5، المتاحة على </w:t>
      </w:r>
      <w:hyperlink r:id="rId15" w:history="1">
        <w:r w:rsidRPr="006E3BB4">
          <w:rPr>
            <w:rStyle w:val="Hyperlink"/>
            <w:rFonts w:asciiTheme="minorHAnsi" w:eastAsia="Times New Roman" w:hAnsiTheme="minorHAnsi" w:cstheme="minorHAnsi"/>
            <w:color w:val="auto"/>
            <w:sz w:val="18"/>
            <w:szCs w:val="18"/>
            <w:u w:val="none"/>
            <w:lang w:eastAsia="ar" w:bidi="en-US"/>
          </w:rPr>
          <w:t>https://ustr.gov/sites/default/files/files/agreements/FTA/USMCA/Text/32_Exceptions_and_General_Provisions.pdf</w:t>
        </w:r>
      </w:hyperlink>
      <w:r w:rsidRPr="006E3BB4">
        <w:rPr>
          <w:rStyle w:val="Hyperlink"/>
          <w:rFonts w:asciiTheme="minorHAnsi" w:eastAsia="Times New Roman" w:hAnsiTheme="minorHAnsi" w:cstheme="minorHAnsi"/>
          <w:color w:val="auto"/>
          <w:sz w:val="18"/>
          <w:szCs w:val="18"/>
          <w:u w:val="none"/>
          <w:rtl/>
          <w:lang w:eastAsia="ar"/>
        </w:rPr>
        <w:t>.</w:t>
      </w:r>
    </w:p>
  </w:footnote>
  <w:footnote w:id="32">
    <w:p w:rsidR="008909D8" w:rsidRPr="008909D8" w:rsidRDefault="008909D8" w:rsidP="008909D8">
      <w:pPr>
        <w:rPr>
          <w:rFonts w:asciiTheme="minorHAnsi" w:hAnsiTheme="minorHAnsi" w:cstheme="minorHAnsi"/>
          <w:sz w:val="18"/>
          <w:szCs w:val="18"/>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8909D8">
        <w:rPr>
          <w:rFonts w:asciiTheme="minorHAnsi" w:hAnsiTheme="minorHAnsi" w:cstheme="minorHAnsi"/>
          <w:sz w:val="18"/>
          <w:szCs w:val="18"/>
          <w:lang w:eastAsia="ar" w:bidi="en-US"/>
        </w:rPr>
        <w:t>WIPO/GRTKF/IC</w:t>
      </w:r>
      <w:r w:rsidRPr="008909D8">
        <w:rPr>
          <w:rFonts w:asciiTheme="minorHAnsi" w:hAnsiTheme="minorHAnsi" w:cstheme="minorHAnsi"/>
          <w:sz w:val="18"/>
          <w:szCs w:val="18"/>
          <w:lang w:eastAsia="ar"/>
        </w:rPr>
        <w:t>/38/16</w:t>
      </w:r>
      <w:r w:rsidRPr="008909D8">
        <w:rPr>
          <w:rFonts w:asciiTheme="minorHAnsi" w:hAnsiTheme="minorHAnsi" w:cstheme="minorHAnsi"/>
          <w:sz w:val="18"/>
          <w:szCs w:val="18"/>
          <w:rtl/>
          <w:lang w:eastAsia="ar"/>
        </w:rPr>
        <w:t>.</w:t>
      </w:r>
    </w:p>
  </w:footnote>
  <w:footnote w:id="33">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rtl/>
          <w:lang w:eastAsia="ar"/>
        </w:rPr>
        <w:tab/>
        <w:t xml:space="preserve">راجع </w:t>
      </w:r>
      <w:proofErr w:type="spellStart"/>
      <w:r w:rsidRPr="008909D8">
        <w:rPr>
          <w:rFonts w:asciiTheme="minorHAnsi" w:hAnsiTheme="minorHAnsi" w:cstheme="minorHAnsi"/>
          <w:lang w:eastAsia="ar" w:bidi="en-US"/>
        </w:rPr>
        <w:t>Anupam</w:t>
      </w:r>
      <w:proofErr w:type="spellEnd"/>
      <w:r w:rsidRPr="008909D8">
        <w:rPr>
          <w:rFonts w:asciiTheme="minorHAnsi" w:hAnsiTheme="minorHAnsi" w:cstheme="minorHAnsi"/>
          <w:lang w:eastAsia="ar" w:bidi="en-US"/>
        </w:rPr>
        <w:t xml:space="preserve"> </w:t>
      </w:r>
      <w:proofErr w:type="spellStart"/>
      <w:r w:rsidRPr="008909D8">
        <w:rPr>
          <w:rFonts w:asciiTheme="minorHAnsi" w:hAnsiTheme="minorHAnsi" w:cstheme="minorHAnsi"/>
          <w:lang w:eastAsia="ar" w:bidi="en-US"/>
        </w:rPr>
        <w:t>Chander</w:t>
      </w:r>
      <w:proofErr w:type="spellEnd"/>
      <w:r w:rsidRPr="008909D8">
        <w:rPr>
          <w:rFonts w:asciiTheme="minorHAnsi" w:hAnsiTheme="minorHAnsi" w:cstheme="minorHAnsi"/>
          <w:lang w:eastAsia="ar" w:bidi="en-US"/>
        </w:rPr>
        <w:t xml:space="preserve"> and </w:t>
      </w:r>
      <w:proofErr w:type="spellStart"/>
      <w:r w:rsidRPr="008909D8">
        <w:rPr>
          <w:rFonts w:asciiTheme="minorHAnsi" w:hAnsiTheme="minorHAnsi" w:cstheme="minorHAnsi"/>
          <w:lang w:eastAsia="ar" w:bidi="en-US"/>
        </w:rPr>
        <w:t>Madhavi</w:t>
      </w:r>
      <w:proofErr w:type="spellEnd"/>
      <w:r w:rsidRPr="008909D8">
        <w:rPr>
          <w:rFonts w:asciiTheme="minorHAnsi" w:hAnsiTheme="minorHAnsi" w:cstheme="minorHAnsi"/>
          <w:lang w:eastAsia="ar" w:bidi="en-US"/>
        </w:rPr>
        <w:t xml:space="preserve"> Sunder, The Romance of Public Domain, California Law Review</w:t>
      </w:r>
      <w:r w:rsidRPr="008909D8">
        <w:rPr>
          <w:rFonts w:asciiTheme="minorHAnsi" w:hAnsiTheme="minorHAnsi" w:cstheme="minorHAnsi"/>
          <w:rtl/>
          <w:lang w:eastAsia="ar"/>
        </w:rPr>
        <w:t xml:space="preserve"> [المجلد 92: 2004].  </w:t>
      </w:r>
    </w:p>
  </w:footnote>
  <w:footnote w:id="34">
    <w:p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المقرر 8/5 باء لمؤتمر الأطراف في اتفاقية التنوع البيولوجي، الفقرة 5؛ المقرر 9/13 لمؤتمر الأطراف في اتفاقية التنوع البيولوجي - </w:t>
      </w:r>
      <w:r w:rsidRPr="008909D8">
        <w:rPr>
          <w:rFonts w:asciiTheme="minorHAnsi" w:hAnsiTheme="minorHAnsi" w:cstheme="minorHAnsi"/>
          <w:sz w:val="18"/>
          <w:szCs w:val="18"/>
          <w:lang w:eastAsia="ar" w:bidi="en-US"/>
        </w:rPr>
        <w:t>UNEP/CBD/COP/DEC/IX</w:t>
      </w:r>
      <w:r w:rsidRPr="008909D8">
        <w:rPr>
          <w:rFonts w:asciiTheme="minorHAnsi" w:hAnsiTheme="minorHAnsi" w:cstheme="minorHAnsi"/>
          <w:sz w:val="18"/>
          <w:szCs w:val="18"/>
          <w:lang w:eastAsia="ar"/>
        </w:rPr>
        <w:t>/13</w:t>
      </w:r>
      <w:r w:rsidRPr="008909D8">
        <w:rPr>
          <w:rFonts w:asciiTheme="minorHAnsi" w:hAnsiTheme="minorHAnsi" w:cstheme="minorHAnsi"/>
          <w:sz w:val="18"/>
          <w:szCs w:val="18"/>
          <w:rtl/>
          <w:lang w:eastAsia="ar"/>
        </w:rPr>
        <w:t>.</w:t>
      </w:r>
    </w:p>
  </w:footnote>
  <w:footnote w:id="35">
    <w:p w:rsidR="008909D8" w:rsidRPr="006E3BB4"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السابعة والثلاثين للجنة الحكومية الدولية المعنية بالملكية الفكرية والموارد الوراثية والمعارف التقليدية والفولكلور، من 27 إلى 31 أغسطس </w:t>
      </w:r>
      <w:r w:rsidRPr="006E3BB4">
        <w:rPr>
          <w:rFonts w:asciiTheme="minorHAnsi" w:hAnsiTheme="minorHAnsi" w:cstheme="minorHAnsi"/>
          <w:sz w:val="18"/>
          <w:szCs w:val="18"/>
          <w:rtl/>
          <w:lang w:eastAsia="ar"/>
        </w:rPr>
        <w:t xml:space="preserve">2018، بيان مركز قانون الفنون باسم تجمع الشعوب الأصلية، الوثيقة </w:t>
      </w:r>
      <w:r w:rsidRPr="006E3BB4">
        <w:rPr>
          <w:rFonts w:asciiTheme="minorHAnsi" w:hAnsiTheme="minorHAnsi" w:cstheme="minorHAnsi"/>
          <w:sz w:val="18"/>
          <w:szCs w:val="18"/>
          <w:lang w:eastAsia="ar" w:bidi="en-US"/>
        </w:rPr>
        <w:t>WIPO/GRTKF/IC</w:t>
      </w:r>
      <w:r w:rsidRPr="006E3BB4">
        <w:rPr>
          <w:rFonts w:asciiTheme="minorHAnsi" w:hAnsiTheme="minorHAnsi" w:cstheme="minorHAnsi"/>
          <w:sz w:val="18"/>
          <w:szCs w:val="18"/>
          <w:lang w:eastAsia="ar"/>
        </w:rPr>
        <w:t>/37/17</w:t>
      </w:r>
      <w:r w:rsidRPr="006E3BB4">
        <w:rPr>
          <w:rFonts w:asciiTheme="minorHAnsi" w:hAnsiTheme="minorHAnsi" w:cstheme="minorHAnsi"/>
          <w:sz w:val="18"/>
          <w:szCs w:val="18"/>
          <w:rtl/>
          <w:lang w:eastAsia="ar"/>
        </w:rPr>
        <w:t>، الفقرة 253.</w:t>
      </w:r>
    </w:p>
  </w:footnote>
  <w:footnote w:id="36">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إعلان الأمم المتحدة بشأن حقوق الشعوب الأصلية، المادة 31.</w:t>
      </w:r>
    </w:p>
  </w:footnote>
  <w:footnote w:id="37">
    <w:p w:rsidR="008909D8" w:rsidRPr="008909D8"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المادة 4، المادة 32؛ 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xml:space="preserve">، المتاحة على </w:t>
      </w:r>
      <w:hyperlink r:id="rId16" w:history="1">
        <w:r w:rsidRPr="006E3BB4">
          <w:rPr>
            <w:rStyle w:val="Hyperlink"/>
            <w:rFonts w:asciiTheme="minorHAnsi" w:hAnsiTheme="minorHAnsi" w:cstheme="minorHAnsi"/>
            <w:color w:val="auto"/>
            <w:u w:val="none"/>
            <w:lang w:eastAsia="ar" w:bidi="en-US"/>
          </w:rPr>
          <w:t>https://www.wipo.int/edocs/mdocs/tk/en/wipo_grtkf_ic_29/wipo_grtkf_ic_29_inf_10.pdf</w:t>
        </w:r>
      </w:hyperlink>
      <w:r w:rsidRPr="006E3BB4">
        <w:rPr>
          <w:rStyle w:val="Hyperlink"/>
          <w:rFonts w:asciiTheme="minorHAnsi" w:hAnsiTheme="minorHAnsi" w:cstheme="minorHAnsi"/>
          <w:color w:val="auto"/>
          <w:u w:val="none"/>
          <w:rtl/>
          <w:lang w:eastAsia="ar"/>
        </w:rPr>
        <w:t>.</w:t>
      </w:r>
    </w:p>
  </w:footnote>
  <w:footnote w:id="38">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xml:space="preserve">، المتاحة على </w:t>
      </w:r>
      <w:hyperlink r:id="rId17" w:history="1">
        <w:r w:rsidRPr="006E3BB4">
          <w:rPr>
            <w:rStyle w:val="Hyperlink"/>
            <w:rFonts w:asciiTheme="minorHAnsi" w:hAnsiTheme="minorHAnsi" w:cstheme="minorHAnsi"/>
            <w:color w:val="auto"/>
            <w:u w:val="none"/>
            <w:lang w:eastAsia="ar" w:bidi="en-US"/>
          </w:rPr>
          <w:t>https://www.wipo.int/edocs/mdocs/tk/en/wipo_grtkf_ic_29/wipo_grtkf_ic_29_inf_10.pdf</w:t>
        </w:r>
      </w:hyperlink>
      <w:r w:rsidRPr="006E3BB4">
        <w:rPr>
          <w:rFonts w:asciiTheme="minorHAnsi" w:hAnsiTheme="minorHAnsi" w:cstheme="minorHAnsi"/>
          <w:rtl/>
          <w:lang w:eastAsia="ar"/>
        </w:rPr>
        <w:t>.</w:t>
      </w:r>
    </w:p>
  </w:footnote>
  <w:footnote w:id="39">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hint="cs"/>
          <w:i/>
          <w:iCs/>
          <w:rtl/>
          <w:lang w:eastAsia="ar"/>
        </w:rPr>
        <w:t xml:space="preserve"> </w:t>
      </w:r>
      <w:r w:rsidRPr="006E3BB4">
        <w:rPr>
          <w:rFonts w:asciiTheme="minorHAnsi" w:hAnsiTheme="minorHAnsi" w:cstheme="minorHAnsi" w:hint="cs"/>
          <w:i/>
          <w:iCs/>
          <w:rtl/>
          <w:lang w:eastAsia="ar"/>
        </w:rPr>
        <w:tab/>
      </w:r>
      <w:r w:rsidRPr="006E3BB4">
        <w:rPr>
          <w:rFonts w:asciiTheme="minorHAnsi" w:hAnsiTheme="minorHAnsi" w:cstheme="minorHAnsi"/>
          <w:i/>
          <w:iCs/>
          <w:rtl/>
          <w:lang w:eastAsia="ar"/>
        </w:rPr>
        <w:t xml:space="preserve">بروتوكول </w:t>
      </w:r>
      <w:proofErr w:type="spellStart"/>
      <w:r w:rsidRPr="006E3BB4">
        <w:rPr>
          <w:rFonts w:asciiTheme="minorHAnsi" w:hAnsiTheme="minorHAnsi" w:cstheme="minorHAnsi"/>
          <w:i/>
          <w:iCs/>
          <w:rtl/>
          <w:lang w:eastAsia="ar"/>
        </w:rPr>
        <w:t>ناغويا</w:t>
      </w:r>
      <w:proofErr w:type="spellEnd"/>
      <w:r w:rsidRPr="006E3BB4">
        <w:rPr>
          <w:rFonts w:asciiTheme="minorHAnsi" w:hAnsiTheme="minorHAnsi" w:cstheme="minorHAnsi"/>
          <w:rtl/>
          <w:lang w:eastAsia="ar"/>
        </w:rPr>
        <w:t xml:space="preserve">، المادة 6(3)؛ التقرير الوطني المؤقت بشأن تنفيذ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xml:space="preserve">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18" w:history="1">
        <w:r w:rsidRPr="006E3BB4">
          <w:rPr>
            <w:rStyle w:val="Hyperlink"/>
            <w:rFonts w:asciiTheme="minorHAnsi" w:hAnsiTheme="minorHAnsi" w:cstheme="minorHAnsi"/>
            <w:color w:val="auto"/>
            <w:u w:val="none"/>
            <w:lang w:eastAsia="ar" w:bidi="en-US"/>
          </w:rPr>
          <w:t>https://absch.cbd.int/reports/analyzer</w:t>
        </w:r>
      </w:hyperlink>
      <w:r w:rsidRPr="006E3BB4">
        <w:rPr>
          <w:rFonts w:asciiTheme="minorHAnsi" w:hAnsiTheme="minorHAnsi" w:cstheme="minorHAnsi"/>
          <w:rtl/>
          <w:lang w:eastAsia="ar"/>
        </w:rPr>
        <w:t xml:space="preserve"> في 11 مايو 2020.</w:t>
      </w:r>
    </w:p>
  </w:footnote>
  <w:footnote w:id="40">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أداة تحليل التقارير الوطنية المؤقتة بشأن تنفيذ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xml:space="preserve">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19" w:history="1">
        <w:r w:rsidRPr="006E3BB4">
          <w:rPr>
            <w:rStyle w:val="Hyperlink"/>
            <w:rFonts w:asciiTheme="minorHAnsi" w:hAnsiTheme="minorHAnsi" w:cstheme="minorHAnsi"/>
            <w:color w:val="auto"/>
            <w:u w:val="none"/>
            <w:lang w:eastAsia="ar" w:bidi="en-US"/>
          </w:rPr>
          <w:t>https://absch.cbd.int/reports/analyzer</w:t>
        </w:r>
      </w:hyperlink>
      <w:r w:rsidRPr="006E3BB4">
        <w:rPr>
          <w:rFonts w:asciiTheme="minorHAnsi" w:hAnsiTheme="minorHAnsi" w:cstheme="minorHAnsi"/>
          <w:rtl/>
          <w:lang w:eastAsia="ar"/>
        </w:rPr>
        <w:t xml:space="preserve"> في 11 مايو 2020.</w:t>
      </w:r>
    </w:p>
    <w:p w:rsidR="008909D8" w:rsidRPr="006E3BB4" w:rsidRDefault="008909D8" w:rsidP="008909D8">
      <w:pPr>
        <w:pStyle w:val="FootnoteText"/>
        <w:rPr>
          <w:rFonts w:asciiTheme="minorHAnsi" w:hAnsiTheme="minorHAnsi" w:cstheme="minorHAnsi"/>
        </w:rPr>
      </w:pPr>
      <w:r w:rsidRPr="006E3BB4">
        <w:rPr>
          <w:rFonts w:asciiTheme="minorHAnsi" w:hAnsiTheme="minorHAnsi" w:cstheme="minorHAnsi"/>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t xml:space="preserve">Ad-Hoc Technical Expert Group on Digital Sequence Information on Genetic Resources (DSI-AHTEG); Manuel </w:t>
      </w:r>
      <w:r w:rsidRPr="006E3BB4">
        <w:tab/>
        <w:t xml:space="preserve"> Ruiz Muller, </w:t>
      </w:r>
      <w:r w:rsidRPr="006E3BB4">
        <w:rPr>
          <w:i/>
          <w:iCs/>
        </w:rPr>
        <w:t>Access to Genetic Resources and Benefit Sharing 25 Years on: Progress and Challenges</w:t>
      </w:r>
      <w:r w:rsidRPr="006E3BB4">
        <w:t xml:space="preserve"> (International Centre for Trade and Development, Issue Paper No.44, 2018), vii. </w:t>
      </w:r>
      <w:proofErr w:type="gramStart"/>
      <w:r w:rsidRPr="006E3BB4">
        <w:t>&lt;</w:t>
      </w:r>
      <w:hyperlink r:id="rId20" w:history="1">
        <w:r w:rsidRPr="006E3BB4">
          <w:rPr>
            <w:rStyle w:val="Hyperlink"/>
            <w:color w:val="auto"/>
            <w:u w:val="none"/>
          </w:rPr>
          <w:t>https://www.voices4biojustice.org/wp-content/uploads/2018/12/Access-to-Genetic-Resources-and-Benefit-Sharing-25-Years-On-Progress-and-Challenges.pdf</w:t>
        </w:r>
      </w:hyperlink>
      <w:r w:rsidRPr="006E3BB4">
        <w:t>&gt; at 25</w:t>
      </w:r>
      <w:r w:rsidRPr="006E3BB4">
        <w:rPr>
          <w:vertAlign w:val="superscript"/>
        </w:rPr>
        <w:t>th</w:t>
      </w:r>
      <w:r w:rsidRPr="006E3BB4">
        <w:t xml:space="preserve"> May 2020</w:t>
      </w:r>
      <w:r w:rsidRPr="006E3BB4">
        <w:rPr>
          <w:rFonts w:hint="cs"/>
          <w:rtl/>
        </w:rPr>
        <w:t>؛</w:t>
      </w:r>
      <w:r w:rsidRPr="006E3BB4">
        <w:rPr>
          <w:rFonts w:asciiTheme="minorHAnsi" w:hAnsiTheme="minorHAnsi" w:cstheme="minorHAnsi"/>
          <w:rtl/>
          <w:lang w:eastAsia="ar"/>
        </w:rPr>
        <w:t xml:space="preserve"> ومن الأمثلة الحديثة على معلومات التسلسل الرقمي الشفرة المصدرية لفيروس كوفيد-19 التي جرى تبادلها من خلال </w:t>
      </w:r>
      <w:r w:rsidRPr="006E3BB4">
        <w:rPr>
          <w:rFonts w:asciiTheme="minorHAnsi" w:hAnsiTheme="minorHAnsi" w:cstheme="minorHAnsi"/>
          <w:i/>
          <w:iCs/>
          <w:rtl/>
          <w:lang w:eastAsia="ar"/>
        </w:rPr>
        <w:t>إطار التأهب لمواجهة الأنفلونزا الجائحة</w:t>
      </w:r>
      <w:r w:rsidRPr="006E3BB4">
        <w:rPr>
          <w:rFonts w:asciiTheme="minorHAnsi" w:hAnsiTheme="minorHAnsi" w:cstheme="minorHAnsi"/>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roofErr w:type="gramEnd"/>
    </w:p>
  </w:footnote>
  <w:footnote w:id="42">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31، المادة 23.</w:t>
      </w:r>
    </w:p>
  </w:footnote>
  <w:footnote w:id="43">
    <w:p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القرار </w:t>
      </w:r>
      <w:r w:rsidRPr="006E3BB4">
        <w:rPr>
          <w:rFonts w:asciiTheme="minorHAnsi" w:hAnsiTheme="minorHAnsi" w:cstheme="minorHAnsi"/>
          <w:lang w:eastAsia="ar" w:bidi="en-US"/>
        </w:rPr>
        <w:t>CBD/COP/DEC/XIII</w:t>
      </w:r>
      <w:r w:rsidRPr="006E3BB4">
        <w:rPr>
          <w:rFonts w:asciiTheme="minorHAnsi" w:hAnsiTheme="minorHAnsi" w:cstheme="minorHAnsi"/>
          <w:lang w:eastAsia="ar"/>
        </w:rPr>
        <w:t>/16</w:t>
      </w:r>
      <w:r w:rsidRPr="006E3BB4">
        <w:rPr>
          <w:rFonts w:asciiTheme="minorHAnsi" w:hAnsiTheme="minorHAnsi" w:cstheme="minorHAnsi"/>
          <w:rtl/>
          <w:lang w:eastAsia="ar"/>
        </w:rPr>
        <w:t xml:space="preserve"> الذي اعتمده مؤتمر الأطراف في اتفاقية التنوع البيولوجي، 16 ديسمبر 2016؛ والقرار </w:t>
      </w:r>
      <w:r w:rsidRPr="006E3BB4">
        <w:rPr>
          <w:rFonts w:asciiTheme="minorHAnsi" w:hAnsiTheme="minorHAnsi" w:cstheme="minorHAnsi"/>
          <w:lang w:eastAsia="ar" w:bidi="en-US"/>
        </w:rPr>
        <w:t>CBD/NP/MOP/DEC</w:t>
      </w:r>
      <w:r w:rsidRPr="006E3BB4">
        <w:rPr>
          <w:rFonts w:asciiTheme="minorHAnsi" w:hAnsiTheme="minorHAnsi" w:cstheme="minorHAnsi"/>
          <w:lang w:eastAsia="ar"/>
        </w:rPr>
        <w:t>/2/14</w:t>
      </w:r>
      <w:r w:rsidRPr="006E3BB4">
        <w:rPr>
          <w:rFonts w:asciiTheme="minorHAnsi" w:hAnsiTheme="minorHAnsi" w:cstheme="minorHAnsi"/>
          <w:rtl/>
          <w:lang w:eastAsia="ar"/>
        </w:rPr>
        <w:t xml:space="preserve"> الذي اعتمدته الأطراف في بروتوكول </w:t>
      </w:r>
      <w:proofErr w:type="spellStart"/>
      <w:r w:rsidRPr="006E3BB4">
        <w:rPr>
          <w:rFonts w:asciiTheme="minorHAnsi" w:hAnsiTheme="minorHAnsi" w:cstheme="minorHAnsi"/>
          <w:rtl/>
          <w:lang w:eastAsia="ar"/>
        </w:rPr>
        <w:t>ناغويا</w:t>
      </w:r>
      <w:proofErr w:type="spellEnd"/>
      <w:r w:rsidRPr="006E3BB4">
        <w:rPr>
          <w:rFonts w:asciiTheme="minorHAnsi" w:hAnsiTheme="minorHAnsi" w:cstheme="minorHAnsi"/>
          <w:rtl/>
          <w:lang w:eastAsia="ar"/>
        </w:rPr>
        <w:t>، 16 ديسمبر 2016؛ ونص الرئيس، المادة 9.</w:t>
      </w:r>
    </w:p>
  </w:footnote>
  <w:footnote w:id="44">
    <w:p w:rsidR="008909D8" w:rsidRPr="006E3B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rtl/>
          <w:lang w:eastAsia="ar"/>
        </w:rPr>
        <w:t>نص الرئيس، ملاحظات بشأن المادة 9؛ الفريق التقني المخصص المعني بمعلومات التسلسل الرقمي للموارد الوراثية التابع لاتفاقية التنوع البيولوجي (</w:t>
      </w:r>
      <w:r w:rsidRPr="006E3BB4">
        <w:rPr>
          <w:rFonts w:asciiTheme="minorHAnsi" w:hAnsiTheme="minorHAnsi" w:cstheme="minorHAnsi"/>
          <w:sz w:val="18"/>
          <w:szCs w:val="18"/>
          <w:lang w:eastAsia="ar" w:bidi="en-US"/>
        </w:rPr>
        <w:t>AHTEG DSI</w:t>
      </w:r>
      <w:r w:rsidRPr="006E3BB4">
        <w:rPr>
          <w:rFonts w:asciiTheme="minorHAnsi" w:hAnsiTheme="minorHAnsi" w:cstheme="minorHAnsi"/>
          <w:sz w:val="18"/>
          <w:szCs w:val="18"/>
          <w:rtl/>
          <w:lang w:eastAsia="ar"/>
        </w:rPr>
        <w:t xml:space="preserve">)، مونتريال، كندا، 13-16 فبراير 2018، </w:t>
      </w:r>
      <w:r w:rsidRPr="006E3BB4">
        <w:rPr>
          <w:rFonts w:asciiTheme="minorHAnsi" w:hAnsiTheme="minorHAnsi" w:cstheme="minorHAnsi"/>
          <w:sz w:val="18"/>
          <w:szCs w:val="18"/>
          <w:lang w:eastAsia="ar" w:bidi="en-US"/>
        </w:rPr>
        <w:t>CBD/DSI/AHTEG</w:t>
      </w:r>
      <w:r w:rsidRPr="006E3BB4">
        <w:rPr>
          <w:rFonts w:asciiTheme="minorHAnsi" w:hAnsiTheme="minorHAnsi" w:cstheme="minorHAnsi"/>
          <w:sz w:val="18"/>
          <w:szCs w:val="18"/>
          <w:lang w:eastAsia="ar"/>
        </w:rPr>
        <w:t>/2018/1/4</w:t>
      </w:r>
      <w:r w:rsidRPr="006E3BB4">
        <w:rPr>
          <w:rFonts w:asciiTheme="minorHAnsi" w:hAnsiTheme="minorHAnsi" w:cstheme="minorHAnsi"/>
          <w:sz w:val="18"/>
          <w:szCs w:val="18"/>
          <w:rtl/>
          <w:lang w:eastAsia="ar"/>
        </w:rPr>
        <w:t>.</w:t>
      </w:r>
    </w:p>
  </w:footnote>
  <w:footnote w:id="45">
    <w:p w:rsidR="008909D8" w:rsidRPr="008909D8" w:rsidRDefault="008909D8" w:rsidP="008909D8">
      <w:pPr>
        <w:pStyle w:val="FootnoteText"/>
        <w:rPr>
          <w:rFonts w:asciiTheme="minorHAnsi" w:hAnsiTheme="minorHAnsi" w:cstheme="minorHAnsi"/>
          <w:lang w:val="en-AU"/>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نص الرئيس، ملاحظات تمهيدية؛ النص الموحد، المادة 10.4.</w:t>
      </w:r>
    </w:p>
  </w:footnote>
  <w:footnote w:id="46">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3.1، المادة 3.2؛ النص الموحد، المادة 10.4.</w:t>
      </w:r>
    </w:p>
  </w:footnote>
  <w:footnote w:id="47">
    <w:p w:rsidR="008909D8" w:rsidRPr="008909D8" w:rsidRDefault="008909D8" w:rsidP="008909D8">
      <w:pPr>
        <w:rPr>
          <w:rFonts w:asciiTheme="minorHAnsi" w:eastAsia="Times New Roman" w:hAnsiTheme="minorHAnsi" w:cstheme="minorHAnsi"/>
          <w:sz w:val="18"/>
          <w:szCs w:val="18"/>
          <w:lang w:eastAsia="en-GB"/>
        </w:rPr>
      </w:pPr>
      <w:r w:rsidRPr="008909D8">
        <w:rPr>
          <w:rStyle w:val="FootnoteReference"/>
          <w:rFonts w:asciiTheme="minorHAnsi" w:hAnsiTheme="minorHAnsi" w:cstheme="minorHAnsi"/>
          <w:sz w:val="18"/>
          <w:szCs w:val="18"/>
          <w:rtl/>
          <w:lang w:eastAsia="ar"/>
        </w:rPr>
        <w:footnoteRef/>
      </w:r>
      <w:r w:rsidRPr="008909D8">
        <w:rPr>
          <w:rFonts w:asciiTheme="minorHAnsi" w:eastAsia="Times New Roman" w:hAnsiTheme="minorHAnsi" w:cstheme="minorHAnsi"/>
          <w:sz w:val="18"/>
          <w:szCs w:val="18"/>
          <w:rtl/>
          <w:lang w:eastAsia="ar"/>
        </w:rPr>
        <w:t xml:space="preserve"> </w:t>
      </w:r>
      <w:r w:rsidRPr="008909D8">
        <w:rPr>
          <w:rFonts w:asciiTheme="minorHAnsi" w:eastAsia="Times New Roman" w:hAnsiTheme="minorHAnsi" w:cstheme="minorHAnsi"/>
          <w:sz w:val="18"/>
          <w:szCs w:val="18"/>
          <w:lang w:eastAsia="ar"/>
        </w:rPr>
        <w:tab/>
      </w:r>
      <w:r w:rsidRPr="008909D8">
        <w:rPr>
          <w:rFonts w:asciiTheme="minorHAnsi" w:eastAsia="Times New Roman" w:hAnsiTheme="minorHAnsi" w:cstheme="minorHAnsi"/>
          <w:sz w:val="18"/>
          <w:szCs w:val="18"/>
          <w:rtl/>
          <w:lang w:eastAsia="ar"/>
        </w:rPr>
        <w:t xml:space="preserve">نص الرئيس، </w:t>
      </w:r>
      <w:r w:rsidRPr="008909D8">
        <w:rPr>
          <w:rFonts w:asciiTheme="minorHAnsi" w:hAnsiTheme="minorHAnsi" w:cstheme="minorHAnsi"/>
          <w:sz w:val="18"/>
          <w:szCs w:val="18"/>
          <w:rtl/>
          <w:lang w:eastAsia="ar"/>
        </w:rPr>
        <w:t xml:space="preserve">المادة 3، ملاحظات بشأن المادة 3؛ </w:t>
      </w:r>
      <w:r w:rsidRPr="008909D8">
        <w:rPr>
          <w:rFonts w:eastAsia="Times New Roman"/>
          <w:sz w:val="18"/>
          <w:szCs w:val="18"/>
          <w:lang w:val="en-AU" w:eastAsia="en-GB"/>
        </w:rPr>
        <w:t xml:space="preserve">Graham </w:t>
      </w:r>
      <w:proofErr w:type="spellStart"/>
      <w:r w:rsidRPr="008909D8">
        <w:rPr>
          <w:rFonts w:eastAsia="Times New Roman"/>
          <w:sz w:val="18"/>
          <w:szCs w:val="18"/>
          <w:lang w:val="en-AU" w:eastAsia="en-GB"/>
        </w:rPr>
        <w:t>Dutfield</w:t>
      </w:r>
      <w:proofErr w:type="spellEnd"/>
      <w:r w:rsidRPr="008909D8">
        <w:rPr>
          <w:rFonts w:eastAsia="Times New Roman"/>
          <w:sz w:val="18"/>
          <w:szCs w:val="18"/>
          <w:lang w:val="en-AU" w:eastAsia="en-GB"/>
        </w:rPr>
        <w:t xml:space="preserve">, ‘Legal and Economic Aspects of Traditional Knowledge’ in Keith E </w:t>
      </w:r>
      <w:proofErr w:type="spellStart"/>
      <w:r w:rsidRPr="008909D8">
        <w:rPr>
          <w:rFonts w:eastAsia="Times New Roman"/>
          <w:sz w:val="18"/>
          <w:szCs w:val="18"/>
          <w:lang w:val="en-AU" w:eastAsia="en-GB"/>
        </w:rPr>
        <w:t>Maskus</w:t>
      </w:r>
      <w:proofErr w:type="spellEnd"/>
      <w:r w:rsidRPr="008909D8">
        <w:rPr>
          <w:rFonts w:eastAsia="Times New Roman"/>
          <w:sz w:val="18"/>
          <w:szCs w:val="18"/>
          <w:lang w:val="en-AU" w:eastAsia="en-GB"/>
        </w:rPr>
        <w:t xml:space="preserve"> and Jerome H </w:t>
      </w:r>
      <w:proofErr w:type="spellStart"/>
      <w:r w:rsidRPr="008909D8">
        <w:rPr>
          <w:rFonts w:eastAsia="Times New Roman"/>
          <w:sz w:val="18"/>
          <w:szCs w:val="18"/>
          <w:lang w:val="en-AU" w:eastAsia="en-GB"/>
        </w:rPr>
        <w:t>Reichman</w:t>
      </w:r>
      <w:proofErr w:type="spellEnd"/>
      <w:r w:rsidRPr="008909D8">
        <w:rPr>
          <w:rFonts w:eastAsia="Times New Roman"/>
          <w:sz w:val="18"/>
          <w:szCs w:val="18"/>
          <w:lang w:val="en-AU" w:eastAsia="en-GB"/>
        </w:rPr>
        <w:t xml:space="preserve"> (</w:t>
      </w:r>
      <w:proofErr w:type="spellStart"/>
      <w:r w:rsidRPr="008909D8">
        <w:rPr>
          <w:rFonts w:eastAsia="Times New Roman"/>
          <w:sz w:val="18"/>
          <w:szCs w:val="18"/>
          <w:lang w:val="en-AU" w:eastAsia="en-GB"/>
        </w:rPr>
        <w:t>eds</w:t>
      </w:r>
      <w:proofErr w:type="spellEnd"/>
      <w:proofErr w:type="gramStart"/>
      <w:r w:rsidRPr="008909D8">
        <w:rPr>
          <w:rFonts w:eastAsia="Times New Roman"/>
          <w:sz w:val="18"/>
          <w:szCs w:val="18"/>
          <w:lang w:val="en-AU" w:eastAsia="en-GB"/>
        </w:rPr>
        <w:t>),</w:t>
      </w:r>
      <w:proofErr w:type="gramEnd"/>
      <w:r w:rsidRPr="008909D8">
        <w:rPr>
          <w:rFonts w:eastAsia="Times New Roman"/>
          <w:sz w:val="18"/>
          <w:szCs w:val="18"/>
          <w:lang w:val="en-AU" w:eastAsia="en-GB"/>
        </w:rPr>
        <w:t xml:space="preserve"> </w:t>
      </w:r>
      <w:r w:rsidRPr="008909D8">
        <w:rPr>
          <w:rFonts w:eastAsia="Times New Roman"/>
          <w:i/>
          <w:iCs/>
          <w:sz w:val="18"/>
          <w:szCs w:val="18"/>
          <w:lang w:val="en-AU" w:eastAsia="en-GB"/>
        </w:rPr>
        <w:t>International Public Goods and Transfer of Technology Under a Globalized Intellectual Property Regime</w:t>
      </w:r>
      <w:r w:rsidRPr="008909D8">
        <w:rPr>
          <w:rFonts w:eastAsia="Times New Roman"/>
          <w:sz w:val="18"/>
          <w:szCs w:val="18"/>
          <w:lang w:val="en-AU" w:eastAsia="en-GB"/>
        </w:rPr>
        <w:t xml:space="preserve"> (Cambridge University Press, 1</w:t>
      </w:r>
      <w:r w:rsidRPr="008909D8">
        <w:rPr>
          <w:rFonts w:eastAsia="Times New Roman"/>
          <w:sz w:val="18"/>
          <w:szCs w:val="18"/>
          <w:vertAlign w:val="superscript"/>
          <w:lang w:val="en-AU" w:eastAsia="en-GB"/>
        </w:rPr>
        <w:t>st</w:t>
      </w:r>
      <w:r w:rsidRPr="008909D8">
        <w:rPr>
          <w:rFonts w:eastAsia="Times New Roman"/>
          <w:sz w:val="18"/>
          <w:szCs w:val="18"/>
          <w:lang w:val="en-AU" w:eastAsia="en-GB"/>
        </w:rPr>
        <w:t xml:space="preserve"> </w:t>
      </w:r>
      <w:proofErr w:type="spellStart"/>
      <w:r w:rsidRPr="008909D8">
        <w:rPr>
          <w:rFonts w:eastAsia="Times New Roman"/>
          <w:sz w:val="18"/>
          <w:szCs w:val="18"/>
          <w:lang w:val="en-AU" w:eastAsia="en-GB"/>
        </w:rPr>
        <w:t>ed</w:t>
      </w:r>
      <w:proofErr w:type="spellEnd"/>
      <w:r w:rsidRPr="008909D8">
        <w:rPr>
          <w:rFonts w:eastAsia="Times New Roman"/>
          <w:sz w:val="18"/>
          <w:szCs w:val="18"/>
          <w:lang w:val="en-AU" w:eastAsia="en-GB"/>
        </w:rPr>
        <w:t>, 2005), 506.</w:t>
      </w:r>
    </w:p>
  </w:footnote>
  <w:footnote w:id="48">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تقرير اللجنة الحكومية الدولية المعنية بالملكية الفكرية والموارد الوراثية والمعارف التقليدية والفولكلور، بيان مؤسسة </w:t>
      </w:r>
      <w:proofErr w:type="spellStart"/>
      <w:r w:rsidRPr="008909D8">
        <w:rPr>
          <w:rFonts w:asciiTheme="minorHAnsi" w:hAnsiTheme="minorHAnsi" w:cstheme="minorHAnsi"/>
          <w:rtl/>
          <w:lang w:eastAsia="ar"/>
        </w:rPr>
        <w:t>تبتيبا</w:t>
      </w:r>
      <w:proofErr w:type="spellEnd"/>
      <w:r w:rsidRPr="008909D8">
        <w:rPr>
          <w:rFonts w:asciiTheme="minorHAnsi" w:hAnsiTheme="minorHAnsi" w:cstheme="minorHAnsi"/>
          <w:rtl/>
          <w:lang w:eastAsia="ar"/>
        </w:rPr>
        <w:t xml:space="preserve"> باسم تجمع الشعوب الأصلية، الدورة الخامسة والثلاثون، جنيف، من 12 إلى 23 مارس 2018. </w:t>
      </w:r>
      <w:r w:rsidRPr="008909D8">
        <w:rPr>
          <w:rFonts w:asciiTheme="minorHAnsi" w:hAnsiTheme="minorHAnsi" w:cstheme="minorHAnsi"/>
          <w:lang w:eastAsia="ar" w:bidi="en-US"/>
        </w:rPr>
        <w:t>WIPO/GRTKF/IC</w:t>
      </w:r>
      <w:r w:rsidRPr="008909D8">
        <w:rPr>
          <w:rFonts w:asciiTheme="minorHAnsi" w:hAnsiTheme="minorHAnsi" w:cstheme="minorHAnsi"/>
          <w:lang w:eastAsia="ar"/>
        </w:rPr>
        <w:t>/35/10</w:t>
      </w:r>
      <w:r w:rsidRPr="008909D8">
        <w:rPr>
          <w:rFonts w:asciiTheme="minorHAnsi" w:hAnsiTheme="minorHAnsi" w:cstheme="minorHAnsi"/>
          <w:rtl/>
          <w:lang w:eastAsia="ar"/>
        </w:rPr>
        <w:t>، الفقرة 23.</w:t>
      </w:r>
    </w:p>
  </w:footnote>
  <w:footnote w:id="49">
    <w:p w:rsidR="008909D8" w:rsidRPr="008909D8" w:rsidRDefault="008909D8" w:rsidP="008909D8">
      <w:pPr>
        <w:rPr>
          <w:rFonts w:asciiTheme="minorHAnsi" w:hAnsiTheme="minorHAnsi" w:cstheme="minorHAnsi"/>
          <w:sz w:val="18"/>
          <w:szCs w:val="18"/>
          <w:rtl/>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الفقرة 29.</w:t>
      </w:r>
    </w:p>
  </w:footnote>
  <w:footnote w:id="50">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6.5.</w:t>
      </w:r>
    </w:p>
  </w:footnote>
  <w:footnote w:id="51">
    <w:p w:rsidR="008909D8" w:rsidRPr="008909D8" w:rsidRDefault="008909D8" w:rsidP="008909D8">
      <w:pPr>
        <w:pStyle w:val="FootnoteText"/>
        <w:rPr>
          <w:rFonts w:asciiTheme="minorHAnsi" w:hAnsiTheme="minorHAnsi" w:cstheme="minorHAnsi"/>
          <w:lang w:val="en-AU"/>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النص الموحد، المادة 6.4</w:t>
      </w:r>
    </w:p>
  </w:footnote>
  <w:footnote w:id="52">
    <w:p w:rsidR="008909D8" w:rsidRPr="00B04DB4"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إعلان الأمم المتحدة بشأن حقوق الشعوب الأصلية، المادة 27، المادة 39، المادة 40؛ العهد الدولي الخاص بالحقوق المدنية والسياسية</w:t>
      </w:r>
      <w:r w:rsidRPr="008909D8">
        <w:rPr>
          <w:rFonts w:asciiTheme="minorHAnsi" w:hAnsiTheme="minorHAnsi"/>
          <w:rtl/>
          <w:lang w:eastAsia="ar" w:bidi="en-US"/>
        </w:rPr>
        <w:t>‏‏</w:t>
      </w:r>
      <w:r w:rsidRPr="008909D8">
        <w:rPr>
          <w:rFonts w:asciiTheme="minorHAnsi" w:hAnsiTheme="minorHAnsi" w:cstheme="minorHAnsi"/>
          <w:rtl/>
          <w:lang w:eastAsia="ar"/>
        </w:rPr>
        <w:t>، التعليق العام رقم 23.</w:t>
      </w:r>
    </w:p>
  </w:footnote>
  <w:footnote w:id="53">
    <w:p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xml:space="preserve">، الفقرة 29. فريدريك </w:t>
      </w:r>
      <w:proofErr w:type="spellStart"/>
      <w:r w:rsidRPr="008909D8">
        <w:rPr>
          <w:rFonts w:asciiTheme="minorHAnsi" w:hAnsiTheme="minorHAnsi" w:cstheme="minorHAnsi"/>
          <w:sz w:val="18"/>
          <w:szCs w:val="18"/>
          <w:rtl/>
          <w:lang w:eastAsia="ar"/>
        </w:rPr>
        <w:t>بيرون</w:t>
      </w:r>
      <w:proofErr w:type="spellEnd"/>
      <w:r w:rsidRPr="008909D8">
        <w:rPr>
          <w:rFonts w:asciiTheme="minorHAnsi" w:hAnsiTheme="minorHAnsi" w:cstheme="minorHAnsi"/>
          <w:sz w:val="18"/>
          <w:szCs w:val="18"/>
          <w:rtl/>
          <w:lang w:eastAsia="ar"/>
        </w:rPr>
        <w:t xml:space="preserve"> ولش، تقنية سلسلة السجلات المغلقة والنفاذ وتقاسم المنافع، 7 أغسطس 2018. </w:t>
      </w:r>
    </w:p>
  </w:footnote>
  <w:footnote w:id="54">
    <w:p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Pr="002A62C3" w:rsidRDefault="00BD60D0" w:rsidP="00300E4F">
    <w:pPr>
      <w:pStyle w:val="Header"/>
      <w:bidi w:val="0"/>
      <w:rPr>
        <w:rtl/>
        <w:lang w:val="fr-CH"/>
      </w:rPr>
    </w:pPr>
    <w:r w:rsidRPr="00BD60D0">
      <w:t>WIPO/GRTKF/IC/</w:t>
    </w:r>
    <w:r w:rsidR="00300E4F">
      <w:t>45</w:t>
    </w:r>
    <w:r w:rsidRPr="00BD60D0">
      <w:t>/</w:t>
    </w:r>
    <w:r w:rsidR="001F0DBC">
      <w:t>INF/8</w:t>
    </w:r>
  </w:p>
  <w:p w:rsidR="002A62C3" w:rsidRPr="00300E4F" w:rsidRDefault="002A62C3" w:rsidP="002A62C3">
    <w:pPr>
      <w:pStyle w:val="Header"/>
      <w:bidi w:val="0"/>
    </w:pPr>
    <w:r w:rsidRPr="00300E4F">
      <w:t>Annex</w:t>
    </w:r>
  </w:p>
  <w:p w:rsidR="00BD60D0" w:rsidRDefault="00BD60D0" w:rsidP="00655D5F">
    <w:pPr>
      <w:pStyle w:val="Header"/>
      <w:bidi w:val="0"/>
    </w:pPr>
    <w:r>
      <w:fldChar w:fldCharType="begin"/>
    </w:r>
    <w:r>
      <w:instrText xml:space="preserve"> PAGE   \* MERGEFORMAT </w:instrText>
    </w:r>
    <w:r>
      <w:fldChar w:fldCharType="separate"/>
    </w:r>
    <w:r w:rsidR="00171FF1">
      <w:rPr>
        <w:noProof/>
      </w:rPr>
      <w:t>3</w:t>
    </w:r>
    <w:r>
      <w:rPr>
        <w:noProof/>
      </w:rPr>
      <w:fldChar w:fldCharType="end"/>
    </w:r>
  </w:p>
  <w:p w:rsidR="00F52843" w:rsidRPr="00F52843" w:rsidRDefault="00F52843"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FF1" w:rsidRPr="002A62C3" w:rsidRDefault="00171FF1" w:rsidP="00300E4F">
    <w:pPr>
      <w:pStyle w:val="Header"/>
      <w:bidi w:val="0"/>
      <w:rPr>
        <w:rtl/>
        <w:lang w:val="fr-CH"/>
      </w:rPr>
    </w:pPr>
    <w:r w:rsidRPr="00BD60D0">
      <w:t>WIPO/GRTKF/IC/</w:t>
    </w:r>
    <w:r>
      <w:t>45</w:t>
    </w:r>
    <w:r w:rsidRPr="00BD60D0">
      <w:t>/</w:t>
    </w:r>
    <w:r>
      <w:t>INF/8</w:t>
    </w:r>
  </w:p>
  <w:p w:rsidR="00171FF1" w:rsidRPr="00300E4F" w:rsidRDefault="00171FF1" w:rsidP="002A62C3">
    <w:pPr>
      <w:pStyle w:val="Header"/>
      <w:bidi w:val="0"/>
    </w:pPr>
    <w:r w:rsidRPr="00300E4F">
      <w:t>Annex</w:t>
    </w:r>
  </w:p>
  <w:p w:rsidR="00171FF1" w:rsidRDefault="00171FF1" w:rsidP="00655D5F">
    <w:pPr>
      <w:pStyle w:val="Header"/>
      <w:bidi w:val="0"/>
    </w:pPr>
    <w:r>
      <w:fldChar w:fldCharType="begin"/>
    </w:r>
    <w:r>
      <w:instrText xml:space="preserve"> PAGE   \* MERGEFORMAT </w:instrText>
    </w:r>
    <w:r>
      <w:fldChar w:fldCharType="separate"/>
    </w:r>
    <w:r>
      <w:rPr>
        <w:noProof/>
      </w:rPr>
      <w:t>9</w:t>
    </w:r>
    <w:r>
      <w:rPr>
        <w:noProof/>
      </w:rPr>
      <w:fldChar w:fldCharType="end"/>
    </w:r>
  </w:p>
  <w:p w:rsidR="00171FF1" w:rsidRPr="00F52843" w:rsidRDefault="00171FF1"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2C3" w:rsidRPr="002A62C3" w:rsidRDefault="002A62C3" w:rsidP="00300E4F">
    <w:pPr>
      <w:pStyle w:val="Header"/>
      <w:bidi w:val="0"/>
      <w:rPr>
        <w:lang w:val="fr-FR"/>
      </w:rPr>
    </w:pPr>
    <w:r w:rsidRPr="00BD60D0">
      <w:t>WIPO/GRTKF/IC/</w:t>
    </w:r>
    <w:r w:rsidR="00300E4F">
      <w:t>45</w:t>
    </w:r>
    <w:r w:rsidRPr="00BD60D0">
      <w:t>/</w:t>
    </w:r>
    <w:r w:rsidR="001F0DBC">
      <w:rPr>
        <w:lang w:val="fr-FR"/>
      </w:rPr>
      <w:t>INF/8</w:t>
    </w:r>
  </w:p>
  <w:p w:rsidR="002A62C3" w:rsidRDefault="002A62C3" w:rsidP="002A62C3">
    <w:pPr>
      <w:pStyle w:val="Header"/>
      <w:bidi w:val="0"/>
      <w:rPr>
        <w:lang w:val="fr-FR"/>
      </w:rPr>
    </w:pPr>
    <w:r>
      <w:rPr>
        <w:lang w:val="fr-FR"/>
      </w:rPr>
      <w:t>ANNEX</w:t>
    </w:r>
  </w:p>
  <w:p w:rsidR="002A62C3" w:rsidRPr="002A62C3" w:rsidRDefault="002A62C3" w:rsidP="002A62C3">
    <w:pPr>
      <w:pStyle w:val="Header"/>
      <w:bidi w:val="0"/>
      <w:rPr>
        <w:rtl/>
        <w:lang w:val="fr-CH" w:bidi="ar-EG"/>
      </w:rPr>
    </w:pPr>
    <w:r>
      <w:rPr>
        <w:rFonts w:hint="cs"/>
        <w:rtl/>
        <w:lang w:val="fr-CH" w:bidi="ar-EG"/>
      </w:rPr>
      <w:t>المرفق</w:t>
    </w:r>
  </w:p>
  <w:p w:rsidR="002A62C3" w:rsidRDefault="002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4"/>
  </w:num>
  <w:num w:numId="8">
    <w:abstractNumId w:val="6"/>
  </w:num>
  <w:num w:numId="9">
    <w:abstractNumId w:val="10"/>
  </w:num>
  <w:num w:numId="10">
    <w:abstractNumId w:val="16"/>
  </w:num>
  <w:num w:numId="11">
    <w:abstractNumId w:val="17"/>
  </w:num>
  <w:num w:numId="12">
    <w:abstractNumId w:val="2"/>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9"/>
  </w:num>
  <w:num w:numId="24">
    <w:abstractNumId w:val="14"/>
  </w:num>
  <w:num w:numId="25">
    <w:abstractNumId w:val="14"/>
  </w:num>
  <w:num w:numId="26">
    <w:abstractNumId w:val="14"/>
  </w:num>
  <w:num w:numId="27">
    <w:abstractNumId w:val="14"/>
  </w:num>
  <w:num w:numId="28">
    <w:abstractNumId w:val="13"/>
  </w:num>
  <w:num w:numId="29">
    <w:abstractNumId w:val="15"/>
  </w:num>
  <w:num w:numId="30">
    <w:abstractNumId w:val="12"/>
  </w:num>
  <w:num w:numId="31">
    <w:abstractNumId w:val="20"/>
  </w:num>
  <w:num w:numId="32">
    <w:abstractNumId w:val="8"/>
  </w:num>
  <w:num w:numId="33">
    <w:abstractNumId w:val="5"/>
  </w:num>
  <w:num w:numId="34">
    <w:abstractNumId w:val="18"/>
  </w:num>
  <w:num w:numId="35">
    <w:abstractNumId w:val="7"/>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96CA1"/>
    <w:rsid w:val="000A36F0"/>
    <w:rsid w:val="000A3D97"/>
    <w:rsid w:val="000C1BD0"/>
    <w:rsid w:val="000F5E56"/>
    <w:rsid w:val="00127BAD"/>
    <w:rsid w:val="001362EE"/>
    <w:rsid w:val="001406E1"/>
    <w:rsid w:val="00155D8A"/>
    <w:rsid w:val="00160172"/>
    <w:rsid w:val="001601E5"/>
    <w:rsid w:val="001647D5"/>
    <w:rsid w:val="00171FF1"/>
    <w:rsid w:val="001832A6"/>
    <w:rsid w:val="001940A0"/>
    <w:rsid w:val="0019592A"/>
    <w:rsid w:val="00196044"/>
    <w:rsid w:val="001A0750"/>
    <w:rsid w:val="001D4107"/>
    <w:rsid w:val="001F0DBC"/>
    <w:rsid w:val="001F42CA"/>
    <w:rsid w:val="00203D24"/>
    <w:rsid w:val="00210D5F"/>
    <w:rsid w:val="0021217E"/>
    <w:rsid w:val="00212EDF"/>
    <w:rsid w:val="002326AB"/>
    <w:rsid w:val="00243430"/>
    <w:rsid w:val="0024540F"/>
    <w:rsid w:val="002634C4"/>
    <w:rsid w:val="002928D3"/>
    <w:rsid w:val="002937BA"/>
    <w:rsid w:val="002A62C3"/>
    <w:rsid w:val="002F1FE6"/>
    <w:rsid w:val="002F4E68"/>
    <w:rsid w:val="00300E4F"/>
    <w:rsid w:val="00312F7F"/>
    <w:rsid w:val="00360207"/>
    <w:rsid w:val="00361450"/>
    <w:rsid w:val="003673CF"/>
    <w:rsid w:val="003804EE"/>
    <w:rsid w:val="003845C1"/>
    <w:rsid w:val="003A6F89"/>
    <w:rsid w:val="003B355C"/>
    <w:rsid w:val="003B38C1"/>
    <w:rsid w:val="003B76A4"/>
    <w:rsid w:val="003C34E9"/>
    <w:rsid w:val="003C687A"/>
    <w:rsid w:val="00423E3E"/>
    <w:rsid w:val="00427AF4"/>
    <w:rsid w:val="004647DA"/>
    <w:rsid w:val="00474062"/>
    <w:rsid w:val="00477D6B"/>
    <w:rsid w:val="00481008"/>
    <w:rsid w:val="004E4527"/>
    <w:rsid w:val="005019FF"/>
    <w:rsid w:val="00510F29"/>
    <w:rsid w:val="0053057A"/>
    <w:rsid w:val="00545BC0"/>
    <w:rsid w:val="00547552"/>
    <w:rsid w:val="00556076"/>
    <w:rsid w:val="00560A29"/>
    <w:rsid w:val="00575FB0"/>
    <w:rsid w:val="005875D1"/>
    <w:rsid w:val="005A400F"/>
    <w:rsid w:val="005A53BE"/>
    <w:rsid w:val="005C5411"/>
    <w:rsid w:val="005C6324"/>
    <w:rsid w:val="005C6649"/>
    <w:rsid w:val="005E469E"/>
    <w:rsid w:val="005E7B89"/>
    <w:rsid w:val="00605827"/>
    <w:rsid w:val="00615CB0"/>
    <w:rsid w:val="00646050"/>
    <w:rsid w:val="00655D5F"/>
    <w:rsid w:val="00664F4E"/>
    <w:rsid w:val="006713CA"/>
    <w:rsid w:val="0067495A"/>
    <w:rsid w:val="00676C5C"/>
    <w:rsid w:val="006A4C55"/>
    <w:rsid w:val="006A729E"/>
    <w:rsid w:val="006B5C12"/>
    <w:rsid w:val="006E2AE3"/>
    <w:rsid w:val="006E3BB4"/>
    <w:rsid w:val="006F27C4"/>
    <w:rsid w:val="00720EFD"/>
    <w:rsid w:val="0073564F"/>
    <w:rsid w:val="007407CD"/>
    <w:rsid w:val="007854AF"/>
    <w:rsid w:val="00793A7C"/>
    <w:rsid w:val="007A398A"/>
    <w:rsid w:val="007A547D"/>
    <w:rsid w:val="007C4902"/>
    <w:rsid w:val="007D1613"/>
    <w:rsid w:val="007E4C0E"/>
    <w:rsid w:val="007F2029"/>
    <w:rsid w:val="00810574"/>
    <w:rsid w:val="008909D8"/>
    <w:rsid w:val="008A134B"/>
    <w:rsid w:val="008B2CC1"/>
    <w:rsid w:val="008B60B2"/>
    <w:rsid w:val="008F02BC"/>
    <w:rsid w:val="008F787E"/>
    <w:rsid w:val="0090731E"/>
    <w:rsid w:val="00916EE2"/>
    <w:rsid w:val="00966A22"/>
    <w:rsid w:val="0096722F"/>
    <w:rsid w:val="00980843"/>
    <w:rsid w:val="00987B75"/>
    <w:rsid w:val="009B0855"/>
    <w:rsid w:val="009B223A"/>
    <w:rsid w:val="009C6280"/>
    <w:rsid w:val="009E2791"/>
    <w:rsid w:val="009E3F6F"/>
    <w:rsid w:val="009F25BA"/>
    <w:rsid w:val="009F499F"/>
    <w:rsid w:val="00A021E1"/>
    <w:rsid w:val="00A02F0F"/>
    <w:rsid w:val="00A04A5C"/>
    <w:rsid w:val="00A37342"/>
    <w:rsid w:val="00A42C18"/>
    <w:rsid w:val="00A42DAF"/>
    <w:rsid w:val="00A45BD8"/>
    <w:rsid w:val="00A57799"/>
    <w:rsid w:val="00A70B97"/>
    <w:rsid w:val="00A869B7"/>
    <w:rsid w:val="00A90F0A"/>
    <w:rsid w:val="00A91F7C"/>
    <w:rsid w:val="00AA4217"/>
    <w:rsid w:val="00AC205C"/>
    <w:rsid w:val="00AC2B32"/>
    <w:rsid w:val="00AF0A6B"/>
    <w:rsid w:val="00B05A69"/>
    <w:rsid w:val="00B07ABA"/>
    <w:rsid w:val="00B15C3A"/>
    <w:rsid w:val="00B268A1"/>
    <w:rsid w:val="00B42CA9"/>
    <w:rsid w:val="00B51FF7"/>
    <w:rsid w:val="00B605C6"/>
    <w:rsid w:val="00B63652"/>
    <w:rsid w:val="00B75281"/>
    <w:rsid w:val="00B92B95"/>
    <w:rsid w:val="00B92F1F"/>
    <w:rsid w:val="00B93CF5"/>
    <w:rsid w:val="00B9734B"/>
    <w:rsid w:val="00BA30E2"/>
    <w:rsid w:val="00BD60D0"/>
    <w:rsid w:val="00BE0E62"/>
    <w:rsid w:val="00BF0574"/>
    <w:rsid w:val="00C04F3B"/>
    <w:rsid w:val="00C11BFE"/>
    <w:rsid w:val="00C2646B"/>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D7B7F"/>
    <w:rsid w:val="00DF12E1"/>
    <w:rsid w:val="00E15015"/>
    <w:rsid w:val="00E319DF"/>
    <w:rsid w:val="00E335FE"/>
    <w:rsid w:val="00E4597D"/>
    <w:rsid w:val="00E542D3"/>
    <w:rsid w:val="00E66CC5"/>
    <w:rsid w:val="00E7374D"/>
    <w:rsid w:val="00E94A9E"/>
    <w:rsid w:val="00E95EA0"/>
    <w:rsid w:val="00EA2633"/>
    <w:rsid w:val="00EA7D6E"/>
    <w:rsid w:val="00EB2F76"/>
    <w:rsid w:val="00EC4E49"/>
    <w:rsid w:val="00ED77FB"/>
    <w:rsid w:val="00EE066C"/>
    <w:rsid w:val="00EE45FA"/>
    <w:rsid w:val="00F043DE"/>
    <w:rsid w:val="00F4084F"/>
    <w:rsid w:val="00F52843"/>
    <w:rsid w:val="00F66152"/>
    <w:rsid w:val="00F9165B"/>
    <w:rsid w:val="00FC1833"/>
    <w:rsid w:val="00FC482F"/>
    <w:rsid w:val="00FE105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22EE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ar/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42E3-A68A-4CA5-AA20-045FD23D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TotalTime>
  <Pages>1</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7</cp:revision>
  <cp:lastPrinted>2022-10-03T09:38:00Z</cp:lastPrinted>
  <dcterms:created xsi:type="dcterms:W3CDTF">2022-10-03T09:36:00Z</dcterms:created>
  <dcterms:modified xsi:type="dcterms:W3CDTF">2022-10-03T09:38:00Z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