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F0DBC" w:rsidRDefault="00D90B96" w:rsidP="00072B49">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072B49">
        <w:rPr>
          <w:rFonts w:ascii="Arial Black" w:hAnsi="Arial Black"/>
          <w:caps/>
          <w:sz w:val="15"/>
          <w:szCs w:val="15"/>
        </w:rPr>
        <w:t>46</w:t>
      </w:r>
      <w:r>
        <w:rPr>
          <w:rFonts w:ascii="Arial Black" w:hAnsi="Arial Black"/>
          <w:caps/>
          <w:sz w:val="15"/>
          <w:szCs w:val="15"/>
        </w:rPr>
        <w:t>/</w:t>
      </w:r>
      <w:bookmarkStart w:id="0" w:name="Code"/>
      <w:bookmarkEnd w:id="0"/>
      <w:r w:rsidR="0080684F">
        <w:rPr>
          <w:rFonts w:ascii="Arial Black" w:hAnsi="Arial Black"/>
          <w:caps/>
          <w:sz w:val="15"/>
          <w:szCs w:val="15"/>
        </w:rPr>
        <w:t>INF/7</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072B49">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072B49">
        <w:rPr>
          <w:rFonts w:asciiTheme="minorHAnsi" w:hAnsiTheme="minorHAnsi" w:cstheme="minorHAnsi" w:hint="cs"/>
          <w:b/>
          <w:bCs/>
          <w:caps/>
          <w:sz w:val="15"/>
          <w:szCs w:val="15"/>
          <w:rtl/>
        </w:rPr>
        <w:t>15</w:t>
      </w:r>
      <w:r w:rsidR="005A53BE">
        <w:rPr>
          <w:rFonts w:asciiTheme="minorHAnsi" w:hAnsiTheme="minorHAnsi" w:cstheme="minorHAnsi" w:hint="cs"/>
          <w:b/>
          <w:bCs/>
          <w:caps/>
          <w:sz w:val="15"/>
          <w:szCs w:val="15"/>
          <w:rtl/>
        </w:rPr>
        <w:t xml:space="preserve"> </w:t>
      </w:r>
      <w:r w:rsidR="00072B49">
        <w:rPr>
          <w:rFonts w:asciiTheme="minorHAnsi" w:hAnsiTheme="minorHAnsi" w:cstheme="minorHAnsi" w:hint="cs"/>
          <w:b/>
          <w:bCs/>
          <w:caps/>
          <w:sz w:val="15"/>
          <w:szCs w:val="15"/>
          <w:rtl/>
        </w:rPr>
        <w:t>دي</w:t>
      </w:r>
      <w:r w:rsidR="00546F9A">
        <w:rPr>
          <w:rFonts w:asciiTheme="minorHAnsi" w:hAnsiTheme="minorHAnsi" w:cstheme="minorHAnsi" w:hint="cs"/>
          <w:b/>
          <w:bCs/>
          <w:caps/>
          <w:sz w:val="15"/>
          <w:szCs w:val="15"/>
          <w:rtl/>
        </w:rPr>
        <w:t>سمبر</w:t>
      </w:r>
      <w:r w:rsidR="00B93CF5">
        <w:rPr>
          <w:rFonts w:asciiTheme="minorHAnsi" w:hAnsiTheme="minorHAnsi" w:cstheme="minorHAnsi" w:hint="cs"/>
          <w:b/>
          <w:bCs/>
          <w:caps/>
          <w:sz w:val="15"/>
          <w:szCs w:val="15"/>
          <w:rtl/>
        </w:rPr>
        <w:t xml:space="preserve"> </w:t>
      </w:r>
      <w:r w:rsidR="005A53BE">
        <w:rPr>
          <w:rFonts w:asciiTheme="minorHAnsi" w:hAnsiTheme="minorHAnsi" w:cstheme="minorHAnsi" w:hint="cs"/>
          <w:b/>
          <w:bCs/>
          <w:caps/>
          <w:sz w:val="15"/>
          <w:szCs w:val="15"/>
          <w:rtl/>
        </w:rPr>
        <w:t>2022</w:t>
      </w:r>
    </w:p>
    <w:p w:rsidR="008B2CC1" w:rsidRPr="00D67EAE" w:rsidRDefault="003B355C" w:rsidP="0019592A">
      <w:pPr>
        <w:pStyle w:val="Heading1"/>
      </w:pPr>
      <w:bookmarkStart w:id="3" w:name="_Toc109812829"/>
      <w:bookmarkStart w:id="4" w:name="_Toc109822677"/>
      <w:bookmarkStart w:id="5" w:name="_Toc109822735"/>
      <w:bookmarkStart w:id="6" w:name="_Toc109824529"/>
      <w:bookmarkStart w:id="7" w:name="_Toc109825053"/>
      <w:bookmarkStart w:id="8" w:name="_Toc109825176"/>
      <w:bookmarkStart w:id="9" w:name="_Toc11545164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bookmarkEnd w:id="6"/>
      <w:bookmarkEnd w:id="7"/>
      <w:bookmarkEnd w:id="8"/>
      <w:bookmarkEnd w:id="9"/>
    </w:p>
    <w:p w:rsidR="00A90F0A" w:rsidRPr="00D67EAE" w:rsidRDefault="00D67EAE" w:rsidP="00072B49">
      <w:pPr>
        <w:outlineLvl w:val="1"/>
        <w:rPr>
          <w:rFonts w:asciiTheme="minorHAnsi" w:hAnsiTheme="minorHAnsi" w:cstheme="minorHAnsi"/>
          <w:bCs/>
          <w:sz w:val="24"/>
          <w:szCs w:val="24"/>
        </w:rPr>
      </w:pPr>
      <w:bookmarkStart w:id="10" w:name="_Toc109822736"/>
      <w:bookmarkStart w:id="11" w:name="_Toc109824530"/>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072B49">
        <w:rPr>
          <w:rFonts w:asciiTheme="minorHAnsi" w:hAnsiTheme="minorHAnsi" w:cstheme="minorHAnsi" w:hint="cs"/>
          <w:bCs/>
          <w:sz w:val="24"/>
          <w:szCs w:val="24"/>
          <w:rtl/>
        </w:rPr>
        <w:t>س</w:t>
      </w:r>
      <w:r w:rsidR="00FC1833">
        <w:rPr>
          <w:rFonts w:asciiTheme="minorHAnsi" w:hAnsiTheme="minorHAnsi" w:cstheme="minorHAnsi" w:hint="cs"/>
          <w:bCs/>
          <w:sz w:val="24"/>
          <w:szCs w:val="24"/>
          <w:rtl/>
        </w:rPr>
        <w:t>ا</w:t>
      </w:r>
      <w:r w:rsidR="00072B49">
        <w:rPr>
          <w:rFonts w:asciiTheme="minorHAnsi" w:hAnsiTheme="minorHAnsi" w:cstheme="minorHAnsi" w:hint="cs"/>
          <w:bCs/>
          <w:sz w:val="24"/>
          <w:szCs w:val="24"/>
          <w:rtl/>
        </w:rPr>
        <w:t>د</w:t>
      </w:r>
      <w:r w:rsidR="00546F9A">
        <w:rPr>
          <w:rFonts w:asciiTheme="minorHAnsi" w:hAnsiTheme="minorHAnsi" w:cstheme="minorHAnsi" w:hint="cs"/>
          <w:bCs/>
          <w:sz w:val="24"/>
          <w:szCs w:val="24"/>
          <w:rtl/>
        </w:rPr>
        <w:t>س</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bookmarkEnd w:id="10"/>
      <w:bookmarkEnd w:id="11"/>
    </w:p>
    <w:p w:rsidR="008B2CC1" w:rsidRPr="00D67EAE" w:rsidRDefault="00D67EAE" w:rsidP="00072B49">
      <w:pPr>
        <w:spacing w:after="720"/>
        <w:outlineLvl w:val="1"/>
        <w:rPr>
          <w:rFonts w:asciiTheme="minorHAnsi" w:hAnsiTheme="minorHAnsi" w:cstheme="minorHAnsi"/>
          <w:bCs/>
          <w:sz w:val="24"/>
          <w:szCs w:val="24"/>
        </w:rPr>
      </w:pPr>
      <w:bookmarkStart w:id="12" w:name="_Toc109822737"/>
      <w:bookmarkStart w:id="13" w:name="_Toc109824531"/>
      <w:r w:rsidRPr="00D67EAE">
        <w:rPr>
          <w:rFonts w:asciiTheme="minorHAnsi" w:hAnsiTheme="minorHAnsi" w:cstheme="minorHAnsi" w:hint="cs"/>
          <w:bCs/>
          <w:sz w:val="24"/>
          <w:szCs w:val="24"/>
          <w:rtl/>
        </w:rPr>
        <w:t xml:space="preserve">جنيف، من </w:t>
      </w:r>
      <w:r w:rsidR="00072B49">
        <w:rPr>
          <w:rFonts w:asciiTheme="minorHAnsi" w:hAnsiTheme="minorHAnsi" w:cstheme="minorHAnsi" w:hint="cs"/>
          <w:bCs/>
          <w:sz w:val="24"/>
          <w:szCs w:val="24"/>
          <w:rtl/>
        </w:rPr>
        <w:t xml:space="preserve">27 فبراير </w:t>
      </w:r>
      <w:r w:rsidRPr="00D67EAE">
        <w:rPr>
          <w:rFonts w:asciiTheme="minorHAnsi" w:hAnsiTheme="minorHAnsi" w:cstheme="minorHAnsi" w:hint="cs"/>
          <w:bCs/>
          <w:sz w:val="24"/>
          <w:szCs w:val="24"/>
          <w:rtl/>
        </w:rPr>
        <w:t xml:space="preserve">إلى </w:t>
      </w:r>
      <w:r w:rsidR="00072B49">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FC1833">
        <w:rPr>
          <w:rFonts w:asciiTheme="minorHAnsi" w:hAnsiTheme="minorHAnsi" w:cstheme="minorHAnsi" w:hint="cs"/>
          <w:bCs/>
          <w:sz w:val="24"/>
          <w:szCs w:val="24"/>
          <w:rtl/>
        </w:rPr>
        <w:t>م</w:t>
      </w:r>
      <w:r w:rsidR="00072B49">
        <w:rPr>
          <w:rFonts w:asciiTheme="minorHAnsi" w:hAnsiTheme="minorHAnsi" w:cstheme="minorHAnsi" w:hint="cs"/>
          <w:bCs/>
          <w:sz w:val="24"/>
          <w:szCs w:val="24"/>
          <w:rtl/>
        </w:rPr>
        <w:t>ا</w:t>
      </w:r>
      <w:r w:rsidR="00FC1833">
        <w:rPr>
          <w:rFonts w:asciiTheme="minorHAnsi" w:hAnsiTheme="minorHAnsi" w:cstheme="minorHAnsi" w:hint="cs"/>
          <w:bCs/>
          <w:sz w:val="24"/>
          <w:szCs w:val="24"/>
          <w:rtl/>
        </w:rPr>
        <w:t>ر</w:t>
      </w:r>
      <w:r w:rsidR="00072B49">
        <w:rPr>
          <w:rFonts w:asciiTheme="minorHAnsi" w:hAnsiTheme="minorHAnsi" w:cstheme="minorHAnsi" w:hint="cs"/>
          <w:bCs/>
          <w:sz w:val="24"/>
          <w:szCs w:val="24"/>
          <w:rtl/>
        </w:rPr>
        <w:t>س</w:t>
      </w:r>
      <w:r w:rsidR="00FC1833">
        <w:rPr>
          <w:rFonts w:asciiTheme="minorHAnsi" w:hAnsiTheme="minorHAnsi" w:cstheme="minorHAnsi" w:hint="cs"/>
          <w:bCs/>
          <w:sz w:val="24"/>
          <w:szCs w:val="24"/>
          <w:rtl/>
        </w:rPr>
        <w:t xml:space="preserve"> </w:t>
      </w:r>
      <w:bookmarkEnd w:id="12"/>
      <w:bookmarkEnd w:id="13"/>
      <w:r w:rsidR="00072B49">
        <w:rPr>
          <w:rFonts w:asciiTheme="minorHAnsi" w:hAnsiTheme="minorHAnsi" w:cstheme="minorHAnsi" w:hint="cs"/>
          <w:bCs/>
          <w:sz w:val="24"/>
          <w:szCs w:val="24"/>
          <w:rtl/>
        </w:rPr>
        <w:t>2023</w:t>
      </w:r>
    </w:p>
    <w:p w:rsidR="008B2CC1" w:rsidRDefault="0080684F" w:rsidP="0080684F">
      <w:pPr>
        <w:rPr>
          <w:rFonts w:ascii="Calibri" w:hAnsi="Calibri"/>
          <w:sz w:val="24"/>
          <w:szCs w:val="24"/>
          <w:lang w:eastAsia="ar"/>
        </w:rPr>
      </w:pPr>
      <w:bookmarkStart w:id="14" w:name="TitleOfDoc"/>
      <w:r>
        <w:rPr>
          <w:rFonts w:asciiTheme="minorHAnsi" w:hAnsiTheme="minorHAnsi" w:hint="cs"/>
          <w:caps/>
          <w:sz w:val="28"/>
          <w:szCs w:val="24"/>
          <w:rtl/>
        </w:rPr>
        <w:t>مسرد</w:t>
      </w:r>
      <w:r w:rsidR="006E3BB4">
        <w:rPr>
          <w:rFonts w:asciiTheme="minorHAnsi" w:hAnsiTheme="minorHAnsi" w:hint="cs"/>
          <w:caps/>
          <w:sz w:val="28"/>
          <w:szCs w:val="24"/>
          <w:rtl/>
        </w:rPr>
        <w:t xml:space="preserve"> </w:t>
      </w:r>
      <w:r>
        <w:rPr>
          <w:rFonts w:asciiTheme="minorHAnsi" w:hAnsiTheme="minorHAnsi" w:hint="cs"/>
          <w:caps/>
          <w:sz w:val="28"/>
          <w:szCs w:val="24"/>
          <w:rtl/>
        </w:rPr>
        <w:t>بالمصطلحات الرئيسية المتعلقة بالملكية الفكرية والموارد الوراثية والمعارف التقليدية وأشكال التعبير الثقافي التقليدي</w:t>
      </w:r>
    </w:p>
    <w:p w:rsidR="002A62C3" w:rsidRPr="002A62C3" w:rsidRDefault="002A62C3" w:rsidP="002A62C3">
      <w:pPr>
        <w:rPr>
          <w:rFonts w:ascii="Calibri" w:hAnsi="Calibri"/>
          <w:sz w:val="24"/>
          <w:szCs w:val="24"/>
          <w:lang w:eastAsia="ar"/>
        </w:rPr>
      </w:pPr>
    </w:p>
    <w:p w:rsidR="002928D3" w:rsidRDefault="00D27931" w:rsidP="00C04F3B">
      <w:pPr>
        <w:spacing w:after="1040"/>
        <w:rPr>
          <w:rFonts w:asciiTheme="minorHAnsi" w:hAnsiTheme="minorHAnsi"/>
          <w:iCs/>
        </w:rPr>
      </w:pPr>
      <w:bookmarkStart w:id="15" w:name="Prepared"/>
      <w:bookmarkEnd w:id="14"/>
      <w:bookmarkEnd w:id="15"/>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80684F" w:rsidRPr="0080684F" w:rsidRDefault="0080684F" w:rsidP="0080684F">
      <w:pPr>
        <w:pStyle w:val="Heading1"/>
        <w:spacing w:after="240"/>
        <w:rPr>
          <w:sz w:val="24"/>
          <w:szCs w:val="24"/>
        </w:rPr>
      </w:pPr>
      <w:bookmarkStart w:id="16" w:name="_Toc109812830"/>
      <w:bookmarkStart w:id="17" w:name="_Toc109822678"/>
      <w:bookmarkStart w:id="18" w:name="_Toc109822738"/>
      <w:bookmarkStart w:id="19" w:name="_Toc109824532"/>
      <w:bookmarkStart w:id="20" w:name="_Toc109825054"/>
      <w:bookmarkStart w:id="21" w:name="_Toc109825177"/>
      <w:bookmarkStart w:id="22" w:name="_Toc115451645"/>
      <w:r w:rsidRPr="0080684F">
        <w:rPr>
          <w:rFonts w:hint="cs"/>
          <w:sz w:val="24"/>
          <w:szCs w:val="24"/>
          <w:rtl/>
        </w:rPr>
        <w:t>مقدمة</w:t>
      </w:r>
      <w:bookmarkEnd w:id="16"/>
      <w:bookmarkEnd w:id="17"/>
      <w:bookmarkEnd w:id="18"/>
      <w:bookmarkEnd w:id="19"/>
      <w:bookmarkEnd w:id="20"/>
      <w:bookmarkEnd w:id="21"/>
      <w:bookmarkEnd w:id="22"/>
    </w:p>
    <w:p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طلبت اللجنة الحكومية الدولية المعنية بالملكية الفكرية والموارد الوراثية والمعارف التقليدية والفولكلور ("لجنة المعارف") في دورتيها السادسة عشرة والسابعة عشرة، المعقودتين تباعا من 3 إلى 7 مايو 2010 ومن 6 إلى 10 ديسمبر 2010، أن تعد الأمانة ثلاث وثائق إعلامية، فيها مسارد المصطلحات الرئيسية المتصلة بالملكية الفكرية والموارد الوراثية والمعارف التقليدية وأشكال التعبير الثقافي التقليدي</w:t>
      </w:r>
      <w:r>
        <w:rPr>
          <w:sz w:val="28"/>
          <w:szCs w:val="28"/>
          <w:vertAlign w:val="superscript"/>
          <w:rtl/>
        </w:rPr>
        <w:footnoteReference w:id="2"/>
      </w:r>
      <w:r>
        <w:rPr>
          <w:rFonts w:hint="cs"/>
          <w:rtl/>
        </w:rPr>
        <w:t xml:space="preserve"> وتضعها بتصرف لجنة المعارف.</w:t>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 xml:space="preserve">ودعت لجنة المعارف في دورتها التاسعة عشرة المعقودة من 18 إلى 22 يوليو 2011 "الأمانة إلى تحديث المسارد المتاحة في الوثيقة </w:t>
      </w:r>
      <w:r>
        <w:rPr>
          <w:lang w:bidi="ar-EG"/>
        </w:rPr>
        <w:t>WIPO/GRTKF/IC/19/INF/7</w:t>
      </w:r>
      <w:r>
        <w:rPr>
          <w:rFonts w:hint="cs"/>
          <w:rtl/>
          <w:lang w:bidi="ar-EG"/>
        </w:rPr>
        <w:t xml:space="preserve"> ('مسرد المصطلحات الرئيسية المتعلقة بالملكية الفكرية وأشكال التعبير الثقافي التقليدي‘) والوثيقة </w:t>
      </w:r>
      <w:r>
        <w:rPr>
          <w:lang w:bidi="ar-EG"/>
        </w:rPr>
        <w:t>WIPO/GRTKF/IC/19/INF/8</w:t>
      </w:r>
      <w:r>
        <w:rPr>
          <w:rFonts w:hint="cs"/>
          <w:rtl/>
          <w:lang w:bidi="ar-EG"/>
        </w:rPr>
        <w:t xml:space="preserve"> ('مسرد المصطلحات الرئيسية المتعلقة بالملكية الفكرية والمعارف التقليدية‘) والوثيقة </w:t>
      </w:r>
      <w:r>
        <w:rPr>
          <w:lang w:bidi="ar-EG"/>
        </w:rPr>
        <w:t>WIPO/GRTKF/IC/19/INF/9</w:t>
      </w:r>
      <w:r>
        <w:rPr>
          <w:rFonts w:hint="cs"/>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sz w:val="28"/>
          <w:szCs w:val="28"/>
          <w:vertAlign w:val="superscript"/>
          <w:rtl/>
          <w:lang w:bidi="ar-EG"/>
        </w:rPr>
        <w:footnoteReference w:id="3"/>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وعملاً بذلك القرار ونظراً إلى</w:t>
      </w:r>
      <w:r>
        <w:rPr>
          <w:rFonts w:hint="cs"/>
          <w:rtl/>
        </w:rPr>
        <w:t xml:space="preserve"> أن بعض المصطلحات الواردة في تلك المسارد كانت ترتبط بالموضوعات الثلاثة، دمجت الأمانة المسارد الثلاثة في مسرد واحد حدَّثت بعض التعاريف الواردة فيه وأتاحته للجنة كوثيقة إعلامية في دوراتها السابقة. </w:t>
      </w:r>
      <w:r>
        <w:rPr>
          <w:rFonts w:hint="cs"/>
          <w:rtl/>
          <w:lang w:bidi="ar-EG"/>
        </w:rPr>
        <w:t>ويرد ذلك المسرد في مرفق هذه الوثيقة.</w:t>
      </w:r>
      <w:r>
        <w:rPr>
          <w:rFonts w:hint="cs"/>
          <w:rtl/>
        </w:rPr>
        <w:t xml:space="preserve"> ويرد أيضاً فهرس للمصطلحات لتسهيل الرجوع إليها.</w:t>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rPr>
        <w:lastRenderedPageBreak/>
        <w:t>ويستند المسرد، قدر الإمكان، إلى المسارد التي أعدتها لجنة المعارف من قبل وإلى صكوك الأمم المتحدة والصكوك الدولية السارية. ويأخذ كذلك في الحسبان التعاريف والمسارد الموجودة في القوانين ومشروعات القوانين الوطنية والإقليمية والصكوك متعددة الأطراف والمنظمات والمسارات الأخرى والقواميس. ويستند تعريف المصطلحات إلى وثائق عمل لجنة المعارف وغيرها من وثائق الويبو وسائر وثائق برامج عمل الويبو. ومع ذلك، فإن تعريف المصطلحات المقترح ليس كاملا. ولعلّ من المجدي تعريف مصطلحات أخرى ذات صلة بالملكية الفكرية والموارد الوراثية والمعارف التقليدية وأشكال التعبير الثقافي التقليدي، وقد تعرّف المصطلحات المختارة بطرق أخرى أيضا.</w:t>
      </w:r>
    </w:p>
    <w:p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واستند اختيار المصطلحات الرئيسية إلى المصطلحات الأكثر استخداما في مشروعات نصوص لجنة المعارف ووثائقها الأخرى المرتبطة بالموضوع. ولا تخلّ المصطلحات المختارة وتعريفها المقترح في المرفق بأية مسارد أو أي تعريف آخر لها في وثائق سابقة للجنة المعارف أو في أي صك أو منتدى دولي أو إقليمي أو وطني آخر. وليس الغرض من المصطلحات الرئيسية المختارة وتعريفها المقترح تلميح بالضرورة إلى اتفاق المشاركين في لجنة المعارف عليها. وهذه الوثيقة هي وثيقة إعلامية وليس من المطلوب أن تؤيد لجنة المعارف</w:t>
      </w:r>
      <w:r>
        <w:rPr>
          <w:rFonts w:hint="cs"/>
          <w:rtl/>
          <w:lang w:bidi="ar-EG"/>
        </w:rPr>
        <w:t xml:space="preserve"> </w:t>
      </w:r>
      <w:r>
        <w:rPr>
          <w:rFonts w:hint="cs"/>
          <w:rtl/>
        </w:rPr>
        <w:t>أو تعتمد المصطلحات المختارة أو تعريفها المقترح.</w:t>
      </w:r>
    </w:p>
    <w:p w:rsidR="0080684F" w:rsidRDefault="0080684F" w:rsidP="0080684F">
      <w:pPr>
        <w:spacing w:after="480"/>
        <w:ind w:left="5533"/>
        <w:rPr>
          <w:rtl/>
        </w:rPr>
      </w:pPr>
      <w:r>
        <w:rPr>
          <w:rFonts w:ascii="Calibri" w:hAnsi="Calibri" w:hint="cs"/>
          <w:i/>
          <w:iCs/>
          <w:sz w:val="24"/>
          <w:rtl/>
          <w:lang w:eastAsia="ar" w:bidi="ar-EG"/>
        </w:rPr>
        <w:t>6</w:t>
      </w:r>
      <w:r w:rsidR="002A62C3" w:rsidRPr="00280A89">
        <w:rPr>
          <w:rFonts w:ascii="Calibri" w:hAnsi="Calibri"/>
          <w:i/>
          <w:iCs/>
          <w:sz w:val="24"/>
          <w:rtl/>
          <w:lang w:eastAsia="ar" w:bidi="ar-EG"/>
        </w:rPr>
        <w:t>.</w:t>
      </w:r>
      <w:r w:rsidR="002A62C3" w:rsidRPr="00640D38">
        <w:rPr>
          <w:rFonts w:ascii="Calibri" w:hAnsi="Calibri"/>
          <w:i/>
          <w:iCs/>
          <w:sz w:val="24"/>
          <w:rtl/>
          <w:lang w:eastAsia="ar" w:bidi="ar-EG"/>
        </w:rPr>
        <w:tab/>
      </w:r>
      <w:r w:rsidRPr="00640D38">
        <w:rPr>
          <w:i/>
          <w:iCs/>
          <w:rtl/>
        </w:rPr>
        <w:t>إن لجنة المعارف مدعوة إلى الإحاطة علما بمضمون هذه الوثيقة ومرفقها.</w:t>
      </w:r>
      <w:r w:rsidRPr="002A62C3">
        <w:rPr>
          <w:rtl/>
        </w:rPr>
        <w:t xml:space="preserve"> </w:t>
      </w:r>
    </w:p>
    <w:p w:rsidR="002A62C3" w:rsidRDefault="002A62C3" w:rsidP="0080684F">
      <w:pPr>
        <w:spacing w:after="480"/>
        <w:ind w:left="5533"/>
        <w:rPr>
          <w:rtl/>
        </w:rPr>
        <w:sectPr w:rsidR="002A62C3" w:rsidSect="0080684F">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rsidR="002A62C3" w:rsidRPr="002A62C3" w:rsidRDefault="002A62C3" w:rsidP="002A62C3">
      <w:pPr>
        <w:pStyle w:val="Endofdocument-Annex"/>
        <w:rPr>
          <w:rFonts w:cstheme="minorHAnsi"/>
          <w:rtl/>
        </w:rPr>
      </w:pPr>
    </w:p>
    <w:p w:rsidR="0080684F" w:rsidRPr="00EE277B" w:rsidRDefault="0080684F" w:rsidP="00EE277B">
      <w:pPr>
        <w:pStyle w:val="Heading1"/>
        <w:spacing w:after="360"/>
        <w:jc w:val="center"/>
        <w:rPr>
          <w:sz w:val="24"/>
          <w:szCs w:val="24"/>
          <w:lang w:val="fr-CH"/>
        </w:rPr>
      </w:pPr>
      <w:bookmarkStart w:id="23" w:name="_Toc109812831"/>
      <w:bookmarkStart w:id="24" w:name="_Toc109822679"/>
      <w:bookmarkStart w:id="25" w:name="_Toc109822739"/>
      <w:bookmarkStart w:id="26" w:name="_Toc109824533"/>
      <w:bookmarkStart w:id="27" w:name="_Toc109825055"/>
      <w:bookmarkStart w:id="28" w:name="_Toc109825178"/>
      <w:bookmarkStart w:id="29" w:name="_Toc115451646"/>
      <w:r w:rsidRPr="0080684F">
        <w:rPr>
          <w:rFonts w:hint="cs"/>
          <w:sz w:val="24"/>
          <w:szCs w:val="24"/>
          <w:rtl/>
          <w:lang w:bidi="ar-LB"/>
        </w:rPr>
        <w:t>مسرد المصطلحات الرئيسية المتعلقة بالملكية الفكرية والموارد الوراثية والمعارف التقليدية وأشكال التعبير الثقافي التقليدي</w:t>
      </w:r>
      <w:bookmarkEnd w:id="23"/>
      <w:bookmarkEnd w:id="24"/>
      <w:bookmarkEnd w:id="25"/>
      <w:bookmarkEnd w:id="26"/>
      <w:bookmarkEnd w:id="27"/>
      <w:bookmarkEnd w:id="28"/>
      <w:bookmarkEnd w:id="29"/>
    </w:p>
    <w:sdt>
      <w:sdtPr>
        <w:rPr>
          <w:rFonts w:ascii="Arial" w:eastAsia="SimSun" w:hAnsi="Arial" w:cs="Calibri"/>
          <w:b w:val="0"/>
          <w:bCs w:val="0"/>
          <w:noProof w:val="0"/>
          <w:sz w:val="22"/>
          <w:szCs w:val="22"/>
          <w:rtl/>
          <w:lang w:eastAsia="zh-CN"/>
        </w:rPr>
        <w:id w:val="-1083221208"/>
        <w:docPartObj>
          <w:docPartGallery w:val="Table of Contents"/>
          <w:docPartUnique/>
        </w:docPartObj>
      </w:sdtPr>
      <w:sdtContent>
        <w:p w:rsidR="00726E12" w:rsidRPr="00726E12" w:rsidRDefault="00EE277B" w:rsidP="00726E12">
          <w:pPr>
            <w:pStyle w:val="TOC1"/>
            <w:spacing w:after="0"/>
            <w:rPr>
              <w:rFonts w:asciiTheme="minorHAnsi" w:eastAsiaTheme="minorEastAsia" w:hAnsiTheme="minorHAnsi" w:cstheme="minorHAnsi"/>
              <w:b w:val="0"/>
              <w:bCs w:val="0"/>
              <w:sz w:val="22"/>
              <w:szCs w:val="22"/>
            </w:rPr>
          </w:pPr>
          <w:r>
            <w:fldChar w:fldCharType="begin"/>
          </w:r>
          <w:r>
            <w:instrText xml:space="preserve"> TOC \o "1-3" \h \z \u </w:instrText>
          </w:r>
          <w:r>
            <w:fldChar w:fldCharType="separate"/>
          </w:r>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4" w:history="1">
            <w:r w:rsidR="00726E12" w:rsidRPr="00726E12">
              <w:rPr>
                <w:rStyle w:val="Hyperlink"/>
                <w:rFonts w:asciiTheme="minorHAnsi" w:hAnsiTheme="minorHAnsi" w:cstheme="minorHAnsi"/>
                <w:i/>
                <w:noProof/>
                <w:sz w:val="22"/>
                <w:szCs w:val="22"/>
                <w:rtl/>
                <w:lang w:bidi="ar-LB"/>
              </w:rPr>
              <w:t>النفاذ وتقاسم المنافع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5" w:history="1">
            <w:r w:rsidR="00726E12" w:rsidRPr="00726E12">
              <w:rPr>
                <w:rStyle w:val="Hyperlink"/>
                <w:rFonts w:asciiTheme="minorHAnsi" w:hAnsiTheme="minorHAnsi" w:cstheme="minorHAnsi"/>
                <w:i/>
                <w:noProof/>
                <w:sz w:val="22"/>
                <w:szCs w:val="22"/>
                <w:rtl/>
                <w:lang w:bidi="ar-LB"/>
              </w:rPr>
              <w:t>التحوير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6" w:history="1">
            <w:r w:rsidR="00726E12" w:rsidRPr="00726E12">
              <w:rPr>
                <w:rStyle w:val="Hyperlink"/>
                <w:rFonts w:asciiTheme="minorHAnsi" w:hAnsiTheme="minorHAnsi" w:cstheme="minorHAnsi"/>
                <w:i/>
                <w:noProof/>
                <w:sz w:val="22"/>
                <w:szCs w:val="22"/>
                <w:rtl/>
                <w:lang w:bidi="ar-LB"/>
              </w:rPr>
              <w:t>السبل البديلة لتسوية المنازعات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7" w:history="1">
            <w:r w:rsidR="00726E12" w:rsidRPr="00726E12">
              <w:rPr>
                <w:rStyle w:val="Hyperlink"/>
                <w:rFonts w:asciiTheme="minorHAnsi" w:hAnsiTheme="minorHAnsi" w:cstheme="minorHAnsi"/>
                <w:i/>
                <w:noProof/>
                <w:sz w:val="22"/>
                <w:szCs w:val="22"/>
                <w:rtl/>
                <w:lang w:bidi="ar-LB"/>
              </w:rPr>
              <w:t>الموافقة والمشاركة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8" w:history="1">
            <w:r w:rsidR="00726E12" w:rsidRPr="00726E12">
              <w:rPr>
                <w:rStyle w:val="Hyperlink"/>
                <w:rFonts w:asciiTheme="minorHAnsi" w:hAnsiTheme="minorHAnsi" w:cstheme="minorHAnsi"/>
                <w:i/>
                <w:noProof/>
                <w:sz w:val="22"/>
                <w:szCs w:val="22"/>
                <w:rtl/>
                <w:lang w:bidi="ar-LB"/>
              </w:rPr>
              <w:t>المستفيدون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39" w:history="1">
            <w:r w:rsidR="00726E12" w:rsidRPr="00726E12">
              <w:rPr>
                <w:rStyle w:val="Hyperlink"/>
                <w:rFonts w:asciiTheme="minorHAnsi" w:hAnsiTheme="minorHAnsi" w:cstheme="minorHAnsi"/>
                <w:i/>
                <w:noProof/>
                <w:sz w:val="22"/>
                <w:szCs w:val="22"/>
                <w:rtl/>
              </w:rPr>
              <w:t>التنوع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0" w:history="1">
            <w:r w:rsidR="00726E12" w:rsidRPr="00726E12">
              <w:rPr>
                <w:rStyle w:val="Hyperlink"/>
                <w:rFonts w:asciiTheme="minorHAnsi" w:hAnsiTheme="minorHAnsi" w:cstheme="minorHAnsi"/>
                <w:i/>
                <w:noProof/>
                <w:sz w:val="22"/>
                <w:szCs w:val="22"/>
                <w:rtl/>
                <w:lang w:bidi="ar-LB"/>
              </w:rPr>
              <w:t>الموارد البيولوجية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1" w:history="1">
            <w:r w:rsidR="00726E12" w:rsidRPr="00726E12">
              <w:rPr>
                <w:rStyle w:val="Hyperlink"/>
                <w:rFonts w:asciiTheme="minorHAnsi" w:hAnsiTheme="minorHAnsi" w:cstheme="minorHAnsi"/>
                <w:i/>
                <w:noProof/>
                <w:sz w:val="22"/>
                <w:szCs w:val="22"/>
                <w:rtl/>
                <w:lang w:bidi="ar-LB"/>
              </w:rPr>
              <w:t>اختراعات البيوتكنولوجيا/التكنولوجيا الحيوية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2" w:history="1">
            <w:r w:rsidR="00726E12" w:rsidRPr="00726E12">
              <w:rPr>
                <w:rStyle w:val="Hyperlink"/>
                <w:rFonts w:asciiTheme="minorHAnsi" w:hAnsiTheme="minorHAnsi" w:cstheme="minorHAnsi"/>
                <w:i/>
                <w:noProof/>
                <w:sz w:val="22"/>
                <w:szCs w:val="22"/>
                <w:rtl/>
                <w:lang w:bidi="ar-LB"/>
              </w:rPr>
              <w:t>البيوتكنولوجيا/التكنولوجيا الحيوية/الأحيائية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3" w:history="1">
            <w:r w:rsidR="00726E12" w:rsidRPr="00726E12">
              <w:rPr>
                <w:rStyle w:val="Hyperlink"/>
                <w:rFonts w:asciiTheme="minorHAnsi" w:hAnsiTheme="minorHAnsi" w:cstheme="minorHAnsi"/>
                <w:i/>
                <w:noProof/>
                <w:sz w:val="22"/>
                <w:szCs w:val="22"/>
                <w:rtl/>
                <w:lang w:bidi="ar-LB"/>
              </w:rPr>
              <w:t>خطوط بون التوجيهية بشأن التوصل إلى الموارد الجينية والتقاسم العادل والمنصف للمنافع الناشئة عن استعمالها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4" w:history="1">
            <w:r w:rsidR="00726E12" w:rsidRPr="00726E12">
              <w:rPr>
                <w:rStyle w:val="Hyperlink"/>
                <w:rFonts w:asciiTheme="minorHAnsi" w:hAnsiTheme="minorHAnsi" w:cstheme="minorHAnsi"/>
                <w:i/>
                <w:noProof/>
                <w:sz w:val="22"/>
                <w:szCs w:val="22"/>
                <w:rtl/>
                <w:lang w:bidi="ar-LB"/>
              </w:rPr>
              <w:t>آلية تبادل المعلومات/آلية المقاصة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5" w:history="1">
            <w:r w:rsidR="00726E12" w:rsidRPr="00726E12">
              <w:rPr>
                <w:rStyle w:val="Hyperlink"/>
                <w:rFonts w:asciiTheme="minorHAnsi" w:hAnsiTheme="minorHAnsi" w:cstheme="minorHAnsi"/>
                <w:i/>
                <w:noProof/>
                <w:sz w:val="22"/>
                <w:szCs w:val="22"/>
                <w:rtl/>
                <w:lang w:bidi="ar-LB"/>
              </w:rPr>
              <w:t>المعارف التقليدية المقنّنة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6" w:history="1">
            <w:r w:rsidR="00726E12" w:rsidRPr="00726E12">
              <w:rPr>
                <w:rStyle w:val="Hyperlink"/>
                <w:rFonts w:asciiTheme="minorHAnsi" w:hAnsiTheme="minorHAnsi" w:cstheme="minorHAnsi"/>
                <w:i/>
                <w:noProof/>
                <w:sz w:val="22"/>
                <w:szCs w:val="22"/>
                <w:rtl/>
                <w:lang w:bidi="ar-LB"/>
              </w:rPr>
              <w:t>التشاور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7" w:history="1">
            <w:r w:rsidR="00726E12" w:rsidRPr="00726E12">
              <w:rPr>
                <w:rStyle w:val="Hyperlink"/>
                <w:rFonts w:asciiTheme="minorHAnsi" w:hAnsiTheme="minorHAnsi" w:cstheme="minorHAnsi"/>
                <w:i/>
                <w:noProof/>
                <w:sz w:val="22"/>
                <w:szCs w:val="22"/>
                <w:rtl/>
                <w:lang w:bidi="ar-LB"/>
              </w:rPr>
              <w:t>اتفاقية التنوع البيولوجي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8" w:history="1">
            <w:r w:rsidR="00726E12" w:rsidRPr="00726E12">
              <w:rPr>
                <w:rStyle w:val="Hyperlink"/>
                <w:rFonts w:asciiTheme="minorHAnsi" w:hAnsiTheme="minorHAnsi" w:cstheme="minorHAnsi"/>
                <w:i/>
                <w:noProof/>
                <w:sz w:val="22"/>
                <w:szCs w:val="22"/>
                <w:rtl/>
                <w:lang w:bidi="ar-LB"/>
              </w:rPr>
              <w:t>بلد منشأ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49" w:history="1">
            <w:r w:rsidR="00726E12" w:rsidRPr="00726E12">
              <w:rPr>
                <w:rStyle w:val="Hyperlink"/>
                <w:rFonts w:asciiTheme="minorHAnsi" w:hAnsiTheme="minorHAnsi" w:cstheme="minorHAnsi"/>
                <w:i/>
                <w:noProof/>
                <w:sz w:val="22"/>
                <w:szCs w:val="22"/>
                <w:rtl/>
                <w:lang w:bidi="ar-LB"/>
              </w:rPr>
              <w:t>البلد الذي يوفر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0" w:history="1">
            <w:r w:rsidR="00726E12" w:rsidRPr="00726E12">
              <w:rPr>
                <w:rStyle w:val="Hyperlink"/>
                <w:rFonts w:asciiTheme="minorHAnsi" w:hAnsiTheme="minorHAnsi" w:cstheme="minorHAnsi"/>
                <w:i/>
                <w:noProof/>
                <w:sz w:val="22"/>
                <w:szCs w:val="22"/>
                <w:rtl/>
                <w:lang w:bidi="ar-LB"/>
              </w:rPr>
              <w:t>الجماعة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1" w:history="1">
            <w:r w:rsidR="00726E12" w:rsidRPr="00726E12">
              <w:rPr>
                <w:rStyle w:val="Hyperlink"/>
                <w:rFonts w:asciiTheme="minorHAnsi" w:hAnsiTheme="minorHAnsi" w:cstheme="minorHAnsi"/>
                <w:i/>
                <w:noProof/>
                <w:sz w:val="22"/>
                <w:szCs w:val="22"/>
                <w:rtl/>
                <w:lang w:bidi="ar-LB"/>
              </w:rPr>
              <w:t>التنوع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2" w:history="1">
            <w:r w:rsidR="00726E12" w:rsidRPr="00726E12">
              <w:rPr>
                <w:rStyle w:val="Hyperlink"/>
                <w:rFonts w:asciiTheme="minorHAnsi" w:hAnsiTheme="minorHAnsi" w:cstheme="minorHAnsi"/>
                <w:i/>
                <w:noProof/>
                <w:sz w:val="22"/>
                <w:szCs w:val="22"/>
                <w:rtl/>
                <w:lang w:bidi="ar-LB"/>
              </w:rPr>
              <w:t>أشكال التعبير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3" w:history="1">
            <w:r w:rsidR="00726E12" w:rsidRPr="00726E12">
              <w:rPr>
                <w:rStyle w:val="Hyperlink"/>
                <w:rFonts w:asciiTheme="minorHAnsi" w:hAnsiTheme="minorHAnsi" w:cstheme="minorHAnsi"/>
                <w:i/>
                <w:noProof/>
                <w:sz w:val="22"/>
                <w:szCs w:val="22"/>
                <w:rtl/>
                <w:lang w:bidi="ar-LB"/>
              </w:rPr>
              <w:t>التراث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4" w:history="1">
            <w:r w:rsidR="00726E12" w:rsidRPr="00726E12">
              <w:rPr>
                <w:rStyle w:val="Hyperlink"/>
                <w:rFonts w:asciiTheme="minorHAnsi" w:hAnsiTheme="minorHAnsi" w:cstheme="minorHAnsi"/>
                <w:i/>
                <w:noProof/>
                <w:sz w:val="22"/>
                <w:szCs w:val="22"/>
                <w:rtl/>
                <w:lang w:bidi="ar-LB"/>
              </w:rPr>
              <w:t>الهوية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5" w:history="1">
            <w:r w:rsidR="00726E12" w:rsidRPr="00726E12">
              <w:rPr>
                <w:rStyle w:val="Hyperlink"/>
                <w:rFonts w:asciiTheme="minorHAnsi" w:hAnsiTheme="minorHAnsi" w:cstheme="minorHAnsi"/>
                <w:i/>
                <w:noProof/>
                <w:sz w:val="22"/>
                <w:szCs w:val="22"/>
                <w:rtl/>
                <w:lang w:bidi="ar-LB"/>
              </w:rPr>
              <w:t>الملكية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6" w:history="1">
            <w:r w:rsidR="00726E12" w:rsidRPr="00726E12">
              <w:rPr>
                <w:rStyle w:val="Hyperlink"/>
                <w:rFonts w:asciiTheme="minorHAnsi" w:hAnsiTheme="minorHAnsi" w:cstheme="minorHAnsi"/>
                <w:i/>
                <w:noProof/>
                <w:sz w:val="22"/>
                <w:szCs w:val="22"/>
                <w:rtl/>
                <w:lang w:bidi="ar-LB"/>
              </w:rPr>
              <w:t>المؤتمن له</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7" w:history="1">
            <w:r w:rsidR="00726E12" w:rsidRPr="00726E12">
              <w:rPr>
                <w:rStyle w:val="Hyperlink"/>
                <w:rFonts w:asciiTheme="minorHAnsi" w:hAnsiTheme="minorHAnsi" w:cstheme="minorHAnsi"/>
                <w:i/>
                <w:noProof/>
                <w:sz w:val="22"/>
                <w:szCs w:val="22"/>
                <w:rtl/>
                <w:lang w:bidi="ar-LB"/>
              </w:rPr>
              <w:t>السياق العرفي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8" w:history="1">
            <w:r w:rsidR="00726E12" w:rsidRPr="00726E12">
              <w:rPr>
                <w:rStyle w:val="Hyperlink"/>
                <w:rFonts w:asciiTheme="minorHAnsi" w:hAnsiTheme="minorHAnsi" w:cstheme="minorHAnsi"/>
                <w:i/>
                <w:noProof/>
                <w:sz w:val="22"/>
                <w:szCs w:val="22"/>
                <w:rtl/>
                <w:lang w:bidi="ar-LB"/>
              </w:rPr>
              <w:t>القوانين والمواثيق العرفية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59" w:history="1">
            <w:r w:rsidR="00726E12" w:rsidRPr="00726E12">
              <w:rPr>
                <w:rStyle w:val="Hyperlink"/>
                <w:rFonts w:asciiTheme="minorHAnsi" w:hAnsiTheme="minorHAnsi" w:cstheme="minorHAnsi"/>
                <w:i/>
                <w:noProof/>
                <w:sz w:val="22"/>
                <w:szCs w:val="22"/>
                <w:rtl/>
                <w:lang w:bidi="ar-LB"/>
              </w:rPr>
              <w:t>الممارسات العرفية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0" w:history="1">
            <w:r w:rsidR="00726E12" w:rsidRPr="00726E12">
              <w:rPr>
                <w:rStyle w:val="Hyperlink"/>
                <w:rFonts w:asciiTheme="minorHAnsi" w:hAnsiTheme="minorHAnsi" w:cstheme="minorHAnsi"/>
                <w:i/>
                <w:noProof/>
                <w:sz w:val="22"/>
                <w:szCs w:val="22"/>
                <w:rtl/>
                <w:lang w:bidi="ar-LB"/>
              </w:rPr>
              <w:t>قاعدة البيانات بشأن اتفاقات النفاذ وتقاسم المنافع المتعلقة بالتنوع البيولوجي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1" w:history="1">
            <w:r w:rsidR="00726E12" w:rsidRPr="00726E12">
              <w:rPr>
                <w:rStyle w:val="Hyperlink"/>
                <w:rFonts w:asciiTheme="minorHAnsi" w:hAnsiTheme="minorHAnsi" w:cstheme="minorHAnsi"/>
                <w:i/>
                <w:noProof/>
                <w:sz w:val="22"/>
                <w:szCs w:val="22"/>
                <w:rtl/>
                <w:lang w:bidi="ar-LB"/>
              </w:rPr>
              <w:t>المشتق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2" w:history="1">
            <w:r w:rsidR="00726E12" w:rsidRPr="00726E12">
              <w:rPr>
                <w:rStyle w:val="Hyperlink"/>
                <w:rFonts w:asciiTheme="minorHAnsi" w:hAnsiTheme="minorHAnsi" w:cstheme="minorHAnsi"/>
                <w:i/>
                <w:noProof/>
                <w:sz w:val="22"/>
                <w:szCs w:val="22"/>
                <w:rtl/>
                <w:lang w:bidi="ar-LB"/>
              </w:rPr>
              <w:t>المصنف المشتق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3" w:history="1">
            <w:r w:rsidR="00726E12" w:rsidRPr="00726E12">
              <w:rPr>
                <w:rStyle w:val="Hyperlink"/>
                <w:rFonts w:asciiTheme="minorHAnsi" w:hAnsiTheme="minorHAnsi" w:cstheme="minorHAnsi"/>
                <w:i/>
                <w:noProof/>
                <w:sz w:val="22"/>
                <w:szCs w:val="22"/>
                <w:rtl/>
                <w:lang w:bidi="ar-LB"/>
              </w:rPr>
              <w:t>الأفعال الضارة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4" w:history="1">
            <w:r w:rsidR="00726E12" w:rsidRPr="00726E12">
              <w:rPr>
                <w:rStyle w:val="Hyperlink"/>
                <w:rFonts w:asciiTheme="minorHAnsi" w:hAnsiTheme="minorHAnsi" w:cstheme="minorHAnsi"/>
                <w:i/>
                <w:noProof/>
                <w:sz w:val="22"/>
                <w:szCs w:val="22"/>
                <w:rtl/>
                <w:lang w:bidi="ar-LB"/>
              </w:rPr>
              <w:t>المعارف التقليدية المكشوف عنها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5" w:history="1">
            <w:r w:rsidR="00726E12" w:rsidRPr="00726E12">
              <w:rPr>
                <w:rStyle w:val="Hyperlink"/>
                <w:rFonts w:asciiTheme="minorHAnsi" w:hAnsiTheme="minorHAnsi" w:cstheme="minorHAnsi"/>
                <w:i/>
                <w:noProof/>
                <w:sz w:val="22"/>
                <w:szCs w:val="22"/>
                <w:rtl/>
                <w:lang w:bidi="ar-LB"/>
              </w:rPr>
              <w:t>الكشف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6" w:history="1">
            <w:r w:rsidR="00726E12" w:rsidRPr="00726E12">
              <w:rPr>
                <w:rStyle w:val="Hyperlink"/>
                <w:rFonts w:asciiTheme="minorHAnsi" w:hAnsiTheme="minorHAnsi" w:cstheme="minorHAnsi"/>
                <w:i/>
                <w:noProof/>
                <w:sz w:val="22"/>
                <w:szCs w:val="22"/>
                <w:rtl/>
                <w:lang w:bidi="ar-LB"/>
              </w:rPr>
              <w:t>شروط الكشف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7" w:history="1">
            <w:r w:rsidR="00726E12" w:rsidRPr="00726E12">
              <w:rPr>
                <w:rStyle w:val="Hyperlink"/>
                <w:rFonts w:asciiTheme="minorHAnsi" w:hAnsiTheme="minorHAnsi" w:cstheme="minorHAnsi"/>
                <w:i/>
                <w:noProof/>
                <w:sz w:val="22"/>
                <w:szCs w:val="22"/>
                <w:rtl/>
                <w:lang w:bidi="ar-LB"/>
              </w:rPr>
              <w:t>التوثيق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8" w:history="1">
            <w:r w:rsidR="00726E12" w:rsidRPr="00726E12">
              <w:rPr>
                <w:rStyle w:val="Hyperlink"/>
                <w:rFonts w:asciiTheme="minorHAnsi" w:hAnsiTheme="minorHAnsi" w:cstheme="minorHAnsi"/>
                <w:i/>
                <w:noProof/>
                <w:sz w:val="22"/>
                <w:szCs w:val="22"/>
                <w:rtl/>
                <w:lang w:bidi="ar-LB"/>
              </w:rPr>
              <w:t>العناية الواجبة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69" w:history="1">
            <w:r w:rsidR="00726E12" w:rsidRPr="00726E12">
              <w:rPr>
                <w:rStyle w:val="Hyperlink"/>
                <w:rFonts w:asciiTheme="minorHAnsi" w:hAnsiTheme="minorHAnsi" w:cstheme="minorHAnsi"/>
                <w:i/>
                <w:noProof/>
                <w:sz w:val="22"/>
                <w:szCs w:val="22"/>
                <w:rtl/>
                <w:lang w:bidi="ar-LB"/>
              </w:rPr>
              <w:t>المكافأة المنصفة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0" w:history="1">
            <w:r w:rsidR="00726E12" w:rsidRPr="00726E12">
              <w:rPr>
                <w:rStyle w:val="Hyperlink"/>
                <w:rFonts w:asciiTheme="minorHAnsi" w:hAnsiTheme="minorHAnsi" w:cstheme="minorHAnsi"/>
                <w:noProof/>
                <w:sz w:val="22"/>
                <w:szCs w:val="22"/>
                <w:rtl/>
                <w:lang w:bidi="ar-LB"/>
              </w:rPr>
              <w:t>الاستثناءات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1" w:history="1">
            <w:r w:rsidR="00726E12" w:rsidRPr="00726E12">
              <w:rPr>
                <w:rStyle w:val="Hyperlink"/>
                <w:rFonts w:asciiTheme="minorHAnsi" w:hAnsiTheme="minorHAnsi" w:cstheme="minorHAnsi"/>
                <w:noProof/>
                <w:sz w:val="22"/>
                <w:szCs w:val="22"/>
                <w:rtl/>
                <w:lang w:bidi="ar-LB"/>
              </w:rPr>
              <w:t>التعبير بالحركة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2" w:history="1">
            <w:r w:rsidR="00726E12" w:rsidRPr="00726E12">
              <w:rPr>
                <w:rStyle w:val="Hyperlink"/>
                <w:rFonts w:asciiTheme="minorHAnsi" w:hAnsiTheme="minorHAnsi" w:cstheme="minorHAnsi"/>
                <w:i/>
                <w:noProof/>
                <w:sz w:val="22"/>
                <w:szCs w:val="22"/>
                <w:rtl/>
                <w:lang w:bidi="ar-LB"/>
              </w:rPr>
              <w:t>أشكال التعبير الفولكلوري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3" w:history="1">
            <w:r w:rsidR="00726E12" w:rsidRPr="00726E12">
              <w:rPr>
                <w:rStyle w:val="Hyperlink"/>
                <w:rFonts w:asciiTheme="minorHAnsi" w:hAnsiTheme="minorHAnsi" w:cstheme="minorHAnsi"/>
                <w:i/>
                <w:noProof/>
                <w:sz w:val="22"/>
                <w:szCs w:val="22"/>
                <w:rtl/>
                <w:lang w:bidi="ar-LB"/>
              </w:rPr>
              <w:t>الصيانة خارج الوضع الطبيعي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4" w:history="1">
            <w:r w:rsidR="00726E12" w:rsidRPr="00726E12">
              <w:rPr>
                <w:rStyle w:val="Hyperlink"/>
                <w:rFonts w:asciiTheme="minorHAnsi" w:hAnsiTheme="minorHAnsi" w:cstheme="minorHAnsi"/>
                <w:i/>
                <w:noProof/>
                <w:sz w:val="22"/>
                <w:szCs w:val="22"/>
                <w:rtl/>
                <w:lang w:bidi="ar-LB"/>
              </w:rPr>
              <w:t>حسن الاستعمال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5" w:history="1">
            <w:r w:rsidR="00726E12" w:rsidRPr="00726E12">
              <w:rPr>
                <w:rStyle w:val="Hyperlink"/>
                <w:rFonts w:asciiTheme="minorHAnsi" w:hAnsiTheme="minorHAnsi" w:cstheme="minorHAnsi"/>
                <w:i/>
                <w:noProof/>
                <w:sz w:val="22"/>
                <w:szCs w:val="22"/>
                <w:rtl/>
                <w:lang w:bidi="ar-LB"/>
              </w:rPr>
              <w:t>حقوق المزارعين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6" w:history="1">
            <w:r w:rsidR="00726E12" w:rsidRPr="00726E12">
              <w:rPr>
                <w:rStyle w:val="Hyperlink"/>
                <w:rFonts w:asciiTheme="minorHAnsi" w:hAnsiTheme="minorHAnsi" w:cstheme="minorHAnsi"/>
                <w:i/>
                <w:noProof/>
                <w:sz w:val="22"/>
                <w:szCs w:val="22"/>
                <w:rtl/>
                <w:lang w:bidi="ar-LB"/>
              </w:rPr>
              <w:t>التثبيت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7" w:history="1">
            <w:r w:rsidR="00726E12" w:rsidRPr="00726E12">
              <w:rPr>
                <w:rStyle w:val="Hyperlink"/>
                <w:rFonts w:asciiTheme="minorHAnsi" w:hAnsiTheme="minorHAnsi" w:cstheme="minorHAnsi"/>
                <w:i/>
                <w:noProof/>
                <w:sz w:val="22"/>
                <w:szCs w:val="22"/>
                <w:rtl/>
                <w:lang w:bidi="ar-LB"/>
              </w:rPr>
              <w:t>الفولكلور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8" w:history="1">
            <w:r w:rsidR="00726E12" w:rsidRPr="00726E12">
              <w:rPr>
                <w:rStyle w:val="Hyperlink"/>
                <w:rFonts w:asciiTheme="minorHAnsi" w:hAnsiTheme="minorHAnsi" w:cstheme="minorHAnsi"/>
                <w:i/>
                <w:noProof/>
                <w:sz w:val="22"/>
                <w:szCs w:val="22"/>
                <w:rtl/>
                <w:lang w:bidi="ar-LB"/>
              </w:rPr>
              <w:t>الإجراء الشكلي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79" w:history="1">
            <w:r w:rsidR="00726E12" w:rsidRPr="00726E12">
              <w:rPr>
                <w:rStyle w:val="Hyperlink"/>
                <w:rFonts w:asciiTheme="minorHAnsi" w:hAnsiTheme="minorHAnsi" w:cstheme="minorHAnsi"/>
                <w:i/>
                <w:noProof/>
                <w:sz w:val="22"/>
                <w:szCs w:val="22"/>
                <w:rtl/>
                <w:lang w:bidi="ar-LB"/>
              </w:rPr>
              <w:t>المواد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0" w:history="1">
            <w:r w:rsidR="00726E12" w:rsidRPr="00726E12">
              <w:rPr>
                <w:rStyle w:val="Hyperlink"/>
                <w:rFonts w:asciiTheme="minorHAnsi" w:hAnsiTheme="minorHAnsi" w:cstheme="minorHAnsi"/>
                <w:i/>
                <w:noProof/>
                <w:sz w:val="22"/>
                <w:szCs w:val="22"/>
                <w:rtl/>
                <w:lang w:bidi="ar-LB"/>
              </w:rPr>
              <w:t>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1" w:history="1">
            <w:r w:rsidR="00726E12" w:rsidRPr="00726E12">
              <w:rPr>
                <w:rStyle w:val="Hyperlink"/>
                <w:rFonts w:asciiTheme="minorHAnsi" w:hAnsiTheme="minorHAnsi" w:cstheme="minorHAnsi"/>
                <w:i/>
                <w:noProof/>
                <w:sz w:val="22"/>
                <w:szCs w:val="22"/>
                <w:rtl/>
                <w:lang w:bidi="ar-LB"/>
              </w:rPr>
              <w:t>التراث (الخاص بالشعوب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2" w:history="1">
            <w:r w:rsidR="00726E12" w:rsidRPr="00726E12">
              <w:rPr>
                <w:rStyle w:val="Hyperlink"/>
                <w:rFonts w:asciiTheme="minorHAnsi" w:hAnsiTheme="minorHAnsi" w:cstheme="minorHAnsi"/>
                <w:i/>
                <w:noProof/>
                <w:sz w:val="22"/>
                <w:szCs w:val="22"/>
                <w:rtl/>
                <w:lang w:bidi="ar-LB"/>
              </w:rPr>
              <w:t>صاحب الشيء</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3" w:history="1">
            <w:r w:rsidR="00726E12" w:rsidRPr="00726E12">
              <w:rPr>
                <w:rStyle w:val="Hyperlink"/>
                <w:rFonts w:asciiTheme="minorHAnsi" w:hAnsiTheme="minorHAnsi" w:cstheme="minorHAnsi"/>
                <w:i/>
                <w:noProof/>
                <w:sz w:val="22"/>
                <w:szCs w:val="22"/>
                <w:rtl/>
                <w:lang w:bidi="ar-LB"/>
              </w:rPr>
              <w:t>الجماعات الأصلية والمحلية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4" w:history="1">
            <w:r w:rsidR="00726E12" w:rsidRPr="00726E12">
              <w:rPr>
                <w:rStyle w:val="Hyperlink"/>
                <w:rFonts w:asciiTheme="minorHAnsi" w:hAnsiTheme="minorHAnsi" w:cstheme="minorHAnsi"/>
                <w:i/>
                <w:noProof/>
                <w:sz w:val="22"/>
                <w:szCs w:val="22"/>
                <w:rtl/>
                <w:lang w:bidi="ar-LB"/>
              </w:rPr>
              <w:t>المعارف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5" w:history="1">
            <w:r w:rsidR="00726E12" w:rsidRPr="00726E12">
              <w:rPr>
                <w:rStyle w:val="Hyperlink"/>
                <w:rFonts w:asciiTheme="minorHAnsi" w:hAnsiTheme="minorHAnsi" w:cstheme="minorHAnsi"/>
                <w:i/>
                <w:noProof/>
                <w:sz w:val="22"/>
                <w:szCs w:val="22"/>
                <w:rtl/>
                <w:lang w:bidi="ar-LB"/>
              </w:rPr>
              <w:t>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18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6" w:history="1">
            <w:r w:rsidR="00726E12" w:rsidRPr="00726E12">
              <w:rPr>
                <w:rStyle w:val="Hyperlink"/>
                <w:rFonts w:asciiTheme="minorHAnsi" w:hAnsiTheme="minorHAnsi" w:cstheme="minorHAnsi"/>
                <w:i/>
                <w:noProof/>
                <w:sz w:val="22"/>
                <w:szCs w:val="22"/>
                <w:rtl/>
                <w:lang w:bidi="ar-LB"/>
              </w:rPr>
              <w:t>التعدي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7" w:history="1">
            <w:r w:rsidR="00726E12" w:rsidRPr="00726E12">
              <w:rPr>
                <w:rStyle w:val="Hyperlink"/>
                <w:rFonts w:asciiTheme="minorHAnsi" w:hAnsiTheme="minorHAnsi" w:cstheme="minorHAnsi"/>
                <w:i/>
                <w:noProof/>
                <w:sz w:val="22"/>
                <w:szCs w:val="22"/>
                <w:rtl/>
                <w:lang w:bidi="ar-LB"/>
              </w:rPr>
              <w:t>الظروف في الوضع الطبيعي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8" w:history="1">
            <w:r w:rsidR="00726E12" w:rsidRPr="00726E12">
              <w:rPr>
                <w:rStyle w:val="Hyperlink"/>
                <w:rFonts w:asciiTheme="minorHAnsi" w:hAnsiTheme="minorHAnsi" w:cstheme="minorHAnsi"/>
                <w:i/>
                <w:noProof/>
                <w:sz w:val="22"/>
                <w:szCs w:val="22"/>
                <w:rtl/>
                <w:lang w:bidi="ar-LB"/>
              </w:rPr>
              <w:t>التراث الثقافي غير الملموس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89" w:history="1">
            <w:r w:rsidR="00726E12" w:rsidRPr="00726E12">
              <w:rPr>
                <w:rStyle w:val="Hyperlink"/>
                <w:rFonts w:asciiTheme="minorHAnsi" w:hAnsiTheme="minorHAnsi" w:cstheme="minorHAnsi"/>
                <w:i/>
                <w:noProof/>
                <w:sz w:val="22"/>
                <w:szCs w:val="22"/>
                <w:rtl/>
                <w:lang w:bidi="ar-LB"/>
              </w:rPr>
              <w:t>السلامة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0" w:history="1">
            <w:r w:rsidR="00726E12" w:rsidRPr="00726E12">
              <w:rPr>
                <w:rStyle w:val="Hyperlink"/>
                <w:rFonts w:asciiTheme="minorHAnsi" w:hAnsiTheme="minorHAnsi" w:cstheme="minorHAnsi"/>
                <w:i/>
                <w:noProof/>
                <w:sz w:val="22"/>
                <w:szCs w:val="22"/>
                <w:rtl/>
                <w:lang w:bidi="ar-LB"/>
              </w:rPr>
              <w:t>مبادئ توجيهية بشأن الملكية الفكرية للنفاذ وتقاسم المنافع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1" w:history="1">
            <w:r w:rsidR="00726E12" w:rsidRPr="00726E12">
              <w:rPr>
                <w:rStyle w:val="Hyperlink"/>
                <w:rFonts w:asciiTheme="minorHAnsi" w:hAnsiTheme="minorHAnsi" w:cstheme="minorHAnsi"/>
                <w:i/>
                <w:noProof/>
                <w:sz w:val="22"/>
                <w:szCs w:val="22"/>
                <w:rtl/>
                <w:lang w:bidi="ar-LB"/>
              </w:rPr>
              <w:t>المعاهدة الدولية بشأن الموارد الوراثية النباتية للأغذية والزراعة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2" w:history="1">
            <w:r w:rsidR="00726E12" w:rsidRPr="00726E12">
              <w:rPr>
                <w:rStyle w:val="Hyperlink"/>
                <w:rFonts w:asciiTheme="minorHAnsi" w:hAnsiTheme="minorHAnsi" w:cstheme="minorHAnsi"/>
                <w:i/>
                <w:noProof/>
                <w:sz w:val="22"/>
                <w:szCs w:val="22"/>
                <w:rtl/>
                <w:lang w:bidi="ar-LB"/>
              </w:rPr>
              <w:t>النشاط الابتكاري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3" w:history="1">
            <w:r w:rsidR="00726E12" w:rsidRPr="00726E12">
              <w:rPr>
                <w:rStyle w:val="Hyperlink"/>
                <w:rFonts w:asciiTheme="minorHAnsi" w:hAnsiTheme="minorHAnsi" w:cstheme="minorHAnsi"/>
                <w:i/>
                <w:noProof/>
                <w:sz w:val="22"/>
                <w:szCs w:val="22"/>
                <w:rtl/>
                <w:lang w:bidi="ar-LB"/>
              </w:rPr>
              <w:t>اتفاقات الترخيص</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4" w:history="1">
            <w:r w:rsidR="00726E12" w:rsidRPr="00726E12">
              <w:rPr>
                <w:rStyle w:val="Hyperlink"/>
                <w:rFonts w:asciiTheme="minorHAnsi" w:hAnsiTheme="minorHAnsi" w:cstheme="minorHAnsi"/>
                <w:i/>
                <w:noProof/>
                <w:sz w:val="22"/>
                <w:szCs w:val="22"/>
                <w:rtl/>
                <w:lang w:bidi="ar-LB"/>
              </w:rPr>
              <w:t>التقييدات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5" w:history="1">
            <w:r w:rsidR="00726E12" w:rsidRPr="00726E12">
              <w:rPr>
                <w:rStyle w:val="Hyperlink"/>
                <w:rFonts w:asciiTheme="minorHAnsi" w:hAnsiTheme="minorHAnsi" w:cstheme="minorHAnsi"/>
                <w:i/>
                <w:noProof/>
                <w:sz w:val="22"/>
                <w:szCs w:val="22"/>
                <w:rtl/>
                <w:lang w:bidi="ar-LB"/>
              </w:rPr>
              <w:t>اتفاقات نقل المواد</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6" w:history="1">
            <w:r w:rsidR="00726E12" w:rsidRPr="00726E12">
              <w:rPr>
                <w:rStyle w:val="Hyperlink"/>
                <w:rFonts w:asciiTheme="minorHAnsi" w:hAnsiTheme="minorHAnsi" w:cstheme="minorHAnsi"/>
                <w:i/>
                <w:noProof/>
                <w:sz w:val="22"/>
                <w:szCs w:val="22"/>
                <w:rtl/>
                <w:lang w:bidi="ar-LB"/>
              </w:rPr>
              <w:t>الحد الأدنى لمجموعة الوثائق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7" w:history="1">
            <w:r w:rsidR="00726E12" w:rsidRPr="00726E12">
              <w:rPr>
                <w:rStyle w:val="Hyperlink"/>
                <w:rFonts w:asciiTheme="minorHAnsi" w:hAnsiTheme="minorHAnsi" w:cstheme="minorHAnsi"/>
                <w:i/>
                <w:noProof/>
                <w:sz w:val="22"/>
                <w:szCs w:val="22"/>
                <w:rtl/>
                <w:lang w:bidi="ar-LB"/>
              </w:rPr>
              <w:t>الأقلية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8" w:history="1">
            <w:r w:rsidR="00726E12" w:rsidRPr="00726E12">
              <w:rPr>
                <w:rStyle w:val="Hyperlink"/>
                <w:rFonts w:asciiTheme="minorHAnsi" w:hAnsiTheme="minorHAnsi" w:cstheme="minorHAnsi"/>
                <w:i/>
                <w:noProof/>
                <w:sz w:val="22"/>
                <w:szCs w:val="22"/>
                <w:rtl/>
                <w:lang w:bidi="ar-LB"/>
              </w:rPr>
              <w:t>التملك غير المشروع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599" w:history="1">
            <w:r w:rsidR="00726E12" w:rsidRPr="00726E12">
              <w:rPr>
                <w:rStyle w:val="Hyperlink"/>
                <w:rFonts w:asciiTheme="minorHAnsi" w:hAnsiTheme="minorHAnsi" w:cstheme="minorHAnsi"/>
                <w:i/>
                <w:noProof/>
                <w:sz w:val="22"/>
                <w:szCs w:val="22"/>
                <w:rtl/>
                <w:lang w:bidi="ar-LB"/>
              </w:rPr>
              <w:t>سوء الاستخدام</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0" w:history="1">
            <w:r w:rsidR="00726E12" w:rsidRPr="00726E12">
              <w:rPr>
                <w:rStyle w:val="Hyperlink"/>
                <w:rFonts w:asciiTheme="minorHAnsi" w:hAnsiTheme="minorHAnsi" w:cstheme="minorHAnsi"/>
                <w:i/>
                <w:noProof/>
                <w:sz w:val="22"/>
                <w:szCs w:val="22"/>
                <w:rtl/>
                <w:lang w:bidi="ar-LB"/>
              </w:rPr>
              <w:t>التعديل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1" w:history="1">
            <w:r w:rsidR="00726E12" w:rsidRPr="00726E12">
              <w:rPr>
                <w:rStyle w:val="Hyperlink"/>
                <w:rFonts w:asciiTheme="minorHAnsi" w:hAnsiTheme="minorHAnsi" w:cstheme="minorHAnsi"/>
                <w:i/>
                <w:noProof/>
                <w:sz w:val="22"/>
                <w:szCs w:val="22"/>
                <w:rtl/>
                <w:lang w:bidi="ar-LB"/>
              </w:rPr>
              <w:t>التحريف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2" w:history="1">
            <w:r w:rsidR="00726E12" w:rsidRPr="00726E12">
              <w:rPr>
                <w:rStyle w:val="Hyperlink"/>
                <w:rFonts w:asciiTheme="minorHAnsi" w:hAnsiTheme="minorHAnsi" w:cstheme="minorHAnsi"/>
                <w:i/>
                <w:noProof/>
                <w:sz w:val="22"/>
                <w:szCs w:val="22"/>
                <w:rtl/>
                <w:lang w:bidi="ar-LB"/>
              </w:rPr>
              <w:t>الاحترام المتبادل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3" w:history="1">
            <w:r w:rsidR="00726E12" w:rsidRPr="00726E12">
              <w:rPr>
                <w:rStyle w:val="Hyperlink"/>
                <w:rFonts w:asciiTheme="minorHAnsi" w:hAnsiTheme="minorHAnsi" w:cstheme="minorHAnsi"/>
                <w:i/>
                <w:noProof/>
                <w:sz w:val="22"/>
                <w:szCs w:val="22"/>
                <w:rtl/>
                <w:lang w:bidi="ar-LB"/>
              </w:rPr>
              <w:t>الشروط المتفق عليها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4" w:history="1">
            <w:r w:rsidR="00726E12" w:rsidRPr="00726E12">
              <w:rPr>
                <w:rStyle w:val="Hyperlink"/>
                <w:rFonts w:asciiTheme="minorHAnsi" w:hAnsiTheme="minorHAnsi" w:cstheme="minorHAnsi"/>
                <w:i/>
                <w:noProof/>
                <w:sz w:val="22"/>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5" w:history="1">
            <w:r w:rsidR="00726E12" w:rsidRPr="00726E12">
              <w:rPr>
                <w:rStyle w:val="Hyperlink"/>
                <w:rFonts w:asciiTheme="minorHAnsi" w:hAnsiTheme="minorHAnsi" w:cstheme="minorHAnsi"/>
                <w:i/>
                <w:noProof/>
                <w:sz w:val="22"/>
                <w:szCs w:val="22"/>
                <w:rtl/>
                <w:lang w:bidi="ar-LB"/>
              </w:rPr>
              <w:t>الأمة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6" w:history="1">
            <w:r w:rsidR="00726E12" w:rsidRPr="00726E12">
              <w:rPr>
                <w:rStyle w:val="Hyperlink"/>
                <w:rFonts w:asciiTheme="minorHAnsi" w:hAnsiTheme="minorHAnsi" w:cstheme="minorHAnsi"/>
                <w:i/>
                <w:noProof/>
                <w:sz w:val="22"/>
                <w:szCs w:val="22"/>
                <w:rtl/>
                <w:lang w:bidi="ar-LB"/>
              </w:rPr>
              <w:t>الجدة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7" w:history="1">
            <w:r w:rsidR="00726E12" w:rsidRPr="00726E12">
              <w:rPr>
                <w:rStyle w:val="Hyperlink"/>
                <w:rFonts w:asciiTheme="minorHAnsi" w:hAnsiTheme="minorHAnsi" w:cstheme="minorHAnsi"/>
                <w:i/>
                <w:noProof/>
                <w:sz w:val="22"/>
                <w:szCs w:val="22"/>
                <w:rtl/>
                <w:lang w:bidi="ar-LB"/>
              </w:rPr>
              <w:t>ضار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8" w:history="1">
            <w:r w:rsidR="00726E12" w:rsidRPr="00726E12">
              <w:rPr>
                <w:rStyle w:val="Hyperlink"/>
                <w:rFonts w:asciiTheme="minorHAnsi" w:hAnsiTheme="minorHAnsi" w:cstheme="minorHAnsi"/>
                <w:i/>
                <w:noProof/>
                <w:sz w:val="22"/>
                <w:szCs w:val="22"/>
                <w:rtl/>
                <w:lang w:bidi="ar-LB"/>
              </w:rPr>
              <w:t>البراءة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09" w:history="1">
            <w:r w:rsidR="00726E12" w:rsidRPr="00726E12">
              <w:rPr>
                <w:rStyle w:val="Hyperlink"/>
                <w:rFonts w:asciiTheme="minorHAnsi" w:hAnsiTheme="minorHAnsi" w:cstheme="minorHAnsi"/>
                <w:i/>
                <w:noProof/>
                <w:sz w:val="22"/>
                <w:szCs w:val="22"/>
                <w:rtl/>
                <w:lang w:bidi="ar-LB"/>
              </w:rPr>
              <w:t>الوقاية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0" w:history="1">
            <w:r w:rsidR="00726E12" w:rsidRPr="00726E12">
              <w:rPr>
                <w:rStyle w:val="Hyperlink"/>
                <w:rFonts w:asciiTheme="minorHAnsi" w:hAnsiTheme="minorHAnsi" w:cstheme="minorHAnsi"/>
                <w:i/>
                <w:noProof/>
                <w:sz w:val="22"/>
                <w:szCs w:val="22"/>
                <w:rtl/>
                <w:lang w:bidi="ar-LB"/>
              </w:rPr>
              <w:t>الموافقة المسبقة المستنيرة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1" w:history="1">
            <w:r w:rsidR="00726E12" w:rsidRPr="00726E12">
              <w:rPr>
                <w:rStyle w:val="Hyperlink"/>
                <w:rFonts w:asciiTheme="minorHAnsi" w:hAnsiTheme="minorHAnsi" w:cstheme="minorHAnsi"/>
                <w:i/>
                <w:noProof/>
                <w:sz w:val="22"/>
                <w:szCs w:val="22"/>
                <w:rtl/>
                <w:lang w:bidi="ar-LB"/>
              </w:rPr>
              <w:t>حالة التقنية الصناعية السابقة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28</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2" w:history="1">
            <w:r w:rsidR="00726E12" w:rsidRPr="00726E12">
              <w:rPr>
                <w:rStyle w:val="Hyperlink"/>
                <w:rFonts w:asciiTheme="minorHAnsi" w:hAnsiTheme="minorHAnsi" w:cstheme="minorHAnsi"/>
                <w:i/>
                <w:noProof/>
                <w:sz w:val="22"/>
                <w:szCs w:val="22"/>
                <w:rtl/>
                <w:lang w:bidi="ar-LB"/>
              </w:rPr>
              <w:t>الحماية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3" w:history="1">
            <w:r w:rsidR="00726E12" w:rsidRPr="00726E12">
              <w:rPr>
                <w:rStyle w:val="Hyperlink"/>
                <w:rFonts w:asciiTheme="minorHAnsi" w:hAnsiTheme="minorHAnsi" w:cstheme="minorHAnsi"/>
                <w:i/>
                <w:noProof/>
                <w:sz w:val="22"/>
                <w:szCs w:val="22"/>
                <w:rtl/>
                <w:lang w:bidi="ar-LB"/>
              </w:rPr>
              <w:t>الميثاق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4" w:history="1">
            <w:r w:rsidR="00726E12" w:rsidRPr="00726E12">
              <w:rPr>
                <w:rStyle w:val="Hyperlink"/>
                <w:rFonts w:asciiTheme="minorHAnsi" w:hAnsiTheme="minorHAnsi" w:cstheme="minorHAnsi"/>
                <w:i/>
                <w:noProof/>
                <w:sz w:val="22"/>
                <w:szCs w:val="22"/>
                <w:rtl/>
                <w:lang w:bidi="ar-LB"/>
              </w:rPr>
              <w:t>مورّدو الموارد الوراثية ومتلقوها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5" w:history="1">
            <w:r w:rsidR="00726E12" w:rsidRPr="00726E12">
              <w:rPr>
                <w:rStyle w:val="Hyperlink"/>
                <w:rFonts w:asciiTheme="minorHAnsi" w:hAnsiTheme="minorHAnsi" w:cstheme="minorHAnsi"/>
                <w:i/>
                <w:noProof/>
                <w:sz w:val="22"/>
                <w:szCs w:val="22"/>
                <w:rtl/>
                <w:lang w:bidi="ar-LB"/>
              </w:rPr>
              <w:t>الملك العام</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6" w:history="1">
            <w:r w:rsidR="00726E12" w:rsidRPr="00726E12">
              <w:rPr>
                <w:rStyle w:val="Hyperlink"/>
                <w:rFonts w:asciiTheme="minorHAnsi" w:hAnsiTheme="minorHAnsi" w:cstheme="minorHAnsi"/>
                <w:i/>
                <w:noProof/>
                <w:sz w:val="22"/>
                <w:szCs w:val="22"/>
                <w:rtl/>
                <w:lang w:bidi="ar-LB"/>
              </w:rPr>
              <w:t>متاح للجمهور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7" w:history="1">
            <w:r w:rsidR="00726E12" w:rsidRPr="00726E12">
              <w:rPr>
                <w:rStyle w:val="Hyperlink"/>
                <w:rFonts w:asciiTheme="minorHAnsi" w:hAnsiTheme="minorHAnsi" w:cstheme="minorHAnsi"/>
                <w:i/>
                <w:noProof/>
                <w:sz w:val="22"/>
                <w:szCs w:val="22"/>
                <w:rtl/>
                <w:lang w:bidi="ar-LB"/>
              </w:rPr>
              <w:t>سجلات 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30</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8" w:history="1">
            <w:r w:rsidR="00726E12" w:rsidRPr="00726E12">
              <w:rPr>
                <w:rStyle w:val="Hyperlink"/>
                <w:rFonts w:asciiTheme="minorHAnsi" w:hAnsiTheme="minorHAnsi" w:cstheme="minorHAnsi"/>
                <w:i/>
                <w:noProof/>
                <w:sz w:val="22"/>
                <w:szCs w:val="22"/>
                <w:rtl/>
                <w:lang w:bidi="ar-LB"/>
              </w:rPr>
              <w:t>السمعة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19" w:history="1">
            <w:r w:rsidR="00726E12" w:rsidRPr="00726E12">
              <w:rPr>
                <w:rStyle w:val="Hyperlink"/>
                <w:rFonts w:asciiTheme="minorHAnsi" w:hAnsiTheme="minorHAnsi" w:cstheme="minorHAnsi"/>
                <w:i/>
                <w:noProof/>
                <w:sz w:val="22"/>
                <w:szCs w:val="22"/>
                <w:rtl/>
                <w:lang w:bidi="ar-LB"/>
              </w:rPr>
              <w:t>مقدس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31</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0" w:history="1">
            <w:r w:rsidR="00726E12" w:rsidRPr="00726E12">
              <w:rPr>
                <w:rStyle w:val="Hyperlink"/>
                <w:rFonts w:asciiTheme="minorHAnsi" w:hAnsiTheme="minorHAnsi" w:cstheme="minorHAnsi"/>
                <w:i/>
                <w:noProof/>
                <w:sz w:val="22"/>
                <w:szCs w:val="22"/>
                <w:rtl/>
                <w:lang w:bidi="ar-LB"/>
              </w:rPr>
              <w:t>الصون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1" w:history="1">
            <w:r w:rsidR="00726E12" w:rsidRPr="00726E12">
              <w:rPr>
                <w:rStyle w:val="Hyperlink"/>
                <w:rFonts w:asciiTheme="minorHAnsi" w:hAnsiTheme="minorHAnsi" w:cstheme="minorHAnsi"/>
                <w:i/>
                <w:noProof/>
                <w:sz w:val="22"/>
                <w:szCs w:val="22"/>
                <w:rtl/>
                <w:lang w:bidi="ar-LB"/>
              </w:rPr>
              <w:t>السر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2" w:history="1">
            <w:r w:rsidR="00726E12" w:rsidRPr="00726E12">
              <w:rPr>
                <w:rStyle w:val="Hyperlink"/>
                <w:rFonts w:asciiTheme="minorHAnsi" w:hAnsiTheme="minorHAnsi" w:cstheme="minorHAnsi"/>
                <w:i/>
                <w:noProof/>
                <w:sz w:val="22"/>
                <w:szCs w:val="22"/>
                <w:rtl/>
                <w:lang w:bidi="ar-LB"/>
              </w:rPr>
              <w:t>مصادر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3" w:history="1">
            <w:r w:rsidR="00726E12" w:rsidRPr="00726E12">
              <w:rPr>
                <w:rStyle w:val="Hyperlink"/>
                <w:rFonts w:asciiTheme="minorHAnsi" w:hAnsiTheme="minorHAnsi" w:cstheme="minorHAnsi"/>
                <w:i/>
                <w:noProof/>
                <w:sz w:val="22"/>
                <w:szCs w:val="22"/>
                <w:rtl/>
                <w:lang w:bidi="ar-LB"/>
              </w:rPr>
              <w:t>نظام خاص (</w:t>
            </w:r>
            <w:r w:rsidR="00726E12" w:rsidRPr="00726E12">
              <w:rPr>
                <w:rStyle w:val="Hyperlink"/>
                <w:rFonts w:asciiTheme="minorHAnsi" w:hAnsiTheme="minorHAnsi" w:cstheme="minorHAnsi"/>
                <w:i/>
                <w:noProof/>
                <w:sz w:val="22"/>
                <w:szCs w:val="22"/>
                <w:lang w:val="fr-CH"/>
              </w:rPr>
              <w:t>sui generis</w:t>
            </w:r>
            <w:r w:rsidR="00726E12" w:rsidRPr="00726E12">
              <w:rPr>
                <w:rStyle w:val="Hyperlink"/>
                <w:rFonts w:asciiTheme="minorHAnsi" w:hAnsiTheme="minorHAnsi" w:cstheme="minorHAnsi"/>
                <w:i/>
                <w:noProof/>
                <w:sz w:val="22"/>
                <w:szCs w:val="22"/>
                <w:rtl/>
                <w:lang w:bidi="ar-LB"/>
              </w:rPr>
              <w:t>)</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4" w:history="1">
            <w:r w:rsidR="00726E12" w:rsidRPr="00726E12">
              <w:rPr>
                <w:rStyle w:val="Hyperlink"/>
                <w:rFonts w:asciiTheme="minorHAnsi" w:hAnsiTheme="minorHAnsi" w:cstheme="minorHAnsi"/>
                <w:i/>
                <w:noProof/>
                <w:sz w:val="22"/>
                <w:szCs w:val="22"/>
                <w:rtl/>
                <w:lang w:bidi="ar-LB"/>
              </w:rPr>
              <w:t>بروتوكول سواكوبماند لحماية المعارف التقليدية وأشكال التعبير الفولكلوري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5" w:history="1">
            <w:r w:rsidR="00726E12" w:rsidRPr="00726E12">
              <w:rPr>
                <w:rStyle w:val="Hyperlink"/>
                <w:rFonts w:asciiTheme="minorHAnsi" w:hAnsiTheme="minorHAnsi" w:cstheme="minorHAnsi"/>
                <w:i/>
                <w:noProof/>
                <w:sz w:val="22"/>
                <w:szCs w:val="22"/>
                <w:rtl/>
                <w:lang w:bidi="ar-LB"/>
              </w:rPr>
              <w:t>أشكال التعبير الملموس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6" w:history="1">
            <w:r w:rsidR="00726E12" w:rsidRPr="00726E12">
              <w:rPr>
                <w:rStyle w:val="Hyperlink"/>
                <w:rFonts w:asciiTheme="minorHAnsi" w:hAnsiTheme="minorHAnsi" w:cstheme="minorHAnsi"/>
                <w:i/>
                <w:noProof/>
                <w:sz w:val="22"/>
                <w:szCs w:val="22"/>
                <w:rtl/>
                <w:lang w:bidi="ar-LB"/>
              </w:rPr>
              <w:t>السياق التقليدي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7" w:history="1">
            <w:r w:rsidR="00726E12" w:rsidRPr="00726E12">
              <w:rPr>
                <w:rStyle w:val="Hyperlink"/>
                <w:rFonts w:asciiTheme="minorHAnsi" w:hAnsiTheme="minorHAnsi" w:cstheme="minorHAnsi"/>
                <w:i/>
                <w:noProof/>
                <w:sz w:val="22"/>
                <w:szCs w:val="22"/>
                <w:rtl/>
                <w:lang w:bidi="ar-LB"/>
              </w:rPr>
              <w:t>أشكال التعبير الثقافي التقليدي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8" w:history="1">
            <w:r w:rsidR="00726E12" w:rsidRPr="00726E12">
              <w:rPr>
                <w:rStyle w:val="Hyperlink"/>
                <w:rFonts w:asciiTheme="minorHAnsi" w:hAnsiTheme="minorHAnsi" w:cstheme="minorHAnsi"/>
                <w:i/>
                <w:noProof/>
                <w:sz w:val="22"/>
                <w:szCs w:val="22"/>
                <w:rtl/>
                <w:lang w:bidi="ar-LB"/>
              </w:rPr>
              <w:t>الثقافات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29" w:history="1">
            <w:r w:rsidR="00726E12" w:rsidRPr="00726E12">
              <w:rPr>
                <w:rStyle w:val="Hyperlink"/>
                <w:rFonts w:asciiTheme="minorHAnsi" w:hAnsiTheme="minorHAnsi" w:cstheme="minorHAnsi"/>
                <w:i/>
                <w:noProof/>
                <w:sz w:val="22"/>
                <w:szCs w:val="22"/>
                <w:rtl/>
                <w:lang w:bidi="ar-LB"/>
              </w:rPr>
              <w:t>المعارف الإيكولوجية التقليدية/المعارف البيئية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0" w:history="1">
            <w:r w:rsidR="00726E12" w:rsidRPr="00726E12">
              <w:rPr>
                <w:rStyle w:val="Hyperlink"/>
                <w:rFonts w:asciiTheme="minorHAnsi" w:hAnsiTheme="minorHAnsi" w:cstheme="minorHAnsi"/>
                <w:i/>
                <w:noProof/>
                <w:sz w:val="22"/>
                <w:szCs w:val="22"/>
                <w:rtl/>
                <w:lang w:bidi="ar-LB"/>
              </w:rPr>
              <w:t>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1" w:history="1">
            <w:r w:rsidR="00726E12" w:rsidRPr="00726E12">
              <w:rPr>
                <w:rStyle w:val="Hyperlink"/>
                <w:rFonts w:asciiTheme="minorHAnsi" w:hAnsiTheme="minorHAnsi" w:cstheme="minorHAnsi"/>
                <w:i/>
                <w:noProof/>
                <w:sz w:val="22"/>
                <w:szCs w:val="22"/>
                <w:rtl/>
                <w:lang w:bidi="ar-LB"/>
              </w:rPr>
              <w:t>المكتبة الرقمية للمعارف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2" w:history="1">
            <w:r w:rsidR="00726E12" w:rsidRPr="00726E12">
              <w:rPr>
                <w:rStyle w:val="Hyperlink"/>
                <w:rFonts w:asciiTheme="minorHAnsi" w:hAnsiTheme="minorHAnsi" w:cstheme="minorHAnsi"/>
                <w:i/>
                <w:noProof/>
                <w:sz w:val="22"/>
                <w:szCs w:val="22"/>
                <w:rtl/>
              </w:rPr>
              <w:t>تصنيف موارد المعارف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3" w:history="1">
            <w:r w:rsidR="00726E12" w:rsidRPr="00726E12">
              <w:rPr>
                <w:rStyle w:val="Hyperlink"/>
                <w:rFonts w:asciiTheme="minorHAnsi" w:hAnsiTheme="minorHAnsi" w:cstheme="minorHAnsi"/>
                <w:i/>
                <w:noProof/>
                <w:sz w:val="22"/>
                <w:szCs w:val="22"/>
                <w:rtl/>
                <w:lang w:bidi="ar-LB"/>
              </w:rPr>
              <w:t>الطب الشعبي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4" w:history="1">
            <w:r w:rsidR="00726E12" w:rsidRPr="00726E12">
              <w:rPr>
                <w:rStyle w:val="Hyperlink"/>
                <w:rFonts w:asciiTheme="minorHAnsi" w:hAnsiTheme="minorHAnsi" w:cstheme="minorHAnsi"/>
                <w:i/>
                <w:noProof/>
                <w:sz w:val="22"/>
                <w:szCs w:val="22"/>
                <w:rtl/>
                <w:lang w:bidi="ar-LB"/>
              </w:rPr>
              <w:t>الابتكار أو الإبداع القائم على التقاليد</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5" w:history="1">
            <w:r w:rsidR="00726E12" w:rsidRPr="00726E12">
              <w:rPr>
                <w:rStyle w:val="Hyperlink"/>
                <w:rFonts w:asciiTheme="minorHAnsi" w:hAnsiTheme="minorHAnsi" w:cstheme="minorHAnsi"/>
                <w:i/>
                <w:noProof/>
                <w:sz w:val="22"/>
                <w:szCs w:val="22"/>
                <w:rtl/>
                <w:lang w:bidi="ar-LB"/>
              </w:rPr>
              <w:t>اتفاقية اليونسكو المتعلقة بالتدابير الواجب اتخاذها لحظر ومنع استيراد وتصدير ونقل ملكية الممتلكات الثقافية بطرق غير مشروعة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6" w:history="1">
            <w:r w:rsidR="00726E12" w:rsidRPr="00726E12">
              <w:rPr>
                <w:rStyle w:val="Hyperlink"/>
                <w:rFonts w:asciiTheme="minorHAnsi" w:hAnsiTheme="minorHAnsi" w:cstheme="minorHAnsi"/>
                <w:i/>
                <w:noProof/>
                <w:sz w:val="22"/>
                <w:szCs w:val="22"/>
                <w:rtl/>
                <w:lang w:bidi="ar-LB"/>
              </w:rPr>
              <w:t>اتفاقية اليونسكو بشأن حماية وتعزيز تنوع أشكال التعبير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7" w:history="1">
            <w:r w:rsidR="00726E12" w:rsidRPr="00726E12">
              <w:rPr>
                <w:rStyle w:val="Hyperlink"/>
                <w:rFonts w:asciiTheme="minorHAnsi" w:hAnsiTheme="minorHAnsi" w:cstheme="minorHAnsi"/>
                <w:i/>
                <w:noProof/>
                <w:sz w:val="22"/>
                <w:szCs w:val="22"/>
                <w:rtl/>
              </w:rPr>
              <w:t>اتفاقية اليونسكو لصون التراث</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8" w:history="1">
            <w:r w:rsidR="00726E12" w:rsidRPr="00726E12">
              <w:rPr>
                <w:rStyle w:val="Hyperlink"/>
                <w:rFonts w:asciiTheme="minorHAnsi" w:hAnsiTheme="minorHAnsi" w:cstheme="minorHAnsi"/>
                <w:i/>
                <w:noProof/>
                <w:sz w:val="22"/>
                <w:szCs w:val="22"/>
                <w:rtl/>
              </w:rPr>
              <w:t>المنافسة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39" w:history="1">
            <w:r w:rsidR="00726E12" w:rsidRPr="00726E12">
              <w:rPr>
                <w:rStyle w:val="Hyperlink"/>
                <w:rFonts w:asciiTheme="minorHAnsi" w:hAnsiTheme="minorHAnsi" w:cstheme="minorHAnsi"/>
                <w:i/>
                <w:noProof/>
                <w:sz w:val="22"/>
                <w:szCs w:val="22"/>
                <w:rtl/>
                <w:lang w:bidi="ar-LB"/>
              </w:rPr>
              <w:t>إعلان الأمم المتحدة بشأن حقوق 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40" w:history="1">
            <w:r w:rsidR="00726E12" w:rsidRPr="00726E12">
              <w:rPr>
                <w:rStyle w:val="Hyperlink"/>
                <w:rFonts w:asciiTheme="minorHAnsi" w:hAnsiTheme="minorHAnsi" w:cstheme="minorHAnsi"/>
                <w:i/>
                <w:noProof/>
                <w:sz w:val="22"/>
                <w:szCs w:val="22"/>
                <w:rtl/>
                <w:lang w:bidi="ar-LB"/>
              </w:rPr>
              <w:t>الإعلان العالمي لحقوق الإنسان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41" w:history="1">
            <w:r w:rsidR="00726E12" w:rsidRPr="00726E12">
              <w:rPr>
                <w:rStyle w:val="Hyperlink"/>
                <w:rFonts w:asciiTheme="minorHAnsi" w:hAnsiTheme="minorHAnsi" w:cstheme="minorHAnsi"/>
                <w:i/>
                <w:noProof/>
                <w:sz w:val="22"/>
                <w:szCs w:val="22"/>
                <w:rtl/>
                <w:lang w:bidi="ar-LB"/>
              </w:rPr>
              <w:t>استخدام أشكال التعبير الثقافي التقليدي/المعارف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42" w:history="1">
            <w:r w:rsidR="00726E12" w:rsidRPr="00726E12">
              <w:rPr>
                <w:rStyle w:val="Hyperlink"/>
                <w:rFonts w:asciiTheme="minorHAnsi" w:hAnsiTheme="minorHAnsi" w:cstheme="minorHAnsi"/>
                <w:i/>
                <w:noProof/>
                <w:sz w:val="22"/>
                <w:szCs w:val="22"/>
                <w:rtl/>
                <w:lang w:bidi="ar-LB"/>
              </w:rPr>
              <w:t>الاستعمال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26E12" w:rsidRPr="00726E12" w:rsidRDefault="00072B49" w:rsidP="00726E12">
          <w:pPr>
            <w:pStyle w:val="TOC2"/>
            <w:spacing w:after="0"/>
            <w:rPr>
              <w:rFonts w:asciiTheme="minorHAnsi" w:eastAsiaTheme="minorEastAsia" w:hAnsiTheme="minorHAnsi" w:cstheme="minorHAnsi"/>
              <w:noProof/>
              <w:sz w:val="22"/>
              <w:szCs w:val="22"/>
            </w:rPr>
          </w:pPr>
          <w:hyperlink w:anchor="_Toc109824643" w:history="1">
            <w:r w:rsidR="00726E12" w:rsidRPr="00726E12">
              <w:rPr>
                <w:rStyle w:val="Hyperlink"/>
                <w:rFonts w:asciiTheme="minorHAnsi" w:hAnsiTheme="minorHAnsi" w:cstheme="minorHAnsi"/>
                <w:i/>
                <w:noProof/>
                <w:sz w:val="22"/>
                <w:szCs w:val="22"/>
                <w:rtl/>
                <w:lang w:bidi="ar-LB"/>
              </w:rPr>
              <w:t>مجموعة أدوات الويبو لتوثيق المعارف التقليدية (توثيق المعارف التقليدية – مجموعة أدوات)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26E12" w:rsidRDefault="00072B49" w:rsidP="00726E12">
          <w:pPr>
            <w:pStyle w:val="TOC2"/>
            <w:spacing w:after="0"/>
            <w:rPr>
              <w:rFonts w:asciiTheme="minorHAnsi" w:eastAsiaTheme="minorEastAsia" w:hAnsiTheme="minorHAnsi" w:cstheme="minorBidi"/>
              <w:noProof/>
              <w:sz w:val="22"/>
              <w:szCs w:val="22"/>
            </w:rPr>
          </w:pPr>
          <w:hyperlink w:anchor="_Toc109824644" w:history="1">
            <w:r w:rsidR="00726E12" w:rsidRPr="00726E12">
              <w:rPr>
                <w:rStyle w:val="Hyperlink"/>
                <w:rFonts w:asciiTheme="minorHAnsi" w:hAnsiTheme="minorHAnsi" w:cstheme="minorHAnsi"/>
                <w:i/>
                <w:noProof/>
                <w:sz w:val="22"/>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680448">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C1431" w:rsidRDefault="00EE277B" w:rsidP="007C1431">
          <w:pPr>
            <w:rPr>
              <w:b/>
              <w:bCs/>
              <w:noProof/>
              <w:rtl/>
            </w:rPr>
          </w:pPr>
          <w:r>
            <w:rPr>
              <w:b/>
              <w:bCs/>
              <w:noProof/>
            </w:rPr>
            <w:fldChar w:fldCharType="end"/>
          </w:r>
        </w:p>
      </w:sdtContent>
    </w:sdt>
    <w:p w:rsidR="0080684F" w:rsidRPr="0080684F" w:rsidRDefault="0080684F" w:rsidP="0080684F">
      <w:pPr>
        <w:pStyle w:val="BodyText"/>
        <w:rPr>
          <w:rtl/>
          <w:lang w:bidi="ar-EG"/>
        </w:rPr>
      </w:pPr>
      <w:bookmarkStart w:id="30" w:name="_GoBack"/>
      <w:bookmarkEnd w:id="30"/>
      <w:r w:rsidRPr="0080684F">
        <w:rPr>
          <w:rtl/>
        </w:rPr>
        <w:br w:type="page"/>
      </w:r>
    </w:p>
    <w:p w:rsidR="0080684F" w:rsidRPr="0080684F" w:rsidRDefault="0080684F" w:rsidP="0080684F">
      <w:pPr>
        <w:pStyle w:val="Heading2"/>
        <w:spacing w:after="240"/>
        <w:rPr>
          <w:i/>
          <w:iCs w:val="0"/>
          <w:szCs w:val="22"/>
          <w:rtl/>
          <w:lang w:bidi="ar-LB"/>
        </w:rPr>
      </w:pPr>
      <w:bookmarkStart w:id="31" w:name="_Toc109824534"/>
      <w:r w:rsidRPr="0080684F">
        <w:rPr>
          <w:i/>
          <w:iCs w:val="0"/>
          <w:szCs w:val="22"/>
          <w:rtl/>
          <w:lang w:bidi="ar-LB"/>
        </w:rPr>
        <w:lastRenderedPageBreak/>
        <w:t>النفاذ وتقاسم المنافع</w:t>
      </w:r>
      <w:bookmarkEnd w:id="31"/>
    </w:p>
    <w:p w:rsidR="0080684F" w:rsidRPr="0080684F" w:rsidRDefault="0080684F" w:rsidP="0080684F">
      <w:pPr>
        <w:pStyle w:val="BodyText"/>
        <w:rPr>
          <w:rtl/>
          <w:lang w:bidi="ar-LB"/>
        </w:rPr>
      </w:pPr>
      <w:r w:rsidRPr="0080684F">
        <w:rPr>
          <w:rFonts w:hint="cs"/>
          <w:rtl/>
          <w:lang w:bidi="ar-EG"/>
        </w:rPr>
        <w:t xml:space="preserve">تنص المادة 1 من </w:t>
      </w:r>
      <w:r w:rsidRPr="0080684F">
        <w:rPr>
          <w:rFonts w:hint="cs"/>
          <w:i/>
          <w:iCs/>
          <w:rtl/>
          <w:lang w:bidi="ar-LB"/>
        </w:rPr>
        <w:t>اتفاقية التنوع البيولوجي</w:t>
      </w:r>
      <w:r w:rsidR="00EE277B">
        <w:rPr>
          <w:rFonts w:hint="cs"/>
          <w:rtl/>
          <w:lang w:bidi="ar-LB"/>
        </w:rPr>
        <w:t xml:space="preserve"> (1992) </w:t>
      </w:r>
      <w:r w:rsidRPr="0080684F">
        <w:rPr>
          <w:rFonts w:hint="cs"/>
          <w:rtl/>
          <w:lang w:bidi="ar-LB"/>
        </w:rPr>
        <w:t>على "التقاسم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p>
    <w:p w:rsidR="0080684F" w:rsidRPr="0080684F" w:rsidRDefault="0080684F" w:rsidP="0080684F">
      <w:pPr>
        <w:pStyle w:val="BodyText"/>
        <w:rPr>
          <w:rtl/>
          <w:lang w:bidi="ar-LB"/>
        </w:rPr>
      </w:pPr>
      <w:r w:rsidRPr="0080684F">
        <w:rPr>
          <w:rFonts w:hint="cs"/>
          <w:rtl/>
          <w:lang w:bidi="ar-LB"/>
        </w:rPr>
        <w:t>ويرمي بروتوكول ناغويا بشأن الحصول على الموارد الجينية والتقاسم العادل والمنصف للمنافع الناشئة عن استخدامها الملحق باتفاقية التنوع البيولوجي (2010) إلى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ووفقا للمادة 3، "يسري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p>
    <w:p w:rsidR="0080684F" w:rsidRPr="0080684F" w:rsidRDefault="0080684F" w:rsidP="0080684F">
      <w:pPr>
        <w:pStyle w:val="BodyText"/>
        <w:rPr>
          <w:rtl/>
          <w:lang w:bidi="ar-LB"/>
        </w:rPr>
      </w:pPr>
      <w:r w:rsidRPr="0080684F">
        <w:rPr>
          <w:rFonts w:hint="cs"/>
          <w:rtl/>
          <w:lang w:bidi="ar-LB"/>
        </w:rPr>
        <w:t>وفيما يخص الموارد الوراثية النباتية للأغذية والزراعة، تنص المادة 1 من المعاهدة الدولية بشأن الموارد الوراثية النباتية للأغذية والزراعة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80684F" w:rsidRPr="0080684F" w:rsidRDefault="0080684F" w:rsidP="0080684F">
      <w:pPr>
        <w:pStyle w:val="BodyText"/>
        <w:rPr>
          <w:rtl/>
          <w:lang w:bidi="ar-LB"/>
        </w:rPr>
      </w:pPr>
      <w:r w:rsidRPr="0080684F">
        <w:rPr>
          <w:rFonts w:hint="cs"/>
          <w:rtl/>
          <w:lang w:bidi="ar-LB"/>
        </w:rPr>
        <w:t xml:space="preserve">وقد عُرّف "النفاذ" في المادة الأولى من قرار جماعة دول الأنديز رقم 391 </w:t>
      </w:r>
      <w:r w:rsidRPr="0080684F">
        <w:rPr>
          <w:rFonts w:hint="cs"/>
          <w:rtl/>
          <w:lang w:bidi="ar-EG"/>
        </w:rPr>
        <w:t xml:space="preserve">بشأن النفاذ إلى الموارد الوراثية (1996) </w:t>
      </w:r>
      <w:r w:rsidRPr="0080684F">
        <w:rPr>
          <w:rFonts w:hint="cs"/>
          <w:rtl/>
          <w:lang w:bidi="ar-LB"/>
        </w:rPr>
        <w:t>على أنه "الحصول على الموارد الوراثية المصانة في الوضع الطبيعي وخارجه والمنتجات المشتقة منها ومكوّناتها غير الملموسة، إن وجدت، واستخدامها لعدة أغراض منها البحث والاستكشاف البيولوجي والصون والتطبيق الصناعي والاستخدام التجاري".</w:t>
      </w:r>
    </w:p>
    <w:p w:rsidR="0080684F" w:rsidRPr="0080684F" w:rsidRDefault="0080684F" w:rsidP="0080684F">
      <w:pPr>
        <w:pStyle w:val="BodyText"/>
        <w:rPr>
          <w:rtl/>
          <w:lang w:bidi="ar-LB"/>
        </w:rPr>
      </w:pPr>
      <w:r w:rsidRPr="0080684F">
        <w:rPr>
          <w:rFonts w:hint="cs"/>
          <w:rtl/>
          <w:lang w:bidi="ar-LB"/>
        </w:rPr>
        <w:t>والمنافع المقصودة هنا قد تكون نقدية أو غير نقدية، وهي تشمل تلك الواردة في مرفق بروتوكول ناغويا</w:t>
      </w:r>
      <w:r w:rsidRPr="0080684F">
        <w:rPr>
          <w:rtl/>
          <w:lang w:bidi="ar-LB"/>
        </w:rPr>
        <w:footnoteReference w:id="4"/>
      </w:r>
      <w:r w:rsidRPr="0080684F">
        <w:rPr>
          <w:rFonts w:hint="cs"/>
          <w:rtl/>
          <w:lang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80684F">
        <w:rPr>
          <w:rtl/>
          <w:lang w:bidi="ar-LB"/>
        </w:rPr>
        <w:footnoteReference w:id="5"/>
      </w:r>
    </w:p>
    <w:p w:rsidR="0080684F" w:rsidRPr="0080684F" w:rsidRDefault="0080684F" w:rsidP="0080684F">
      <w:pPr>
        <w:pStyle w:val="Heading2"/>
        <w:spacing w:after="240"/>
        <w:rPr>
          <w:i/>
          <w:iCs w:val="0"/>
          <w:szCs w:val="22"/>
          <w:rtl/>
          <w:lang w:bidi="ar-LB"/>
        </w:rPr>
      </w:pPr>
      <w:bookmarkStart w:id="32" w:name="_Toc109824535"/>
      <w:r w:rsidRPr="0080684F">
        <w:rPr>
          <w:i/>
          <w:iCs w:val="0"/>
          <w:szCs w:val="22"/>
          <w:rtl/>
          <w:lang w:bidi="ar-LB"/>
        </w:rPr>
        <w:t>التحوير</w:t>
      </w:r>
      <w:bookmarkEnd w:id="32"/>
    </w:p>
    <w:p w:rsidR="0080684F" w:rsidRPr="0080684F" w:rsidRDefault="0080684F" w:rsidP="0080684F">
      <w:pPr>
        <w:pStyle w:val="BodyText"/>
        <w:rPr>
          <w:rtl/>
          <w:lang w:bidi="ar-LB"/>
        </w:rPr>
      </w:pPr>
      <w:r w:rsidRPr="0080684F">
        <w:rPr>
          <w:rFonts w:hint="cs"/>
          <w:rtl/>
          <w:lang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80684F">
        <w:rPr>
          <w:vertAlign w:val="superscript"/>
          <w:rtl/>
          <w:lang w:bidi="ar-LB"/>
        </w:rPr>
        <w:footnoteReference w:id="6"/>
      </w:r>
      <w:r w:rsidRPr="0080684F">
        <w:rPr>
          <w:rFonts w:hint="cs"/>
          <w:rtl/>
          <w:lang w:bidi="ar-LB"/>
        </w:rPr>
        <w:t xml:space="preserve"> وتنص المادة 12 من </w:t>
      </w:r>
      <w:r w:rsidRPr="0080684F">
        <w:rPr>
          <w:rFonts w:hint="cs"/>
          <w:i/>
          <w:iCs/>
          <w:rtl/>
          <w:lang w:bidi="ar-LB"/>
        </w:rPr>
        <w:t>اتفاقية برن لحماية المصنفات الأدبية والفنية</w:t>
      </w:r>
      <w:r w:rsidRPr="0080684F">
        <w:rPr>
          <w:rFonts w:hint="cs"/>
          <w:rtl/>
          <w:lang w:bidi="ar-LB"/>
        </w:rPr>
        <w:t xml:space="preserve"> (1971) على تمتع مؤلفي المصنفات الأدبية أو الفنية بحق استئثاري في التصريح بتحوير مصنفاتهم أو تعديلها أو إجراء أية تغييرات أخرى عليها. وحسب قاموس بلاكس لو (</w:t>
      </w:r>
      <w:r w:rsidRPr="0080684F">
        <w:rPr>
          <w:lang w:val="fr-CH"/>
        </w:rPr>
        <w:t>Black’s Law</w:t>
      </w:r>
      <w:r w:rsidRPr="0080684F">
        <w:rPr>
          <w:rFonts w:hint="cs"/>
          <w:rtl/>
          <w:lang w:bidi="ar-LB"/>
        </w:rPr>
        <w:t>)</w:t>
      </w:r>
      <w:r w:rsidRPr="0080684F">
        <w:rPr>
          <w:vertAlign w:val="superscript"/>
          <w:rtl/>
          <w:lang w:bidi="ar-LB"/>
        </w:rPr>
        <w:footnoteReference w:id="7"/>
      </w:r>
      <w:r w:rsidRPr="0080684F">
        <w:rPr>
          <w:rFonts w:hint="cs"/>
          <w:rtl/>
          <w:lang w:bidi="ar-LB"/>
        </w:rPr>
        <w:t>، فإن لأصحاب حق المؤلف الحق الاستئثاري في إعداد مصنفات مشتقة، أو إجراء عمليات تحوير، على أساس المصنف المحمي.</w:t>
      </w:r>
    </w:p>
    <w:p w:rsidR="0080684F" w:rsidRPr="0080684F" w:rsidRDefault="0080684F" w:rsidP="0080684F">
      <w:pPr>
        <w:pStyle w:val="Heading2"/>
        <w:spacing w:before="240" w:after="240"/>
        <w:rPr>
          <w:i/>
          <w:iCs w:val="0"/>
          <w:sz w:val="18"/>
          <w:szCs w:val="22"/>
          <w:rtl/>
          <w:lang w:bidi="ar-LB"/>
        </w:rPr>
      </w:pPr>
      <w:bookmarkStart w:id="33" w:name="_Toc109824536"/>
      <w:r w:rsidRPr="0080684F">
        <w:rPr>
          <w:i/>
          <w:iCs w:val="0"/>
          <w:sz w:val="18"/>
          <w:szCs w:val="22"/>
          <w:rtl/>
          <w:lang w:bidi="ar-LB"/>
        </w:rPr>
        <w:t>السبل البديلة لتسوية المنازعات</w:t>
      </w:r>
      <w:bookmarkEnd w:id="33"/>
    </w:p>
    <w:p w:rsidR="0080684F" w:rsidRPr="0080684F" w:rsidRDefault="0080684F" w:rsidP="0080684F">
      <w:pPr>
        <w:pStyle w:val="BodyText"/>
        <w:rPr>
          <w:rtl/>
          <w:lang w:bidi="ar-LB"/>
        </w:rPr>
      </w:pPr>
      <w:r w:rsidRPr="0080684F">
        <w:rPr>
          <w:rFonts w:hint="cs"/>
          <w:rtl/>
          <w:lang w:bidi="ar-LB"/>
        </w:rPr>
        <w:t xml:space="preserve">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w:t>
      </w:r>
      <w:r w:rsidRPr="0080684F">
        <w:rPr>
          <w:rFonts w:hint="cs"/>
          <w:rtl/>
          <w:lang w:bidi="ar-LB"/>
        </w:rPr>
        <w:lastRenderedPageBreak/>
        <w:t>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80684F">
        <w:rPr>
          <w:vertAlign w:val="superscript"/>
          <w:rtl/>
          <w:lang w:bidi="ar-LB"/>
        </w:rPr>
        <w:footnoteReference w:id="8"/>
      </w:r>
    </w:p>
    <w:p w:rsidR="0080684F" w:rsidRPr="00B34965" w:rsidRDefault="0080684F" w:rsidP="00B34965">
      <w:pPr>
        <w:pStyle w:val="Heading2"/>
        <w:spacing w:before="240" w:after="240"/>
        <w:rPr>
          <w:i/>
          <w:iCs w:val="0"/>
          <w:sz w:val="18"/>
          <w:szCs w:val="22"/>
          <w:rtl/>
          <w:lang w:bidi="ar-LB"/>
        </w:rPr>
      </w:pPr>
      <w:bookmarkStart w:id="34" w:name="_Toc109824537"/>
      <w:r w:rsidRPr="00B34965">
        <w:rPr>
          <w:i/>
          <w:iCs w:val="0"/>
          <w:sz w:val="18"/>
          <w:szCs w:val="22"/>
          <w:rtl/>
          <w:lang w:bidi="ar-LB"/>
        </w:rPr>
        <w:t>الموافقة والمشاركة</w:t>
      </w:r>
      <w:bookmarkEnd w:id="34"/>
    </w:p>
    <w:p w:rsidR="0080684F" w:rsidRPr="0080684F" w:rsidRDefault="0080684F" w:rsidP="0080684F">
      <w:pPr>
        <w:pStyle w:val="BodyText"/>
        <w:rPr>
          <w:rtl/>
          <w:lang w:bidi="ar-LB"/>
        </w:rPr>
      </w:pPr>
      <w:r w:rsidRPr="0080684F">
        <w:rPr>
          <w:rFonts w:hint="cs"/>
          <w:rtl/>
          <w:lang w:bidi="ar-LB"/>
        </w:rPr>
        <w:t xml:space="preserve">ما من تعريف مقبول دوليا لهذا المصطلح. وقد قيل في أحد السياقات إنه على الرغم من استخدام </w:t>
      </w:r>
      <w:r w:rsidRPr="0080684F">
        <w:rPr>
          <w:rFonts w:hint="cs"/>
          <w:i/>
          <w:iCs/>
          <w:rtl/>
          <w:lang w:bidi="ar-LB"/>
        </w:rPr>
        <w:t xml:space="preserve">اتفاقية التنوع البيولوجي </w:t>
      </w:r>
      <w:r w:rsidRPr="0080684F">
        <w:rPr>
          <w:rFonts w:hint="cs"/>
          <w:rtl/>
          <w:lang w:bidi="ar-LB"/>
        </w:rPr>
        <w:t>(1992) في المادة 8(ي) منها لعبارة "موافقة ومشاركة"، فقد فسرت قرارات مختلفة بشأن المادة 8(ي) هذا المصطلح مرارا وتكرار على أنه يعني "الموافقة المسبقة المستنيرة."</w:t>
      </w:r>
      <w:r w:rsidRPr="0080684F">
        <w:rPr>
          <w:vertAlign w:val="superscript"/>
          <w:rtl/>
          <w:lang w:bidi="ar-LB"/>
        </w:rPr>
        <w:footnoteReference w:id="9"/>
      </w:r>
    </w:p>
    <w:p w:rsidR="0080684F" w:rsidRPr="00B34965" w:rsidRDefault="0080684F" w:rsidP="00B34965">
      <w:pPr>
        <w:pStyle w:val="Heading2"/>
        <w:spacing w:before="240" w:after="240"/>
        <w:rPr>
          <w:i/>
          <w:iCs w:val="0"/>
          <w:sz w:val="18"/>
          <w:szCs w:val="22"/>
          <w:rtl/>
          <w:lang w:bidi="ar-LB"/>
        </w:rPr>
      </w:pPr>
      <w:bookmarkStart w:id="35" w:name="_Toc109824538"/>
      <w:r w:rsidRPr="00B34965">
        <w:rPr>
          <w:i/>
          <w:iCs w:val="0"/>
          <w:sz w:val="18"/>
          <w:szCs w:val="22"/>
          <w:rtl/>
          <w:lang w:bidi="ar-LB"/>
        </w:rPr>
        <w:t>المستفيدون</w:t>
      </w:r>
      <w:bookmarkEnd w:id="35"/>
    </w:p>
    <w:p w:rsidR="0080684F" w:rsidRPr="0080684F" w:rsidRDefault="0080684F" w:rsidP="0080684F">
      <w:pPr>
        <w:pStyle w:val="BodyText"/>
        <w:rPr>
          <w:rtl/>
          <w:lang w:bidi="ar-LB"/>
        </w:rPr>
      </w:pPr>
      <w:r w:rsidRPr="0080684F">
        <w:rPr>
          <w:rFonts w:hint="cs"/>
          <w:rtl/>
          <w:lang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80684F">
        <w:rPr>
          <w:vertAlign w:val="superscript"/>
          <w:rtl/>
          <w:lang w:bidi="ar-LB"/>
        </w:rPr>
        <w:footnoteReference w:id="10"/>
      </w:r>
    </w:p>
    <w:p w:rsidR="0080684F" w:rsidRPr="0080684F" w:rsidRDefault="0080684F" w:rsidP="0080684F">
      <w:pPr>
        <w:pStyle w:val="BodyText"/>
        <w:rPr>
          <w:rtl/>
          <w:lang w:bidi="ar-LB"/>
        </w:rPr>
      </w:pPr>
      <w:r w:rsidRPr="0080684F">
        <w:rPr>
          <w:rFonts w:hint="cs"/>
          <w:rtl/>
          <w:lang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بتوجيه ما يتأتى من منح الحقوق في استخدام المعارف التقليدية أو أشكال التعبير الثقافي التقليدي نحو البرامج المتعلقة بالتنمية التعليمية والمستدامة والتراث الوطني والرعاية الاجتماعية والثقافة.</w:t>
      </w:r>
    </w:p>
    <w:p w:rsidR="0080684F" w:rsidRPr="0080684F" w:rsidRDefault="0080684F" w:rsidP="0080684F">
      <w:pPr>
        <w:pStyle w:val="BodyText"/>
        <w:rPr>
          <w:rtl/>
          <w:lang w:bidi="ar-LB"/>
        </w:rPr>
      </w:pPr>
      <w:r w:rsidRPr="0080684F">
        <w:rPr>
          <w:rFonts w:hint="cs"/>
          <w:rtl/>
          <w:lang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80684F" w:rsidRPr="0080684F" w:rsidRDefault="0080684F" w:rsidP="00B34965">
      <w:pPr>
        <w:pStyle w:val="BodyText"/>
        <w:spacing w:before="240" w:after="240"/>
        <w:rPr>
          <w:b/>
          <w:bCs/>
          <w:rtl/>
          <w:lang w:bidi="ar-LB"/>
        </w:rPr>
      </w:pPr>
      <w:bookmarkStart w:id="36" w:name="_Toc109824539"/>
      <w:r w:rsidRPr="00B34965">
        <w:rPr>
          <w:rStyle w:val="Heading2Char"/>
          <w:i/>
          <w:iCs w:val="0"/>
          <w:sz w:val="18"/>
          <w:szCs w:val="22"/>
          <w:rtl/>
        </w:rPr>
        <w:t>التنوع</w:t>
      </w:r>
      <w:bookmarkEnd w:id="36"/>
      <w:r w:rsidRPr="00B34965">
        <w:rPr>
          <w:b/>
          <w:bCs/>
          <w:sz w:val="18"/>
          <w:szCs w:val="18"/>
          <w:rtl/>
          <w:lang w:bidi="ar-LB"/>
        </w:rPr>
        <w:t xml:space="preserve"> </w:t>
      </w:r>
      <w:r w:rsidRPr="0080684F">
        <w:rPr>
          <w:b/>
          <w:bCs/>
          <w:rtl/>
          <w:lang w:bidi="ar-LB"/>
        </w:rPr>
        <w:t>ا</w:t>
      </w:r>
      <w:r w:rsidRPr="00B34965">
        <w:rPr>
          <w:rStyle w:val="Heading2Char"/>
          <w:i/>
          <w:iCs w:val="0"/>
          <w:sz w:val="18"/>
          <w:szCs w:val="22"/>
          <w:rtl/>
        </w:rPr>
        <w:t>لبيولوجي</w:t>
      </w:r>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"التنوع البيولوجي" بأنه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80684F" w:rsidRPr="00B34965" w:rsidRDefault="0080684F" w:rsidP="00B34965">
      <w:pPr>
        <w:pStyle w:val="Heading2"/>
        <w:spacing w:before="240" w:after="240"/>
        <w:rPr>
          <w:i/>
          <w:iCs w:val="0"/>
          <w:sz w:val="18"/>
          <w:szCs w:val="22"/>
          <w:rtl/>
          <w:lang w:bidi="ar-LB"/>
        </w:rPr>
      </w:pPr>
      <w:bookmarkStart w:id="37" w:name="_Toc109824540"/>
      <w:r w:rsidRPr="00B34965">
        <w:rPr>
          <w:i/>
          <w:iCs w:val="0"/>
          <w:sz w:val="18"/>
          <w:szCs w:val="22"/>
          <w:rtl/>
          <w:lang w:bidi="ar-LB"/>
        </w:rPr>
        <w:t>الموارد البيولوجية</w:t>
      </w:r>
      <w:bookmarkEnd w:id="37"/>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الوارثية هي فئة من فئات الموارد البيولوجية.</w:t>
      </w:r>
    </w:p>
    <w:p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هذا المصطلح على أنه "الأفراد أو الكائنات أو أجزاء منها أو أية عشائر أو عناصر حيوانية أو نباتية مما يكون له قيمة أو استخدام حقيقي أو محتمل ويحتوي على مورد وراثي أو مشتقات منه".</w:t>
      </w:r>
    </w:p>
    <w:p w:rsidR="0080684F" w:rsidRPr="0080684F" w:rsidRDefault="0080684F" w:rsidP="0080684F">
      <w:pPr>
        <w:pStyle w:val="BodyText"/>
        <w:rPr>
          <w:rtl/>
          <w:lang w:bidi="ar-LB"/>
        </w:rPr>
      </w:pPr>
      <w:r w:rsidRPr="0080684F">
        <w:rPr>
          <w:rFonts w:hint="cs"/>
          <w:rtl/>
          <w:lang w:bidi="ar-LB"/>
        </w:rPr>
        <w:t xml:space="preserve">ولا تستخدم سائر الصكوك القانونية بشأن الملكية الفكرية مصطلح "المواد البيولوجية" ولا تشير إليه. بل يعرفه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(1998) على أنه "المادة التي تحتوي على المعلومات الوراثية والتي يمكن أن تستنسخ نفسها أو أن تُستنسخ في نظام بيولوجي".</w:t>
      </w:r>
    </w:p>
    <w:p w:rsidR="0080684F" w:rsidRPr="0080684F" w:rsidRDefault="0080684F" w:rsidP="0080684F">
      <w:pPr>
        <w:pStyle w:val="BodyText"/>
        <w:rPr>
          <w:rtl/>
          <w:lang w:bidi="ar-LB"/>
        </w:rPr>
      </w:pPr>
      <w:r w:rsidRPr="0080684F">
        <w:rPr>
          <w:rFonts w:hint="cs"/>
          <w:rtl/>
          <w:lang w:bidi="ar-LB"/>
        </w:rPr>
        <w:t xml:space="preserve">وطبقاً </w:t>
      </w:r>
      <w:r w:rsidRPr="0080684F">
        <w:rPr>
          <w:rFonts w:hint="cs"/>
          <w:i/>
          <w:iCs/>
          <w:rtl/>
          <w:lang w:bidi="ar-LB"/>
        </w:rPr>
        <w:t>لمدونة اللوائح التنظيمية الفيدرالية للولايات المتحدة</w:t>
      </w:r>
      <w:r w:rsidRPr="0080684F">
        <w:rPr>
          <w:rFonts w:hint="cs"/>
          <w:rtl/>
          <w:lang w:bidi="ar-LB"/>
        </w:rPr>
        <w:t>، ينبغي أن يتضمن هذا المصطلح عبارة "المادة القادرة على استنساخ نفسها بطريقة مباشرة أو غير مباشرة."</w:t>
      </w:r>
    </w:p>
    <w:p w:rsidR="0080684F" w:rsidRPr="0080684F" w:rsidRDefault="0080684F" w:rsidP="0080684F">
      <w:pPr>
        <w:pStyle w:val="BodyText"/>
        <w:rPr>
          <w:rtl/>
          <w:lang w:bidi="ar-LB"/>
        </w:rPr>
      </w:pPr>
      <w:r w:rsidRPr="0080684F">
        <w:rPr>
          <w:rFonts w:hint="cs"/>
          <w:rtl/>
          <w:lang w:bidi="ar-LB"/>
        </w:rPr>
        <w:lastRenderedPageBreak/>
        <w:t xml:space="preserve">وطبقاً للمادة 2 من </w:t>
      </w:r>
      <w:r w:rsidRPr="0080684F">
        <w:rPr>
          <w:rFonts w:hint="cs"/>
          <w:i/>
          <w:iCs/>
          <w:rtl/>
          <w:lang w:bidi="ar-LB"/>
        </w:rPr>
        <w:t>اتفاقية التنوع البيولوجي</w:t>
      </w:r>
      <w:r w:rsidRPr="0080684F">
        <w:rPr>
          <w:rFonts w:hint="cs"/>
          <w:rtl/>
          <w:lang w:bidi="ar-LB"/>
        </w:rPr>
        <w:t xml:space="preserve"> (1992)، تتضمن الموارد البيولوجية "الموارد الجينية، أو الكائنات أو أجزاء منها، أو أية عشائر أو عناصر حيوانية أو نباتية أخرى للنُظم الإيكولوجية تكون ذات قيمة فعلية أو محتملة للبشرية."</w:t>
      </w:r>
    </w:p>
    <w:p w:rsidR="0080684F" w:rsidRPr="00B34965" w:rsidRDefault="0080684F" w:rsidP="00B34965">
      <w:pPr>
        <w:pStyle w:val="Heading2"/>
        <w:spacing w:before="240" w:after="240"/>
        <w:rPr>
          <w:i/>
          <w:iCs w:val="0"/>
          <w:sz w:val="18"/>
          <w:szCs w:val="22"/>
          <w:rtl/>
          <w:lang w:bidi="ar-LB"/>
        </w:rPr>
      </w:pPr>
      <w:bookmarkStart w:id="38" w:name="_Toc109824541"/>
      <w:r w:rsidRPr="00B34965">
        <w:rPr>
          <w:i/>
          <w:iCs w:val="0"/>
          <w:sz w:val="18"/>
          <w:szCs w:val="22"/>
          <w:rtl/>
          <w:lang w:bidi="ar-LB"/>
        </w:rPr>
        <w:t>اختراعات البيوتكنولوجيا/التكنولوجيا الحيوية</w:t>
      </w:r>
      <w:bookmarkEnd w:id="38"/>
    </w:p>
    <w:p w:rsidR="0080684F" w:rsidRPr="0080684F" w:rsidRDefault="0080684F" w:rsidP="0080684F">
      <w:pPr>
        <w:pStyle w:val="BodyText"/>
        <w:rPr>
          <w:rtl/>
          <w:lang w:bidi="ar-LB"/>
        </w:rPr>
      </w:pPr>
      <w:r w:rsidRPr="0080684F">
        <w:rPr>
          <w:rFonts w:hint="cs"/>
          <w:rtl/>
          <w:lang w:bidi="ar-LB"/>
        </w:rPr>
        <w:t xml:space="preserve">يعرّف هذا المصطلح في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بوصفه "الاختراعات التي تتعلق بمنتج يتكون من مواد بيولوجية أو يحتوي عليها أو تتعلق بعملية تنتج من خلالها مادة بيولوجية أو تعالج أو تستخدم".</w:t>
      </w:r>
      <w:r w:rsidRPr="0080684F">
        <w:rPr>
          <w:vertAlign w:val="superscript"/>
          <w:rtl/>
          <w:lang w:bidi="ar-LB"/>
        </w:rPr>
        <w:footnoteReference w:id="11"/>
      </w:r>
      <w:r w:rsidRPr="0080684F">
        <w:rPr>
          <w:rFonts w:hint="cs"/>
          <w:rtl/>
          <w:lang w:bidi="ar-LB"/>
        </w:rPr>
        <w:t xml:space="preserve"> 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80684F">
        <w:rPr>
          <w:vertAlign w:val="superscript"/>
          <w:rtl/>
          <w:lang w:bidi="ar-LB"/>
        </w:rPr>
        <w:footnoteReference w:id="12"/>
      </w:r>
    </w:p>
    <w:p w:rsidR="0080684F" w:rsidRPr="00B34965" w:rsidRDefault="0080684F" w:rsidP="00B34965">
      <w:pPr>
        <w:pStyle w:val="Heading2"/>
        <w:spacing w:before="240" w:after="240"/>
        <w:rPr>
          <w:i/>
          <w:iCs w:val="0"/>
          <w:sz w:val="18"/>
          <w:szCs w:val="22"/>
          <w:rtl/>
          <w:lang w:bidi="ar-LB"/>
        </w:rPr>
      </w:pPr>
      <w:bookmarkStart w:id="39" w:name="_Toc109824542"/>
      <w:r w:rsidRPr="00B34965">
        <w:rPr>
          <w:i/>
          <w:iCs w:val="0"/>
          <w:sz w:val="18"/>
          <w:szCs w:val="22"/>
          <w:rtl/>
          <w:lang w:bidi="ar-LB"/>
        </w:rPr>
        <w:t>البيوتكنولوجيا/التكنولوجيا الحيوية/الأحيائية</w:t>
      </w:r>
      <w:bookmarkEnd w:id="39"/>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هذا المصطلح بوصفه "أية تطبيقات تكنولوجية تستخدم النظم البيولوجية أو الكائنات الحية أو مشتقاتها، لصنع أو تغيير المنتجات أو العمليات من أجل استخدامات معينة". ويستخدم</w:t>
      </w:r>
      <w:r w:rsidRPr="0080684F">
        <w:rPr>
          <w:rFonts w:hint="cs"/>
          <w:i/>
          <w:iCs/>
          <w:rtl/>
          <w:lang w:bidi="ar-LB"/>
        </w:rPr>
        <w:t xml:space="preserve"> 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التعريف نفسه في المادة 2.</w:t>
      </w:r>
    </w:p>
    <w:p w:rsidR="0080684F" w:rsidRPr="0080684F" w:rsidRDefault="0080684F" w:rsidP="0080684F">
      <w:pPr>
        <w:pStyle w:val="BodyText"/>
        <w:rPr>
          <w:rtl/>
          <w:lang w:bidi="ar-LB"/>
        </w:rPr>
      </w:pPr>
      <w:r w:rsidRPr="0080684F">
        <w:rPr>
          <w:rFonts w:hint="cs"/>
          <w:rtl/>
          <w:lang w:bidi="ar-LB"/>
        </w:rPr>
        <w:t>وترد في بيان منظمة الأغذية والزراعة (الفاو) 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80684F">
        <w:rPr>
          <w:lang w:val="fr-CH"/>
        </w:rPr>
        <w:t>DNA</w:t>
      </w:r>
      <w:r w:rsidRPr="0080684F">
        <w:rPr>
          <w:rFonts w:hint="cs"/>
          <w:rtl/>
          <w:lang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80684F">
        <w:rPr>
          <w:lang w:val="fr-CH"/>
        </w:rPr>
        <w:t>DNA</w:t>
      </w:r>
      <w:r w:rsidRPr="0080684F">
        <w:rPr>
          <w:rFonts w:hint="cs"/>
          <w:rtl/>
          <w:lang w:bidi="ar-LB"/>
        </w:rPr>
        <w:t>)، واستنساخ النباتات والحيوانات".</w:t>
      </w:r>
      <w:r w:rsidRPr="0080684F">
        <w:rPr>
          <w:vertAlign w:val="superscript"/>
          <w:rtl/>
          <w:lang w:bidi="ar-LB"/>
        </w:rPr>
        <w:footnoteReference w:id="13"/>
      </w:r>
    </w:p>
    <w:p w:rsidR="0080684F" w:rsidRPr="0080684F" w:rsidRDefault="0080684F" w:rsidP="0080684F">
      <w:pPr>
        <w:pStyle w:val="BodyText"/>
        <w:rPr>
          <w:rtl/>
          <w:lang w:bidi="ar-LB"/>
        </w:rPr>
      </w:pPr>
      <w:r w:rsidRPr="0080684F">
        <w:rPr>
          <w:rFonts w:hint="cs"/>
          <w:rtl/>
          <w:lang w:bidi="ar-LB"/>
        </w:rPr>
        <w:t xml:space="preserve">ويعرّف مصطلح "التكنولوجيا الأحيائية الحديثة" كذلك في المادة 3 من </w:t>
      </w:r>
      <w:r w:rsidRPr="0080684F">
        <w:rPr>
          <w:rFonts w:hint="cs"/>
          <w:i/>
          <w:iCs/>
          <w:rtl/>
          <w:lang w:bidi="ar-LB"/>
        </w:rPr>
        <w:t>بروتوكول قرطاجنة للسلامة الأحيائية التابع لاتفاقية التنوع البيولوجي</w:t>
      </w:r>
      <w:r w:rsidRPr="0080684F">
        <w:rPr>
          <w:rFonts w:hint="cs"/>
          <w:rtl/>
          <w:lang w:bidi="ar-LB"/>
        </w:rPr>
        <w:t>، المعتمد في سنة 2000، بوصفه "تطبيق (أ) تقنيات داخل أنابيب الاختبار للحامض النووي المؤتلف ريبوز منقوص الأوكسجين (</w:t>
      </w:r>
      <w:r w:rsidRPr="0080684F">
        <w:rPr>
          <w:lang w:val="fr-CH"/>
        </w:rPr>
        <w:t>DNA</w:t>
      </w:r>
      <w:r w:rsidRPr="0080684F">
        <w:rPr>
          <w:rFonts w:hint="cs"/>
          <w:rtl/>
          <w:lang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80684F" w:rsidRPr="0080684F" w:rsidRDefault="0080684F" w:rsidP="0080684F">
      <w:pPr>
        <w:pStyle w:val="BodyText"/>
        <w:rPr>
          <w:rtl/>
          <w:lang w:bidi="ar-LB"/>
        </w:rPr>
      </w:pPr>
      <w:r w:rsidRPr="0080684F">
        <w:rPr>
          <w:rFonts w:hint="cs"/>
          <w:rtl/>
          <w:lang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 تطبيق العلوم والتكنولوجيا على الكائنات الحية وعلى أجزائها ومنتجاتها ونماذجها، لتغيير المواد الحية وغير الحية بغية إنتاج معارف وسلع وخدمات"، وتورد المنظمة كذلك قائمة بتقنيات البيوتكنولوجيا التي تتضمن في جملة أمور مصطلح "الهندسة الوراثية"</w:t>
      </w:r>
      <w:r w:rsidRPr="0080684F">
        <w:rPr>
          <w:rFonts w:hint="cs"/>
          <w:lang w:val="fr-CH"/>
        </w:rPr>
        <w:t xml:space="preserve"> </w:t>
      </w:r>
      <w:r w:rsidRPr="0080684F">
        <w:rPr>
          <w:rFonts w:hint="cs"/>
          <w:rtl/>
          <w:lang w:bidi="ar-LB"/>
        </w:rPr>
        <w:t>ومصطلح "التخمير باستخدام المفاعلات البيولوجية" ومصطلح "العلاج بالجينات" ومصطلح "المعلومات البيولوجية" ومصطلح "النانوتكنولوجيا".</w:t>
      </w:r>
      <w:r w:rsidRPr="0080684F">
        <w:rPr>
          <w:vertAlign w:val="superscript"/>
          <w:rtl/>
          <w:lang w:bidi="ar-LB"/>
        </w:rPr>
        <w:footnoteReference w:id="14"/>
      </w:r>
    </w:p>
    <w:p w:rsidR="0080684F" w:rsidRPr="00B34965" w:rsidRDefault="0080684F" w:rsidP="00B34965">
      <w:pPr>
        <w:pStyle w:val="Heading2"/>
        <w:spacing w:before="240" w:after="240"/>
        <w:rPr>
          <w:i/>
          <w:iCs w:val="0"/>
          <w:sz w:val="18"/>
          <w:szCs w:val="22"/>
          <w:rtl/>
          <w:lang w:bidi="ar-LB"/>
        </w:rPr>
      </w:pPr>
      <w:bookmarkStart w:id="40" w:name="_Toc109824543"/>
      <w:r w:rsidRPr="00B34965">
        <w:rPr>
          <w:i/>
          <w:iCs w:val="0"/>
          <w:sz w:val="18"/>
          <w:szCs w:val="22"/>
          <w:rtl/>
          <w:lang w:bidi="ar-LB"/>
        </w:rPr>
        <w:t>خطوط بون التوجيهية بشأن التوصل إلى الموارد الجينية والتقاسم العادل والمنصف للمنافع الناشئة عن استعمالها</w:t>
      </w:r>
      <w:bookmarkEnd w:id="40"/>
    </w:p>
    <w:p w:rsidR="0080684F" w:rsidRPr="0080684F" w:rsidRDefault="0080684F" w:rsidP="0080684F">
      <w:pPr>
        <w:pStyle w:val="BodyText"/>
        <w:rPr>
          <w:rtl/>
          <w:lang w:bidi="ar-LB"/>
        </w:rPr>
      </w:pPr>
      <w:r w:rsidRPr="0080684F">
        <w:rPr>
          <w:rFonts w:hint="cs"/>
          <w:rtl/>
          <w:lang w:bidi="ar-LB"/>
        </w:rPr>
        <w:t xml:space="preserve">اعتمد مؤتمر الأطراف في </w:t>
      </w:r>
      <w:r w:rsidRPr="0080684F">
        <w:rPr>
          <w:rFonts w:hint="cs"/>
          <w:i/>
          <w:iCs/>
          <w:rtl/>
          <w:lang w:bidi="ar-LB"/>
        </w:rPr>
        <w:t>اتفاقية التنوع البيولوجي</w:t>
      </w:r>
      <w:r w:rsidRPr="0080684F">
        <w:rPr>
          <w:rFonts w:hint="cs"/>
          <w:rtl/>
          <w:lang w:bidi="ar-LB"/>
        </w:rPr>
        <w:t xml:space="preserve">، في سنة 2002، </w:t>
      </w:r>
      <w:r w:rsidRPr="0080684F">
        <w:rPr>
          <w:rFonts w:hint="cs"/>
          <w:i/>
          <w:iCs/>
          <w:rtl/>
          <w:lang w:bidi="ar-LB"/>
        </w:rPr>
        <w:t>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لتقديم التوجيهات فيما يتعلق بتنفيذ الأحكام المعنية الواردة في مواد الاتفاقية 8(ي) و10(ج) و15 و16 و19 المتعلقة بالنفاذ إلى الموارد الوراثية وتقاسم المنافع. وهذه الخطوط التوجيهية طوعية بطبيعتها وتستهدف طائفة من أصحاب المصالح.</w:t>
      </w:r>
      <w:r w:rsidRPr="0080684F">
        <w:rPr>
          <w:vertAlign w:val="superscript"/>
          <w:rtl/>
          <w:lang w:bidi="ar-LB"/>
        </w:rPr>
        <w:footnoteReference w:id="15"/>
      </w:r>
      <w:r w:rsidRPr="0080684F">
        <w:rPr>
          <w:rFonts w:hint="cs"/>
          <w:rtl/>
          <w:lang w:bidi="ar-LB"/>
        </w:rPr>
        <w:t xml:space="preserve"> وتغطي الجوانب الإجرائية والتنظيمية للموافقة المسبقة المستنيرة على وجه الخصوص وتحدد الأشكال النقدية وغير النقدية لتقاسم المنافع.</w:t>
      </w:r>
      <w:r w:rsidRPr="0080684F">
        <w:rPr>
          <w:vertAlign w:val="superscript"/>
          <w:rtl/>
          <w:lang w:bidi="ar-LB"/>
        </w:rPr>
        <w:footnoteReference w:id="16"/>
      </w:r>
    </w:p>
    <w:p w:rsidR="0080684F" w:rsidRPr="00B34965" w:rsidRDefault="0080684F" w:rsidP="00B34965">
      <w:pPr>
        <w:pStyle w:val="Heading2"/>
        <w:spacing w:before="240" w:after="240"/>
        <w:rPr>
          <w:i/>
          <w:iCs w:val="0"/>
          <w:sz w:val="18"/>
          <w:szCs w:val="22"/>
          <w:rtl/>
          <w:lang w:bidi="ar-LB"/>
        </w:rPr>
      </w:pPr>
      <w:bookmarkStart w:id="41" w:name="_Toc109824544"/>
      <w:r w:rsidRPr="00B34965">
        <w:rPr>
          <w:i/>
          <w:iCs w:val="0"/>
          <w:sz w:val="18"/>
          <w:szCs w:val="22"/>
          <w:rtl/>
          <w:lang w:bidi="ar-LB"/>
        </w:rPr>
        <w:lastRenderedPageBreak/>
        <w:t>آلية تبادل المعلومات/آلية المقاصة</w:t>
      </w:r>
      <w:bookmarkEnd w:id="41"/>
    </w:p>
    <w:p w:rsidR="0080684F" w:rsidRPr="0080684F" w:rsidRDefault="0080684F" w:rsidP="0080684F">
      <w:pPr>
        <w:pStyle w:val="BodyText"/>
        <w:rPr>
          <w:rtl/>
          <w:lang w:bidi="ar-LB"/>
        </w:rPr>
      </w:pPr>
      <w:r w:rsidRPr="0080684F">
        <w:rPr>
          <w:rFonts w:hint="cs"/>
          <w:rtl/>
          <w:lang w:bidi="ar-LB"/>
        </w:rPr>
        <w:t>وفق المسرد المستخدم في برنامج الأمم المتحدة للبيئة آلية، تشير آلية تبادل المعلومات،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80684F">
        <w:rPr>
          <w:vertAlign w:val="superscript"/>
          <w:rtl/>
          <w:lang w:bidi="ar-LB"/>
        </w:rPr>
        <w:footnoteReference w:id="17"/>
      </w:r>
    </w:p>
    <w:p w:rsidR="0080684F" w:rsidRPr="00B34965" w:rsidRDefault="0080684F" w:rsidP="00B34965">
      <w:pPr>
        <w:pStyle w:val="Heading2"/>
        <w:spacing w:before="240" w:after="240"/>
        <w:rPr>
          <w:i/>
          <w:iCs w:val="0"/>
          <w:sz w:val="18"/>
          <w:szCs w:val="22"/>
          <w:rtl/>
          <w:lang w:bidi="ar-LB"/>
        </w:rPr>
      </w:pPr>
      <w:bookmarkStart w:id="42" w:name="_Toc109824545"/>
      <w:r w:rsidRPr="00B34965">
        <w:rPr>
          <w:i/>
          <w:iCs w:val="0"/>
          <w:sz w:val="18"/>
          <w:szCs w:val="22"/>
          <w:rtl/>
          <w:lang w:bidi="ar-LB"/>
        </w:rPr>
        <w:t>المعارف التقليدية المقنّنة</w:t>
      </w:r>
      <w:bookmarkEnd w:id="42"/>
    </w:p>
    <w:p w:rsidR="0080684F" w:rsidRPr="0080684F" w:rsidRDefault="0080684F" w:rsidP="0080684F">
      <w:pPr>
        <w:pStyle w:val="BodyText"/>
        <w:rPr>
          <w:rtl/>
        </w:rPr>
      </w:pPr>
      <w:r w:rsidRPr="0080684F">
        <w:rPr>
          <w:rFonts w:hint="cs"/>
          <w:rtl/>
        </w:rPr>
        <w:t>المعارف التقليدية المقنّنة هي "المعارف التقليدية التي تتخذ إلى حد ما شكلا منهجيا ومنسقا تكون فيه المعارف مرتبة ومصنفة ومقسمة إلى فئات بطريقة معينة."</w:t>
      </w:r>
      <w:r w:rsidRPr="0080684F">
        <w:rPr>
          <w:vertAlign w:val="superscript"/>
          <w:rtl/>
        </w:rPr>
        <w:footnoteReference w:id="18"/>
      </w:r>
    </w:p>
    <w:p w:rsidR="0080684F" w:rsidRPr="0080684F" w:rsidRDefault="0080684F" w:rsidP="0080684F">
      <w:pPr>
        <w:pStyle w:val="BodyText"/>
        <w:rPr>
          <w:rtl/>
          <w:lang w:bidi="ar-LB"/>
        </w:rPr>
      </w:pPr>
      <w:r w:rsidRPr="0080684F">
        <w:rPr>
          <w:rFonts w:hint="cs"/>
          <w:rtl/>
          <w:lang w:bidi="ar-LB"/>
        </w:rPr>
        <w:t xml:space="preserve">وفي مجال الطب الشعبي مثلا يميّز الفريق المعني بالطب الشعبي في منظمة الصحة العالمية بين (أ) أنظمة الطب الشعبي </w:t>
      </w:r>
      <w:r w:rsidRPr="0080684F">
        <w:rPr>
          <w:rFonts w:hint="cs"/>
          <w:i/>
          <w:iCs/>
          <w:rtl/>
          <w:lang w:bidi="ar-LB"/>
        </w:rPr>
        <w:t>المقنّنة</w:t>
      </w:r>
      <w:r w:rsidRPr="0080684F">
        <w:rPr>
          <w:rFonts w:hint="cs"/>
          <w:rtl/>
          <w:lang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80684F">
        <w:rPr>
          <w:vertAlign w:val="superscript"/>
          <w:rtl/>
          <w:lang w:bidi="ar-LB"/>
        </w:rPr>
        <w:footnoteReference w:id="19"/>
      </w:r>
      <w:r w:rsidRPr="0080684F">
        <w:rPr>
          <w:rFonts w:hint="cs"/>
          <w:rtl/>
          <w:lang w:bidi="ar-LB"/>
        </w:rPr>
        <w:t xml:space="preserve"> أو الطب الشعبي الصيني المكشوف عنه في نصوص طبية صينية قديمة</w:t>
      </w:r>
      <w:r w:rsidRPr="0080684F">
        <w:rPr>
          <w:vertAlign w:val="superscript"/>
          <w:rtl/>
          <w:lang w:bidi="ar-LB"/>
        </w:rPr>
        <w:footnoteReference w:id="20"/>
      </w:r>
      <w:r w:rsidRPr="0080684F">
        <w:rPr>
          <w:rFonts w:hint="cs"/>
          <w:rtl/>
          <w:lang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80684F">
        <w:rPr>
          <w:vertAlign w:val="superscript"/>
          <w:rtl/>
          <w:lang w:bidi="ar-LB"/>
        </w:rPr>
        <w:footnoteReference w:id="21"/>
      </w:r>
    </w:p>
    <w:p w:rsidR="0080684F" w:rsidRPr="0080684F" w:rsidRDefault="0080684F" w:rsidP="0080684F">
      <w:pPr>
        <w:pStyle w:val="BodyText"/>
        <w:rPr>
          <w:rtl/>
          <w:lang w:bidi="ar-LB"/>
        </w:rPr>
      </w:pPr>
      <w:r w:rsidRPr="0080684F">
        <w:rPr>
          <w:rFonts w:hint="cs"/>
          <w:rtl/>
          <w:lang w:bidi="ar-LB"/>
        </w:rPr>
        <w:t>وثمة فرق آخر بين: "1" المعارف التقليدية التي قُنّنت، أي المعارف التقليدية التي تظهر في شكل مكتوب وآلت إلى الملك العام، "2" والمعارف التقليدية غير المقنّنة التي تعد جزءا من التقاليد الشفهية للجماعات الأصلية.</w:t>
      </w:r>
      <w:r w:rsidRPr="0080684F">
        <w:rPr>
          <w:vertAlign w:val="superscript"/>
          <w:rtl/>
          <w:lang w:bidi="ar-LB"/>
        </w:rPr>
        <w:footnoteReference w:id="22"/>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المقنّنة وغير المقنّنة.</w:t>
      </w:r>
    </w:p>
    <w:p w:rsidR="0080684F" w:rsidRPr="00B34965" w:rsidRDefault="0080684F" w:rsidP="00B34965">
      <w:pPr>
        <w:pStyle w:val="Heading2"/>
        <w:spacing w:before="240" w:after="240"/>
        <w:rPr>
          <w:i/>
          <w:iCs w:val="0"/>
          <w:sz w:val="18"/>
          <w:szCs w:val="22"/>
          <w:rtl/>
          <w:lang w:bidi="ar-LB"/>
        </w:rPr>
      </w:pPr>
      <w:bookmarkStart w:id="43" w:name="_Toc109824546"/>
      <w:r w:rsidRPr="00B34965">
        <w:rPr>
          <w:i/>
          <w:iCs w:val="0"/>
          <w:sz w:val="18"/>
          <w:szCs w:val="22"/>
          <w:rtl/>
          <w:lang w:bidi="ar-LB"/>
        </w:rPr>
        <w:t>التشاور</w:t>
      </w:r>
      <w:bookmarkEnd w:id="43"/>
    </w:p>
    <w:p w:rsidR="0080684F" w:rsidRPr="0080684F" w:rsidRDefault="0080684F" w:rsidP="0080684F">
      <w:pPr>
        <w:pStyle w:val="BodyText"/>
        <w:rPr>
          <w:rtl/>
          <w:lang w:bidi="ar-LB"/>
        </w:rPr>
      </w:pPr>
      <w:r w:rsidRPr="0080684F">
        <w:rPr>
          <w:rFonts w:hint="cs"/>
          <w:rtl/>
          <w:lang w:bidi="ar-LB"/>
        </w:rPr>
        <w:t>حسب قاموس بلاكس لو، فإن التشاور هو التماس نصيحة أو رأي شخص ما (مثل المحامي).</w:t>
      </w:r>
    </w:p>
    <w:p w:rsidR="0080684F" w:rsidRPr="0080684F" w:rsidRDefault="0080684F" w:rsidP="0080684F">
      <w:pPr>
        <w:pStyle w:val="BodyText"/>
        <w:rPr>
          <w:rtl/>
          <w:lang w:bidi="ar-LB"/>
        </w:rPr>
      </w:pPr>
      <w:r w:rsidRPr="0080684F">
        <w:rPr>
          <w:rFonts w:hint="cs"/>
          <w:rtl/>
          <w:lang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80684F">
        <w:rPr>
          <w:vertAlign w:val="superscript"/>
          <w:rtl/>
          <w:lang w:bidi="ar-LB"/>
        </w:rPr>
        <w:footnoteReference w:id="23"/>
      </w:r>
    </w:p>
    <w:p w:rsidR="0080684F" w:rsidRPr="0080684F" w:rsidRDefault="0080684F" w:rsidP="0080684F">
      <w:pPr>
        <w:pStyle w:val="BodyText"/>
        <w:rPr>
          <w:rtl/>
          <w:lang w:bidi="ar-LB"/>
        </w:rPr>
      </w:pPr>
      <w:r w:rsidRPr="0080684F">
        <w:rPr>
          <w:rFonts w:hint="cs"/>
          <w:rtl/>
          <w:lang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80684F" w:rsidRPr="00B34965" w:rsidRDefault="0080684F" w:rsidP="00B34965">
      <w:pPr>
        <w:pStyle w:val="Heading2"/>
        <w:spacing w:before="240" w:after="240"/>
        <w:rPr>
          <w:i/>
          <w:iCs w:val="0"/>
          <w:sz w:val="18"/>
          <w:szCs w:val="22"/>
          <w:rtl/>
          <w:lang w:bidi="ar-LB"/>
        </w:rPr>
      </w:pPr>
      <w:bookmarkStart w:id="44" w:name="_Toc109824547"/>
      <w:r w:rsidRPr="00B34965">
        <w:rPr>
          <w:i/>
          <w:iCs w:val="0"/>
          <w:sz w:val="18"/>
          <w:szCs w:val="22"/>
          <w:rtl/>
          <w:lang w:bidi="ar-LB"/>
        </w:rPr>
        <w:lastRenderedPageBreak/>
        <w:t>اتفاقية التنوع البيولوجي</w:t>
      </w:r>
      <w:bookmarkEnd w:id="44"/>
    </w:p>
    <w:p w:rsidR="0080684F" w:rsidRPr="0080684F" w:rsidRDefault="0080684F" w:rsidP="0080684F">
      <w:pPr>
        <w:pStyle w:val="BodyText"/>
        <w:rPr>
          <w:rtl/>
          <w:lang w:bidi="ar-LB"/>
        </w:rPr>
      </w:pPr>
      <w:r w:rsidRPr="0080684F">
        <w:rPr>
          <w:rFonts w:hint="cs"/>
          <w:rtl/>
          <w:lang w:bidi="ar-LB"/>
        </w:rPr>
        <w:t>اتفاقية التنوع البيولوجي هي اتفاقية دولية اعتُمدت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80684F" w:rsidRPr="00B34965" w:rsidRDefault="0080684F" w:rsidP="00B34965">
      <w:pPr>
        <w:pStyle w:val="Heading2"/>
        <w:spacing w:before="240" w:after="240"/>
        <w:rPr>
          <w:i/>
          <w:iCs w:val="0"/>
          <w:sz w:val="18"/>
          <w:szCs w:val="22"/>
          <w:rtl/>
          <w:lang w:bidi="ar-LB"/>
        </w:rPr>
      </w:pPr>
      <w:bookmarkStart w:id="45" w:name="_Toc109824548"/>
      <w:r w:rsidRPr="00B34965">
        <w:rPr>
          <w:i/>
          <w:iCs w:val="0"/>
          <w:sz w:val="18"/>
          <w:szCs w:val="22"/>
          <w:rtl/>
          <w:lang w:bidi="ar-LB"/>
        </w:rPr>
        <w:t>بلد منشأ الموارد الوراثية/الجينية</w:t>
      </w:r>
      <w:bookmarkEnd w:id="45"/>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"بلد منشأ الموارد الجينية" تعني "البلد الذي يمتلك تلك الموارد في وضعها الطبيعي". ويتضمن تعريف آخر لهذا المصطلح الموارد الوراثية خارج وضعها الطبيعي. ويعرّف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على سبيل المثال بلد المنشأ في المادة 1 على أنه "البلد الذي يمتلك الموارد الوراثية في وضعها الطبيعي، بما فيها تلك الموارد التي كانت في وضعها الطبيعي وخرجت عن هذا الوضع".</w:t>
      </w:r>
    </w:p>
    <w:p w:rsidR="0080684F" w:rsidRPr="00B34965" w:rsidRDefault="0080684F" w:rsidP="00B34965">
      <w:pPr>
        <w:pStyle w:val="Heading2"/>
        <w:spacing w:before="240" w:after="240"/>
        <w:rPr>
          <w:i/>
          <w:iCs w:val="0"/>
          <w:sz w:val="18"/>
          <w:szCs w:val="22"/>
          <w:rtl/>
          <w:lang w:bidi="ar-LB"/>
        </w:rPr>
      </w:pPr>
      <w:bookmarkStart w:id="46" w:name="_Toc109824549"/>
      <w:r w:rsidRPr="00B34965">
        <w:rPr>
          <w:i/>
          <w:iCs w:val="0"/>
          <w:sz w:val="18"/>
          <w:szCs w:val="22"/>
          <w:rtl/>
          <w:lang w:bidi="ar-LB"/>
        </w:rPr>
        <w:t>البلد الذي يوفر الموارد الوراثية/الجينية</w:t>
      </w:r>
      <w:bookmarkEnd w:id="46"/>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80684F" w:rsidRPr="00B34965" w:rsidRDefault="0080684F" w:rsidP="00B34965">
      <w:pPr>
        <w:pStyle w:val="Heading2"/>
        <w:spacing w:before="240" w:after="240"/>
        <w:rPr>
          <w:i/>
          <w:iCs w:val="0"/>
          <w:sz w:val="18"/>
          <w:szCs w:val="22"/>
          <w:rtl/>
          <w:lang w:bidi="ar-LB"/>
        </w:rPr>
      </w:pPr>
      <w:bookmarkStart w:id="47" w:name="_Toc109824550"/>
      <w:r w:rsidRPr="00B34965">
        <w:rPr>
          <w:i/>
          <w:iCs w:val="0"/>
          <w:sz w:val="18"/>
          <w:szCs w:val="22"/>
          <w:rtl/>
          <w:lang w:bidi="ar-LB"/>
        </w:rPr>
        <w:t>الجماعة الثقافية</w:t>
      </w:r>
      <w:bookmarkEnd w:id="47"/>
    </w:p>
    <w:p w:rsidR="0080684F" w:rsidRPr="0080684F" w:rsidRDefault="0080684F" w:rsidP="0080684F">
      <w:pPr>
        <w:pStyle w:val="BodyText"/>
        <w:rPr>
          <w:rtl/>
          <w:lang w:bidi="ar-LB"/>
        </w:rPr>
      </w:pPr>
      <w:r w:rsidRPr="0080684F">
        <w:rPr>
          <w:rFonts w:hint="cs"/>
          <w:rtl/>
          <w:lang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80684F">
        <w:rPr>
          <w:vertAlign w:val="superscript"/>
          <w:rtl/>
          <w:lang w:bidi="ar-LB"/>
        </w:rPr>
        <w:footnoteReference w:id="24"/>
      </w:r>
      <w:r w:rsidRPr="0080684F">
        <w:rPr>
          <w:rFonts w:hint="cs"/>
          <w:rtl/>
          <w:lang w:bidi="ar-LB"/>
        </w:rPr>
        <w:t xml:space="preserve"> </w:t>
      </w:r>
    </w:p>
    <w:p w:rsidR="0080684F" w:rsidRPr="00B34965" w:rsidRDefault="0080684F" w:rsidP="00B34965">
      <w:pPr>
        <w:pStyle w:val="Heading2"/>
        <w:spacing w:before="240" w:after="240"/>
        <w:rPr>
          <w:i/>
          <w:iCs w:val="0"/>
          <w:sz w:val="18"/>
          <w:szCs w:val="22"/>
          <w:rtl/>
          <w:lang w:bidi="ar-LB"/>
        </w:rPr>
      </w:pPr>
      <w:bookmarkStart w:id="48" w:name="_Toc109824551"/>
      <w:r w:rsidRPr="00B34965">
        <w:rPr>
          <w:i/>
          <w:iCs w:val="0"/>
          <w:sz w:val="18"/>
          <w:szCs w:val="22"/>
          <w:rtl/>
          <w:lang w:bidi="ar-LB"/>
        </w:rPr>
        <w:t>التنوع الثقافي</w:t>
      </w:r>
      <w:bookmarkEnd w:id="48"/>
    </w:p>
    <w:p w:rsidR="0080684F" w:rsidRPr="0080684F" w:rsidRDefault="0080684F" w:rsidP="0080684F">
      <w:pPr>
        <w:pStyle w:val="BodyText"/>
        <w:rPr>
          <w:rtl/>
          <w:lang w:bidi="ar-LB"/>
        </w:rPr>
      </w:pPr>
      <w:r w:rsidRPr="0080684F">
        <w:rPr>
          <w:rFonts w:hint="cs"/>
          <w:rtl/>
          <w:lang w:bidi="ar-LB"/>
        </w:rPr>
        <w:t xml:space="preserve">وفقا </w:t>
      </w:r>
      <w:r w:rsidRPr="0080684F">
        <w:rPr>
          <w:rFonts w:hint="cs"/>
          <w:i/>
          <w:iCs/>
          <w:rtl/>
          <w:lang w:bidi="ar-LB"/>
        </w:rPr>
        <w:t>لاتفاقية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80684F">
        <w:rPr>
          <w:vertAlign w:val="superscript"/>
          <w:rtl/>
          <w:lang w:bidi="ar-LB"/>
        </w:rPr>
        <w:footnoteReference w:id="25"/>
      </w:r>
    </w:p>
    <w:p w:rsidR="0080684F" w:rsidRPr="00B34965" w:rsidRDefault="0080684F" w:rsidP="00B34965">
      <w:pPr>
        <w:pStyle w:val="Heading2"/>
        <w:spacing w:before="240" w:after="240"/>
        <w:rPr>
          <w:i/>
          <w:iCs w:val="0"/>
          <w:sz w:val="18"/>
          <w:szCs w:val="22"/>
          <w:rtl/>
          <w:lang w:bidi="ar-LB"/>
        </w:rPr>
      </w:pPr>
      <w:bookmarkStart w:id="49" w:name="_Toc109824552"/>
      <w:r w:rsidRPr="00B34965">
        <w:rPr>
          <w:i/>
          <w:iCs w:val="0"/>
          <w:sz w:val="18"/>
          <w:szCs w:val="22"/>
          <w:rtl/>
          <w:lang w:bidi="ar-LB"/>
        </w:rPr>
        <w:t>أشكال التعبير الثقافي</w:t>
      </w:r>
      <w:bookmarkEnd w:id="49"/>
    </w:p>
    <w:p w:rsidR="0080684F" w:rsidRPr="0080684F" w:rsidRDefault="0080684F" w:rsidP="0080684F">
      <w:pPr>
        <w:pStyle w:val="BodyText"/>
        <w:rPr>
          <w:rtl/>
          <w:lang w:bidi="ar-LB"/>
        </w:rPr>
      </w:pPr>
      <w:r w:rsidRPr="0080684F">
        <w:rPr>
          <w:rFonts w:hint="cs"/>
          <w:rtl/>
          <w:lang w:bidi="ar-LB"/>
        </w:rPr>
        <w:t xml:space="preserve">تعرف </w:t>
      </w:r>
      <w:r w:rsidRPr="0080684F">
        <w:rPr>
          <w:rFonts w:hint="cs"/>
          <w:i/>
          <w:iCs/>
          <w:rtl/>
          <w:lang w:bidi="ar-LB"/>
        </w:rPr>
        <w:t>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80684F">
        <w:rPr>
          <w:vertAlign w:val="superscript"/>
          <w:rtl/>
          <w:lang w:bidi="ar-LB"/>
        </w:rPr>
        <w:footnoteReference w:id="26"/>
      </w:r>
    </w:p>
    <w:p w:rsidR="0080684F" w:rsidRPr="00B34965" w:rsidRDefault="0080684F" w:rsidP="00B34965">
      <w:pPr>
        <w:pStyle w:val="Heading2"/>
        <w:spacing w:before="240" w:after="240"/>
        <w:rPr>
          <w:i/>
          <w:iCs w:val="0"/>
          <w:sz w:val="18"/>
          <w:szCs w:val="22"/>
          <w:rtl/>
          <w:lang w:bidi="ar-LB"/>
        </w:rPr>
      </w:pPr>
      <w:bookmarkStart w:id="50" w:name="_Toc109824553"/>
      <w:r w:rsidRPr="00B34965">
        <w:rPr>
          <w:i/>
          <w:iCs w:val="0"/>
          <w:sz w:val="18"/>
          <w:szCs w:val="22"/>
          <w:rtl/>
          <w:lang w:bidi="ar-LB"/>
        </w:rPr>
        <w:t>التراث الثقافي</w:t>
      </w:r>
      <w:bookmarkEnd w:id="50"/>
    </w:p>
    <w:p w:rsidR="0080684F" w:rsidRPr="0080684F" w:rsidRDefault="0080684F" w:rsidP="0080684F">
      <w:pPr>
        <w:pStyle w:val="BodyText"/>
        <w:rPr>
          <w:rtl/>
          <w:lang w:bidi="ar-LB"/>
        </w:rPr>
      </w:pPr>
      <w:r w:rsidRPr="0080684F">
        <w:rPr>
          <w:rFonts w:hint="cs"/>
          <w:rtl/>
          <w:lang w:bidi="ar-LB"/>
        </w:rPr>
        <w:t xml:space="preserve">لأغراض </w:t>
      </w:r>
      <w:r w:rsidRPr="0080684F">
        <w:rPr>
          <w:rFonts w:hint="cs"/>
          <w:i/>
          <w:iCs/>
          <w:rtl/>
          <w:lang w:bidi="ar-LB"/>
        </w:rPr>
        <w:t>اتفاقية منظمة الأمم المتحدة للتريبة والعلم والثقافة (اليونسكو) المتعلقة بحماية التراث العالمي الثقافي والطبيعي</w:t>
      </w:r>
      <w:r w:rsidRPr="0080684F">
        <w:rPr>
          <w:rFonts w:hint="cs"/>
          <w:rtl/>
          <w:lang w:bidi="ar-LB"/>
        </w:rPr>
        <w:t xml:space="preserve"> (1972)، يعتبر ما يلي كتراث ثقافي، مثلما يرد في المادة 1 من هذه الاتفاقية:</w:t>
      </w:r>
    </w:p>
    <w:p w:rsidR="0080684F" w:rsidRPr="0080684F" w:rsidRDefault="0080684F" w:rsidP="00726E12">
      <w:pPr>
        <w:pStyle w:val="BodyText"/>
        <w:spacing w:after="120"/>
        <w:ind w:left="1134" w:hanging="567"/>
        <w:rPr>
          <w:i/>
          <w:iCs/>
          <w:rtl/>
          <w:lang w:bidi="ar-LB"/>
        </w:rPr>
      </w:pPr>
      <w:r w:rsidRPr="0080684F">
        <w:rPr>
          <w:rFonts w:hint="cs"/>
          <w:i/>
          <w:iCs/>
          <w:rtl/>
          <w:lang w:bidi="ar-LB"/>
        </w:rPr>
        <w:t>(أ)</w:t>
      </w:r>
      <w:r w:rsidR="004A642B">
        <w:rPr>
          <w:i/>
          <w:iCs/>
          <w:lang w:bidi="ar-LB"/>
        </w:rPr>
        <w:tab/>
      </w:r>
      <w:r w:rsidRPr="0080684F">
        <w:rPr>
          <w:rFonts w:hint="cs"/>
          <w:i/>
          <w:iCs/>
          <w:rtl/>
          <w:lang w:bidi="ar-LB"/>
        </w:rPr>
        <w:t>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80684F" w:rsidRPr="0080684F" w:rsidRDefault="0080684F" w:rsidP="00726E12">
      <w:pPr>
        <w:pStyle w:val="BodyText"/>
        <w:spacing w:after="120"/>
        <w:ind w:left="1134" w:hanging="567"/>
        <w:rPr>
          <w:i/>
          <w:iCs/>
          <w:rtl/>
          <w:lang w:bidi="ar-LB"/>
        </w:rPr>
      </w:pPr>
      <w:r w:rsidRPr="0080684F">
        <w:rPr>
          <w:rFonts w:hint="cs"/>
          <w:i/>
          <w:iCs/>
          <w:rtl/>
          <w:lang w:bidi="ar-LB"/>
        </w:rPr>
        <w:t>(ب)</w:t>
      </w:r>
      <w:r w:rsidR="004A642B">
        <w:rPr>
          <w:i/>
          <w:iCs/>
          <w:lang w:bidi="ar-LB"/>
        </w:rPr>
        <w:tab/>
      </w:r>
      <w:r w:rsidRPr="0080684F">
        <w:rPr>
          <w:rFonts w:hint="cs"/>
          <w:i/>
          <w:iCs/>
          <w:rtl/>
          <w:lang w:bidi="ar-LB"/>
        </w:rPr>
        <w:t>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80684F" w:rsidRPr="0080684F" w:rsidRDefault="0080684F" w:rsidP="004A642B">
      <w:pPr>
        <w:pStyle w:val="BodyText"/>
        <w:ind w:left="1134" w:hanging="567"/>
        <w:rPr>
          <w:i/>
          <w:iCs/>
          <w:rtl/>
          <w:lang w:bidi="ar-LB"/>
        </w:rPr>
      </w:pPr>
      <w:r w:rsidRPr="0080684F">
        <w:rPr>
          <w:rFonts w:hint="cs"/>
          <w:i/>
          <w:iCs/>
          <w:rtl/>
          <w:lang w:bidi="ar-LB"/>
        </w:rPr>
        <w:t>(ج)</w:t>
      </w:r>
      <w:r w:rsidR="004A642B">
        <w:rPr>
          <w:i/>
          <w:iCs/>
          <w:lang w:bidi="ar-LB"/>
        </w:rPr>
        <w:tab/>
      </w:r>
      <w:r w:rsidRPr="0080684F">
        <w:rPr>
          <w:rFonts w:hint="cs"/>
          <w:i/>
          <w:iCs/>
          <w:rtl/>
          <w:lang w:bidi="ar-LB"/>
        </w:rPr>
        <w:t>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80684F" w:rsidRPr="00B34965" w:rsidRDefault="0080684F" w:rsidP="00B34965">
      <w:pPr>
        <w:pStyle w:val="Heading2"/>
        <w:spacing w:before="240" w:after="240"/>
        <w:rPr>
          <w:i/>
          <w:iCs w:val="0"/>
          <w:sz w:val="18"/>
          <w:szCs w:val="22"/>
          <w:rtl/>
          <w:lang w:bidi="ar-LB"/>
        </w:rPr>
      </w:pPr>
      <w:bookmarkStart w:id="51" w:name="_Toc109824554"/>
      <w:r w:rsidRPr="00B34965">
        <w:rPr>
          <w:i/>
          <w:iCs w:val="0"/>
          <w:sz w:val="18"/>
          <w:szCs w:val="22"/>
          <w:rtl/>
          <w:lang w:bidi="ar-LB"/>
        </w:rPr>
        <w:lastRenderedPageBreak/>
        <w:t>الهوية الثقافية</w:t>
      </w:r>
      <w:bookmarkEnd w:id="51"/>
    </w:p>
    <w:p w:rsidR="0080684F" w:rsidRPr="0080684F" w:rsidRDefault="0080684F" w:rsidP="0080684F">
      <w:pPr>
        <w:pStyle w:val="BodyText"/>
        <w:rPr>
          <w:rtl/>
          <w:lang w:bidi="ar-LB"/>
        </w:rPr>
      </w:pPr>
      <w:r w:rsidRPr="0080684F">
        <w:rPr>
          <w:rFonts w:hint="cs"/>
          <w:rtl/>
          <w:lang w:bidi="ar-LB"/>
        </w:rPr>
        <w:t>يُقصد بالهوية الثقافية الصلة القائمة بين جماعة- وطنية أو إثنية أو لغوية أو غيرها- وحياتها الثقافية، وحق كل جماعة في ثقافتها الخاصة.</w:t>
      </w:r>
      <w:r w:rsidRPr="0080684F">
        <w:rPr>
          <w:vertAlign w:val="superscript"/>
          <w:rtl/>
          <w:lang w:bidi="ar-LB"/>
        </w:rPr>
        <w:footnoteReference w:id="27"/>
      </w:r>
      <w:r w:rsidRPr="0080684F">
        <w:rPr>
          <w:rFonts w:hint="cs"/>
          <w:rtl/>
          <w:lang w:bidi="ar-LB"/>
        </w:rPr>
        <w:t xml:space="preserve"> وتنص </w:t>
      </w:r>
      <w:r w:rsidRPr="0080684F">
        <w:rPr>
          <w:rFonts w:hint="cs"/>
          <w:i/>
          <w:iCs/>
          <w:rtl/>
          <w:lang w:bidi="ar-LB"/>
        </w:rPr>
        <w:t>اتفاقية منظمة العمل الدولية رقم 169 بشأن الشعوب الأصلية والقبلية في البلدان المستقلة</w:t>
      </w:r>
      <w:r w:rsidRPr="0080684F">
        <w:rPr>
          <w:rFonts w:hint="cs"/>
          <w:rtl/>
          <w:lang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80684F">
        <w:rPr>
          <w:vertAlign w:val="superscript"/>
          <w:rtl/>
          <w:lang w:bidi="ar-LB"/>
        </w:rPr>
        <w:footnoteReference w:id="28"/>
      </w:r>
    </w:p>
    <w:p w:rsidR="0080684F" w:rsidRPr="00B34965" w:rsidRDefault="0080684F" w:rsidP="00B34965">
      <w:pPr>
        <w:pStyle w:val="Heading2"/>
        <w:spacing w:before="240" w:after="240"/>
        <w:rPr>
          <w:i/>
          <w:iCs w:val="0"/>
          <w:rtl/>
          <w:lang w:bidi="ar-LB"/>
        </w:rPr>
      </w:pPr>
      <w:bookmarkStart w:id="52" w:name="_Toc109824555"/>
      <w:r w:rsidRPr="00B34965">
        <w:rPr>
          <w:i/>
          <w:iCs w:val="0"/>
          <w:sz w:val="18"/>
          <w:szCs w:val="22"/>
          <w:rtl/>
          <w:lang w:bidi="ar-LB"/>
        </w:rPr>
        <w:t>الملكية الثقافية</w:t>
      </w:r>
      <w:bookmarkEnd w:id="52"/>
    </w:p>
    <w:p w:rsidR="0080684F" w:rsidRPr="0080684F" w:rsidRDefault="0080684F" w:rsidP="0080684F">
      <w:pPr>
        <w:pStyle w:val="BodyText"/>
        <w:rPr>
          <w:rtl/>
          <w:lang w:bidi="ar-LB"/>
        </w:rPr>
      </w:pPr>
      <w:r w:rsidRPr="0080684F">
        <w:rPr>
          <w:rFonts w:hint="cs"/>
          <w:rtl/>
          <w:lang w:bidi="ar-LB"/>
        </w:rPr>
        <w:t xml:space="preserve">تعرّف المادة 1 من </w:t>
      </w:r>
      <w:r w:rsidRPr="0080684F">
        <w:rPr>
          <w:rFonts w:hint="cs"/>
          <w:i/>
          <w:iCs/>
          <w:rtl/>
          <w:lang w:bidi="ar-LB"/>
        </w:rPr>
        <w:t>اتفاقية منظمة الأمم المتحدة للتريبة والعلم والثقافة (اليونسكو) المتعلقة بالوسائل التي تستخدم لحظر ومنع استيراد وتصدير ونقل ملكية الممتلكات الثقافية بطرق غير مشروعة</w:t>
      </w:r>
      <w:r w:rsidRPr="0080684F">
        <w:rPr>
          <w:rFonts w:hint="cs"/>
          <w:rtl/>
          <w:lang w:bidi="ar-LB"/>
        </w:rPr>
        <w:t xml:space="preserve"> (1970) الملكية الثقافية بأنها الممتلكات التي تصفها كل دولة بشكل محدد، لاعتبارات دينية أو علمانية، كممتلكات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80684F" w:rsidRPr="00A009DB" w:rsidRDefault="0080684F" w:rsidP="00A009DB">
      <w:pPr>
        <w:pStyle w:val="Heading2"/>
        <w:spacing w:before="240" w:after="240"/>
        <w:rPr>
          <w:i/>
          <w:iCs w:val="0"/>
          <w:sz w:val="18"/>
          <w:szCs w:val="22"/>
          <w:rtl/>
          <w:lang w:bidi="ar-LB"/>
        </w:rPr>
      </w:pPr>
      <w:bookmarkStart w:id="53" w:name="_Toc109824556"/>
      <w:r w:rsidRPr="00A009DB">
        <w:rPr>
          <w:i/>
          <w:iCs w:val="0"/>
          <w:sz w:val="18"/>
          <w:szCs w:val="22"/>
          <w:rtl/>
          <w:lang w:bidi="ar-LB"/>
        </w:rPr>
        <w:t>المؤتمن له</w:t>
      </w:r>
      <w:bookmarkEnd w:id="53"/>
    </w:p>
    <w:p w:rsidR="0080684F" w:rsidRPr="0080684F" w:rsidRDefault="0080684F" w:rsidP="0080684F">
      <w:pPr>
        <w:pStyle w:val="BodyText"/>
        <w:rPr>
          <w:rtl/>
          <w:lang w:bidi="ar-LB"/>
        </w:rPr>
      </w:pPr>
      <w:r w:rsidRPr="0080684F">
        <w:rPr>
          <w:rFonts w:hint="cs"/>
          <w:rtl/>
          <w:lang w:bidi="ar-LB"/>
        </w:rPr>
        <w:t>جاء في قاموس بلاكس لو (</w:t>
      </w:r>
      <w:r w:rsidRPr="0080684F">
        <w:rPr>
          <w:lang w:val="fr-CH"/>
        </w:rPr>
        <w:t>Black’s Law</w:t>
      </w:r>
      <w:r w:rsidRPr="0080684F">
        <w:rPr>
          <w:rFonts w:hint="cs"/>
          <w:rtl/>
          <w:lang w:bidi="ar-LB"/>
        </w:rPr>
        <w:t xml:space="preserve">) أن "المؤتمن له" هو "شخص أو مؤسسة يكون مسؤولا أو مؤتمنا على (طفل أو ممتلكات أو أوراق أو أشياء أخرى ثمينة)". وحسب القاموس نفسه، يحيل "الائتمان" إلى رعاية شيء أو شخص ومراقبته لأغراض التفتيش أو الوقاية أو الأمن. ويعرّف قاموس أكسفورد "المؤتمن له" بأنه "شخص أو تنظيم يؤتمن أو يوصى على شيء أو شخصٍ؛ أي وصيُّ." أما قاموس مريم ويبستر، فيعرفه بأنه "الشخص الذي يصون ويحمي أو يحافظ على." ويشير مصطلح "المؤتمن له" في سياق المعارف التقليدية وأشكال التعبير الثقافي التقليدي إلى الجماعات والشعوب والأفراد والكيانات الأخرى التي تحافظ على المعارف التقليدية وأشكال التعبير الثقافي التقليدي </w:t>
      </w:r>
      <w:r w:rsidRPr="0080684F">
        <w:rPr>
          <w:rFonts w:hint="cs"/>
          <w:rtl/>
        </w:rPr>
        <w:t xml:space="preserve">وتستخدمها </w:t>
      </w:r>
      <w:r w:rsidRPr="0080684F">
        <w:rPr>
          <w:rFonts w:hint="cs"/>
          <w:rtl/>
          <w:lang w:bidi="ar-LB"/>
        </w:rPr>
        <w:t>وتطورها وفقا للقوانين العرفية وغيرها من الممارسات. ويختلف هذا المصطلح عن مصطلح "الملكية"، لأنه يوحي إلى المسؤولية عن ضمان استخدام المعارف التقليدية أو أشكال التعبير الثقافي التقليدي بما يتفق وقيم الجماعة وقانونها العرفي.</w:t>
      </w:r>
    </w:p>
    <w:p w:rsidR="0080684F" w:rsidRPr="00A009DB" w:rsidRDefault="0080684F" w:rsidP="00A009DB">
      <w:pPr>
        <w:pStyle w:val="Heading2"/>
        <w:spacing w:before="240" w:after="240"/>
        <w:rPr>
          <w:i/>
          <w:iCs w:val="0"/>
          <w:sz w:val="18"/>
          <w:szCs w:val="22"/>
          <w:rtl/>
          <w:lang w:bidi="ar-LB"/>
        </w:rPr>
      </w:pPr>
      <w:bookmarkStart w:id="54" w:name="_Toc109824557"/>
      <w:r w:rsidRPr="00A009DB">
        <w:rPr>
          <w:i/>
          <w:iCs w:val="0"/>
          <w:sz w:val="18"/>
          <w:szCs w:val="22"/>
          <w:rtl/>
          <w:lang w:bidi="ar-LB"/>
        </w:rPr>
        <w:t>السياق العرفي</w:t>
      </w:r>
      <w:bookmarkEnd w:id="54"/>
    </w:p>
    <w:p w:rsidR="0080684F" w:rsidRPr="0080684F" w:rsidRDefault="0080684F" w:rsidP="0080684F">
      <w:pPr>
        <w:pStyle w:val="BodyText"/>
        <w:rPr>
          <w:rtl/>
          <w:lang w:bidi="ar-LB"/>
        </w:rPr>
      </w:pPr>
      <w:r w:rsidRPr="0080684F">
        <w:rPr>
          <w:rFonts w:hint="cs"/>
          <w:rtl/>
          <w:lang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80684F">
        <w:rPr>
          <w:vertAlign w:val="superscript"/>
          <w:rtl/>
          <w:lang w:bidi="ar-LB"/>
        </w:rPr>
        <w:footnoteReference w:id="29"/>
      </w:r>
    </w:p>
    <w:p w:rsidR="0080684F" w:rsidRPr="00A009DB" w:rsidRDefault="0080684F" w:rsidP="00A009DB">
      <w:pPr>
        <w:pStyle w:val="Heading2"/>
        <w:spacing w:before="240" w:after="240"/>
        <w:rPr>
          <w:i/>
          <w:iCs w:val="0"/>
          <w:sz w:val="18"/>
          <w:szCs w:val="22"/>
          <w:rtl/>
          <w:lang w:bidi="ar-LB"/>
        </w:rPr>
      </w:pPr>
      <w:bookmarkStart w:id="55" w:name="_Toc109824558"/>
      <w:r w:rsidRPr="00A009DB">
        <w:rPr>
          <w:i/>
          <w:iCs w:val="0"/>
          <w:sz w:val="18"/>
          <w:szCs w:val="22"/>
          <w:rtl/>
          <w:lang w:bidi="ar-LB"/>
        </w:rPr>
        <w:t>القوانين والمواثيق العرفية</w:t>
      </w:r>
      <w:bookmarkEnd w:id="55"/>
    </w:p>
    <w:p w:rsidR="0080684F" w:rsidRPr="0080684F" w:rsidRDefault="0080684F" w:rsidP="0080684F">
      <w:pPr>
        <w:pStyle w:val="BodyText"/>
        <w:rPr>
          <w:rtl/>
        </w:rPr>
      </w:pPr>
      <w:r w:rsidRPr="0080684F">
        <w:rPr>
          <w:rFonts w:hint="cs"/>
          <w:rtl/>
          <w:lang w:bidi="ar-LB"/>
        </w:rPr>
        <w:t xml:space="preserve">يعرّف قاموس بلاكس لو "القانون العرفي" بأنه "قانون مؤلف من أعراف تعارف الناس عليها بصفتها متطلبات قانونية أو قواعد سلوك إلزامية، ومن ممارسات ومعتقدات هي أساسية وجوهرية لنظام اجتماعي واقتصادي وجزء لا يتجزء منه تُعامل كما لو كانت في حكم القوانين." وجاء في تعريف آخر للقانون العرفي أنه "مجموعة مبادئ معترف بها محليا، ومعايير أو قواعد أكثر تحديدا متداولة ومنقولة </w:t>
      </w:r>
      <w:r w:rsidRPr="0080684F">
        <w:rPr>
          <w:rFonts w:hint="cs"/>
          <w:rtl/>
          <w:lang w:bidi="ar-LB"/>
        </w:rPr>
        <w:lastRenderedPageBreak/>
        <w:t>شفهيا وتطبقها مؤسسات الجماعة لتدير جميع جوانب الحياة وتوجهها على الصعيد الداخلي."</w:t>
      </w:r>
      <w:r w:rsidRPr="0080684F">
        <w:rPr>
          <w:vertAlign w:val="superscript"/>
          <w:rtl/>
          <w:lang w:bidi="ar-LB"/>
        </w:rPr>
        <w:footnoteReference w:id="30"/>
      </w:r>
      <w:r w:rsidRPr="0080684F">
        <w:rPr>
          <w:rFonts w:hint="cs"/>
          <w:rtl/>
          <w:lang w:bidi="ar-LB"/>
        </w:rPr>
        <w:t xml:space="preserve"> وتختلف طرق تجسيد القوانين العرفية بعضها عن بعض. فقد تكون القوانين مقننة أو مكتوبة أو شفهية وقد تكون موصوفة بعبارات صريحة أو مطبقة في الممارسات التقليدية. ومن العناصر الأخرى المهمة الإقرار أو الارتباط "الرسمي" بتلك القوانين في الأنظمة القانونية الوطنية للبلد الذي تقيم فيه الجماعة. وأحد العوامل الحاسمة في اعتبار بعض الأعراف في حكم القانون هو إلى أي حدّ اعتبرتها الجماعة ملزمة ولا تزال تعتبرها كذلك أو كونها مجرد وصف للممارسات السارية.</w:t>
      </w:r>
    </w:p>
    <w:p w:rsidR="0080684F" w:rsidRPr="0080684F" w:rsidRDefault="0080684F" w:rsidP="0080684F">
      <w:pPr>
        <w:pStyle w:val="BodyText"/>
        <w:rPr>
          <w:rtl/>
          <w:lang w:bidi="ar-LB"/>
        </w:rPr>
      </w:pPr>
      <w:r w:rsidRPr="0080684F">
        <w:rPr>
          <w:rFonts w:hint="cs"/>
          <w:rtl/>
          <w:lang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80684F">
        <w:rPr>
          <w:vertAlign w:val="superscript"/>
          <w:rtl/>
          <w:lang w:bidi="ar-EG"/>
        </w:rPr>
        <w:footnoteReference w:id="31"/>
      </w:r>
      <w:r w:rsidRPr="0080684F">
        <w:rPr>
          <w:rFonts w:hint="cs"/>
          <w:rtl/>
          <w:lang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80684F">
        <w:rPr>
          <w:vertAlign w:val="superscript"/>
          <w:rtl/>
          <w:lang w:bidi="ar-EG"/>
        </w:rPr>
        <w:footnoteReference w:id="32"/>
      </w:r>
    </w:p>
    <w:p w:rsidR="0080684F" w:rsidRPr="0080684F" w:rsidRDefault="0080684F" w:rsidP="0080684F">
      <w:pPr>
        <w:pStyle w:val="BodyText"/>
        <w:rPr>
          <w:rtl/>
          <w:lang w:bidi="ar-LB"/>
        </w:rPr>
      </w:pPr>
      <w:r w:rsidRPr="0080684F">
        <w:rPr>
          <w:rFonts w:hint="cs"/>
          <w:rtl/>
          <w:lang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80684F" w:rsidRPr="00A009DB" w:rsidRDefault="0080684F" w:rsidP="00A009DB">
      <w:pPr>
        <w:pStyle w:val="Heading2"/>
        <w:spacing w:before="240" w:after="240"/>
        <w:rPr>
          <w:i/>
          <w:iCs w:val="0"/>
          <w:sz w:val="18"/>
          <w:szCs w:val="22"/>
          <w:rtl/>
          <w:lang w:bidi="ar-LB"/>
        </w:rPr>
      </w:pPr>
      <w:bookmarkStart w:id="56" w:name="_Toc109824559"/>
      <w:r w:rsidRPr="00A009DB">
        <w:rPr>
          <w:i/>
          <w:iCs w:val="0"/>
          <w:sz w:val="18"/>
          <w:szCs w:val="22"/>
          <w:rtl/>
          <w:lang w:bidi="ar-LB"/>
        </w:rPr>
        <w:t>الممارسات العرفية</w:t>
      </w:r>
      <w:bookmarkEnd w:id="56"/>
    </w:p>
    <w:p w:rsidR="0080684F" w:rsidRPr="0080684F" w:rsidRDefault="0080684F" w:rsidP="0080684F">
      <w:pPr>
        <w:pStyle w:val="BodyText"/>
        <w:rPr>
          <w:rtl/>
          <w:lang w:bidi="ar-LB"/>
        </w:rPr>
      </w:pPr>
      <w:r w:rsidRPr="0080684F">
        <w:rPr>
          <w:rFonts w:hint="cs"/>
          <w:rtl/>
          <w:lang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80684F">
        <w:rPr>
          <w:vertAlign w:val="superscript"/>
          <w:rtl/>
          <w:lang w:bidi="ar-LB"/>
        </w:rPr>
        <w:footnoteReference w:id="33"/>
      </w:r>
    </w:p>
    <w:p w:rsidR="0080684F" w:rsidRPr="00A009DB" w:rsidRDefault="0080684F" w:rsidP="00A009DB">
      <w:pPr>
        <w:pStyle w:val="Heading2"/>
        <w:spacing w:before="240" w:after="240"/>
        <w:rPr>
          <w:i/>
          <w:iCs w:val="0"/>
          <w:sz w:val="18"/>
          <w:szCs w:val="22"/>
          <w:rtl/>
          <w:lang w:bidi="ar-LB"/>
        </w:rPr>
      </w:pPr>
      <w:bookmarkStart w:id="57" w:name="_Toc109824560"/>
      <w:r w:rsidRPr="00A009DB">
        <w:rPr>
          <w:i/>
          <w:iCs w:val="0"/>
          <w:sz w:val="18"/>
          <w:szCs w:val="22"/>
          <w:rtl/>
          <w:lang w:bidi="ar-LB"/>
        </w:rPr>
        <w:t>قاعدة البيانات بشأن اتفاقات النفاذ وتقاسم المنافع المتعلقة بالتنوع البيولوجي</w:t>
      </w:r>
      <w:bookmarkEnd w:id="57"/>
    </w:p>
    <w:p w:rsidR="0080684F" w:rsidRPr="0080684F" w:rsidRDefault="0080684F" w:rsidP="0080684F">
      <w:pPr>
        <w:pStyle w:val="BodyText"/>
        <w:rPr>
          <w:rtl/>
          <w:lang w:bidi="ar-EG"/>
        </w:rPr>
      </w:pPr>
      <w:r w:rsidRPr="0080684F">
        <w:rPr>
          <w:rFonts w:hint="cs"/>
          <w:rtl/>
          <w:lang w:bidi="ar-LB"/>
        </w:rPr>
        <w:t>إن قاعدة بيانات الويبو بشأن اتفاقات النفاذ وتقاسم المنافع المتعلقة بالتنوع البيولوجي هي مجموعة إلكترونية على الإنترنت من "الممارسات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80684F">
        <w:rPr>
          <w:vertAlign w:val="superscript"/>
          <w:rtl/>
          <w:lang w:bidi="ar-LB"/>
        </w:rPr>
        <w:footnoteReference w:id="34"/>
      </w:r>
      <w:r w:rsidRPr="0080684F">
        <w:rPr>
          <w:rFonts w:hint="cs"/>
          <w:rtl/>
          <w:lang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 ذلك.</w:t>
      </w:r>
      <w:r w:rsidRPr="0080684F">
        <w:rPr>
          <w:vertAlign w:val="superscript"/>
          <w:rtl/>
          <w:lang w:bidi="ar-LB"/>
        </w:rPr>
        <w:footnoteReference w:id="35"/>
      </w:r>
    </w:p>
    <w:p w:rsidR="0080684F" w:rsidRPr="004A642B" w:rsidRDefault="0080684F" w:rsidP="004A642B">
      <w:pPr>
        <w:pStyle w:val="Heading2"/>
        <w:spacing w:before="240" w:after="240"/>
        <w:rPr>
          <w:i/>
          <w:iCs w:val="0"/>
          <w:szCs w:val="22"/>
          <w:rtl/>
          <w:lang w:bidi="ar-LB"/>
        </w:rPr>
      </w:pPr>
      <w:bookmarkStart w:id="58" w:name="_Toc109824561"/>
      <w:r w:rsidRPr="004A642B">
        <w:rPr>
          <w:i/>
          <w:iCs w:val="0"/>
          <w:szCs w:val="22"/>
          <w:rtl/>
          <w:lang w:bidi="ar-LB"/>
        </w:rPr>
        <w:t>المشتق</w:t>
      </w:r>
      <w:bookmarkEnd w:id="58"/>
    </w:p>
    <w:p w:rsidR="0080684F" w:rsidRPr="0080684F" w:rsidRDefault="0080684F" w:rsidP="0080684F">
      <w:pPr>
        <w:pStyle w:val="BodyText"/>
        <w:rPr>
          <w:rtl/>
          <w:lang w:bidi="ar-LB"/>
        </w:rPr>
      </w:pPr>
      <w:r w:rsidRPr="0080684F">
        <w:rPr>
          <w:rFonts w:hint="cs"/>
          <w:rtl/>
          <w:lang w:bidi="ar-LB"/>
        </w:rPr>
        <w:t xml:space="preserve">تنص الفقرة 2(ه)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"'المشتقات'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80684F" w:rsidRPr="006A784B" w:rsidRDefault="0080684F" w:rsidP="006A784B">
      <w:pPr>
        <w:pStyle w:val="Heading2"/>
        <w:spacing w:before="220" w:after="220"/>
        <w:rPr>
          <w:i/>
          <w:iCs w:val="0"/>
          <w:sz w:val="18"/>
          <w:szCs w:val="22"/>
          <w:rtl/>
          <w:lang w:bidi="ar-LB"/>
        </w:rPr>
      </w:pPr>
      <w:bookmarkStart w:id="59" w:name="_Toc109824562"/>
      <w:r w:rsidRPr="006A784B">
        <w:rPr>
          <w:i/>
          <w:iCs w:val="0"/>
          <w:sz w:val="18"/>
          <w:szCs w:val="22"/>
          <w:rtl/>
          <w:lang w:bidi="ar-LB"/>
        </w:rPr>
        <w:lastRenderedPageBreak/>
        <w:t>المصنف المشتق</w:t>
      </w:r>
      <w:bookmarkEnd w:id="59"/>
    </w:p>
    <w:p w:rsidR="0080684F" w:rsidRPr="0080684F" w:rsidRDefault="0080684F" w:rsidP="0080684F">
      <w:pPr>
        <w:pStyle w:val="BodyText"/>
        <w:rPr>
          <w:rtl/>
          <w:lang w:bidi="ar-LB"/>
        </w:rPr>
      </w:pPr>
      <w:r w:rsidRPr="0080684F">
        <w:rPr>
          <w:rFonts w:hint="cs"/>
          <w:rtl/>
          <w:lang w:bidi="ar-LB"/>
        </w:rPr>
        <w:t xml:space="preserve">يحيل مصطلح "المصنفات المشتقة"، في قانون حق المؤلف، إلى الترجمات والتحويرات والتوزيعات والتحويلات المشابهة التي تجري على المصنفات الموجودة سابقا والمحمية بناء على المادة 2(3) من </w:t>
      </w:r>
      <w:r w:rsidRPr="0080684F">
        <w:rPr>
          <w:rFonts w:hint="cs"/>
          <w:i/>
          <w:iCs/>
          <w:rtl/>
          <w:lang w:bidi="ar-LB"/>
        </w:rPr>
        <w:t>اتفاقية برن لحماية المصنفات الأدبية والفنية</w:t>
      </w:r>
      <w:r w:rsidRPr="0080684F">
        <w:rPr>
          <w:rFonts w:hint="cs"/>
          <w:rtl/>
          <w:lang w:bidi="ar-LB"/>
        </w:rPr>
        <w:t xml:space="preserve"> (1971)، دون المساس بحقوق المؤلفين في المصنفات الموجودة سابقا.</w:t>
      </w:r>
      <w:r w:rsidRPr="0080684F">
        <w:rPr>
          <w:vertAlign w:val="superscript"/>
          <w:rtl/>
          <w:lang w:bidi="ar-LB"/>
        </w:rPr>
        <w:footnoteReference w:id="36"/>
      </w:r>
      <w:r w:rsidRPr="0080684F">
        <w:rPr>
          <w:rFonts w:hint="cs"/>
          <w:rtl/>
          <w:lang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80684F">
        <w:rPr>
          <w:rFonts w:hint="cs"/>
          <w:i/>
          <w:iCs/>
          <w:rtl/>
          <w:lang w:bidi="ar-LB"/>
        </w:rPr>
        <w:t>جوانب حقوق الملكية الفكرية المتصلة بالتجارة</w:t>
      </w:r>
      <w:r w:rsidRPr="0080684F">
        <w:rPr>
          <w:rFonts w:hint="cs"/>
          <w:rtl/>
          <w:lang w:bidi="ar-LB"/>
        </w:rPr>
        <w:t xml:space="preserve"> (اتفاق تريبس)، والمادة 5 من </w:t>
      </w:r>
      <w:r w:rsidRPr="0080684F">
        <w:rPr>
          <w:rFonts w:hint="cs"/>
          <w:i/>
          <w:iCs/>
          <w:rtl/>
          <w:lang w:bidi="ar-LB"/>
        </w:rPr>
        <w:t>معاهدة الويبو بشأن حق المؤلف</w:t>
      </w:r>
      <w:r w:rsidRPr="0080684F">
        <w:rPr>
          <w:rFonts w:hint="cs"/>
          <w:rtl/>
          <w:lang w:bidi="ar-LB"/>
        </w:rPr>
        <w:t>، لسنة 1996).</w:t>
      </w:r>
      <w:r w:rsidRPr="0080684F">
        <w:rPr>
          <w:vertAlign w:val="superscript"/>
          <w:rtl/>
          <w:lang w:bidi="ar-LB"/>
        </w:rPr>
        <w:footnoteReference w:id="37"/>
      </w:r>
      <w:r w:rsidRPr="0080684F">
        <w:rPr>
          <w:rFonts w:hint="cs"/>
          <w:rtl/>
          <w:lang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بسبب اختيار محتوياتها أو ترتيبها.</w:t>
      </w:r>
      <w:r w:rsidRPr="0080684F">
        <w:rPr>
          <w:vertAlign w:val="superscript"/>
          <w:rtl/>
          <w:lang w:bidi="ar-LB"/>
        </w:rPr>
        <w:footnoteReference w:id="38"/>
      </w:r>
      <w:r w:rsidRPr="0080684F">
        <w:rPr>
          <w:rFonts w:hint="cs"/>
          <w:rtl/>
          <w:lang w:bidi="ar-LB"/>
        </w:rPr>
        <w:t xml:space="preserve"> وتحمي </w:t>
      </w:r>
      <w:r w:rsidRPr="0080684F">
        <w:rPr>
          <w:rFonts w:hint="cs"/>
          <w:i/>
          <w:iCs/>
          <w:rtl/>
          <w:lang w:bidi="ar-LB"/>
        </w:rPr>
        <w:t>اتفاقية برن</w:t>
      </w:r>
      <w:r w:rsidRPr="0080684F">
        <w:rPr>
          <w:rFonts w:hint="cs"/>
          <w:rtl/>
          <w:lang w:bidi="ar-LB"/>
        </w:rPr>
        <w:t xml:space="preserve"> المصنفات في شكل مجموعات أو تجميعات إلى جانب المصنفات المشتقة الأخرى.</w:t>
      </w:r>
      <w:r w:rsidRPr="0080684F">
        <w:rPr>
          <w:vertAlign w:val="superscript"/>
          <w:rtl/>
          <w:lang w:bidi="ar-LB"/>
        </w:rPr>
        <w:footnoteReference w:id="39"/>
      </w:r>
    </w:p>
    <w:p w:rsidR="0080684F" w:rsidRPr="0080684F" w:rsidRDefault="0080684F" w:rsidP="0080684F">
      <w:pPr>
        <w:pStyle w:val="BodyText"/>
        <w:rPr>
          <w:rtl/>
          <w:lang w:bidi="ar-LB"/>
        </w:rPr>
      </w:pPr>
      <w:r w:rsidRPr="0080684F">
        <w:rPr>
          <w:rFonts w:hint="cs"/>
          <w:rtl/>
          <w:lang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80684F" w:rsidRPr="0080684F" w:rsidRDefault="0080684F" w:rsidP="0080684F">
      <w:pPr>
        <w:pStyle w:val="BodyText"/>
        <w:rPr>
          <w:rtl/>
          <w:lang w:bidi="ar-LB"/>
        </w:rPr>
      </w:pPr>
      <w:r w:rsidRPr="0080684F">
        <w:rPr>
          <w:rFonts w:hint="cs"/>
          <w:rtl/>
          <w:lang w:bidi="ar-LB"/>
        </w:rPr>
        <w:t xml:space="preserve">وقد كيفت بعض الأنظمة القضائية تعريف المصنفات المشتقة في مجال أشكال التعبير الثقافي التقليدي. وحسب </w:t>
      </w:r>
      <w:r w:rsidRPr="0080684F">
        <w:rPr>
          <w:rFonts w:hint="cs"/>
          <w:i/>
          <w:iCs/>
          <w:rtl/>
          <w:lang w:bidi="ar-LB"/>
        </w:rPr>
        <w:t>الإطار الإقليمي لجنوب المحيط الهادئ الخاص بحماية المعارف التقليدية وأشكال التعبير الثقافي</w:t>
      </w:r>
      <w:r w:rsidRPr="0080684F">
        <w:rPr>
          <w:rFonts w:hint="cs"/>
          <w:rtl/>
          <w:lang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80684F">
        <w:rPr>
          <w:vertAlign w:val="superscript"/>
          <w:rtl/>
          <w:lang w:bidi="ar-LB"/>
        </w:rPr>
        <w:footnoteReference w:id="40"/>
      </w:r>
    </w:p>
    <w:p w:rsidR="0080684F" w:rsidRPr="006A784B" w:rsidRDefault="0080684F" w:rsidP="006A784B">
      <w:pPr>
        <w:pStyle w:val="Heading2"/>
        <w:spacing w:before="240" w:after="240"/>
        <w:rPr>
          <w:i/>
          <w:iCs w:val="0"/>
          <w:sz w:val="18"/>
          <w:szCs w:val="22"/>
          <w:rtl/>
          <w:lang w:bidi="ar-LB"/>
        </w:rPr>
      </w:pPr>
      <w:bookmarkStart w:id="60" w:name="_Toc109824563"/>
      <w:r w:rsidRPr="006A784B">
        <w:rPr>
          <w:i/>
          <w:iCs w:val="0"/>
          <w:sz w:val="18"/>
          <w:szCs w:val="22"/>
          <w:rtl/>
          <w:lang w:bidi="ar-LB"/>
        </w:rPr>
        <w:t>الأفعال الضارة</w:t>
      </w:r>
      <w:bookmarkEnd w:id="60"/>
    </w:p>
    <w:p w:rsidR="0080684F" w:rsidRPr="0080684F" w:rsidRDefault="0080684F" w:rsidP="0080684F">
      <w:pPr>
        <w:pStyle w:val="BodyText"/>
        <w:rPr>
          <w:rtl/>
          <w:lang w:bidi="ar-LB"/>
        </w:rPr>
      </w:pPr>
      <w:r w:rsidRPr="0080684F">
        <w:rPr>
          <w:rFonts w:hint="cs"/>
          <w:rtl/>
          <w:lang w:bidi="ar-LB"/>
        </w:rPr>
        <w:t xml:space="preserve">تحيل صفة "ضار" إلى مساس بالشرف أو السمعة وفقا للمادة 6 (ثانيا) من </w:t>
      </w:r>
      <w:r w:rsidRPr="0080684F">
        <w:rPr>
          <w:rFonts w:hint="cs"/>
          <w:i/>
          <w:iCs/>
          <w:rtl/>
          <w:lang w:bidi="ar-LB"/>
        </w:rPr>
        <w:t>اتفاقية برن لحماية المصنفات الأدبية والفنية</w:t>
      </w:r>
      <w:r w:rsidRPr="0080684F">
        <w:rPr>
          <w:rFonts w:hint="cs"/>
          <w:rtl/>
          <w:lang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المصطلح إلى الحالات التي يُنقل فيها مصنف بأسلوب يرمي إلى إلحاق الضرر بمؤلفه.</w:t>
      </w:r>
      <w:r w:rsidRPr="0080684F">
        <w:rPr>
          <w:vertAlign w:val="superscript"/>
          <w:rtl/>
          <w:lang w:bidi="ar-LB"/>
        </w:rPr>
        <w:footnoteReference w:id="41"/>
      </w:r>
    </w:p>
    <w:p w:rsidR="0080684F" w:rsidRPr="006A784B" w:rsidRDefault="0080684F" w:rsidP="006A784B">
      <w:pPr>
        <w:pStyle w:val="Heading2"/>
        <w:spacing w:before="240" w:after="240"/>
        <w:rPr>
          <w:i/>
          <w:iCs w:val="0"/>
          <w:sz w:val="18"/>
          <w:szCs w:val="22"/>
          <w:rtl/>
          <w:lang w:bidi="ar-LB"/>
        </w:rPr>
      </w:pPr>
      <w:bookmarkStart w:id="61" w:name="_Toc109824564"/>
      <w:r w:rsidRPr="006A784B">
        <w:rPr>
          <w:i/>
          <w:iCs w:val="0"/>
          <w:sz w:val="18"/>
          <w:szCs w:val="22"/>
          <w:rtl/>
          <w:lang w:bidi="ar-LB"/>
        </w:rPr>
        <w:t>المعارف التقليدية المكشوف عنها</w:t>
      </w:r>
      <w:bookmarkEnd w:id="61"/>
    </w:p>
    <w:p w:rsidR="0080684F" w:rsidRPr="0080684F" w:rsidRDefault="0080684F" w:rsidP="0080684F">
      <w:pPr>
        <w:pStyle w:val="BodyText"/>
        <w:rPr>
          <w:rtl/>
          <w:lang w:bidi="ar-LB"/>
        </w:rPr>
      </w:pPr>
      <w:r w:rsidRPr="0080684F">
        <w:rPr>
          <w:rFonts w:hint="cs"/>
          <w:rtl/>
          <w:lang w:bidi="ar-LB"/>
        </w:rPr>
        <w:t>تشير عبارة "المعارف التقليدية المكشوف عنها" إلى "المعارف التقليدية الميسرة لأشخاص من خارج الجماعات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 الجماعات الأصلية والمحلية التي نشأت فيها هذه المعارف التقليدية سواء بتصريح من تلك الجماعات أو بدون تصريح".</w:t>
      </w:r>
      <w:r w:rsidRPr="0080684F">
        <w:rPr>
          <w:vertAlign w:val="superscript"/>
          <w:rtl/>
          <w:lang w:bidi="ar-LB"/>
        </w:rPr>
        <w:footnoteReference w:id="42"/>
      </w:r>
    </w:p>
    <w:p w:rsidR="0080684F" w:rsidRPr="0080684F" w:rsidRDefault="0080684F" w:rsidP="0080684F">
      <w:pPr>
        <w:pStyle w:val="BodyText"/>
        <w:rPr>
          <w:rtl/>
          <w:lang w:bidi="ar-LB"/>
        </w:rPr>
      </w:pPr>
      <w:r w:rsidRPr="0080684F">
        <w:rPr>
          <w:rFonts w:hint="cs"/>
          <w:rtl/>
          <w:lang w:bidi="ar-LB"/>
        </w:rPr>
        <w:t>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المكشوف عنها والمعارف التقليدية غير المكشوف عنها.</w:t>
      </w:r>
    </w:p>
    <w:p w:rsidR="0080684F" w:rsidRPr="006A784B" w:rsidRDefault="0080684F" w:rsidP="006A784B">
      <w:pPr>
        <w:pStyle w:val="Heading2"/>
        <w:spacing w:before="240" w:after="240"/>
        <w:rPr>
          <w:i/>
          <w:iCs w:val="0"/>
          <w:sz w:val="18"/>
          <w:szCs w:val="22"/>
          <w:rtl/>
          <w:lang w:bidi="ar-LB"/>
        </w:rPr>
      </w:pPr>
      <w:bookmarkStart w:id="62" w:name="_Toc109824565"/>
      <w:r w:rsidRPr="006A784B">
        <w:rPr>
          <w:i/>
          <w:iCs w:val="0"/>
          <w:sz w:val="18"/>
          <w:szCs w:val="22"/>
          <w:rtl/>
          <w:lang w:bidi="ar-LB"/>
        </w:rPr>
        <w:t>الكشف</w:t>
      </w:r>
      <w:bookmarkEnd w:id="62"/>
    </w:p>
    <w:p w:rsidR="0080684F" w:rsidRPr="0080684F" w:rsidRDefault="0080684F" w:rsidP="0080684F">
      <w:pPr>
        <w:pStyle w:val="BodyText"/>
        <w:rPr>
          <w:rtl/>
          <w:lang w:bidi="ar-LB"/>
        </w:rPr>
      </w:pPr>
      <w:r w:rsidRPr="0080684F">
        <w:rPr>
          <w:rFonts w:hint="cs"/>
          <w:rtl/>
          <w:lang w:bidi="ar-LB"/>
        </w:rPr>
        <w:t xml:space="preserve">حسب قاموس بلاكس لو،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w:t>
      </w:r>
      <w:r w:rsidRPr="0080684F">
        <w:rPr>
          <w:rFonts w:hint="cs"/>
          <w:rtl/>
          <w:lang w:bidi="ar-LB"/>
        </w:rPr>
        <w:lastRenderedPageBreak/>
        <w:t>بواسطة الكابل (النقل السلكي).</w:t>
      </w:r>
      <w:r w:rsidRPr="0080684F">
        <w:rPr>
          <w:vertAlign w:val="superscript"/>
          <w:rtl/>
          <w:lang w:bidi="ar-EG"/>
        </w:rPr>
        <w:footnoteReference w:id="43"/>
      </w:r>
      <w:r w:rsidRPr="0080684F">
        <w:rPr>
          <w:rFonts w:hint="cs"/>
          <w:rtl/>
          <w:lang w:bidi="ar-LB"/>
        </w:rPr>
        <w:t xml:space="preserve"> وليس الاعتراف بحق كهذا التزاما بناء على القواعد الدولية لحق المؤلف. وتشير </w:t>
      </w:r>
      <w:r w:rsidRPr="0080684F">
        <w:rPr>
          <w:rFonts w:hint="cs"/>
          <w:i/>
          <w:iCs/>
          <w:rtl/>
          <w:lang w:bidi="ar-LB"/>
        </w:rPr>
        <w:t>اتفاقية برن لحماية المصنفات الأدبية والفنية</w:t>
      </w:r>
      <w:r w:rsidRPr="0080684F">
        <w:rPr>
          <w:rFonts w:hint="cs"/>
          <w:rtl/>
          <w:lang w:bidi="ar-LB"/>
        </w:rPr>
        <w:t xml:space="preserve"> (1971) إلى استخدام المصنفات المكشوف عنها للجمهور في سياق الاستثناءات، وللمؤلف الحق في الكشف عن مصنفه للعالم بأسره.</w:t>
      </w:r>
      <w:r w:rsidRPr="0080684F">
        <w:rPr>
          <w:vertAlign w:val="superscript"/>
          <w:rtl/>
          <w:lang w:bidi="ar-EG"/>
        </w:rPr>
        <w:footnoteReference w:id="44"/>
      </w:r>
      <w:r w:rsidRPr="0080684F">
        <w:rPr>
          <w:rFonts w:hint="cs"/>
          <w:rtl/>
          <w:lang w:bidi="ar-LB"/>
        </w:rPr>
        <w:t xml:space="preserve"> وبناء على بعض القوانين الوطنية، فإن "الحق في الكشف" حق معنوي.</w:t>
      </w:r>
    </w:p>
    <w:p w:rsidR="0080684F" w:rsidRPr="0025026B" w:rsidRDefault="0080684F" w:rsidP="0025026B">
      <w:pPr>
        <w:pStyle w:val="Heading2"/>
        <w:spacing w:before="240" w:after="240"/>
        <w:rPr>
          <w:i/>
          <w:iCs w:val="0"/>
          <w:sz w:val="18"/>
          <w:szCs w:val="22"/>
          <w:rtl/>
          <w:lang w:bidi="ar-LB"/>
        </w:rPr>
      </w:pPr>
      <w:bookmarkStart w:id="63" w:name="_Toc109824566"/>
      <w:r w:rsidRPr="0025026B">
        <w:rPr>
          <w:i/>
          <w:iCs w:val="0"/>
          <w:sz w:val="18"/>
          <w:szCs w:val="22"/>
          <w:rtl/>
          <w:lang w:bidi="ar-LB"/>
        </w:rPr>
        <w:t>شروط الكشف</w:t>
      </w:r>
      <w:bookmarkEnd w:id="63"/>
    </w:p>
    <w:p w:rsidR="0080684F" w:rsidRPr="0080684F" w:rsidRDefault="0080684F" w:rsidP="0080684F">
      <w:pPr>
        <w:pStyle w:val="BodyText"/>
        <w:rPr>
          <w:rtl/>
          <w:lang w:bidi="ar-LB"/>
        </w:rPr>
      </w:pPr>
      <w:r w:rsidRPr="0080684F">
        <w:rPr>
          <w:rFonts w:hint="cs"/>
          <w:rtl/>
          <w:lang w:bidi="ar-LB"/>
        </w:rPr>
        <w:t>الكشف هو مبدأ أساسي من مبادئ قانون البراءات.</w:t>
      </w:r>
      <w:r w:rsidRPr="0080684F">
        <w:rPr>
          <w:vertAlign w:val="superscript"/>
          <w:rtl/>
          <w:lang w:bidi="ar-LB"/>
        </w:rPr>
        <w:footnoteReference w:id="45"/>
      </w:r>
      <w:r w:rsidRPr="0080684F">
        <w:rPr>
          <w:rFonts w:hint="cs"/>
          <w:rtl/>
          <w:lang w:bidi="ar-LB"/>
        </w:rPr>
        <w:t xml:space="preserve"> ويفرض هذا القانون واجبا عاما على مودعي طلبات البراءات، كما تشير إلى ذلك المادة 5 من </w:t>
      </w:r>
      <w:r w:rsidRPr="0080684F">
        <w:rPr>
          <w:rFonts w:hint="cs"/>
          <w:i/>
          <w:iCs/>
          <w:rtl/>
          <w:lang w:bidi="ar-LB"/>
        </w:rPr>
        <w:t>معاهدة التعاون بشأن البراءات</w:t>
      </w:r>
      <w:r w:rsidRPr="0080684F">
        <w:rPr>
          <w:rFonts w:hint="cs"/>
          <w:rtl/>
          <w:lang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يُستخدم أيضا كمصطلح عام يشير إلى الإصلاحات التي تدخل على قانون البراءات على المستويين الإقليمي والوطني، وإلى المقترحات المقدمة لإصلاح القانون الدولي للبراءات، بهدف الاشتراط على مودعي طلبات البراءات صراحة أن يكشفوا عن عدة فئات من المعلومات المتعلقة بالمعارف التقليدية والموارد الوراثية عند استخدام المعارف والموارد في استحداث الاختراع المُطالب بحمايته في البراءة أو في طلب البراءة.</w:t>
      </w:r>
      <w:r w:rsidRPr="0080684F">
        <w:rPr>
          <w:vertAlign w:val="superscript"/>
          <w:rtl/>
          <w:lang w:bidi="ar-LB"/>
        </w:rPr>
        <w:footnoteReference w:id="46"/>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وثمة ثلاث وظائف رئيسية لأساليب الكشف المتصلة بالموارد الوراثية والمعارف التقليدية، وهي:</w:t>
      </w:r>
    </w:p>
    <w:p w:rsidR="0080684F" w:rsidRPr="0080684F" w:rsidRDefault="0080684F" w:rsidP="004E5ECA">
      <w:pPr>
        <w:pStyle w:val="BodyText"/>
        <w:numPr>
          <w:ilvl w:val="0"/>
          <w:numId w:val="18"/>
        </w:numPr>
        <w:rPr>
          <w:rtl/>
          <w:lang w:bidi="ar-LB"/>
        </w:rPr>
      </w:pPr>
      <w:r w:rsidRPr="0080684F">
        <w:rPr>
          <w:rFonts w:hint="cs"/>
          <w:rtl/>
          <w:lang w:bidi="ar-LB"/>
        </w:rPr>
        <w:t>الكشف عن أية موارد وراثية ومعارف تقليدية مستخدمة فعلا أثناء استحداث الاختراع (وهذه وظيفة تقوم على الوصف أو الشفافية وتتعلق بالموارد الوراثية والمعارف التقليدية ذاتها وعلاقتها بالاختراع)؛</w:t>
      </w:r>
    </w:p>
    <w:p w:rsidR="0080684F" w:rsidRPr="0080684F" w:rsidRDefault="0080684F" w:rsidP="004E5ECA">
      <w:pPr>
        <w:pStyle w:val="BodyText"/>
        <w:numPr>
          <w:ilvl w:val="0"/>
          <w:numId w:val="18"/>
        </w:numPr>
        <w:rPr>
          <w:rtl/>
          <w:lang w:bidi="ar-LB"/>
        </w:rPr>
      </w:pPr>
      <w:r w:rsidRPr="0080684F">
        <w:rPr>
          <w:rFonts w:hint="cs"/>
          <w:rtl/>
          <w:lang w:bidi="ar-LB"/>
        </w:rPr>
        <w:t>والكشف عن المصدر الفعلي للموارد الوراثية والمعارف التقليدية (وهذه وظيفة تتعلق بالكشف عن المكان المستحصل منه على الموارد الوراثية والمعارف التقليدية)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نسخ الاختراع)؛</w:t>
      </w:r>
    </w:p>
    <w:p w:rsidR="0080684F" w:rsidRPr="0080684F" w:rsidRDefault="0080684F" w:rsidP="004E5ECA">
      <w:pPr>
        <w:pStyle w:val="BodyText"/>
        <w:numPr>
          <w:ilvl w:val="0"/>
          <w:numId w:val="18"/>
        </w:numPr>
        <w:rPr>
          <w:rtl/>
          <w:lang w:bidi="ar-LB"/>
        </w:rPr>
      </w:pPr>
      <w:r w:rsidRPr="0080684F">
        <w:rPr>
          <w:rFonts w:hint="cs"/>
          <w:rtl/>
          <w:lang w:bidi="ar-LB"/>
        </w:rPr>
        <w:t>وتوفير تعهد أو دليل على الموافقة المسبقة المستنيرة (وهذه وظيفة الامتثال للشروط وتتعلق بشرعية النفاذ إلى الموارد الوراثية والمعارف التقليدية) وقد يقتضي ذلك بيان أن الحصول على الموارد الوراثية والمعارف التقليدية المستخدمة في الاختراع واستخدامها يتمشيان مع القوانين المطبقة في بلد المنشأ أو أحكام أي اتفاق محدد ينص على الموافقة المسبقة المستنيرة. أو قد يقتضي ذلك بيان أن طلب البراءة قد تم بموافقة مسبقة مستنيرة.</w:t>
      </w:r>
      <w:r w:rsidRPr="0080684F">
        <w:rPr>
          <w:vertAlign w:val="superscript"/>
          <w:rtl/>
          <w:lang w:bidi="ar-LB"/>
        </w:rPr>
        <w:footnoteReference w:id="47"/>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واقتُرحت آليات بديلة لشروط الكشف.</w:t>
      </w:r>
      <w:r w:rsidRPr="0080684F">
        <w:rPr>
          <w:vertAlign w:val="superscript"/>
          <w:rtl/>
          <w:lang w:bidi="ar-LB"/>
        </w:rPr>
        <w:footnoteReference w:id="48"/>
      </w:r>
      <w:r w:rsidRPr="0080684F">
        <w:rPr>
          <w:rFonts w:hint="cs"/>
          <w:rtl/>
          <w:lang w:bidi="ar-LB"/>
        </w:rPr>
        <w:t xml:space="preserve"> وثمة مبادرة دولية أخرى تقدم بها عدد من البلدان لاشتراط الكشف، في المادة 29(ثانيا)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(1994) (اتفاق تريبس).</w:t>
      </w:r>
      <w:r w:rsidRPr="0080684F">
        <w:rPr>
          <w:vertAlign w:val="superscript"/>
          <w:rtl/>
          <w:lang w:bidi="ar-LB"/>
        </w:rPr>
        <w:footnoteReference w:id="49"/>
      </w:r>
    </w:p>
    <w:p w:rsidR="0080684F" w:rsidRPr="0025026B" w:rsidRDefault="0080684F" w:rsidP="0025026B">
      <w:pPr>
        <w:pStyle w:val="Heading2"/>
        <w:spacing w:before="240" w:after="240"/>
        <w:rPr>
          <w:i/>
          <w:iCs w:val="0"/>
          <w:sz w:val="18"/>
          <w:szCs w:val="22"/>
          <w:rtl/>
          <w:lang w:bidi="ar-LB"/>
        </w:rPr>
      </w:pPr>
      <w:bookmarkStart w:id="64" w:name="_Toc109824567"/>
      <w:r w:rsidRPr="0025026B">
        <w:rPr>
          <w:i/>
          <w:iCs w:val="0"/>
          <w:sz w:val="18"/>
          <w:szCs w:val="22"/>
          <w:rtl/>
          <w:lang w:bidi="ar-LB"/>
        </w:rPr>
        <w:t>التوثيق</w:t>
      </w:r>
      <w:bookmarkEnd w:id="64"/>
    </w:p>
    <w:p w:rsidR="0080684F" w:rsidRPr="0080684F" w:rsidRDefault="0080684F" w:rsidP="0080684F">
      <w:pPr>
        <w:pStyle w:val="BodyText"/>
        <w:rPr>
          <w:rtl/>
          <w:lang w:bidi="ar-LB"/>
        </w:rPr>
      </w:pPr>
      <w:r w:rsidRPr="0080684F">
        <w:rPr>
          <w:rFonts w:hint="cs"/>
          <w:rtl/>
          <w:lang w:bidi="ar-LB"/>
        </w:rPr>
        <w:t xml:space="preserve">يعرف قاموس أكسفورد "التوثيق" بأنه تخزين المعارف والمواد المجمعة وتصنيفها ونشرها. ويشمل توثيق المعارف التقليدية وأشكال التعبير الثقافي التقليدي تدوينها أو </w:t>
      </w:r>
      <w:r w:rsidRPr="0080684F">
        <w:rPr>
          <w:rFonts w:hint="cs"/>
          <w:rtl/>
        </w:rPr>
        <w:t xml:space="preserve">كتابتها أو </w:t>
      </w:r>
      <w:r w:rsidRPr="0080684F">
        <w:rPr>
          <w:rFonts w:hint="cs"/>
          <w:rtl/>
          <w:lang w:bidi="ar-LB"/>
        </w:rPr>
        <w:t>تسجيلها على شكل صورة أو صوت وصورة – بمعنى أي شيء ينطوي على تسجيلها بطريقة تسمح بوقايتها وإتاحتها للغير. ويختلف التوثيق عن الطرق التقليدية لوقاية المعارف التقليدية وأشكال التعبير الثقافي التقليدي ونقلها داخل الجماعة.</w:t>
      </w:r>
    </w:p>
    <w:p w:rsidR="0080684F" w:rsidRPr="0080684F" w:rsidRDefault="0080684F" w:rsidP="0080684F">
      <w:pPr>
        <w:pStyle w:val="BodyText"/>
        <w:rPr>
          <w:rtl/>
          <w:lang w:bidi="ar-LB"/>
        </w:rPr>
      </w:pPr>
      <w:r w:rsidRPr="0080684F">
        <w:rPr>
          <w:rFonts w:hint="cs"/>
          <w:rtl/>
          <w:lang w:bidi="ar-LB"/>
        </w:rPr>
        <w:lastRenderedPageBreak/>
        <w:t>ويكتسي التوثيق أهمية خاصة لأنه كثيرا ما يمكّن الناس خارج المحيط التقليدي من النفاذ إلى المعارف التقليدية.</w:t>
      </w:r>
      <w:r w:rsidRPr="0080684F">
        <w:rPr>
          <w:vertAlign w:val="superscript"/>
          <w:rtl/>
          <w:lang w:bidi="ar-LB"/>
        </w:rPr>
        <w:footnoteReference w:id="50"/>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بمزيد من التفصيل المعارف التقليدية الموثقة والمعارف التقليدية غير الموثقة.</w:t>
      </w:r>
    </w:p>
    <w:p w:rsidR="0080684F" w:rsidRPr="0025026B" w:rsidRDefault="0080684F" w:rsidP="0025026B">
      <w:pPr>
        <w:pStyle w:val="Heading2"/>
        <w:spacing w:before="240" w:after="240"/>
        <w:rPr>
          <w:i/>
          <w:iCs w:val="0"/>
          <w:sz w:val="18"/>
          <w:szCs w:val="22"/>
          <w:rtl/>
          <w:lang w:bidi="ar-LB"/>
        </w:rPr>
      </w:pPr>
      <w:bookmarkStart w:id="65" w:name="_Toc109824568"/>
      <w:r w:rsidRPr="0025026B">
        <w:rPr>
          <w:i/>
          <w:iCs w:val="0"/>
          <w:sz w:val="18"/>
          <w:szCs w:val="22"/>
          <w:rtl/>
          <w:lang w:bidi="ar-LB"/>
        </w:rPr>
        <w:t>العناية الواجبة</w:t>
      </w:r>
      <w:bookmarkEnd w:id="65"/>
    </w:p>
    <w:p w:rsidR="0080684F" w:rsidRPr="0080684F" w:rsidRDefault="0080684F" w:rsidP="0080684F">
      <w:pPr>
        <w:pStyle w:val="BodyText"/>
        <w:rPr>
          <w:rtl/>
          <w:lang w:bidi="ar-LB"/>
        </w:rPr>
      </w:pPr>
      <w:r w:rsidRPr="0080684F">
        <w:rPr>
          <w:rFonts w:hint="cs"/>
          <w:rtl/>
          <w:lang w:bidi="ar-LB"/>
        </w:rPr>
        <w:t>يعرّف قاموس بلاكس لو العناية الواجبة بأنّها العناية المتوقَّعة بشكل معقول والممارَسة عادةً من قبل شخص يريد استيفاء شرط أو الوفاء بالتزام.</w:t>
      </w:r>
    </w:p>
    <w:p w:rsidR="0080684F" w:rsidRPr="0025026B" w:rsidRDefault="0080684F" w:rsidP="0025026B">
      <w:pPr>
        <w:pStyle w:val="Heading2"/>
        <w:spacing w:before="240" w:after="240"/>
        <w:rPr>
          <w:i/>
          <w:iCs w:val="0"/>
          <w:rtl/>
          <w:lang w:bidi="ar-LB"/>
        </w:rPr>
      </w:pPr>
      <w:bookmarkStart w:id="66" w:name="_Toc109824569"/>
      <w:r w:rsidRPr="0025026B">
        <w:rPr>
          <w:i/>
          <w:iCs w:val="0"/>
          <w:sz w:val="18"/>
          <w:szCs w:val="22"/>
          <w:rtl/>
          <w:lang w:bidi="ar-LB"/>
        </w:rPr>
        <w:t>المكافأة المنصفة</w:t>
      </w:r>
      <w:bookmarkEnd w:id="66"/>
    </w:p>
    <w:p w:rsidR="0080684F" w:rsidRPr="0080684F" w:rsidRDefault="0080684F" w:rsidP="0080684F">
      <w:pPr>
        <w:pStyle w:val="BodyText"/>
        <w:rPr>
          <w:rtl/>
          <w:lang w:bidi="ar-LB"/>
        </w:rPr>
      </w:pPr>
      <w:r w:rsidRPr="0080684F">
        <w:rPr>
          <w:rFonts w:hint="cs"/>
          <w:rtl/>
          <w:lang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80684F">
        <w:rPr>
          <w:vertAlign w:val="superscript"/>
          <w:rtl/>
          <w:lang w:bidi="ar-EG"/>
        </w:rPr>
        <w:footnoteReference w:id="51"/>
      </w:r>
      <w:r w:rsidRPr="0080684F">
        <w:rPr>
          <w:rFonts w:hint="cs"/>
          <w:rtl/>
          <w:lang w:bidi="ar-LB"/>
        </w:rPr>
        <w:t xml:space="preserve"> وتنص </w:t>
      </w:r>
      <w:r w:rsidRPr="0080684F">
        <w:rPr>
          <w:rFonts w:hint="cs"/>
          <w:i/>
          <w:iCs/>
          <w:rtl/>
          <w:lang w:bidi="ar-LB"/>
        </w:rPr>
        <w:t>معاهدة الويبو بشأن الأداء والتسجيل الصوتي</w:t>
      </w:r>
      <w:r w:rsidRPr="0080684F">
        <w:rPr>
          <w:rFonts w:hint="cs"/>
          <w:rtl/>
          <w:lang w:bidi="ar-LB"/>
        </w:rPr>
        <w:t>، لسنة 1996، على أن يتمتع 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(المادة 15(1)). لكن يجوز لكل طرف متعاقد أن يحد تطبيق هذا الحق أو ألا يطبقه- شريطة أن يعرب عن تحفظ على المعاهدة (المادة 15(3)).</w:t>
      </w:r>
    </w:p>
    <w:p w:rsidR="0080684F" w:rsidRPr="0025026B" w:rsidRDefault="0080684F" w:rsidP="0025026B">
      <w:pPr>
        <w:pStyle w:val="Heading2"/>
        <w:spacing w:before="240" w:after="240"/>
        <w:rPr>
          <w:sz w:val="18"/>
          <w:szCs w:val="22"/>
          <w:rtl/>
          <w:lang w:bidi="ar-LB"/>
        </w:rPr>
      </w:pPr>
      <w:bookmarkStart w:id="67" w:name="_Toc109824570"/>
      <w:r w:rsidRPr="0025026B">
        <w:rPr>
          <w:sz w:val="18"/>
          <w:szCs w:val="22"/>
          <w:rtl/>
          <w:lang w:bidi="ar-LB"/>
        </w:rPr>
        <w:t>الاستثناءات</w:t>
      </w:r>
      <w:bookmarkEnd w:id="67"/>
    </w:p>
    <w:p w:rsidR="0080684F" w:rsidRPr="0080684F" w:rsidRDefault="0080684F" w:rsidP="0080684F">
      <w:pPr>
        <w:pStyle w:val="BodyText"/>
        <w:rPr>
          <w:rtl/>
          <w:lang w:bidi="ar-LB"/>
        </w:rPr>
      </w:pPr>
      <w:r w:rsidRPr="0080684F">
        <w:rPr>
          <w:rFonts w:hint="cs"/>
          <w:rtl/>
          <w:lang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80684F">
        <w:rPr>
          <w:vertAlign w:val="superscript"/>
          <w:rtl/>
          <w:lang w:bidi="ar-LB"/>
        </w:rPr>
        <w:footnoteReference w:id="52"/>
      </w:r>
      <w:r w:rsidRPr="0080684F">
        <w:rPr>
          <w:rFonts w:hint="cs"/>
          <w:rtl/>
          <w:lang w:bidi="ar-LB"/>
        </w:rPr>
        <w:t xml:space="preserve"> وتنص </w:t>
      </w:r>
      <w:r w:rsidRPr="0080684F">
        <w:rPr>
          <w:rFonts w:hint="cs"/>
          <w:i/>
          <w:iCs/>
          <w:rtl/>
          <w:lang w:bidi="ar-LB"/>
        </w:rPr>
        <w:t>اتفاقية برن لحماية المصنفات الأدبية والفنية</w:t>
      </w:r>
      <w:r w:rsidRPr="0080684F">
        <w:rPr>
          <w:rFonts w:hint="cs"/>
          <w:rtl/>
          <w:lang w:bidi="ar-LB"/>
        </w:rPr>
        <w:t xml:space="preserve"> (1971) على تطبيق اختبار من ثلاث خطوات للبت في مقبولية الاستثناءات: "1" يجوز الاستثناء في بعض الحالات الخاصة فقط؛ "2" ويجب ألا يتعارض مع الاستغلال العادي للمصنف؛ "3" وألا يسبب ضررا بغير مبرر للمصالح المشروعة لأصحاب الحقوق.</w:t>
      </w:r>
      <w:r w:rsidRPr="0080684F">
        <w:rPr>
          <w:vertAlign w:val="superscript"/>
          <w:rtl/>
          <w:lang w:bidi="ar-LB"/>
        </w:rPr>
        <w:footnoteReference w:id="53"/>
      </w:r>
    </w:p>
    <w:p w:rsidR="0080684F" w:rsidRPr="0025026B" w:rsidRDefault="0080684F" w:rsidP="0025026B">
      <w:pPr>
        <w:pStyle w:val="Heading2"/>
        <w:spacing w:before="240" w:after="240"/>
        <w:rPr>
          <w:sz w:val="18"/>
          <w:szCs w:val="22"/>
          <w:rtl/>
          <w:lang w:bidi="ar-LB"/>
        </w:rPr>
      </w:pPr>
      <w:bookmarkStart w:id="68" w:name="_Toc109824571"/>
      <w:r w:rsidRPr="0025026B">
        <w:rPr>
          <w:sz w:val="18"/>
          <w:szCs w:val="22"/>
          <w:rtl/>
          <w:lang w:bidi="ar-LB"/>
        </w:rPr>
        <w:t>التعبير بالحركة</w:t>
      </w:r>
      <w:bookmarkEnd w:id="68"/>
    </w:p>
    <w:p w:rsidR="0080684F" w:rsidRPr="0080684F" w:rsidRDefault="0080684F" w:rsidP="0080684F">
      <w:pPr>
        <w:pStyle w:val="BodyText"/>
        <w:rPr>
          <w:rtl/>
          <w:lang w:bidi="ar-LB"/>
        </w:rPr>
      </w:pPr>
      <w:r w:rsidRPr="0080684F">
        <w:rPr>
          <w:rFonts w:hint="cs"/>
          <w:rtl/>
          <w:lang w:bidi="ar-LB"/>
        </w:rPr>
        <w:t>تحيل "أشكال التعبير بالحركة" إلى أشكال تعبير جسد الإنسان.</w:t>
      </w:r>
      <w:r w:rsidRPr="0080684F">
        <w:rPr>
          <w:vertAlign w:val="superscript"/>
          <w:rtl/>
          <w:lang w:bidi="ar-LB"/>
        </w:rPr>
        <w:footnoteReference w:id="54"/>
      </w:r>
      <w:r w:rsidRPr="0080684F">
        <w:rPr>
          <w:rFonts w:hint="cs"/>
          <w:rtl/>
          <w:lang w:bidi="ar-LB"/>
        </w:rPr>
        <w:t xml:space="preserve"> وقد تشمل رقصات فولكلورية ومسرحيات وأشكالا فنية للطقوس، ولا تحتاج إلى أخذ شكل مادي، كأن تُكتب مثلا في نوتة الرقصات.</w:t>
      </w:r>
      <w:r w:rsidRPr="0080684F">
        <w:rPr>
          <w:vertAlign w:val="superscript"/>
          <w:rtl/>
          <w:lang w:bidi="ar-LB"/>
        </w:rPr>
        <w:footnoteReference w:id="55"/>
      </w:r>
      <w:r w:rsidRPr="0080684F">
        <w:rPr>
          <w:rFonts w:hint="cs"/>
          <w:rtl/>
          <w:lang w:bidi="ar-LB"/>
        </w:rPr>
        <w:t xml:space="preserve"> </w:t>
      </w:r>
    </w:p>
    <w:p w:rsidR="0080684F" w:rsidRPr="0025026B" w:rsidRDefault="0080684F" w:rsidP="0025026B">
      <w:pPr>
        <w:pStyle w:val="Heading2"/>
        <w:spacing w:before="240" w:after="240"/>
        <w:rPr>
          <w:i/>
          <w:iCs w:val="0"/>
          <w:sz w:val="18"/>
          <w:szCs w:val="22"/>
          <w:rtl/>
          <w:lang w:bidi="ar-LB"/>
        </w:rPr>
      </w:pPr>
      <w:bookmarkStart w:id="69" w:name="_Toc109824572"/>
      <w:r w:rsidRPr="0025026B">
        <w:rPr>
          <w:i/>
          <w:iCs w:val="0"/>
          <w:sz w:val="18"/>
          <w:szCs w:val="22"/>
          <w:rtl/>
          <w:lang w:bidi="ar-LB"/>
        </w:rPr>
        <w:t>أشكال التعبير الفولكلوري</w:t>
      </w:r>
      <w:bookmarkEnd w:id="69"/>
    </w:p>
    <w:p w:rsidR="0080684F" w:rsidRPr="0080684F" w:rsidRDefault="0080684F" w:rsidP="0080684F">
      <w:pPr>
        <w:pStyle w:val="BodyText"/>
        <w:rPr>
          <w:rtl/>
          <w:lang w:bidi="ar-LB"/>
        </w:rPr>
      </w:pPr>
      <w:r w:rsidRPr="0080684F">
        <w:rPr>
          <w:rFonts w:hint="cs"/>
          <w:rtl/>
          <w:lang w:bidi="ar-LB"/>
        </w:rPr>
        <w:t xml:space="preserve">في </w:t>
      </w:r>
      <w:r w:rsidRPr="0080684F">
        <w:rPr>
          <w:rFonts w:hint="cs"/>
          <w:i/>
          <w:iCs/>
          <w:rtl/>
          <w:lang w:bidi="ar-LB"/>
        </w:rPr>
        <w:t>الأحكام النموذجية المشتركة بين الويبو ومنظمة الأمم المتحدة للتريبة والعلم والثقافة (اليونسكو)</w:t>
      </w:r>
      <w:r w:rsidRPr="0080684F">
        <w:rPr>
          <w:rFonts w:hint="cs"/>
          <w:rtl/>
          <w:lang w:bidi="ar-LB"/>
        </w:rPr>
        <w:t>، لسنة 1982، تعني "أشكال التعبير الفولكلوري" نتاجا يتكوّن من عناصر يختص بها التراث الثقافي التقليدي الذي يجري تطويره وصونه على يد جماعة في بلد معين أو أفراد يجسدون التطلعات الفنية التقليدية لتلك الجماعة، ومنها بالأخص ما يلي:</w:t>
      </w:r>
    </w:p>
    <w:p w:rsidR="0080684F" w:rsidRPr="0080684F" w:rsidRDefault="0080684F" w:rsidP="00726E12">
      <w:pPr>
        <w:pStyle w:val="BodyText"/>
        <w:spacing w:after="120"/>
        <w:ind w:firstLine="567"/>
        <w:rPr>
          <w:rtl/>
          <w:lang w:bidi="ar-LB"/>
        </w:rPr>
      </w:pPr>
      <w:r w:rsidRPr="0080684F">
        <w:rPr>
          <w:rFonts w:hint="cs"/>
          <w:rtl/>
          <w:lang w:bidi="ar-LB"/>
        </w:rPr>
        <w:t>"1"</w:t>
      </w:r>
      <w:r w:rsidRPr="0080684F">
        <w:rPr>
          <w:rFonts w:hint="cs"/>
          <w:rtl/>
          <w:lang w:bidi="ar-LB"/>
        </w:rPr>
        <w:tab/>
        <w:t>أشكال التعبير الشفهي، مثل الحكايات الشعبية وقصائد الشعر الشعبي والأحاجي؛</w:t>
      </w:r>
    </w:p>
    <w:p w:rsidR="0080684F" w:rsidRPr="0080684F" w:rsidRDefault="0080684F" w:rsidP="00726E12">
      <w:pPr>
        <w:pStyle w:val="BodyText"/>
        <w:spacing w:after="120"/>
        <w:ind w:firstLine="567"/>
        <w:rPr>
          <w:rtl/>
          <w:lang w:bidi="ar-LB"/>
        </w:rPr>
      </w:pPr>
      <w:r w:rsidRPr="0080684F">
        <w:rPr>
          <w:rFonts w:hint="cs"/>
          <w:rtl/>
          <w:lang w:bidi="ar-LB"/>
        </w:rPr>
        <w:t>"2"</w:t>
      </w:r>
      <w:r w:rsidRPr="0080684F">
        <w:rPr>
          <w:rFonts w:hint="cs"/>
          <w:rtl/>
          <w:lang w:bidi="ar-LB"/>
        </w:rPr>
        <w:tab/>
        <w:t>وأشكال التعبير الموسيقي، مثل الأغاني الشعبية والمعزوفات الموسيقية؛</w:t>
      </w:r>
    </w:p>
    <w:p w:rsidR="0080684F" w:rsidRPr="0080684F" w:rsidRDefault="0080684F" w:rsidP="00726E12">
      <w:pPr>
        <w:pStyle w:val="BodyText"/>
        <w:spacing w:after="120"/>
        <w:ind w:left="1137" w:hanging="570"/>
        <w:rPr>
          <w:rtl/>
          <w:lang w:bidi="ar-LB"/>
        </w:rPr>
      </w:pPr>
      <w:r w:rsidRPr="0080684F">
        <w:rPr>
          <w:rFonts w:hint="cs"/>
          <w:rtl/>
          <w:lang w:bidi="ar-LB"/>
        </w:rPr>
        <w:lastRenderedPageBreak/>
        <w:t>"3"</w:t>
      </w:r>
      <w:r w:rsidRPr="0080684F">
        <w:rPr>
          <w:rFonts w:hint="cs"/>
          <w:rtl/>
          <w:lang w:bidi="ar-LB"/>
        </w:rPr>
        <w:tab/>
        <w:t>وأشكال التعبير بالحركة، مثل الرقصات والعروض المسرحية الشعبية وأشكال التعبير الفني أو الطقوس، سواء كانت مختصَرة في شكل مادي أو لم تكن كذلك؛</w:t>
      </w:r>
    </w:p>
    <w:p w:rsidR="0080684F" w:rsidRPr="0080684F" w:rsidRDefault="0080684F" w:rsidP="004A642B">
      <w:pPr>
        <w:pStyle w:val="BodyText"/>
        <w:ind w:firstLine="567"/>
        <w:rPr>
          <w:rtl/>
          <w:lang w:bidi="ar-LB"/>
        </w:rPr>
      </w:pPr>
      <w:r w:rsidRPr="0080684F">
        <w:rPr>
          <w:rFonts w:hint="cs"/>
          <w:rtl/>
          <w:lang w:bidi="ar-LB"/>
        </w:rPr>
        <w:t>"4"</w:t>
      </w:r>
      <w:r w:rsidRPr="0080684F">
        <w:rPr>
          <w:rFonts w:hint="cs"/>
          <w:rtl/>
          <w:lang w:bidi="ar-LB"/>
        </w:rPr>
        <w:tab/>
        <w:t>وأشكال التعبير الملموس.</w:t>
      </w:r>
      <w:r w:rsidRPr="0080684F">
        <w:rPr>
          <w:vertAlign w:val="superscript"/>
          <w:rtl/>
          <w:lang w:bidi="ar-LB"/>
        </w:rPr>
        <w:footnoteReference w:id="56"/>
      </w:r>
    </w:p>
    <w:p w:rsidR="0080684F" w:rsidRPr="0080684F" w:rsidRDefault="0080684F" w:rsidP="0080684F">
      <w:pPr>
        <w:pStyle w:val="BodyText"/>
        <w:rPr>
          <w:rtl/>
          <w:lang w:bidi="ar-LB"/>
        </w:rPr>
      </w:pPr>
      <w:r w:rsidRPr="0080684F">
        <w:rPr>
          <w:rFonts w:hint="cs"/>
          <w:rtl/>
          <w:lang w:bidi="ar-LB"/>
        </w:rPr>
        <w:t>وفي سياق لجنة المعارف، فإن المصطلحين "أشكال التعبير الثقافي التقليدي" و"أشكال التعبير الفولكلوري" مترادفان ويُستخدمان الواحد بدل الآخر.</w:t>
      </w:r>
    </w:p>
    <w:p w:rsidR="0080684F" w:rsidRPr="0025026B" w:rsidRDefault="0080684F" w:rsidP="0025026B">
      <w:pPr>
        <w:pStyle w:val="Heading2"/>
        <w:spacing w:before="240" w:after="240"/>
        <w:rPr>
          <w:i/>
          <w:iCs w:val="0"/>
          <w:szCs w:val="22"/>
          <w:rtl/>
          <w:lang w:bidi="ar-LB"/>
        </w:rPr>
      </w:pPr>
      <w:bookmarkStart w:id="70" w:name="_Toc109824573"/>
      <w:r w:rsidRPr="0025026B">
        <w:rPr>
          <w:i/>
          <w:iCs w:val="0"/>
          <w:szCs w:val="22"/>
          <w:rtl/>
          <w:lang w:bidi="ar-LB"/>
        </w:rPr>
        <w:t>الصيانة خارج الوضع الطبيعي</w:t>
      </w:r>
      <w:bookmarkEnd w:id="70"/>
    </w:p>
    <w:p w:rsidR="0080684F" w:rsidRPr="0080684F" w:rsidRDefault="0080684F" w:rsidP="0080684F">
      <w:pPr>
        <w:pStyle w:val="BodyText"/>
        <w:rPr>
          <w:rtl/>
        </w:rPr>
      </w:pPr>
      <w:r w:rsidRPr="0080684F">
        <w:rPr>
          <w:rFonts w:hint="cs"/>
          <w:rtl/>
        </w:rPr>
        <w:t>بالإشارة إلى تعريف "الصيانة خارج الوضع الطبيعي" في المادة 2 من</w:t>
      </w:r>
      <w:r w:rsidRPr="0080684F">
        <w:rPr>
          <w:rFonts w:hint="cs"/>
          <w:i/>
          <w:iCs/>
          <w:rtl/>
        </w:rPr>
        <w:t xml:space="preserve"> اتفاقية التنوع البيولوجي </w:t>
      </w:r>
      <w:r w:rsidRPr="0080684F">
        <w:rPr>
          <w:rFonts w:hint="cs"/>
          <w:rtl/>
        </w:rPr>
        <w:t>(1992)، فقد يفهم أن المقصود من مصطلح "خارج الوضع الطبيعي" هي "عناصر التنوع البيولوجي خارج محيطاتها الطبيعية".</w:t>
      </w:r>
    </w:p>
    <w:p w:rsidR="0080684F" w:rsidRPr="0025026B" w:rsidRDefault="0080684F" w:rsidP="0025026B">
      <w:pPr>
        <w:pStyle w:val="Heading2"/>
        <w:spacing w:before="240" w:after="240"/>
        <w:rPr>
          <w:i/>
          <w:iCs w:val="0"/>
          <w:szCs w:val="22"/>
          <w:rtl/>
          <w:lang w:bidi="ar-LB"/>
        </w:rPr>
      </w:pPr>
      <w:bookmarkStart w:id="71" w:name="_Toc109824574"/>
      <w:r w:rsidRPr="0025026B">
        <w:rPr>
          <w:i/>
          <w:iCs w:val="0"/>
          <w:szCs w:val="22"/>
          <w:rtl/>
          <w:lang w:bidi="ar-LB"/>
        </w:rPr>
        <w:t>حسن الاستعمال</w:t>
      </w:r>
      <w:bookmarkEnd w:id="71"/>
    </w:p>
    <w:p w:rsidR="0080684F" w:rsidRPr="0080684F" w:rsidRDefault="0080684F" w:rsidP="0080684F">
      <w:pPr>
        <w:pStyle w:val="BodyText"/>
        <w:rPr>
          <w:rtl/>
        </w:rPr>
      </w:pPr>
      <w:r w:rsidRPr="0080684F">
        <w:rPr>
          <w:rFonts w:hint="cs"/>
          <w:rtl/>
        </w:rPr>
        <w:t xml:space="preserve">تستخدم </w:t>
      </w:r>
      <w:r w:rsidRPr="0080684F">
        <w:rPr>
          <w:rFonts w:hint="cs"/>
          <w:i/>
          <w:iCs/>
          <w:rtl/>
        </w:rPr>
        <w:t>اتفاقية برن لحماية المصنفات الأدبية والفنية</w:t>
      </w:r>
      <w:r w:rsidRPr="0080684F">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في حدود ما يبرره الغرض المنشود- على سبيل التوضيح للأغراض التعليمية). ومن أجل تحديد نوع الاستعمال الذي يمكن اعتباره "حسن استعمال"، ينبغي مراعاة اختبار الخطوات الثلاث.</w:t>
      </w:r>
      <w:r w:rsidRPr="0080684F">
        <w:rPr>
          <w:vertAlign w:val="superscript"/>
          <w:rtl/>
        </w:rPr>
        <w:footnoteReference w:id="57"/>
      </w:r>
    </w:p>
    <w:p w:rsidR="0080684F" w:rsidRPr="0025026B" w:rsidRDefault="0080684F" w:rsidP="0025026B">
      <w:pPr>
        <w:pStyle w:val="Heading2"/>
        <w:spacing w:before="240" w:after="240"/>
        <w:rPr>
          <w:i/>
          <w:iCs w:val="0"/>
          <w:szCs w:val="22"/>
          <w:rtl/>
          <w:lang w:bidi="ar-LB"/>
        </w:rPr>
      </w:pPr>
      <w:bookmarkStart w:id="72" w:name="_Toc109824575"/>
      <w:r w:rsidRPr="0025026B">
        <w:rPr>
          <w:i/>
          <w:iCs w:val="0"/>
          <w:szCs w:val="22"/>
          <w:rtl/>
          <w:lang w:bidi="ar-LB"/>
        </w:rPr>
        <w:t>حقوق المزارعين</w:t>
      </w:r>
      <w:bookmarkEnd w:id="72"/>
    </w:p>
    <w:p w:rsidR="0080684F" w:rsidRPr="0080684F" w:rsidRDefault="0080684F" w:rsidP="0080684F">
      <w:pPr>
        <w:pStyle w:val="BodyText"/>
        <w:rPr>
          <w:rtl/>
          <w:lang w:bidi="ar-LB"/>
        </w:rPr>
      </w:pPr>
      <w:r w:rsidRPr="0080684F">
        <w:rPr>
          <w:rFonts w:hint="cs"/>
          <w:rtl/>
          <w:lang w:bidi="ar-LB"/>
        </w:rPr>
        <w:t xml:space="preserve">تقر المادة 1.9 من </w:t>
      </w:r>
      <w:r w:rsidRPr="0080684F">
        <w:rPr>
          <w:rFonts w:hint="cs"/>
          <w:i/>
          <w:iCs/>
          <w:rtl/>
          <w:lang w:bidi="ar-LB"/>
        </w:rPr>
        <w:t>المعاهدة الدولية لمنظمة الأغذية والزراعة (الفاو) بشأن الموارد الوراثية النباتية للأغذية والزراعة</w:t>
      </w:r>
      <w:r w:rsidRPr="0080684F">
        <w:rPr>
          <w:rFonts w:hint="cs"/>
          <w:rtl/>
          <w:lang w:bidi="ar-LB"/>
        </w:rPr>
        <w:t xml:space="preserve"> على ما يلي: "الإسهام الهائل الذي قدمته المجتمعات المحلية والأصلية والمزارعون في جميع أقاليم العالم، ولا سيما أولئك الذين هم في مراكز المنشأ والتنوع المحصولي، وما زالوا يقدمونه لأجل صيانة وتنمية الموارد الوراثية النباتية التي تشكل قاعدة الإنتاج الغذائي والزراعي في مختلف أنحاء العالم". وتعرّف المادة 2.9 مصطلح "حقوق المزارعين" بأنها "(أ) حماية المعارف التقليدية ذات الصلة بالموارد الوراثية النباتية للأغذية والزراعة. (ب) الحق في المشاركة المتكافئة في اقتسام المنافع الناشئة عن استخدام الموارد الوراثية النباتية للأغذية والزراعة، (ج) الحق في المشاركة في صنع القرارات، على المستوى القطري، بشأن المسائل المرتبطة بصيانة الموارد الوراثية النباتية للأغذية والزراعة واستخدامها المستدام". وجاء في المادة 2 من </w:t>
      </w:r>
      <w:r w:rsidRPr="0080684F">
        <w:rPr>
          <w:rFonts w:hint="cs"/>
          <w:i/>
          <w:iCs/>
          <w:rtl/>
          <w:lang w:bidi="ar-LB"/>
        </w:rPr>
        <w:t>مدونة منظمة الأغذية والزراعة (الفاو) لقواعد السلوك الدولية في جمع ونقل الجبلة الجرثومية النباتية</w:t>
      </w:r>
      <w:r w:rsidRPr="0080684F">
        <w:rPr>
          <w:rFonts w:hint="cs"/>
          <w:rtl/>
          <w:lang w:bidi="ar-LB"/>
        </w:rPr>
        <w:t xml:space="preserve"> أن "حقوق المزارعين" هي "الحقوق الناشئة عن مساهمات المزارعين في الماضي والحاضر والمستقبل في صون الموارد الوراثية النباتية وتحسينها وإتاحتها، ولا سيما تلك الموجودة في مراكز المنشأ/التنوع المحصولي. وتعود هذه الحقوق للمجتمع الدولي باعتباره ولي أمر أجيال المزارعين الحالية والقادمة بغرض ضمان انتفاع كامل للمزارعين، ودعم استمرار مساهماتهم وتحقيق المقاصد العامة لتعهد الفاو الدولي بشأن الموارد الوراثية النباتية."</w:t>
      </w:r>
    </w:p>
    <w:p w:rsidR="0080684F" w:rsidRPr="0025026B" w:rsidRDefault="0080684F" w:rsidP="0025026B">
      <w:pPr>
        <w:pStyle w:val="Heading2"/>
        <w:spacing w:before="240" w:after="240"/>
        <w:rPr>
          <w:i/>
          <w:iCs w:val="0"/>
          <w:szCs w:val="22"/>
          <w:rtl/>
          <w:lang w:bidi="ar-LB"/>
        </w:rPr>
      </w:pPr>
      <w:bookmarkStart w:id="73" w:name="_Toc109824576"/>
      <w:r w:rsidRPr="0025026B">
        <w:rPr>
          <w:i/>
          <w:iCs w:val="0"/>
          <w:szCs w:val="22"/>
          <w:rtl/>
          <w:lang w:bidi="ar-LB"/>
        </w:rPr>
        <w:t>التثبيت</w:t>
      </w:r>
      <w:bookmarkEnd w:id="73"/>
    </w:p>
    <w:p w:rsidR="0080684F" w:rsidRPr="0080684F" w:rsidRDefault="0080684F" w:rsidP="0080684F">
      <w:pPr>
        <w:pStyle w:val="BodyText"/>
        <w:rPr>
          <w:rtl/>
          <w:lang w:bidi="ar-LB"/>
        </w:rPr>
      </w:pPr>
      <w:r w:rsidRPr="0080684F">
        <w:rPr>
          <w:rFonts w:hint="cs"/>
          <w:rtl/>
          <w:lang w:bidi="ar-LB"/>
        </w:rPr>
        <w:t>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إدراك المصنف أو الموضوع المحمي بموجب الحقوق المجاورة أو نسخه أو نقله إلى الجمهور.</w:t>
      </w:r>
      <w:r w:rsidRPr="0080684F">
        <w:rPr>
          <w:vertAlign w:val="superscript"/>
          <w:rtl/>
          <w:lang w:bidi="ar-LB"/>
        </w:rPr>
        <w:footnoteReference w:id="58"/>
      </w:r>
      <w:r w:rsidRPr="0080684F">
        <w:rPr>
          <w:rFonts w:hint="cs"/>
          <w:rtl/>
          <w:lang w:bidi="ar-LB"/>
        </w:rPr>
        <w:t xml:space="preserve"> ولا يكون التثبيت في صيغة مادية دائما شرطا مسبقا لأهلية الحماية، لكن </w:t>
      </w:r>
      <w:r w:rsidRPr="0080684F">
        <w:rPr>
          <w:rFonts w:hint="cs"/>
          <w:i/>
          <w:iCs/>
          <w:rtl/>
          <w:lang w:bidi="ar-LB"/>
        </w:rPr>
        <w:t>اتفاقية برن لحماية المصنفات الأدبية والفنية</w:t>
      </w:r>
      <w:r w:rsidRPr="0080684F">
        <w:rPr>
          <w:rFonts w:hint="cs"/>
          <w:rtl/>
          <w:lang w:bidi="ar-LB"/>
        </w:rPr>
        <w:t xml:space="preserve"> (1971) تسمح بأن تنص القوانين الوطنية لحق المؤلف على التثبيت كشرط مسبق.</w:t>
      </w:r>
      <w:r w:rsidRPr="0080684F">
        <w:rPr>
          <w:vertAlign w:val="superscript"/>
          <w:rtl/>
          <w:lang w:bidi="ar-LB"/>
        </w:rPr>
        <w:footnoteReference w:id="59"/>
      </w:r>
      <w:r w:rsidRPr="0080684F">
        <w:rPr>
          <w:rFonts w:hint="cs"/>
          <w:rtl/>
          <w:lang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80684F">
        <w:rPr>
          <w:vertAlign w:val="superscript"/>
          <w:rtl/>
          <w:lang w:bidi="ar-LB"/>
        </w:rPr>
        <w:footnoteReference w:id="60"/>
      </w:r>
      <w:r w:rsidRPr="0080684F">
        <w:rPr>
          <w:rFonts w:hint="cs"/>
          <w:rtl/>
          <w:lang w:bidi="ar-LB"/>
        </w:rPr>
        <w:t xml:space="preserve"> وقيل إن استخدام مصطلح "تعبير" قد يوحي بوجود شرط للتثبيت من أجل حماية أشكال التعبير الثقافي التقليدي.</w:t>
      </w:r>
      <w:r w:rsidRPr="0080684F">
        <w:rPr>
          <w:vertAlign w:val="superscript"/>
          <w:rtl/>
          <w:lang w:bidi="ar-LB"/>
        </w:rPr>
        <w:footnoteReference w:id="61"/>
      </w:r>
    </w:p>
    <w:p w:rsidR="0080684F" w:rsidRPr="0025026B" w:rsidRDefault="0080684F" w:rsidP="0025026B">
      <w:pPr>
        <w:pStyle w:val="Heading2"/>
        <w:spacing w:before="240" w:after="240"/>
        <w:rPr>
          <w:i/>
          <w:iCs w:val="0"/>
          <w:sz w:val="18"/>
          <w:szCs w:val="22"/>
          <w:rtl/>
          <w:lang w:bidi="ar-LB"/>
        </w:rPr>
      </w:pPr>
      <w:bookmarkStart w:id="74" w:name="_Toc109824577"/>
      <w:r w:rsidRPr="0025026B">
        <w:rPr>
          <w:i/>
          <w:iCs w:val="0"/>
          <w:sz w:val="18"/>
          <w:szCs w:val="22"/>
          <w:rtl/>
          <w:lang w:bidi="ar-LB"/>
        </w:rPr>
        <w:lastRenderedPageBreak/>
        <w:t>الفولكلور</w:t>
      </w:r>
      <w:bookmarkEnd w:id="74"/>
    </w:p>
    <w:p w:rsidR="0080684F" w:rsidRPr="0080684F" w:rsidRDefault="0080684F" w:rsidP="0080684F">
      <w:pPr>
        <w:pStyle w:val="BodyText"/>
        <w:rPr>
          <w:rtl/>
          <w:lang w:bidi="ar-LB"/>
        </w:rPr>
      </w:pPr>
      <w:r w:rsidRPr="0080684F">
        <w:rPr>
          <w:rFonts w:hint="cs"/>
          <w:rtl/>
          <w:lang w:bidi="ar-LB"/>
        </w:rPr>
        <w:t xml:space="preserve">جاء في </w:t>
      </w:r>
      <w:r w:rsidRPr="0080684F">
        <w:rPr>
          <w:rFonts w:hint="cs"/>
          <w:i/>
          <w:iCs/>
          <w:rtl/>
          <w:lang w:bidi="ar-LB"/>
        </w:rPr>
        <w:t>توصية منظمة الأمم المتحدة للتريبة والعلم والثقافة (اليونسكو) لسنة 1989 بشأن صون الثقافة التقليدية والفولكلور</w:t>
      </w:r>
      <w:r w:rsidRPr="0080684F">
        <w:rPr>
          <w:rFonts w:hint="cs"/>
          <w:rtl/>
          <w:lang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80684F" w:rsidRPr="0080684F" w:rsidRDefault="0080684F" w:rsidP="0080684F">
      <w:pPr>
        <w:pStyle w:val="BodyText"/>
        <w:rPr>
          <w:rtl/>
          <w:lang w:bidi="ar-LB"/>
        </w:rPr>
      </w:pPr>
      <w:r w:rsidRPr="0080684F">
        <w:rPr>
          <w:rFonts w:hint="cs"/>
          <w:rtl/>
          <w:lang w:bidi="ar-LB"/>
        </w:rPr>
        <w:t xml:space="preserve">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 بانغي لسنة 1977 للاتفاقية المتعلقة بالمنظمة الأفريقية للملكية الفكرية،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80684F">
        <w:rPr>
          <w:rFonts w:hint="cs"/>
          <w:i/>
          <w:iCs/>
          <w:rtl/>
          <w:lang w:bidi="ar-LB"/>
        </w:rPr>
        <w:t>قانون تونس النموذجي</w:t>
      </w:r>
      <w:r w:rsidRPr="0080684F">
        <w:rPr>
          <w:rFonts w:hint="cs"/>
          <w:rtl/>
          <w:lang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80684F">
        <w:rPr>
          <w:rFonts w:hint="cs"/>
          <w:i/>
          <w:iCs/>
          <w:rtl/>
          <w:lang w:bidi="ar-LB"/>
        </w:rPr>
        <w:t>اتفاقية المنظمة الأفريقية للملكية الفكرية</w:t>
      </w:r>
      <w:r w:rsidRPr="0080684F">
        <w:rPr>
          <w:rFonts w:hint="cs"/>
          <w:rtl/>
          <w:lang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80684F">
        <w:rPr>
          <w:rFonts w:hint="cs"/>
          <w:i/>
          <w:iCs/>
          <w:rtl/>
          <w:lang w:bidi="ar-LB"/>
        </w:rPr>
        <w:t>قانون تونس النموذجي</w:t>
      </w:r>
      <w:r w:rsidRPr="0080684F">
        <w:rPr>
          <w:rFonts w:hint="cs"/>
          <w:rtl/>
          <w:lang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80684F">
        <w:rPr>
          <w:rFonts w:hint="cs"/>
          <w:i/>
          <w:iCs/>
          <w:rtl/>
          <w:lang w:bidi="ar-LB"/>
        </w:rPr>
        <w:t>اتفاقية المنظمة الأفريقية للملكية الفكرية</w:t>
      </w:r>
      <w:r w:rsidRPr="0080684F">
        <w:rPr>
          <w:rFonts w:hint="cs"/>
          <w:rtl/>
          <w:lang w:bidi="ar-LB"/>
        </w:rPr>
        <w:t xml:space="preserve"> </w:t>
      </w:r>
      <w:r w:rsidRPr="0080684F">
        <w:rPr>
          <w:rFonts w:hint="cs"/>
          <w:i/>
          <w:iCs/>
          <w:rtl/>
          <w:lang w:bidi="ar-LB"/>
        </w:rPr>
        <w:t>وقانون تونس النموذجي</w:t>
      </w:r>
      <w:r w:rsidRPr="0080684F">
        <w:rPr>
          <w:rFonts w:hint="cs"/>
          <w:rtl/>
          <w:lang w:bidi="ar-LB"/>
        </w:rPr>
        <w:t xml:space="preserve"> على تضمن الفولكلور المصنفات العلمية أيضا. وتعترف أغلبية الأنظمة المذكورة "بالمصنفات المستلهمة </w:t>
      </w:r>
      <w:r w:rsidRPr="0080684F">
        <w:rPr>
          <w:rFonts w:hint="cs"/>
          <w:i/>
          <w:iCs/>
          <w:rtl/>
          <w:lang w:bidi="ar-LB"/>
        </w:rPr>
        <w:t>من</w:t>
      </w:r>
      <w:r w:rsidRPr="0080684F">
        <w:rPr>
          <w:rFonts w:hint="cs"/>
          <w:rtl/>
          <w:lang w:bidi="ar-LB"/>
        </w:rPr>
        <w:t xml:space="preserve"> الفولكلور" كفئة مختلفة من المصنفات ويحتاج استخدامها لأغراض تجارية موافقة هيئة مختصة.</w:t>
      </w:r>
      <w:r w:rsidRPr="0080684F">
        <w:rPr>
          <w:vertAlign w:val="superscript"/>
          <w:rtl/>
          <w:lang w:bidi="ar-LB"/>
        </w:rPr>
        <w:footnoteReference w:id="62"/>
      </w:r>
    </w:p>
    <w:p w:rsidR="0080684F" w:rsidRPr="0025026B" w:rsidRDefault="0080684F" w:rsidP="0025026B">
      <w:pPr>
        <w:pStyle w:val="Heading2"/>
        <w:spacing w:before="240" w:after="240"/>
        <w:rPr>
          <w:i/>
          <w:iCs w:val="0"/>
          <w:sz w:val="18"/>
          <w:szCs w:val="22"/>
          <w:rtl/>
          <w:lang w:bidi="ar-LB"/>
        </w:rPr>
      </w:pPr>
      <w:bookmarkStart w:id="75" w:name="_Toc109824578"/>
      <w:r w:rsidRPr="0025026B">
        <w:rPr>
          <w:i/>
          <w:iCs w:val="0"/>
          <w:sz w:val="18"/>
          <w:szCs w:val="22"/>
          <w:rtl/>
          <w:lang w:bidi="ar-LB"/>
        </w:rPr>
        <w:t>الإجراء الشكلي</w:t>
      </w:r>
      <w:bookmarkEnd w:id="75"/>
    </w:p>
    <w:p w:rsidR="0080684F" w:rsidRPr="0080684F" w:rsidRDefault="0080684F" w:rsidP="0080684F">
      <w:pPr>
        <w:pStyle w:val="BodyText"/>
        <w:rPr>
          <w:rtl/>
          <w:lang w:bidi="ar-LB"/>
        </w:rPr>
      </w:pPr>
      <w:r w:rsidRPr="0080684F">
        <w:rPr>
          <w:rFonts w:hint="cs"/>
          <w:rtl/>
          <w:lang w:bidi="ar-LB"/>
        </w:rPr>
        <w:t>يعرّف قاموس بلاكس لو الإجراء الشكلي على أنه فعل، ولا 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80684F">
        <w:rPr>
          <w:vertAlign w:val="superscript"/>
          <w:rtl/>
          <w:lang w:bidi="ar-LB"/>
        </w:rPr>
        <w:footnoteReference w:id="63"/>
      </w:r>
      <w:r w:rsidRPr="0080684F">
        <w:rPr>
          <w:rFonts w:hint="cs"/>
          <w:rtl/>
          <w:lang w:bidi="ar-LB"/>
        </w:rPr>
        <w:t xml:space="preserve"> وبناء على </w:t>
      </w:r>
      <w:r w:rsidRPr="0080684F">
        <w:rPr>
          <w:rFonts w:hint="cs"/>
          <w:i/>
          <w:iCs/>
          <w:rtl/>
          <w:lang w:bidi="ar-LB"/>
        </w:rPr>
        <w:t>اتفاقية برن لحماية المصنفات الأدبية والفنية</w:t>
      </w:r>
      <w:r w:rsidRPr="0080684F">
        <w:rPr>
          <w:rFonts w:hint="cs"/>
          <w:rtl/>
          <w:lang w:bidi="ar-LB"/>
        </w:rPr>
        <w:t xml:space="preserve"> (1971) و</w:t>
      </w:r>
      <w:r w:rsidRPr="0080684F">
        <w:rPr>
          <w:rFonts w:hint="cs"/>
          <w:i/>
          <w:iCs/>
          <w:rtl/>
          <w:lang w:bidi="ar-LB"/>
        </w:rPr>
        <w:t xml:space="preserve">اتفاق منظمة التجارة العالمية بشأن جوانب حقوق الملكية المتصلة بالتجارة </w:t>
      </w:r>
      <w:r w:rsidRPr="0080684F">
        <w:rPr>
          <w:rFonts w:hint="cs"/>
          <w:rtl/>
          <w:lang w:bidi="ar-LB"/>
        </w:rPr>
        <w:t>(اتفاق تريبس) و</w:t>
      </w:r>
      <w:r w:rsidRPr="0080684F">
        <w:rPr>
          <w:rFonts w:hint="cs"/>
          <w:i/>
          <w:iCs/>
          <w:rtl/>
          <w:lang w:bidi="ar-LB"/>
        </w:rPr>
        <w:t>معاهدة الويبو بشأن حق المؤلف</w:t>
      </w:r>
      <w:r w:rsidRPr="0080684F">
        <w:rPr>
          <w:rFonts w:hint="cs"/>
          <w:rtl/>
          <w:lang w:bidi="ar-LB"/>
        </w:rPr>
        <w:t xml:space="preserve"> و</w:t>
      </w:r>
      <w:r w:rsidRPr="0080684F">
        <w:rPr>
          <w:rFonts w:hint="cs"/>
          <w:i/>
          <w:iCs/>
          <w:rtl/>
          <w:lang w:bidi="ar-LB"/>
        </w:rPr>
        <w:t>معاهدة الويبو بشأن الأداء والتسجيل الصوتي</w:t>
      </w:r>
      <w:r w:rsidRPr="0080684F">
        <w:rPr>
          <w:rFonts w:hint="cs"/>
          <w:rtl/>
          <w:lang w:bidi="ar-LB"/>
        </w:rPr>
        <w:t>، لا يخضع التمتع بالحقوق وممارستها لأي إجراء شكلي.</w:t>
      </w:r>
      <w:r w:rsidRPr="0080684F">
        <w:rPr>
          <w:vertAlign w:val="superscript"/>
          <w:rtl/>
          <w:lang w:bidi="ar-LB"/>
        </w:rPr>
        <w:footnoteReference w:id="64"/>
      </w:r>
    </w:p>
    <w:p w:rsidR="0080684F" w:rsidRPr="00720E5B" w:rsidRDefault="0080684F" w:rsidP="00720E5B">
      <w:pPr>
        <w:pStyle w:val="Heading2"/>
        <w:spacing w:before="240" w:after="240"/>
        <w:rPr>
          <w:i/>
          <w:iCs w:val="0"/>
          <w:sz w:val="18"/>
          <w:szCs w:val="22"/>
          <w:rtl/>
          <w:lang w:bidi="ar-LB"/>
        </w:rPr>
      </w:pPr>
      <w:bookmarkStart w:id="76" w:name="_Toc109824579"/>
      <w:r w:rsidRPr="00720E5B">
        <w:rPr>
          <w:i/>
          <w:iCs w:val="0"/>
          <w:sz w:val="18"/>
          <w:szCs w:val="22"/>
          <w:rtl/>
          <w:lang w:bidi="ar-LB"/>
        </w:rPr>
        <w:t>المواد الوراثية/الجينية</w:t>
      </w:r>
      <w:bookmarkEnd w:id="76"/>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"المواد الجينية" على أنها "أية مواد من أصل نباتي أو حيواني أو جرثومي أو غيرها من الأصول تحتوي على وحدات عاملة للوراثة". واقتُرح كذلك أن من الممكن فهم مصطلح المواد الوراثية على أنه "مواد من أي مصدر بيولوجي تحتوي على وحدات وراثية عاملة أو لها وظيفة".</w:t>
      </w:r>
      <w:r w:rsidRPr="0080684F">
        <w:rPr>
          <w:vertAlign w:val="superscript"/>
          <w:rtl/>
          <w:lang w:bidi="ar-LB"/>
        </w:rPr>
        <w:footnoteReference w:id="65"/>
      </w:r>
    </w:p>
    <w:p w:rsidR="0080684F" w:rsidRPr="00720E5B" w:rsidRDefault="0080684F" w:rsidP="00720E5B">
      <w:pPr>
        <w:pStyle w:val="Heading2"/>
        <w:spacing w:before="240" w:after="240"/>
        <w:rPr>
          <w:i/>
          <w:iCs w:val="0"/>
          <w:sz w:val="18"/>
          <w:szCs w:val="22"/>
          <w:rtl/>
          <w:lang w:bidi="ar-LB"/>
        </w:rPr>
      </w:pPr>
      <w:bookmarkStart w:id="77" w:name="_Toc109824580"/>
      <w:r w:rsidRPr="00720E5B">
        <w:rPr>
          <w:i/>
          <w:iCs w:val="0"/>
          <w:sz w:val="18"/>
          <w:szCs w:val="22"/>
          <w:rtl/>
          <w:lang w:bidi="ar-LB"/>
        </w:rPr>
        <w:lastRenderedPageBreak/>
        <w:t>الموارد الوراثية/الجينية</w:t>
      </w:r>
      <w:bookmarkEnd w:id="77"/>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"الموارد الجينية" على أنه "المواد الجينية ذات القيمة الفعلية أو المحتملة".</w:t>
      </w:r>
    </w:p>
    <w:p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"الموارد الوراثية" عموماً على أنها "جميع المواد البيولوجية التي تحتوي على معلومات وراثية ذات قيمة أو ذات قيمة فعلية أو محتملة".</w:t>
      </w:r>
    </w:p>
    <w:p w:rsidR="0080684F" w:rsidRPr="0080684F" w:rsidRDefault="0080684F" w:rsidP="0080684F">
      <w:pPr>
        <w:pStyle w:val="BodyText"/>
        <w:rPr>
          <w:rtl/>
          <w:lang w:bidi="ar-LB"/>
        </w:rPr>
      </w:pPr>
      <w:r w:rsidRPr="0080684F">
        <w:rPr>
          <w:rFonts w:hint="cs"/>
          <w:rtl/>
          <w:lang w:bidi="ar-LB"/>
        </w:rPr>
        <w:t>ويعرّف مسرد منظمة الأغذية والزراعة للأمم المتحدة (الفاو) لمصايد الأسماك هذا المصطلح على أنه "الجبلة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p>
    <w:p w:rsidR="0080684F" w:rsidRPr="0080684F" w:rsidRDefault="0080684F" w:rsidP="0080684F">
      <w:pPr>
        <w:pStyle w:val="BodyText"/>
        <w:rPr>
          <w:rtl/>
          <w:lang w:bidi="ar-LB"/>
        </w:rPr>
      </w:pPr>
      <w:r w:rsidRPr="0080684F">
        <w:rPr>
          <w:rFonts w:hint="cs"/>
          <w:rtl/>
          <w:lang w:bidi="ar-LB"/>
        </w:rPr>
        <w:t>وتشير صكوك قانونية أخرى إلى الموارد الوراثية باستخدام مصطلحات مختلفة، ومنها:</w:t>
      </w:r>
    </w:p>
    <w:p w:rsidR="0080684F" w:rsidRPr="0080684F" w:rsidRDefault="0080684F" w:rsidP="0080684F">
      <w:pPr>
        <w:pStyle w:val="BodyText"/>
        <w:rPr>
          <w:rtl/>
          <w:lang w:bidi="ar-LB"/>
        </w:rPr>
      </w:pPr>
      <w:r w:rsidRPr="0080684F">
        <w:rPr>
          <w:rFonts w:hint="cs"/>
          <w:rtl/>
          <w:lang w:bidi="ar-LB"/>
        </w:rPr>
        <w:t xml:space="preserve">المادة 2 من </w:t>
      </w:r>
      <w:r w:rsidRPr="0080684F">
        <w:rPr>
          <w:rFonts w:hint="cs"/>
          <w:i/>
          <w:iCs/>
          <w:rtl/>
          <w:lang w:bidi="ar-LB"/>
        </w:rPr>
        <w:t>معاهدة الفاو الدولية بشأن الموارد الوراثية النباتية للأغذية والزراعة</w:t>
      </w:r>
      <w:r w:rsidRPr="0080684F">
        <w:rPr>
          <w:rFonts w:hint="cs"/>
          <w:rtl/>
          <w:lang w:bidi="ar-LB"/>
        </w:rPr>
        <w:t xml:space="preserve"> (2001)، وهي تعرف مصطلح "الموارد الوراثية النباتية" على أنها "أي مواد ذات أصل نباتي بما في ذلك مواد الإكثار الجنسي أو الخضري التي تحتوي وحدات وظيفية للوراثة".</w:t>
      </w:r>
    </w:p>
    <w:p w:rsidR="0080684F" w:rsidRPr="0080684F" w:rsidRDefault="0080684F" w:rsidP="0080684F">
      <w:pPr>
        <w:pStyle w:val="BodyText"/>
        <w:rPr>
          <w:rtl/>
          <w:lang w:bidi="ar-LB"/>
        </w:rPr>
      </w:pPr>
      <w:r w:rsidRPr="0080684F">
        <w:rPr>
          <w:rFonts w:hint="cs"/>
          <w:rtl/>
          <w:lang w:bidi="ar-LB"/>
        </w:rPr>
        <w:t xml:space="preserve">والمادة 2 من </w:t>
      </w:r>
      <w:r w:rsidRPr="0080684F">
        <w:rPr>
          <w:rFonts w:hint="cs"/>
          <w:i/>
          <w:iCs/>
          <w:rtl/>
          <w:lang w:bidi="ar-LB"/>
        </w:rPr>
        <w:t>مدونة الفاو لقواعد السلوك الدولية في جمع ونقل الجبلة الجرثومية النباتية</w:t>
      </w:r>
      <w:r w:rsidRPr="0080684F">
        <w:rPr>
          <w:rFonts w:hint="cs"/>
          <w:rtl/>
          <w:lang w:bidi="ar-LB"/>
        </w:rPr>
        <w:t xml:space="preserve"> (1993)، وهي تعرف الموارد الوراثية النباتية على أنها "مواد الإكثار الجنسي أو الخضري في النباتات".</w:t>
      </w:r>
    </w:p>
    <w:p w:rsidR="0080684F" w:rsidRPr="0080684F" w:rsidRDefault="0080684F" w:rsidP="0080684F">
      <w:pPr>
        <w:pStyle w:val="BodyText"/>
        <w:rPr>
          <w:rtl/>
          <w:lang w:bidi="ar-LB"/>
        </w:rPr>
      </w:pPr>
      <w:r w:rsidRPr="0080684F">
        <w:rPr>
          <w:rFonts w:hint="cs"/>
          <w:rtl/>
          <w:lang w:bidi="ar-LB"/>
        </w:rPr>
        <w:t xml:space="preserve">والمادة 1.2 (أ) من </w:t>
      </w:r>
      <w:r w:rsidRPr="0080684F">
        <w:rPr>
          <w:rFonts w:hint="cs"/>
          <w:i/>
          <w:iCs/>
          <w:rtl/>
          <w:lang w:bidi="ar-LB"/>
        </w:rPr>
        <w:t>تعهد الفاو الدولي بشأن الموارد الوراثية النباتية للأغذية والزراعة</w:t>
      </w:r>
      <w:r w:rsidRPr="0080684F">
        <w:rPr>
          <w:rFonts w:hint="cs"/>
          <w:rtl/>
          <w:lang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ولا يشير هذا التعهد الدولي إلى "الوحدات العاملة للوراثة".</w:t>
      </w:r>
    </w:p>
    <w:p w:rsidR="0080684F" w:rsidRPr="00720E5B" w:rsidRDefault="0080684F" w:rsidP="00720E5B">
      <w:pPr>
        <w:pStyle w:val="Heading2"/>
        <w:spacing w:before="240" w:after="240"/>
        <w:rPr>
          <w:i/>
          <w:iCs w:val="0"/>
          <w:sz w:val="18"/>
          <w:szCs w:val="22"/>
          <w:rtl/>
          <w:lang w:bidi="ar-LB"/>
        </w:rPr>
      </w:pPr>
      <w:bookmarkStart w:id="78" w:name="_Toc109824581"/>
      <w:r w:rsidRPr="00720E5B">
        <w:rPr>
          <w:i/>
          <w:iCs w:val="0"/>
          <w:sz w:val="18"/>
          <w:szCs w:val="22"/>
          <w:rtl/>
          <w:lang w:bidi="ar-LB"/>
        </w:rPr>
        <w:t>التراث (الخاص بالشعوب الأصلية)</w:t>
      </w:r>
      <w:bookmarkEnd w:id="78"/>
    </w:p>
    <w:p w:rsidR="0080684F" w:rsidRPr="0080684F" w:rsidRDefault="0080684F" w:rsidP="0080684F">
      <w:pPr>
        <w:pStyle w:val="BodyText"/>
        <w:rPr>
          <w:rtl/>
        </w:rPr>
      </w:pPr>
      <w:r w:rsidRPr="0080684F">
        <w:rPr>
          <w:rFonts w:hint="cs"/>
          <w:rtl/>
          <w:lang w:bidi="ar-LB"/>
        </w:rPr>
        <w:t xml:space="preserve">يحيل "تراث الشعوب الأصلية" (وغيرها من الشعوب) أو "التراث الثقافي الأصلي" بشكل واسع إلى المواد التي يصفها </w:t>
      </w:r>
      <w:r w:rsidRPr="0080684F">
        <w:rPr>
          <w:rFonts w:hint="cs"/>
          <w:i/>
          <w:iCs/>
          <w:rtl/>
          <w:lang w:bidi="ar-LB"/>
        </w:rPr>
        <w:t>مشروع المبادئ العامة والمبادئ التوجيهية المتعلقـة بحماية التراث الثقافي للشعوب الأصلية</w:t>
      </w:r>
      <w:r w:rsidRPr="0080684F">
        <w:rPr>
          <w:rFonts w:hint="cs"/>
          <w:rtl/>
          <w:lang w:bidi="ar-LB"/>
        </w:rPr>
        <w:t>، لسنة 2000، الذي أعدته السيـدة إيريكا - إيرين دايس، رئيسة ومقررة اللجنة الفرعية لتعزيز وحماية حقوق الإنسان. وتتضمن الفقرات 12 و13 و14 من المبادئ المذكورة التعاريف.</w:t>
      </w:r>
    </w:p>
    <w:p w:rsidR="0080684F" w:rsidRPr="0080684F" w:rsidRDefault="0080684F" w:rsidP="0080684F">
      <w:pPr>
        <w:pStyle w:val="BodyText"/>
        <w:rPr>
          <w:rtl/>
          <w:lang w:bidi="ar-LB"/>
        </w:rPr>
      </w:pPr>
      <w:r w:rsidRPr="0080684F">
        <w:rPr>
          <w:rFonts w:hint="cs"/>
          <w:rtl/>
          <w:lang w:bidi="ar-LB"/>
        </w:rPr>
        <w:t xml:space="preserve">ويأتي في الفقرة 12 ما يلي: "إن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 وتفيد الفقرة 13 بما يلي: "يشمل تراث الشعوب الأصلية جميع الممتلكات الثقافية المنقولة على النحو المعرَّف في اتفاقيات منظمة الأمم المتحدة للتريبة والعلم والثقافة (اليونسكو) 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والرفات البشري؛ والملكية الثقافية غير المنقولة، من قبيل المواقع المقدسة والمواقع ذات الأهمية الثقافية والطبيعية والتاريخية؛ والمدافن." وتتضمن الفقرة 14 ما يلي: "لكل عنصر من عناصر تراث الشعوب الأصلية مُلاّك، قد يكونون هم الشعب بأكمله، أو أسرة أو عشيرة معينة، أو رابطة أو جماعة، أو أفراداً تم تعليمهم أو تلقينهم بصفة خاصة ليكونوا هم القَوّامين عليه. ويجب تحديد مُلاّك التراث طبقا لعادات الشعوب الأصلية ذاتها وقوانينها وممارساتها."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وما يرتبط بها من آلات وقطع ومصنوعات ومواقع وأماكن ثقافية – التي تعتبرها الشعوب الأصلية وأفرادها جزءاً من تراثها الثقافي.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مما يندرج في أنظمة المعارف التقليدية، بالإضافة إلى المعارف التي تجسدها أنماط الحياة التقليدية لشعب أصلي، أو التي تتضمنها أنظمة </w:t>
      </w:r>
      <w:r w:rsidRPr="0080684F">
        <w:rPr>
          <w:rFonts w:hint="cs"/>
          <w:rtl/>
          <w:lang w:bidi="ar-LB"/>
        </w:rPr>
        <w:lastRenderedPageBreak/>
        <w:t>المعارف المقننة التي تناقلتها الأجيال. وتجدد 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80684F">
        <w:rPr>
          <w:vertAlign w:val="superscript"/>
          <w:rtl/>
          <w:lang w:bidi="ar-LB"/>
        </w:rPr>
        <w:footnoteReference w:id="66"/>
      </w:r>
    </w:p>
    <w:p w:rsidR="0080684F" w:rsidRPr="00720E5B" w:rsidRDefault="0080684F" w:rsidP="00720E5B">
      <w:pPr>
        <w:pStyle w:val="Heading2"/>
        <w:spacing w:before="240" w:after="240"/>
        <w:rPr>
          <w:i/>
          <w:iCs w:val="0"/>
          <w:sz w:val="18"/>
          <w:szCs w:val="22"/>
          <w:rtl/>
          <w:lang w:bidi="ar-LB"/>
        </w:rPr>
      </w:pPr>
      <w:bookmarkStart w:id="79" w:name="_Toc109824582"/>
      <w:r w:rsidRPr="00720E5B">
        <w:rPr>
          <w:i/>
          <w:iCs w:val="0"/>
          <w:sz w:val="18"/>
          <w:szCs w:val="22"/>
          <w:rtl/>
          <w:lang w:bidi="ar-LB"/>
        </w:rPr>
        <w:t>صاحب الشيء</w:t>
      </w:r>
      <w:bookmarkEnd w:id="79"/>
    </w:p>
    <w:p w:rsidR="0080684F" w:rsidRPr="0080684F" w:rsidRDefault="0080684F" w:rsidP="0080684F">
      <w:pPr>
        <w:pStyle w:val="BodyText"/>
        <w:rPr>
          <w:rtl/>
          <w:lang w:bidi="ar-LB"/>
        </w:rPr>
      </w:pPr>
      <w:r w:rsidRPr="0080684F">
        <w:rPr>
          <w:rFonts w:hint="cs"/>
          <w:rtl/>
          <w:lang w:bidi="ar-LB"/>
        </w:rPr>
        <w:t>يعرّف قاموس بلاكس لو "صاحب الشيء" بأنه "شخص يملك قانونا صكا قابلا للتداول، ويحق له الحصول على مكافأة عليه." وتستخدم الويبو هذا المصطلح للإشارة إلى الأشخاص الذين يبتدعون المعارف التقليدية وينشئونها ويطورونها ويحافظون عليها في محيط وسياق تقليديين. والجماعات والشعوب والأمم الأصلية هي أصحاب معارف تقليدية، ولكن أصحاب المعارف التقليدية ليسوا كلهم أصليين.</w:t>
      </w:r>
      <w:r w:rsidRPr="0080684F">
        <w:rPr>
          <w:vertAlign w:val="superscript"/>
          <w:rtl/>
          <w:lang w:bidi="ar-LB"/>
        </w:rPr>
        <w:footnoteReference w:id="67"/>
      </w:r>
      <w:r w:rsidRPr="0080684F">
        <w:rPr>
          <w:rFonts w:hint="cs"/>
          <w:rtl/>
          <w:lang w:bidi="ar-LB"/>
        </w:rPr>
        <w:t xml:space="preserve"> وفي هذا السياق، يشير مصطلح "المعارف التقليدية" إلى كل من المعارف التقليدية بمعناها الضيق وأشكال التعبير الثقافي التقليدي.</w:t>
      </w:r>
    </w:p>
    <w:p w:rsidR="0080684F" w:rsidRPr="0080684F" w:rsidRDefault="0080684F" w:rsidP="0080684F">
      <w:pPr>
        <w:pStyle w:val="BodyText"/>
        <w:rPr>
          <w:b/>
          <w:bCs/>
          <w:rtl/>
          <w:lang w:bidi="ar-LB"/>
        </w:rPr>
      </w:pPr>
      <w:r w:rsidRPr="0080684F">
        <w:rPr>
          <w:rFonts w:hint="cs"/>
          <w:rtl/>
          <w:lang w:bidi="ar-LB"/>
        </w:rPr>
        <w:t>وكما جاء في "قائمة وشرح تقني مختصر لمختلف الأشكال التي قد تتخذها المعارف التقليدية" (</w:t>
      </w:r>
      <w:r w:rsidRPr="0080684F">
        <w:rPr>
          <w:lang w:val="fr-CH"/>
        </w:rPr>
        <w:t>WIPO/GRTKF/IC/17/INF/9</w:t>
      </w:r>
      <w:r w:rsidRPr="0080684F">
        <w:rPr>
          <w:rFonts w:hint="cs"/>
          <w:rtl/>
          <w:lang w:bidi="ar-LB"/>
        </w:rPr>
        <w:t xml:space="preserve">) فإن "[المعارف التقليدية] تُطوّر عامة على نحو جماعي أو تعتبر منتمية جماعيا إلى مجتمع أصلي أو محلي أو إلى مجموعة من الأفراد في ذلك المجتمع. [...] </w:t>
      </w:r>
      <w:r w:rsidRPr="0080684F">
        <w:rPr>
          <w:rFonts w:hint="cs"/>
          <w:rtl/>
        </w:rPr>
        <w:t>ومع ذلك، يمكن لفرد معين من أفراد أحد المجتمعات مثل المعالج الشعبي أو المزارع أن يكون صاحب معارف خاصة."</w:t>
      </w:r>
      <w:r w:rsidRPr="0080684F">
        <w:rPr>
          <w:vertAlign w:val="superscript"/>
          <w:rtl/>
        </w:rPr>
        <w:footnoteReference w:id="68"/>
      </w:r>
    </w:p>
    <w:p w:rsidR="0080684F" w:rsidRPr="00720E5B" w:rsidRDefault="0080684F" w:rsidP="00720E5B">
      <w:pPr>
        <w:pStyle w:val="Heading2"/>
        <w:spacing w:before="240" w:after="240"/>
        <w:rPr>
          <w:i/>
          <w:iCs w:val="0"/>
          <w:sz w:val="18"/>
          <w:szCs w:val="22"/>
          <w:rtl/>
          <w:lang w:bidi="ar-LB"/>
        </w:rPr>
      </w:pPr>
      <w:bookmarkStart w:id="80" w:name="_Toc109824583"/>
      <w:r w:rsidRPr="00720E5B">
        <w:rPr>
          <w:i/>
          <w:iCs w:val="0"/>
          <w:sz w:val="18"/>
          <w:szCs w:val="22"/>
          <w:rtl/>
          <w:lang w:bidi="ar-LB"/>
        </w:rPr>
        <w:t>الجماعات الأصلية والمحلية</w:t>
      </w:r>
      <w:bookmarkEnd w:id="80"/>
    </w:p>
    <w:p w:rsidR="0080684F" w:rsidRPr="0080684F" w:rsidRDefault="0080684F" w:rsidP="0080684F">
      <w:pPr>
        <w:pStyle w:val="BodyText"/>
        <w:rPr>
          <w:lang w:val="fr-CH"/>
        </w:rPr>
      </w:pPr>
      <w:r w:rsidRPr="0080684F">
        <w:rPr>
          <w:rFonts w:hint="cs"/>
          <w:rtl/>
        </w:rPr>
        <w:t xml:space="preserve">ما زال </w:t>
      </w:r>
      <w:r w:rsidRPr="0080684F">
        <w:rPr>
          <w:rFonts w:hint="cs"/>
          <w:rtl/>
          <w:lang w:bidi="ar-LB"/>
        </w:rPr>
        <w:t xml:space="preserve">مصطلح "الجماعات (أو المجتمعات) الأصلية والمحلية" محل نقاش مستفيض ودراسة معمقة. وما من تعريف عام وموحد للمصطلح. وقد ورد مصطلح "الجماعات الأصلية والمحلية" في </w:t>
      </w:r>
      <w:r w:rsidRPr="0080684F">
        <w:rPr>
          <w:rFonts w:hint="cs"/>
          <w:i/>
          <w:iCs/>
          <w:rtl/>
          <w:lang w:bidi="ar-LB"/>
        </w:rPr>
        <w:t>اتفاقية التنوع البيولوجي</w:t>
      </w:r>
      <w:r w:rsidRPr="0080684F">
        <w:rPr>
          <w:rFonts w:hint="cs"/>
          <w:rtl/>
          <w:lang w:bidi="ar-LB"/>
        </w:rPr>
        <w:t xml:space="preserve"> (1992)، حيث تنص في مادتها 8(ي) على ما يلي: "يقوم كل طرف متعاقد، قدر الإمكان وحسب الاقتضاء، بما يلي: [...](‌ي) 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وورد المصطلح نفسه في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w:t>
      </w:r>
    </w:p>
    <w:p w:rsidR="0080684F" w:rsidRPr="0080684F" w:rsidRDefault="0080684F" w:rsidP="0080684F">
      <w:pPr>
        <w:pStyle w:val="BodyText"/>
        <w:rPr>
          <w:rtl/>
          <w:lang w:bidi="ar-LB"/>
        </w:rPr>
      </w:pPr>
      <w:r w:rsidRPr="0080684F">
        <w:rPr>
          <w:rFonts w:hint="cs"/>
          <w:rtl/>
          <w:lang w:bidi="ar-LB"/>
        </w:rPr>
        <w:t xml:space="preserve">واستخدمت </w:t>
      </w:r>
      <w:r w:rsidRPr="0080684F">
        <w:rPr>
          <w:rFonts w:hint="cs"/>
          <w:i/>
          <w:iCs/>
          <w:rtl/>
          <w:lang w:bidi="ar-LB"/>
        </w:rPr>
        <w:t>اتفاقية التنوع البيولوجي</w:t>
      </w:r>
      <w:r w:rsidRPr="0080684F">
        <w:rPr>
          <w:rFonts w:hint="cs"/>
          <w:rtl/>
          <w:lang w:bidi="ar-LB"/>
        </w:rPr>
        <w:t xml:space="preserve"> (1992) مصطلح "المجتمعات الأصلية والمحلية" اعترافا بالمجتمعات التي لها روابط عريقة بالأراضي والمياه التي اعتادت العيش فيها أو استخدامها.</w:t>
      </w:r>
      <w:r w:rsidRPr="0080684F">
        <w:rPr>
          <w:vertAlign w:val="superscript"/>
          <w:rtl/>
          <w:lang w:bidi="ar-LB"/>
        </w:rPr>
        <w:footnoteReference w:id="69"/>
      </w:r>
      <w:r w:rsidRPr="0080684F">
        <w:rPr>
          <w:rFonts w:hint="cs"/>
          <w:rtl/>
          <w:lang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80684F">
        <w:rPr>
          <w:vertAlign w:val="superscript"/>
          <w:rtl/>
          <w:lang w:bidi="ar-LB"/>
        </w:rPr>
        <w:footnoteReference w:id="70"/>
      </w:r>
    </w:p>
    <w:p w:rsidR="0080684F" w:rsidRPr="0080684F" w:rsidRDefault="0080684F" w:rsidP="0080684F">
      <w:pPr>
        <w:pStyle w:val="BodyText"/>
        <w:rPr>
          <w:rtl/>
          <w:lang w:bidi="ar-LB"/>
        </w:rPr>
      </w:pPr>
      <w:r w:rsidRPr="0080684F">
        <w:rPr>
          <w:rFonts w:hint="cs"/>
          <w:rtl/>
          <w:lang w:bidi="ar-LB"/>
        </w:rPr>
        <w:t xml:space="preserve">واستُعمل هذا المصطلح كذلك في </w:t>
      </w:r>
      <w:r w:rsidRPr="0080684F">
        <w:rPr>
          <w:rFonts w:hint="cs"/>
          <w:i/>
          <w:iCs/>
          <w:rtl/>
          <w:lang w:bidi="ar-LB"/>
        </w:rPr>
        <w:t>معاهدة منظمة الأغذية والزراعة (الفاو) الدولية بشأن الموارد الوراثية النباتية للأغذية والزراعة</w:t>
      </w:r>
      <w:r w:rsidRPr="0080684F">
        <w:rPr>
          <w:rFonts w:hint="cs"/>
          <w:rtl/>
          <w:lang w:bidi="ar-LB"/>
        </w:rPr>
        <w:t>. إذ أن المادة 1.5 تقضي بما يلي: "على كل طرف متعاقد[...] أن يقوم بوجه خاص بما يلي بحسب ما هو ملائم: [...] (د) تشجيع الصيانة في الموقع للأقارب المحصولية البرية والنباتات البرية لإنتاج الأغذية، بما في ذلك في مناطق محمية من خلال دعم، ضمن جملة أمور أخرى، جهود المجتمعات الأصلية والمحلية[...]". وجاءت عبارة "المجتمعات المحلية والأصلية" في المادة 1.9: "تعترف</w:t>
      </w:r>
      <w:r w:rsidRPr="0080684F">
        <w:rPr>
          <w:rFonts w:hint="cs"/>
          <w:i/>
          <w:iCs/>
          <w:rtl/>
          <w:lang w:bidi="ar-LB"/>
        </w:rPr>
        <w:t xml:space="preserve"> </w:t>
      </w:r>
      <w:r w:rsidRPr="0080684F">
        <w:rPr>
          <w:rFonts w:hint="cs"/>
          <w:rtl/>
          <w:lang w:bidi="ar-LB"/>
        </w:rPr>
        <w:t xml:space="preserve">الأطراف المتعاقدة بالإسهام الهائل الذي قدمته المجتمعات المحلية والأصلية والمزارعون في جميع أقاليم العالم[...]". واستُعملت عبارة "المجتمعات المحلية" في المادة 1.5: "على كل طرف متعاقد أن يقوم بوجه خاص بما يلي بحسب ما هو ملائم: [...] (ج) تشجيع أو دعم جهود المزارعين ومجتمعاتهم المحلية، بحسب ما هو ملائم لإدارة وصيانة مواردهم الوراثية النباتية للأغذية والزراعة على مستوى المزرعة[...]". </w:t>
      </w:r>
    </w:p>
    <w:p w:rsidR="0080684F" w:rsidRPr="0080684F" w:rsidRDefault="0080684F" w:rsidP="0080684F">
      <w:pPr>
        <w:pStyle w:val="BodyText"/>
        <w:rPr>
          <w:rtl/>
          <w:lang w:bidi="ar-LB"/>
        </w:rPr>
      </w:pPr>
      <w:r w:rsidRPr="0080684F">
        <w:rPr>
          <w:rFonts w:hint="cs"/>
          <w:rtl/>
          <w:lang w:bidi="ar-LB"/>
        </w:rPr>
        <w:lastRenderedPageBreak/>
        <w:t xml:space="preserve">واعتمدت صكوك قانونية أخرى مصطلحات مختلفة: فقد وردت عبارة "الجماعة المحلية أو التقليدية" في </w:t>
      </w:r>
      <w:r w:rsidRPr="0080684F">
        <w:rPr>
          <w:rFonts w:hint="cs"/>
          <w:i/>
          <w:iCs/>
          <w:rtl/>
          <w:lang w:bidi="ar-LB"/>
        </w:rPr>
        <w:t xml:space="preserve">بروتوكول سواكوبماند </w:t>
      </w:r>
      <w:r w:rsidRPr="0080684F">
        <w:rPr>
          <w:rFonts w:hint="cs"/>
          <w:rtl/>
          <w:lang w:bidi="ar-LB"/>
        </w:rPr>
        <w:t xml:space="preserve">الذي اعتمدته المنظمة الإقليمية الأفريقية للملكية الفكرية بشأن </w:t>
      </w:r>
      <w:r w:rsidRPr="0080684F">
        <w:rPr>
          <w:rFonts w:hint="cs"/>
          <w:i/>
          <w:iCs/>
          <w:rtl/>
          <w:lang w:bidi="ar-LB"/>
        </w:rPr>
        <w:t>حماية المعارف التقليدية وأشكال التعبير الفولكلوري</w:t>
      </w:r>
      <w:r w:rsidRPr="0080684F">
        <w:rPr>
          <w:rFonts w:hint="cs"/>
          <w:rtl/>
          <w:lang w:bidi="ar-LB"/>
        </w:rPr>
        <w:t xml:space="preserve"> (2010). وتنص المادة 1.2 على أن اصطلاح </w:t>
      </w:r>
      <w:r w:rsidRPr="0080684F">
        <w:rPr>
          <w:rFonts w:hint="cs"/>
          <w:i/>
          <w:iCs/>
          <w:rtl/>
          <w:lang w:bidi="ar-LB"/>
        </w:rPr>
        <w:t>"'الجماعة'</w:t>
      </w:r>
      <w:r w:rsidRPr="0080684F">
        <w:rPr>
          <w:rFonts w:hint="cs"/>
          <w:rtl/>
          <w:lang w:bidi="ar-LB"/>
        </w:rPr>
        <w:t xml:space="preserve"> </w:t>
      </w:r>
      <w:r w:rsidRPr="0080684F">
        <w:rPr>
          <w:rFonts w:hint="cs"/>
          <w:i/>
          <w:iCs/>
          <w:rtl/>
          <w:lang w:bidi="ar-LB"/>
        </w:rPr>
        <w:t>يشمل الجماعة المحلية أو التقليدية، حيثما كان السياق يسمح بذلك."</w:t>
      </w:r>
    </w:p>
    <w:p w:rsidR="0080684F" w:rsidRPr="0080684F" w:rsidRDefault="0080684F" w:rsidP="0080684F">
      <w:pPr>
        <w:pStyle w:val="BodyText"/>
        <w:rPr>
          <w:rtl/>
          <w:lang w:bidi="ar-LB"/>
        </w:rPr>
      </w:pPr>
      <w:r w:rsidRPr="0080684F">
        <w:rPr>
          <w:rFonts w:hint="cs"/>
          <w:rtl/>
          <w:lang w:bidi="ar-LB"/>
        </w:rPr>
        <w:t xml:space="preserve">وتعرّف المادة الأولى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"الجماعة الأصلية أو الأمريكية من أصل إفريقي أو المحلية" بأنها "مجموعة بشرية تميزها ظروفها الاجتماعية والثقافية والاقتصادية عن غيرها من فئات الجماعة الوطنية، تنتظم كليا أو جزئيا في ظل لعاداتها أو تقاليدها أو تشريعاتها الخاصة وتحافظ على مؤسساتها الاجتماعية والاقتصادية والثقافية والسياسية أو جزء منها، بصرف النظر عن وضعها القانوني."</w:t>
      </w:r>
    </w:p>
    <w:p w:rsidR="0080684F" w:rsidRPr="0080684F" w:rsidRDefault="0080684F" w:rsidP="0080684F">
      <w:pPr>
        <w:pStyle w:val="BodyText"/>
        <w:rPr>
          <w:rtl/>
          <w:lang w:bidi="ar-LB"/>
        </w:rPr>
      </w:pPr>
      <w:r w:rsidRPr="0080684F">
        <w:rPr>
          <w:rFonts w:hint="cs"/>
          <w:rtl/>
          <w:lang w:bidi="ar-LB"/>
        </w:rPr>
        <w:t xml:space="preserve">وتعرّف المادة 7"3" من القانون البرازيلي المؤقت رقم </w:t>
      </w:r>
      <w:r w:rsidRPr="0080684F">
        <w:t>2,186</w:t>
      </w:r>
      <w:r w:rsidRPr="0080684F">
        <w:rPr>
          <w:rFonts w:hint="cs"/>
          <w:rtl/>
          <w:lang w:bidi="ar-LB"/>
        </w:rPr>
        <w:t>-</w:t>
      </w:r>
      <w:r w:rsidRPr="0080684F">
        <w:t>16</w:t>
      </w:r>
      <w:r w:rsidRPr="0080684F">
        <w:rPr>
          <w:rFonts w:hint="cs"/>
          <w:rtl/>
          <w:lang w:bidi="ar-LB"/>
        </w:rPr>
        <w:t xml:space="preserve"> المؤرخ 23 أغسطس 2001 "الجماعة المحلية" بأنها "مجموعة من الناس، بمن فيهم المنحدرون من جماعات الكيلومبو،</w:t>
      </w:r>
      <w:r w:rsidR="00726E12">
        <w:rPr>
          <w:rFonts w:hint="cs"/>
          <w:rtl/>
          <w:lang w:bidi="ar-LB"/>
        </w:rPr>
        <w:t xml:space="preserve"> </w:t>
      </w:r>
      <w:r w:rsidRPr="0080684F">
        <w:rPr>
          <w:rFonts w:hint="cs"/>
          <w:rtl/>
          <w:lang w:bidi="ar-LB"/>
        </w:rPr>
        <w:t>تتميز من حيث ظروفها الثقافية جيلا بعد جيل ولها عاداتها، وتحافظ على مؤسساتها الاجتماعية والاقتصادية."</w:t>
      </w:r>
    </w:p>
    <w:p w:rsidR="0080684F" w:rsidRPr="00720E5B" w:rsidRDefault="0080684F" w:rsidP="00720E5B">
      <w:pPr>
        <w:pStyle w:val="Heading2"/>
        <w:spacing w:before="240" w:after="240"/>
        <w:rPr>
          <w:i/>
          <w:iCs w:val="0"/>
          <w:sz w:val="18"/>
          <w:szCs w:val="22"/>
          <w:rtl/>
          <w:lang w:bidi="ar-LB"/>
        </w:rPr>
      </w:pPr>
      <w:bookmarkStart w:id="81" w:name="_Toc109824584"/>
      <w:r w:rsidRPr="00720E5B">
        <w:rPr>
          <w:i/>
          <w:iCs w:val="0"/>
          <w:sz w:val="18"/>
          <w:szCs w:val="22"/>
          <w:rtl/>
          <w:lang w:bidi="ar-LB"/>
        </w:rPr>
        <w:t>المعارف الأصلية</w:t>
      </w:r>
      <w:bookmarkEnd w:id="81"/>
    </w:p>
    <w:p w:rsidR="0080684F" w:rsidRPr="0080684F" w:rsidRDefault="0080684F" w:rsidP="0080684F">
      <w:pPr>
        <w:pStyle w:val="BodyText"/>
        <w:rPr>
          <w:lang w:val="fr-CH"/>
        </w:rPr>
      </w:pPr>
      <w:r w:rsidRPr="0080684F">
        <w:rPr>
          <w:rFonts w:hint="cs"/>
          <w:rtl/>
          <w:lang w:bidi="ar-LB"/>
        </w:rPr>
        <w:t>المعارف الأصلية هي المعارف التي تكون في حوزة الجماعات والشعوب والأمم التي تكون "أصلية" وتستخدمها. وبهذا المعنى تكون "المعارف الأصلية" هي المعارف التقليدية للشعوب الأصلية. إذاً فالمعارف الأصلية هي جزء من المعارف التقليدية، ولكن المعارف التقليدية ليست بالضرورة أصلية. ومع ذلك، فإن المصطلح يستخدم أيضا للإشارة إلى المعارف التي هي في حد ذاتها "أصلية". وبهذا المعنى، يمكن استخدام أي من المصطلحين "المعارف التقليدية" أو</w:t>
      </w:r>
      <w:r w:rsidR="004A642B">
        <w:rPr>
          <w:lang w:bidi="ar-LB"/>
        </w:rPr>
        <w:t xml:space="preserve"> </w:t>
      </w:r>
      <w:r w:rsidRPr="0080684F">
        <w:rPr>
          <w:rFonts w:hint="cs"/>
          <w:rtl/>
          <w:lang w:bidi="ar-LB"/>
        </w:rPr>
        <w:t>"المعارف الأصلية" بدلا من الآخر.</w:t>
      </w:r>
      <w:r w:rsidRPr="0080684F">
        <w:rPr>
          <w:vertAlign w:val="superscript"/>
          <w:rtl/>
          <w:lang w:bidi="ar-LB"/>
        </w:rPr>
        <w:footnoteReference w:id="71"/>
      </w:r>
    </w:p>
    <w:p w:rsidR="0080684F" w:rsidRPr="00720E5B" w:rsidRDefault="0080684F" w:rsidP="00720E5B">
      <w:pPr>
        <w:pStyle w:val="Heading2"/>
        <w:spacing w:before="240" w:after="240"/>
        <w:rPr>
          <w:i/>
          <w:iCs w:val="0"/>
          <w:sz w:val="18"/>
          <w:szCs w:val="22"/>
          <w:rtl/>
          <w:lang w:bidi="ar-LB"/>
        </w:rPr>
      </w:pPr>
      <w:bookmarkStart w:id="82" w:name="_Toc109824585"/>
      <w:r w:rsidRPr="00720E5B">
        <w:rPr>
          <w:i/>
          <w:iCs w:val="0"/>
          <w:sz w:val="18"/>
          <w:szCs w:val="22"/>
          <w:rtl/>
          <w:lang w:bidi="ar-LB"/>
        </w:rPr>
        <w:t>الشعوب الأصلية</w:t>
      </w:r>
      <w:bookmarkEnd w:id="82"/>
    </w:p>
    <w:p w:rsidR="0080684F" w:rsidRPr="0080684F" w:rsidRDefault="0080684F" w:rsidP="0080684F">
      <w:pPr>
        <w:pStyle w:val="BodyText"/>
        <w:rPr>
          <w:rtl/>
          <w:lang w:bidi="ar-LB"/>
        </w:rPr>
      </w:pPr>
      <w:r w:rsidRPr="0080684F">
        <w:rPr>
          <w:rFonts w:hint="cs"/>
          <w:rtl/>
        </w:rPr>
        <w:t xml:space="preserve">ما زال </w:t>
      </w:r>
      <w:r w:rsidRPr="0080684F">
        <w:rPr>
          <w:rFonts w:hint="cs"/>
          <w:rtl/>
          <w:lang w:bidi="ar-LB"/>
        </w:rPr>
        <w:t>مصطلح "الشعوب الأصلية" محل نقاش مستفيض ودراسة معمقة. وما من تعريف عام وموحد له.</w:t>
      </w:r>
    </w:p>
    <w:p w:rsidR="0080684F" w:rsidRPr="0080684F" w:rsidRDefault="0080684F" w:rsidP="0080684F">
      <w:pPr>
        <w:pStyle w:val="BodyText"/>
        <w:rPr>
          <w:rtl/>
          <w:lang w:bidi="ar-LB"/>
        </w:rPr>
      </w:pPr>
      <w:r w:rsidRPr="0080684F">
        <w:rPr>
          <w:rFonts w:hint="cs"/>
          <w:rtl/>
          <w:lang w:bidi="ar-LB"/>
        </w:rPr>
        <w:t xml:space="preserve">ويقر </w:t>
      </w:r>
      <w:r w:rsidRPr="0080684F">
        <w:rPr>
          <w:rFonts w:hint="cs"/>
          <w:i/>
          <w:iCs/>
          <w:rtl/>
          <w:lang w:bidi="ar-LB"/>
        </w:rPr>
        <w:t>إعلان الأمم المتحدة بشأن حقوق الشعوب الأصلية</w:t>
      </w:r>
      <w:r w:rsidRPr="0080684F">
        <w:rPr>
          <w:rFonts w:hint="cs"/>
          <w:rtl/>
          <w:lang w:bidi="ar-LB"/>
        </w:rPr>
        <w:t xml:space="preserve"> (2007) بتمتع هذه الشعوب بحقوق الإنسان على قدم المساواة مع الشعوب الأخرى إزاء التمييز الثقافي ويرمي إلى تعزيز الاحترام المتبادل والعلاقات الطيبة بين الشعوب الأصلية والدول. ومع ذلك، فإنه لا يقدّم تعريفا لمصطلح "الشعوب الأصلية".</w:t>
      </w:r>
    </w:p>
    <w:p w:rsidR="0080684F" w:rsidRPr="0080684F" w:rsidRDefault="0080684F" w:rsidP="0080684F">
      <w:pPr>
        <w:pStyle w:val="BodyText"/>
        <w:rPr>
          <w:lang w:val="fr-CH"/>
        </w:rPr>
      </w:pPr>
      <w:r w:rsidRPr="0080684F">
        <w:rPr>
          <w:rFonts w:hint="cs"/>
          <w:rtl/>
          <w:lang w:bidi="ar-LB"/>
        </w:rPr>
        <w:t>وترى الكثير من الشعوب الأصلية والمنظمات التي تمثلهم أن وصف مفهوم "الأصلي" الوارد في الدراسة التي أجراها المقرر الخاص للجنة الفرعية لمنع التمييز وحماية الأقليات التابعة للأمم المتحدة، السيد مارتينيز كوبو، بشأن مشكلة التمييز ضد السكان الأصليين هو تعريف عملي مقبول. وحسب الدراسة فإن المجتمعات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p>
    <w:p w:rsidR="0080684F" w:rsidRPr="0080684F" w:rsidRDefault="0080684F" w:rsidP="0080684F">
      <w:pPr>
        <w:pStyle w:val="BodyText"/>
        <w:rPr>
          <w:rtl/>
          <w:lang w:bidi="ar-LB"/>
        </w:rPr>
      </w:pPr>
      <w:r w:rsidRPr="0080684F">
        <w:rPr>
          <w:rFonts w:hint="cs"/>
          <w:rtl/>
          <w:lang w:bidi="ar-LB"/>
        </w:rPr>
        <w:t>وتنص المادة 1 من اتفاقية منظمة العمل الدولية المعنية بالشعوب الأصلية والقبلية في البلدان المستقلة على أن الاتفاقية تنطبق على:</w:t>
      </w:r>
    </w:p>
    <w:p w:rsidR="0080684F" w:rsidRPr="0080684F" w:rsidRDefault="0080684F" w:rsidP="00726E12">
      <w:pPr>
        <w:pStyle w:val="BodyText"/>
        <w:ind w:left="1134" w:hanging="567"/>
        <w:rPr>
          <w:rtl/>
          <w:lang w:bidi="ar-LB"/>
        </w:rPr>
      </w:pPr>
      <w:r w:rsidRPr="0080684F">
        <w:rPr>
          <w:rFonts w:hint="cs"/>
          <w:rtl/>
          <w:lang w:bidi="ar-LB"/>
        </w:rPr>
        <w:t>"(أ)</w:t>
      </w:r>
      <w:r w:rsidRPr="0080684F">
        <w:rPr>
          <w:rFonts w:hint="cs"/>
          <w:rtl/>
          <w:lang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80684F" w:rsidRPr="0080684F" w:rsidRDefault="0080684F" w:rsidP="00726E12">
      <w:pPr>
        <w:pStyle w:val="BodyText"/>
        <w:ind w:left="1134" w:hanging="567"/>
        <w:rPr>
          <w:lang w:val="fr-CH"/>
        </w:rPr>
      </w:pPr>
      <w:r w:rsidRPr="0080684F">
        <w:rPr>
          <w:rFonts w:hint="cs"/>
          <w:rtl/>
          <w:lang w:bidi="ar-LB"/>
        </w:rPr>
        <w:t>(ب)</w:t>
      </w:r>
      <w:r w:rsidRPr="0080684F">
        <w:rPr>
          <w:rFonts w:hint="cs"/>
          <w:rtl/>
          <w:lang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80684F">
        <w:rPr>
          <w:vertAlign w:val="superscript"/>
          <w:rtl/>
          <w:lang w:bidi="ar-EG"/>
        </w:rPr>
        <w:footnoteReference w:id="72"/>
      </w:r>
    </w:p>
    <w:p w:rsidR="0080684F" w:rsidRPr="0080684F" w:rsidRDefault="0080684F" w:rsidP="0080684F">
      <w:pPr>
        <w:pStyle w:val="BodyText"/>
        <w:rPr>
          <w:lang w:val="fr-CH"/>
        </w:rPr>
      </w:pPr>
      <w:r w:rsidRPr="0080684F">
        <w:rPr>
          <w:rFonts w:hint="cs"/>
          <w:rtl/>
          <w:lang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w:t>
      </w:r>
      <w:r w:rsidRPr="0080684F">
        <w:rPr>
          <w:rFonts w:hint="cs"/>
          <w:rtl/>
          <w:lang w:bidi="ar-LB"/>
        </w:rPr>
        <w:lastRenderedPageBreak/>
        <w:t>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 أمة، أو بشكل مستقل أو منعزل إلى حد كبير عن تأثير السيادة المفترضة لدولة –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 الأمة. كما أن المصطلح يشمل الشعوب التي تعرِّف نفسها كشعوب أصلية، وتلك التي تعترف بها جماعات أخرى."</w:t>
      </w:r>
      <w:r w:rsidRPr="0080684F">
        <w:rPr>
          <w:vertAlign w:val="superscript"/>
          <w:rtl/>
          <w:lang w:bidi="ar-LB"/>
        </w:rPr>
        <w:footnoteReference w:id="73"/>
      </w:r>
    </w:p>
    <w:p w:rsidR="0080684F" w:rsidRPr="0080684F" w:rsidRDefault="0080684F" w:rsidP="0080684F">
      <w:pPr>
        <w:pStyle w:val="BodyText"/>
        <w:rPr>
          <w:rtl/>
          <w:lang w:bidi="ar-LB"/>
        </w:rPr>
      </w:pPr>
      <w:r w:rsidRPr="0080684F">
        <w:rPr>
          <w:rFonts w:hint="cs"/>
          <w:rtl/>
          <w:lang w:bidi="ar-LB"/>
        </w:rPr>
        <w:t>ويستعمل البنك الدولي مصطلح "الشعوب الأصلية" بمعنى عام للإحالة إلى مجموعات مميزة تتسم بالصفات التالية على درجات متنوعة:</w:t>
      </w:r>
    </w:p>
    <w:p w:rsidR="0080684F" w:rsidRPr="0080684F" w:rsidRDefault="0080684F" w:rsidP="00726E12">
      <w:pPr>
        <w:pStyle w:val="BodyText"/>
        <w:ind w:firstLine="567"/>
        <w:rPr>
          <w:rtl/>
          <w:lang w:bidi="ar-LB"/>
        </w:rPr>
      </w:pPr>
      <w:r w:rsidRPr="0080684F">
        <w:rPr>
          <w:rFonts w:hint="cs"/>
          <w:rtl/>
          <w:lang w:bidi="ar-LB"/>
        </w:rPr>
        <w:t>"1"</w:t>
      </w:r>
      <w:r w:rsidRPr="0080684F">
        <w:rPr>
          <w:rFonts w:hint="cs"/>
          <w:rtl/>
          <w:lang w:bidi="ar-LB"/>
        </w:rPr>
        <w:tab/>
        <w:t>تعريف الذات كأفراد من مجموعة ثقافية أصلية متميزة واعتراف الغير بهذه الهوية؛</w:t>
      </w:r>
    </w:p>
    <w:p w:rsidR="0080684F" w:rsidRPr="0080684F" w:rsidRDefault="0080684F" w:rsidP="00726E12">
      <w:pPr>
        <w:pStyle w:val="BodyText"/>
        <w:ind w:left="1134" w:hanging="567"/>
        <w:rPr>
          <w:rtl/>
          <w:lang w:bidi="ar-LB"/>
        </w:rPr>
      </w:pPr>
      <w:r w:rsidRPr="0080684F">
        <w:rPr>
          <w:rFonts w:hint="cs"/>
          <w:rtl/>
          <w:lang w:bidi="ar-LB"/>
        </w:rPr>
        <w:t>"2"</w:t>
      </w:r>
      <w:r w:rsidRPr="0080684F">
        <w:rPr>
          <w:rFonts w:hint="cs"/>
          <w:rtl/>
          <w:lang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80684F" w:rsidRPr="0080684F" w:rsidRDefault="0080684F" w:rsidP="00726E12">
      <w:pPr>
        <w:pStyle w:val="BodyText"/>
        <w:ind w:firstLine="567"/>
        <w:rPr>
          <w:rtl/>
          <w:lang w:bidi="ar-LB"/>
        </w:rPr>
      </w:pPr>
      <w:r w:rsidRPr="0080684F">
        <w:rPr>
          <w:rFonts w:hint="cs"/>
          <w:rtl/>
          <w:lang w:bidi="ar-LB"/>
        </w:rPr>
        <w:t>"3"</w:t>
      </w:r>
      <w:r w:rsidRPr="0080684F">
        <w:rPr>
          <w:rFonts w:hint="cs"/>
          <w:rtl/>
          <w:lang w:bidi="ar-LB"/>
        </w:rPr>
        <w:tab/>
        <w:t>ومؤسسات عرفية ثقافية أو اقتصادية أو اجتماعية أو سياسية مستقلة عن مؤسسات المجتمع والثقافة السائدين؛</w:t>
      </w:r>
    </w:p>
    <w:p w:rsidR="0080684F" w:rsidRPr="0080684F" w:rsidRDefault="0080684F" w:rsidP="00726E12">
      <w:pPr>
        <w:pStyle w:val="BodyText"/>
        <w:ind w:firstLine="567"/>
        <w:rPr>
          <w:rtl/>
          <w:lang w:bidi="ar-LB"/>
        </w:rPr>
      </w:pPr>
      <w:r w:rsidRPr="0080684F">
        <w:rPr>
          <w:rFonts w:hint="cs"/>
          <w:rtl/>
          <w:lang w:bidi="ar-LB"/>
        </w:rPr>
        <w:t>"4"</w:t>
      </w:r>
      <w:r w:rsidRPr="0080684F">
        <w:rPr>
          <w:rFonts w:hint="cs"/>
          <w:rtl/>
          <w:lang w:bidi="ar-LB"/>
        </w:rPr>
        <w:tab/>
        <w:t>ولغة أصلية، مختلفة في غالب الأحيان عن اللغة الرسمية للبلد أو الإقليم.</w:t>
      </w:r>
      <w:r w:rsidRPr="0080684F">
        <w:rPr>
          <w:vertAlign w:val="superscript"/>
          <w:rtl/>
          <w:lang w:bidi="ar-EG"/>
        </w:rPr>
        <w:footnoteReference w:id="74"/>
      </w:r>
    </w:p>
    <w:p w:rsidR="0080684F" w:rsidRPr="0080684F" w:rsidRDefault="0080684F" w:rsidP="0080684F">
      <w:pPr>
        <w:pStyle w:val="BodyText"/>
        <w:rPr>
          <w:rtl/>
          <w:lang w:bidi="ar-EG"/>
        </w:rPr>
      </w:pPr>
      <w:r w:rsidRPr="0080684F">
        <w:rPr>
          <w:rFonts w:hint="cs"/>
          <w:rtl/>
          <w:lang w:bidi="ar-EG"/>
        </w:rPr>
        <w:t xml:space="preserve">أما سياسة الإيفاد بشأن الاندماج مع الشعوب الأصلية، التي أعدها الصندوق الدولي للتنمية الزراعية </w:t>
      </w:r>
      <w:r w:rsidRPr="0080684F">
        <w:t>IFAD</w:t>
      </w:r>
      <w:r w:rsidRPr="0080684F">
        <w:rPr>
          <w:rFonts w:hint="cs"/>
          <w:rtl/>
          <w:lang w:bidi="ar-EG"/>
        </w:rPr>
        <w:t>، فتنص على أنه "تماشيا مع الممارسة الدولية</w:t>
      </w:r>
      <w:r w:rsidRPr="0080684F">
        <w:rPr>
          <w:vertAlign w:val="superscript"/>
          <w:rtl/>
          <w:lang w:bidi="ar-EG"/>
        </w:rPr>
        <w:footnoteReference w:id="75"/>
      </w:r>
      <w:r w:rsidRPr="0080684F">
        <w:rPr>
          <w:rFonts w:hint="cs"/>
          <w:rtl/>
          <w:lang w:bidi="ar-EG"/>
        </w:rPr>
        <w:t xml:space="preserve"> ولأغراض هذه السياسة، سيستخدم الإيفاد تعريفا عاملا للشعوب الأصلية يستند إلى المعايير التالية:</w:t>
      </w:r>
    </w:p>
    <w:p w:rsidR="0080684F" w:rsidRPr="0080684F" w:rsidRDefault="0080684F" w:rsidP="004E5ECA">
      <w:pPr>
        <w:pStyle w:val="BodyText"/>
        <w:numPr>
          <w:ilvl w:val="0"/>
          <w:numId w:val="19"/>
        </w:numPr>
        <w:spacing w:after="120"/>
        <w:rPr>
          <w:rtl/>
          <w:lang w:bidi="ar-EG"/>
        </w:rPr>
      </w:pPr>
      <w:r w:rsidRPr="0080684F">
        <w:rPr>
          <w:rFonts w:hint="cs"/>
          <w:rtl/>
          <w:lang w:bidi="ar-EG"/>
        </w:rPr>
        <w:t>الأسبقية الزمنية، فيما يتعلق باحتلال منطقة معينة واستخدامها؛</w:t>
      </w:r>
    </w:p>
    <w:p w:rsidR="0080684F" w:rsidRPr="0080684F" w:rsidRDefault="0080684F" w:rsidP="004E5ECA">
      <w:pPr>
        <w:pStyle w:val="BodyText"/>
        <w:numPr>
          <w:ilvl w:val="0"/>
          <w:numId w:val="19"/>
        </w:numPr>
        <w:spacing w:after="120"/>
        <w:rPr>
          <w:rtl/>
          <w:lang w:bidi="ar-EG"/>
        </w:rPr>
      </w:pPr>
      <w:r w:rsidRPr="0080684F">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80684F" w:rsidRPr="0080684F" w:rsidRDefault="0080684F" w:rsidP="004E5ECA">
      <w:pPr>
        <w:pStyle w:val="BodyText"/>
        <w:numPr>
          <w:ilvl w:val="0"/>
          <w:numId w:val="19"/>
        </w:numPr>
        <w:spacing w:after="120"/>
      </w:pPr>
      <w:r w:rsidRPr="0080684F">
        <w:rPr>
          <w:rFonts w:hint="cs"/>
          <w:rtl/>
          <w:lang w:bidi="ar-EG"/>
        </w:rPr>
        <w:t>التعريف الذاتي، وكذلك اعتراف الجماعات الأخرى أو سلطات الدولة بهذه الشعوب كجماعات متميزة؛</w:t>
      </w:r>
    </w:p>
    <w:p w:rsidR="0080684F" w:rsidRPr="0080684F" w:rsidRDefault="0080684F" w:rsidP="004E5ECA">
      <w:pPr>
        <w:pStyle w:val="BodyText"/>
        <w:numPr>
          <w:ilvl w:val="0"/>
          <w:numId w:val="19"/>
        </w:numPr>
        <w:spacing w:after="120"/>
      </w:pPr>
      <w:r w:rsidRPr="0080684F">
        <w:rPr>
          <w:rFonts w:hint="cs"/>
          <w:rtl/>
          <w:lang w:bidi="ar-EG"/>
        </w:rPr>
        <w:t>التعرض للإخضاع أو التهميش أو الإبعاد أو الاستبعاد أو التمييز."</w:t>
      </w:r>
      <w:r w:rsidRPr="0080684F">
        <w:rPr>
          <w:vertAlign w:val="superscript"/>
          <w:rtl/>
          <w:lang w:bidi="ar-EG"/>
        </w:rPr>
        <w:footnoteReference w:id="76"/>
      </w:r>
    </w:p>
    <w:p w:rsidR="0080684F" w:rsidRPr="0080684F" w:rsidRDefault="0080684F" w:rsidP="0080684F">
      <w:pPr>
        <w:pStyle w:val="BodyText"/>
        <w:rPr>
          <w:rtl/>
          <w:lang w:bidi="ar-LB"/>
        </w:rPr>
      </w:pPr>
      <w:r w:rsidRPr="0080684F">
        <w:rPr>
          <w:rFonts w:hint="cs"/>
          <w:rtl/>
          <w:lang w:bidi="ar-LB"/>
        </w:rPr>
        <w:t>برنامج الأمم المتحدة الإنمائي والشعوب الأصلية: تنص سياسة للإدماج</w:t>
      </w:r>
      <w:r w:rsidRPr="0080684F">
        <w:rPr>
          <w:vertAlign w:val="superscript"/>
          <w:rtl/>
          <w:lang w:bidi="ar-LB"/>
        </w:rPr>
        <w:footnoteReference w:id="77"/>
      </w:r>
      <w:r w:rsidRPr="0080684F">
        <w:rPr>
          <w:rFonts w:hint="cs"/>
          <w:rtl/>
          <w:lang w:bidi="ar-LB"/>
        </w:rPr>
        <w:t xml:space="preserve"> أعدها برنامج الأمم المتحدة الإنمائي على أنه: "... (أ) 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80684F" w:rsidRPr="0080684F" w:rsidRDefault="0080684F" w:rsidP="0080684F">
      <w:pPr>
        <w:pStyle w:val="BodyText"/>
        <w:rPr>
          <w:rtl/>
          <w:lang w:bidi="ar-LB"/>
        </w:rPr>
      </w:pPr>
      <w:r w:rsidRPr="0080684F">
        <w:rPr>
          <w:rFonts w:hint="cs"/>
          <w:rtl/>
          <w:lang w:bidi="ar-LB"/>
        </w:rPr>
        <w:t xml:space="preserve">وجاء في قانون بيرو رقم 27811 المؤرخ 24 يوليو 2002 بشأن </w:t>
      </w:r>
      <w:r w:rsidRPr="0080684F">
        <w:rPr>
          <w:rFonts w:hint="cs"/>
          <w:i/>
          <w:iCs/>
          <w:rtl/>
          <w:lang w:bidi="ar-LB"/>
        </w:rPr>
        <w:t>اعتماد نظام لحماية المعارف الجماعية للشعوب الأصلية المشتقة من الموارد البيولوجية</w:t>
      </w:r>
      <w:r w:rsidRPr="0080684F">
        <w:rPr>
          <w:rFonts w:hint="cs"/>
          <w:rtl/>
          <w:lang w:bidi="ar-LB"/>
        </w:rPr>
        <w:t xml:space="preserve"> أن "الشعوب الأصلية" هي "شعوب أصلية تتمتع بحقوق كانت موجودة قبل إنشاء دولة بيرو، وتحتفظ بثقافتها، وتقيم بمنطقة محددة وتعترف بهويتها هذه. وتشمل الشعوب التي تعيش في عزلة عن طواعية أو التي لا اتصال بها، إضافة إلى الجماعات الريفية والمحلية. ومصطلح "أصلي" يشمل "بدائي" أو "تقليدي" أو "إثني" أو "سلفي" أو "محلي" أو أي كلمة أخرى من هذا القبيل ويجوز استخدامه كمرادف لها.</w:t>
      </w:r>
    </w:p>
    <w:p w:rsidR="0080684F" w:rsidRPr="0080684F" w:rsidRDefault="0080684F" w:rsidP="0080684F">
      <w:pPr>
        <w:pStyle w:val="BodyText"/>
        <w:rPr>
          <w:lang w:val="fr-CH"/>
        </w:rPr>
      </w:pPr>
      <w:r w:rsidRPr="0080684F">
        <w:rPr>
          <w:rFonts w:hint="cs"/>
          <w:rtl/>
          <w:lang w:bidi="ar-LB"/>
        </w:rPr>
        <w:lastRenderedPageBreak/>
        <w:t xml:space="preserve">ومصطلح "الشعب البدائي" هو مصطلح ذو صلة بالموضوع. ويعرّف قاموس أكسفورد كلمة "بدائي" بما يلي: (1) "[...] يقال بالنسبة </w:t>
      </w:r>
      <w:r w:rsidRPr="0080684F">
        <w:rPr>
          <w:rFonts w:hint="cs"/>
          <w:i/>
          <w:iCs/>
          <w:rtl/>
          <w:lang w:bidi="ar-LB"/>
        </w:rPr>
        <w:t>للشعوب والنباتات والحيوانات: أي موجود في أرض ما منذ العصور القديمة؛ محلي بحت، أصلي</w:t>
      </w:r>
      <w:r w:rsidRPr="0080684F">
        <w:rPr>
          <w:rFonts w:hint="cs"/>
          <w:rtl/>
          <w:lang w:bidi="ar-LB"/>
        </w:rPr>
        <w:t>"؛ (2) "</w:t>
      </w:r>
      <w:r w:rsidRPr="0080684F">
        <w:rPr>
          <w:rFonts w:hint="cs"/>
          <w:i/>
          <w:iCs/>
          <w:rtl/>
          <w:lang w:bidi="ar-LB"/>
        </w:rPr>
        <w:t>[...] يقطن بلدا أو يحتله قبل وصول المستعمر الأوروبي ومن جاء بهم</w:t>
      </w:r>
      <w:r w:rsidRPr="0080684F">
        <w:rPr>
          <w:rFonts w:hint="cs"/>
          <w:rtl/>
          <w:lang w:bidi="ar-LB"/>
        </w:rPr>
        <w:t xml:space="preserve">"؛ (3) </w:t>
      </w:r>
      <w:r w:rsidRPr="0080684F">
        <w:rPr>
          <w:rFonts w:hint="cs"/>
          <w:i/>
          <w:iCs/>
          <w:rtl/>
          <w:lang w:bidi="ar-LB"/>
        </w:rPr>
        <w:t>يُطلق على السكان الأصليين أو أول سكان معروفين لأرض ما أو من ينتمي إليهم</w:t>
      </w:r>
      <w:r w:rsidRPr="0080684F">
        <w:rPr>
          <w:rFonts w:hint="cs"/>
          <w:rtl/>
          <w:lang w:bidi="ar-LB"/>
        </w:rPr>
        <w:t>؛ (4) "</w:t>
      </w:r>
      <w:r w:rsidRPr="0080684F">
        <w:rPr>
          <w:rFonts w:hint="cs"/>
          <w:i/>
          <w:iCs/>
          <w:rtl/>
          <w:lang w:bidi="ar-LB"/>
        </w:rPr>
        <w:t>ينتمي إلى السكان الأصليين في أستراليا أو لغاتهم، أو له علاقة بهم، أو يشكل سمة من سماتهم.</w:t>
      </w:r>
      <w:r w:rsidRPr="0080684F">
        <w:rPr>
          <w:rFonts w:hint="cs"/>
          <w:rtl/>
          <w:lang w:bidi="ar-LB"/>
        </w:rPr>
        <w:t>"</w:t>
      </w:r>
    </w:p>
    <w:p w:rsidR="0080684F" w:rsidRPr="0080684F" w:rsidRDefault="0080684F" w:rsidP="0080684F">
      <w:pPr>
        <w:pStyle w:val="BodyText"/>
        <w:rPr>
          <w:rtl/>
          <w:lang w:bidi="ar-LB"/>
        </w:rPr>
      </w:pPr>
      <w:r w:rsidRPr="0080684F">
        <w:rPr>
          <w:rFonts w:hint="cs"/>
          <w:rtl/>
          <w:lang w:bidi="ar-LB"/>
        </w:rPr>
        <w:t>وتنص المادة 35 من دستور كندا على أن "</w:t>
      </w:r>
      <w:r w:rsidRPr="0080684F">
        <w:rPr>
          <w:rFonts w:hint="cs"/>
          <w:i/>
          <w:iCs/>
          <w:rtl/>
          <w:lang w:bidi="ar-LB"/>
        </w:rPr>
        <w:t xml:space="preserve">الشعوب البدائية في كندا تشمل </w:t>
      </w:r>
      <w:r w:rsidRPr="0080684F">
        <w:rPr>
          <w:rFonts w:hint="cs"/>
          <w:i/>
          <w:iCs/>
          <w:rtl/>
        </w:rPr>
        <w:t>شعوب كندا من الهنود والإنويت والمختلطين</w:t>
      </w:r>
      <w:r w:rsidRPr="0080684F">
        <w:rPr>
          <w:rFonts w:hint="cs"/>
          <w:i/>
          <w:iCs/>
          <w:rtl/>
          <w:lang w:bidi="ar"/>
        </w:rPr>
        <w:t>.</w:t>
      </w:r>
      <w:r w:rsidRPr="0080684F">
        <w:rPr>
          <w:rFonts w:hint="cs"/>
          <w:rtl/>
          <w:lang w:bidi="ar"/>
        </w:rPr>
        <w:t>"</w:t>
      </w:r>
      <w:r w:rsidRPr="0080684F">
        <w:rPr>
          <w:rFonts w:hint="cs"/>
          <w:rtl/>
          <w:lang w:bidi="ar-LB"/>
        </w:rPr>
        <w:t xml:space="preserve"> وحددت اللجنة الملكية الكندية المعنية بالسكان الأصليين المنشأة سنة 1996 المجموعة التي تستهدفها على النحو التالي: "</w:t>
      </w:r>
      <w:r w:rsidRPr="0080684F">
        <w:rPr>
          <w:rFonts w:hint="cs"/>
          <w:i/>
          <w:iCs/>
          <w:rtl/>
          <w:lang w:bidi="ar-LB"/>
        </w:rPr>
        <w:t>الكيانات السياسية والثقافية الأساسية التي انبثقت عبر التاريخ من الشعوب الأصلية في أمريكا الشمالية</w:t>
      </w:r>
      <w:r w:rsidRPr="0080684F">
        <w:rPr>
          <w:rFonts w:hint="cs"/>
          <w:rtl/>
          <w:lang w:bidi="ar-LB"/>
        </w:rPr>
        <w:t>."</w:t>
      </w:r>
    </w:p>
    <w:p w:rsidR="0080684F" w:rsidRPr="0080684F" w:rsidRDefault="0080684F" w:rsidP="0080684F">
      <w:pPr>
        <w:pStyle w:val="BodyText"/>
        <w:rPr>
          <w:rtl/>
          <w:lang w:bidi="ar-LB"/>
        </w:rPr>
      </w:pPr>
      <w:r w:rsidRPr="0080684F">
        <w:rPr>
          <w:rFonts w:hint="cs"/>
          <w:rtl/>
          <w:lang w:bidi="ar-LB"/>
        </w:rPr>
        <w:t>والجماعات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r w:rsidRPr="0080684F">
        <w:rPr>
          <w:vertAlign w:val="superscript"/>
          <w:rtl/>
          <w:lang w:bidi="ar-EG"/>
        </w:rPr>
        <w:footnoteReference w:id="78"/>
      </w:r>
    </w:p>
    <w:p w:rsidR="0080684F" w:rsidRPr="00720E5B" w:rsidRDefault="0080684F" w:rsidP="00720E5B">
      <w:pPr>
        <w:pStyle w:val="Heading2"/>
        <w:spacing w:before="240" w:after="240"/>
        <w:rPr>
          <w:i/>
          <w:iCs w:val="0"/>
          <w:sz w:val="18"/>
          <w:szCs w:val="22"/>
          <w:rtl/>
          <w:lang w:bidi="ar-LB"/>
        </w:rPr>
      </w:pPr>
      <w:bookmarkStart w:id="83" w:name="_Toc109824586"/>
      <w:r w:rsidRPr="00720E5B">
        <w:rPr>
          <w:i/>
          <w:iCs w:val="0"/>
          <w:sz w:val="18"/>
          <w:szCs w:val="22"/>
          <w:rtl/>
          <w:lang w:bidi="ar-LB"/>
        </w:rPr>
        <w:t>التعدي</w:t>
      </w:r>
      <w:bookmarkEnd w:id="83"/>
    </w:p>
    <w:p w:rsidR="0080684F" w:rsidRPr="0080684F" w:rsidRDefault="0080684F" w:rsidP="0080684F">
      <w:pPr>
        <w:pStyle w:val="BodyText"/>
        <w:rPr>
          <w:rtl/>
          <w:lang w:bidi="ar-LB"/>
        </w:rPr>
      </w:pPr>
      <w:r w:rsidRPr="0080684F">
        <w:rPr>
          <w:rFonts w:hint="cs"/>
          <w:rtl/>
          <w:lang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80684F">
        <w:rPr>
          <w:vertAlign w:val="superscript"/>
          <w:rtl/>
          <w:lang w:bidi="ar-LB"/>
        </w:rPr>
        <w:footnoteReference w:id="79"/>
      </w:r>
    </w:p>
    <w:p w:rsidR="0080684F" w:rsidRPr="00720E5B" w:rsidRDefault="0080684F" w:rsidP="00720E5B">
      <w:pPr>
        <w:pStyle w:val="Heading2"/>
        <w:spacing w:before="240" w:after="240"/>
        <w:rPr>
          <w:i/>
          <w:iCs w:val="0"/>
          <w:sz w:val="18"/>
          <w:szCs w:val="22"/>
          <w:rtl/>
          <w:lang w:bidi="ar-LB"/>
        </w:rPr>
      </w:pPr>
      <w:bookmarkStart w:id="84" w:name="_Toc109824587"/>
      <w:r w:rsidRPr="00720E5B">
        <w:rPr>
          <w:i/>
          <w:iCs w:val="0"/>
          <w:sz w:val="18"/>
          <w:szCs w:val="22"/>
          <w:rtl/>
          <w:lang w:bidi="ar-LB"/>
        </w:rPr>
        <w:t>الظروف في الوضع الطبيعي</w:t>
      </w:r>
      <w:bookmarkEnd w:id="84"/>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80684F" w:rsidRPr="00720E5B" w:rsidRDefault="0080684F" w:rsidP="00720E5B">
      <w:pPr>
        <w:pStyle w:val="Heading2"/>
        <w:spacing w:before="240" w:after="240"/>
        <w:rPr>
          <w:i/>
          <w:iCs w:val="0"/>
          <w:sz w:val="18"/>
          <w:szCs w:val="22"/>
          <w:rtl/>
          <w:lang w:bidi="ar-LB"/>
        </w:rPr>
      </w:pPr>
      <w:bookmarkStart w:id="85" w:name="_Toc109824588"/>
      <w:r w:rsidRPr="00720E5B">
        <w:rPr>
          <w:i/>
          <w:iCs w:val="0"/>
          <w:sz w:val="18"/>
          <w:szCs w:val="22"/>
          <w:rtl/>
          <w:lang w:bidi="ar-LB"/>
        </w:rPr>
        <w:t>التراث الثقافي غير الملموس</w:t>
      </w:r>
      <w:bookmarkEnd w:id="85"/>
    </w:p>
    <w:p w:rsidR="0080684F" w:rsidRPr="0080684F" w:rsidRDefault="0080684F" w:rsidP="0080684F">
      <w:pPr>
        <w:pStyle w:val="BodyText"/>
        <w:rPr>
          <w:rtl/>
          <w:lang w:bidi="ar-LB"/>
        </w:rPr>
      </w:pPr>
      <w:r w:rsidRPr="0080684F">
        <w:rPr>
          <w:rFonts w:hint="cs"/>
          <w:rtl/>
          <w:lang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80684F" w:rsidRPr="0080684F" w:rsidRDefault="0080684F" w:rsidP="0080684F">
      <w:pPr>
        <w:pStyle w:val="BodyText"/>
        <w:rPr>
          <w:rtl/>
          <w:lang w:bidi="ar-LB"/>
        </w:rPr>
      </w:pPr>
      <w:r w:rsidRPr="0080684F">
        <w:rPr>
          <w:rFonts w:hint="cs"/>
          <w:rtl/>
          <w:lang w:bidi="ar-LB"/>
        </w:rPr>
        <w:t xml:space="preserve">وتعرف </w:t>
      </w:r>
      <w:r w:rsidRPr="0080684F">
        <w:rPr>
          <w:rFonts w:hint="cs"/>
          <w:i/>
          <w:iCs/>
          <w:rtl/>
          <w:lang w:bidi="ar-LB"/>
        </w:rPr>
        <w:t>اتفاقية منظمة الأمم المتحدة للتريبة والعلم والثقافة (اليونسكو) لحماية التراث الثقافي غير المادي</w:t>
      </w:r>
      <w:r w:rsidRPr="0080684F">
        <w:rPr>
          <w:rFonts w:hint="cs"/>
          <w:rtl/>
          <w:lang w:bidi="ar-LB"/>
        </w:rPr>
        <w:t xml:space="preserve">،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الأفراد،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80684F" w:rsidRPr="0080684F" w:rsidRDefault="0080684F" w:rsidP="0080684F">
      <w:pPr>
        <w:pStyle w:val="BodyText"/>
        <w:rPr>
          <w:rtl/>
          <w:lang w:bidi="ar-LB"/>
        </w:rPr>
      </w:pPr>
      <w:r w:rsidRPr="0080684F">
        <w:rPr>
          <w:rFonts w:hint="cs"/>
          <w:rtl/>
          <w:lang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80684F" w:rsidRPr="00720E5B" w:rsidRDefault="0080684F" w:rsidP="00720E5B">
      <w:pPr>
        <w:pStyle w:val="Heading2"/>
        <w:spacing w:before="240" w:after="240"/>
        <w:rPr>
          <w:i/>
          <w:iCs w:val="0"/>
          <w:sz w:val="18"/>
          <w:szCs w:val="22"/>
          <w:rtl/>
          <w:lang w:bidi="ar-LB"/>
        </w:rPr>
      </w:pPr>
      <w:bookmarkStart w:id="86" w:name="_Toc109824589"/>
      <w:r w:rsidRPr="00720E5B">
        <w:rPr>
          <w:i/>
          <w:iCs w:val="0"/>
          <w:sz w:val="18"/>
          <w:szCs w:val="22"/>
          <w:rtl/>
          <w:lang w:bidi="ar-LB"/>
        </w:rPr>
        <w:lastRenderedPageBreak/>
        <w:t>السلامة</w:t>
      </w:r>
      <w:bookmarkEnd w:id="86"/>
    </w:p>
    <w:p w:rsidR="0080684F" w:rsidRPr="0080684F" w:rsidRDefault="0080684F" w:rsidP="0080684F">
      <w:pPr>
        <w:pStyle w:val="BodyText"/>
        <w:rPr>
          <w:rtl/>
          <w:lang w:bidi="ar-EG"/>
        </w:rPr>
      </w:pPr>
      <w:r w:rsidRPr="0080684F">
        <w:rPr>
          <w:rFonts w:hint="cs"/>
          <w:rtl/>
          <w:lang w:bidi="ar-LB"/>
        </w:rPr>
        <w:t>الحق في السلامة هو الحق في منع إدخال تعديلات أو تغييرات بدون ترخيص على المصنفات.</w:t>
      </w:r>
      <w:r w:rsidRPr="0080684F">
        <w:rPr>
          <w:vertAlign w:val="superscript"/>
          <w:rtl/>
          <w:lang w:bidi="ar-EG"/>
        </w:rPr>
        <w:footnoteReference w:id="80"/>
      </w:r>
      <w:r w:rsidRPr="0080684F">
        <w:rPr>
          <w:rFonts w:hint="cs"/>
          <w:rtl/>
          <w:lang w:bidi="ar-LB"/>
        </w:rPr>
        <w:t xml:space="preserve"> وبعد مراجعة بروكسل سنة 1949 </w:t>
      </w:r>
      <w:r w:rsidRPr="0080684F">
        <w:rPr>
          <w:rFonts w:hint="cs"/>
          <w:i/>
          <w:iCs/>
          <w:rtl/>
          <w:lang w:bidi="ar-LB"/>
        </w:rPr>
        <w:t>لاتفاقية برن لحماية المصنفات الأدبية والفنية</w:t>
      </w:r>
      <w:r w:rsidRPr="0080684F">
        <w:rPr>
          <w:rFonts w:hint="cs"/>
          <w:rtl/>
          <w:lang w:bidi="ar-LB"/>
        </w:rPr>
        <w:t xml:space="preserve"> (1971)، أُضيف إلى الاتفاقية منع الأفعال الأخرى الضارة بالمصنفات والتي من شأنها المساس بشرف المؤلف وسمعته (المادة 6(ثانيا)).</w:t>
      </w:r>
    </w:p>
    <w:p w:rsidR="0080684F" w:rsidRPr="00720E5B" w:rsidRDefault="0080684F" w:rsidP="00720E5B">
      <w:pPr>
        <w:pStyle w:val="Heading2"/>
        <w:spacing w:before="240" w:after="240"/>
        <w:rPr>
          <w:i/>
          <w:iCs w:val="0"/>
          <w:rtl/>
          <w:lang w:bidi="ar-LB"/>
        </w:rPr>
      </w:pPr>
      <w:bookmarkStart w:id="87" w:name="_Toc109824590"/>
      <w:r w:rsidRPr="00720E5B">
        <w:rPr>
          <w:i/>
          <w:iCs w:val="0"/>
          <w:sz w:val="18"/>
          <w:szCs w:val="22"/>
          <w:rtl/>
          <w:lang w:bidi="ar-LB"/>
        </w:rPr>
        <w:t>مبادئ توجيهية بشأن الملكية الفكرية للنفاذ وتقاسم المنافع</w:t>
      </w:r>
      <w:bookmarkEnd w:id="87"/>
    </w:p>
    <w:p w:rsidR="0080684F" w:rsidRPr="0080684F" w:rsidRDefault="0080684F" w:rsidP="0080684F">
      <w:pPr>
        <w:pStyle w:val="BodyText"/>
        <w:rPr>
          <w:lang w:val="fr-CH"/>
        </w:rPr>
      </w:pPr>
      <w:r w:rsidRPr="0080684F">
        <w:rPr>
          <w:rFonts w:hint="cs"/>
          <w:rtl/>
          <w:lang w:bidi="ar-LB"/>
        </w:rPr>
        <w:t>أيدت لجنة المعارف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منتظمة للاتفاقات التعاقدية الفعلية والنموذجية في شكل قاعدة بيانات تعدها الويبو وتجمع فيها اتفاقات النفاذ وتقاسم المنافع المتعلقة بالتنوع البيولوجي.</w:t>
      </w:r>
      <w:r w:rsidRPr="0080684F">
        <w:rPr>
          <w:vertAlign w:val="superscript"/>
          <w:rtl/>
          <w:lang w:bidi="ar-LB"/>
        </w:rPr>
        <w:footnoteReference w:id="81"/>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وأُعد مشروع أول</w:t>
      </w:r>
      <w:r w:rsidRPr="0080684F">
        <w:rPr>
          <w:vertAlign w:val="superscript"/>
          <w:rtl/>
          <w:lang w:bidi="ar-LB"/>
        </w:rPr>
        <w:footnoteReference w:id="82"/>
      </w:r>
      <w:r w:rsidRPr="0080684F">
        <w:rPr>
          <w:rFonts w:hint="cs"/>
          <w:rtl/>
          <w:lang w:bidi="ar-LB"/>
        </w:rPr>
        <w:t xml:space="preserve"> لتلك المبادئ التوجيهية يراعي المبادئ التطبيقية التي حددتها لجنة المعارف لوضع هذه المبادئ التوجيهية</w:t>
      </w:r>
      <w:r w:rsidRPr="0080684F">
        <w:rPr>
          <w:vertAlign w:val="superscript"/>
          <w:rtl/>
          <w:lang w:bidi="ar-LB"/>
        </w:rPr>
        <w:footnoteReference w:id="83"/>
      </w:r>
      <w:r w:rsidRPr="0080684F">
        <w:rPr>
          <w:rFonts w:hint="cs"/>
          <w:rtl/>
          <w:lang w:bidi="ar-LB"/>
        </w:rPr>
        <w:t>. وحُدّث ذلك المشروع لاحقاً لأغراض الدورة السابعة عشرة للجنة المعارف.</w:t>
      </w:r>
      <w:r w:rsidRPr="0080684F">
        <w:rPr>
          <w:vertAlign w:val="superscript"/>
          <w:rtl/>
          <w:lang w:bidi="ar-LB"/>
        </w:rPr>
        <w:footnoteReference w:id="84"/>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على اتفاق أو عقد أو ترخيص. ويؤدي تنوع القوانين الوطنية واختلاف المصالح العملية للمورّدين والمتلقين إلى طائفة عريضة من الخيارات عند التفاوض على الأحكام وصياغتها. وعليه، قد تدعم تلك المبادئ التوجيهية مورّدي الموارد الوراثية ومتلقيها في ضمان أن يقوم تقاسم المنافع على شروط منصفة يتفق عليها الطرفان، ولكنها لا تقدم نموذجاً واحداً أو مجموعة من الخيارات في هذا الصدد.</w:t>
      </w:r>
    </w:p>
    <w:p w:rsidR="0080684F" w:rsidRPr="0080684F" w:rsidRDefault="0080684F" w:rsidP="0080684F">
      <w:pPr>
        <w:pStyle w:val="BodyText"/>
        <w:rPr>
          <w:lang w:val="fr-CH"/>
        </w:rPr>
      </w:pPr>
      <w:r w:rsidRPr="0080684F">
        <w:rPr>
          <w:rFonts w:hint="cs"/>
          <w:rtl/>
          <w:lang w:bidi="ar-LB"/>
        </w:rPr>
        <w:t>وفضلاً عن ذلك، لا ينبغي تفسير أي شيء في تلك المبادئ التوجيهية على نحو يؤثر في الحقوق السيادية للدول على مواردها الطبيعية، بما في ذلك حقها في فرض شروط وأحكام للنفاذ وتقاسم المنافع. وتلك المبادئ التوجيهية هي طوعية وتوضيحية وحسب. وليس من شأنها أن تحل محل التشريعات الدولية أو الإقليمية أو الوطنية المعنية.</w:t>
      </w:r>
      <w:r w:rsidRPr="0080684F">
        <w:rPr>
          <w:vertAlign w:val="superscript"/>
          <w:rtl/>
          <w:lang w:bidi="ar-LB"/>
        </w:rPr>
        <w:footnoteReference w:id="85"/>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وكثيرا ما ترتبط المعارف التقليدية بالموارد الوراثية، مما يوفر معلومات قيمة عن كيفية وقاية الموارد الوراثية والحفاظ عليها واستخدامها لصالح البشرية.</w:t>
      </w:r>
      <w:r w:rsidRPr="0080684F">
        <w:rPr>
          <w:vertAlign w:val="superscript"/>
          <w:rtl/>
          <w:lang w:bidi="ar-LB"/>
        </w:rPr>
        <w:footnoteReference w:id="86"/>
      </w:r>
      <w:r w:rsidRPr="0080684F">
        <w:rPr>
          <w:rFonts w:hint="cs"/>
          <w:rtl/>
          <w:lang w:bidi="ar-LB"/>
        </w:rPr>
        <w:t xml:space="preserve"> وتنطبق المبادئ التوجيهية أيضا على المعارف التقليدية المرتبطة بالموارد الوراثية.</w:t>
      </w:r>
      <w:r w:rsidRPr="0080684F">
        <w:rPr>
          <w:vertAlign w:val="superscript"/>
          <w:rtl/>
          <w:lang w:bidi="ar-LB"/>
        </w:rPr>
        <w:footnoteReference w:id="87"/>
      </w:r>
    </w:p>
    <w:p w:rsidR="0080684F" w:rsidRPr="0080684F" w:rsidRDefault="0080684F" w:rsidP="0080684F">
      <w:pPr>
        <w:pStyle w:val="BodyText"/>
        <w:rPr>
          <w:b/>
          <w:bCs/>
          <w:rtl/>
          <w:lang w:bidi="ar-LB"/>
        </w:rPr>
      </w:pPr>
      <w:r w:rsidRPr="0080684F">
        <w:rPr>
          <w:b/>
          <w:bCs/>
          <w:rtl/>
          <w:lang w:bidi="ar-LB"/>
        </w:rPr>
        <w:t>التصنيف الدولي للبراءات</w:t>
      </w:r>
    </w:p>
    <w:p w:rsidR="0080684F" w:rsidRPr="0080684F" w:rsidRDefault="0080684F" w:rsidP="0080684F">
      <w:pPr>
        <w:pStyle w:val="BodyText"/>
        <w:rPr>
          <w:rtl/>
          <w:lang w:bidi="ar-LB"/>
        </w:rPr>
      </w:pPr>
      <w:r w:rsidRPr="0080684F">
        <w:rPr>
          <w:rFonts w:hint="cs"/>
          <w:rtl/>
          <w:lang w:bidi="ar-LB"/>
        </w:rPr>
        <w:t>التصنيف الدولي للبراءات هو "نظام هرمي ينقسم فيه عالم التكنولوجيا برمته إلى أقسام وأصناف وأصناف فرعية وفئات. وهو أداة للبحث بأية لغة ولا بد منه لاسترجاع وثائق البراءات عند البحث في حالة التقنية الصناعية السابقة."</w:t>
      </w:r>
      <w:r w:rsidRPr="0080684F">
        <w:rPr>
          <w:vertAlign w:val="superscript"/>
          <w:rtl/>
          <w:lang w:bidi="ar-LB"/>
        </w:rPr>
        <w:footnoteReference w:id="88"/>
      </w:r>
    </w:p>
    <w:p w:rsidR="0080684F" w:rsidRPr="0080684F" w:rsidRDefault="0080684F" w:rsidP="0080684F">
      <w:pPr>
        <w:pStyle w:val="BodyText"/>
        <w:rPr>
          <w:rtl/>
          <w:lang w:bidi="ar-LB"/>
        </w:rPr>
      </w:pPr>
      <w:r w:rsidRPr="0080684F">
        <w:rPr>
          <w:rFonts w:hint="cs"/>
          <w:rtl/>
          <w:lang w:bidi="ar-LB"/>
        </w:rPr>
        <w:t xml:space="preserve">وأنشئ التصنيف الدولي للبراءات بموجب </w:t>
      </w:r>
      <w:r w:rsidRPr="0080684F">
        <w:rPr>
          <w:rFonts w:hint="cs"/>
          <w:i/>
          <w:iCs/>
          <w:rtl/>
          <w:lang w:bidi="ar-LB"/>
        </w:rPr>
        <w:t>اتفاق استراسبرغ الخاص بالتصنيف الدولي للبراءات</w:t>
      </w:r>
      <w:r w:rsidRPr="0080684F">
        <w:rPr>
          <w:rFonts w:hint="cs"/>
          <w:rtl/>
          <w:lang w:bidi="ar-LB"/>
        </w:rPr>
        <w:t xml:space="preserve"> لسنة 1971. وتنص المادة 2(1) منه على ما يلي: "يتضمن التصنيف: "1" النص الذي أنشئ طبقاً لأحكام الاتفاقية الأوروبية للتصنيف الدولي لبراءات الاختراع المؤرخة 19 ديسمبر سنة 1954 (يشار إليها فيما يلي بعبارة "الاتفاقية الأوروبية") والذي أصبح ساري المفعول ونشر بمعرفة سكرتير عام المجلس الأوروبي في أول سبتمبر سنة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80684F" w:rsidRPr="00720E5B" w:rsidRDefault="0080684F" w:rsidP="00720E5B">
      <w:pPr>
        <w:pStyle w:val="Heading2"/>
        <w:spacing w:before="240" w:after="240"/>
        <w:rPr>
          <w:i/>
          <w:iCs w:val="0"/>
          <w:rtl/>
          <w:lang w:bidi="ar-LB"/>
        </w:rPr>
      </w:pPr>
      <w:bookmarkStart w:id="88" w:name="_Toc109824591"/>
      <w:r w:rsidRPr="00720E5B">
        <w:rPr>
          <w:i/>
          <w:iCs w:val="0"/>
          <w:sz w:val="18"/>
          <w:szCs w:val="22"/>
          <w:rtl/>
          <w:lang w:bidi="ar-LB"/>
        </w:rPr>
        <w:lastRenderedPageBreak/>
        <w:t>المعاهدة الدولية بشأن الموارد الوراثية النباتية للأغذية والزراعة</w:t>
      </w:r>
      <w:bookmarkEnd w:id="88"/>
    </w:p>
    <w:p w:rsidR="0080684F" w:rsidRPr="0080684F" w:rsidRDefault="0080684F" w:rsidP="0080684F">
      <w:pPr>
        <w:pStyle w:val="BodyText"/>
        <w:rPr>
          <w:rtl/>
          <w:lang w:bidi="ar-LB"/>
        </w:rPr>
      </w:pPr>
      <w:r w:rsidRPr="0080684F">
        <w:rPr>
          <w:rFonts w:hint="cs"/>
          <w:rtl/>
          <w:lang w:bidi="ar-LB"/>
        </w:rPr>
        <w:t>اعتُمدت المعاهدة الدولية بشأن الموارد الوراثية النباتية للأغذية والزراعة من قبل الدورة الحادية والثلاثين لمؤتمر منظمة الأغذية والزراعة للأمم المتحدة في 3 نوفمبر 2001، ودخلت حيز النفاذ في عام 2004. وترمي المعاهدة إلى تحقيق ما يلي: (1) 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80684F">
        <w:rPr>
          <w:vertAlign w:val="superscript"/>
          <w:rtl/>
          <w:lang w:bidi="ar-LB"/>
        </w:rPr>
        <w:footnoteReference w:id="89"/>
      </w:r>
    </w:p>
    <w:p w:rsidR="0080684F" w:rsidRPr="00720E5B" w:rsidRDefault="0080684F" w:rsidP="00720E5B">
      <w:pPr>
        <w:pStyle w:val="Heading2"/>
        <w:spacing w:before="240" w:after="240"/>
        <w:rPr>
          <w:i/>
          <w:iCs w:val="0"/>
          <w:sz w:val="18"/>
          <w:szCs w:val="22"/>
          <w:rtl/>
          <w:lang w:bidi="ar-LB"/>
        </w:rPr>
      </w:pPr>
      <w:bookmarkStart w:id="89" w:name="_Toc109824592"/>
      <w:r w:rsidRPr="00720E5B">
        <w:rPr>
          <w:i/>
          <w:iCs w:val="0"/>
          <w:sz w:val="18"/>
          <w:szCs w:val="22"/>
          <w:rtl/>
          <w:lang w:bidi="ar-LB"/>
        </w:rPr>
        <w:t>النشاط الابتكاري</w:t>
      </w:r>
      <w:bookmarkEnd w:id="89"/>
    </w:p>
    <w:p w:rsidR="0080684F" w:rsidRPr="0080684F" w:rsidRDefault="0080684F" w:rsidP="0080684F">
      <w:pPr>
        <w:pStyle w:val="BodyText"/>
        <w:rPr>
          <w:rtl/>
          <w:lang w:bidi="ar-LB"/>
        </w:rPr>
      </w:pPr>
      <w:r w:rsidRPr="0080684F">
        <w:rPr>
          <w:rFonts w:hint="cs"/>
          <w:rtl/>
          <w:lang w:bidi="ar-LB"/>
        </w:rPr>
        <w:t>إن النشاط الابتكاري (ويشار إليه كذلك بمصطلح "عدم البداهة") هو أحد معايير الحماية بموجب البراءة، ويتعلق بمسألة أن يكون الاختراع بديهياً لشخص من أهل المهنة.</w:t>
      </w:r>
      <w:r w:rsidRPr="0080684F">
        <w:rPr>
          <w:vertAlign w:val="superscript"/>
          <w:rtl/>
          <w:lang w:bidi="ar-LB"/>
        </w:rPr>
        <w:footnoteReference w:id="90"/>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ووفقاً للمادة 33 من معاهدة التعاون بشأن البراءات، 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80684F" w:rsidRPr="0080684F" w:rsidRDefault="0080684F" w:rsidP="0080684F">
      <w:pPr>
        <w:pStyle w:val="BodyText"/>
        <w:rPr>
          <w:rtl/>
          <w:lang w:bidi="ar-LB"/>
        </w:rPr>
      </w:pPr>
      <w:r w:rsidRPr="0080684F">
        <w:rPr>
          <w:rFonts w:hint="cs"/>
          <w:rtl/>
          <w:lang w:bidi="ar-LB"/>
        </w:rPr>
        <w:t xml:space="preserve">وتنص المادة 56 من </w:t>
      </w:r>
      <w:r w:rsidRPr="0080684F">
        <w:rPr>
          <w:rFonts w:hint="cs"/>
          <w:i/>
          <w:iCs/>
          <w:rtl/>
          <w:lang w:bidi="ar-LB"/>
        </w:rPr>
        <w:t>اتفاقية البراءات الأوروبية</w:t>
      </w:r>
      <w:r w:rsidRPr="0080684F">
        <w:rPr>
          <w:rFonts w:hint="cs"/>
          <w:rtl/>
          <w:lang w:bidi="ar-LB"/>
        </w:rPr>
        <w:t xml:space="preserve"> والمادة 35 من قانون الولايات المتحدة رقم 103 على تعريف مشابه. ويستخدم هذا الأخير المصطلح المماثل "موضوع غير بديهي".</w:t>
      </w:r>
      <w:r w:rsidRPr="0080684F">
        <w:rPr>
          <w:vertAlign w:val="superscript"/>
          <w:rtl/>
          <w:lang w:bidi="ar-LB"/>
        </w:rPr>
        <w:footnoteReference w:id="91"/>
      </w:r>
    </w:p>
    <w:p w:rsidR="0080684F" w:rsidRPr="00720E5B" w:rsidRDefault="0080684F" w:rsidP="00720E5B">
      <w:pPr>
        <w:pStyle w:val="Heading2"/>
        <w:spacing w:before="240" w:after="240"/>
        <w:rPr>
          <w:i/>
          <w:iCs w:val="0"/>
          <w:sz w:val="18"/>
          <w:szCs w:val="22"/>
          <w:rtl/>
          <w:lang w:bidi="ar-LB"/>
        </w:rPr>
      </w:pPr>
      <w:bookmarkStart w:id="90" w:name="_Toc109824593"/>
      <w:r w:rsidRPr="00720E5B">
        <w:rPr>
          <w:i/>
          <w:iCs w:val="0"/>
          <w:sz w:val="18"/>
          <w:szCs w:val="22"/>
          <w:rtl/>
          <w:lang w:bidi="ar-LB"/>
        </w:rPr>
        <w:t>اتفاقات الترخيص</w:t>
      </w:r>
      <w:bookmarkEnd w:id="90"/>
    </w:p>
    <w:p w:rsidR="0080684F" w:rsidRPr="0080684F" w:rsidRDefault="0080684F" w:rsidP="0080684F">
      <w:pPr>
        <w:pStyle w:val="BodyText"/>
        <w:rPr>
          <w:rtl/>
          <w:lang w:bidi="ar-LB"/>
        </w:rPr>
      </w:pPr>
      <w:r w:rsidRPr="0080684F">
        <w:rPr>
          <w:rFonts w:hint="cs"/>
          <w:rtl/>
          <w:lang w:bidi="ar-LB"/>
        </w:rPr>
        <w:t>توصف اتفاقات الترخيص بأنها اتفاقات تحدد بعض الاستخدامات المصرح بها للمواد أو الحقوق التي يحق للمورّد منحها، ومنها اتفاقات الترخيص باستخدام الموارد الوراثية كأدوات للبحث، أو اتفاقات الترخيص باستخدام المعارف التقليدية المرتبطة بالموارد الوراثية أو غيرها من حقوق الملكية الفكرية.</w:t>
      </w:r>
      <w:r w:rsidRPr="0080684F">
        <w:rPr>
          <w:vertAlign w:val="superscript"/>
          <w:rtl/>
          <w:lang w:bidi="ar-LB"/>
        </w:rPr>
        <w:footnoteReference w:id="92"/>
      </w:r>
    </w:p>
    <w:p w:rsidR="0080684F" w:rsidRPr="00720E5B" w:rsidRDefault="0080684F" w:rsidP="00720E5B">
      <w:pPr>
        <w:pStyle w:val="Heading2"/>
        <w:spacing w:before="240" w:after="240"/>
        <w:rPr>
          <w:i/>
          <w:iCs w:val="0"/>
          <w:sz w:val="18"/>
          <w:szCs w:val="22"/>
          <w:rtl/>
          <w:lang w:bidi="ar-LB"/>
        </w:rPr>
      </w:pPr>
      <w:bookmarkStart w:id="91" w:name="_Toc109824594"/>
      <w:r w:rsidRPr="00720E5B">
        <w:rPr>
          <w:i/>
          <w:iCs w:val="0"/>
          <w:sz w:val="18"/>
          <w:szCs w:val="22"/>
          <w:rtl/>
          <w:lang w:bidi="ar-LB"/>
        </w:rPr>
        <w:t>التقييدات</w:t>
      </w:r>
      <w:bookmarkEnd w:id="91"/>
    </w:p>
    <w:p w:rsidR="0080684F" w:rsidRPr="0080684F" w:rsidRDefault="0080684F" w:rsidP="0080684F">
      <w:pPr>
        <w:pStyle w:val="BodyText"/>
        <w:rPr>
          <w:rtl/>
          <w:lang w:bidi="ar-LB"/>
        </w:rPr>
      </w:pPr>
      <w:r w:rsidRPr="0080684F">
        <w:rPr>
          <w:rFonts w:hint="cs"/>
          <w:rtl/>
          <w:lang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80684F">
        <w:rPr>
          <w:vertAlign w:val="superscript"/>
          <w:rtl/>
          <w:lang w:bidi="ar-LB"/>
        </w:rPr>
        <w:footnoteReference w:id="93"/>
      </w:r>
      <w:r w:rsidRPr="0080684F">
        <w:rPr>
          <w:rFonts w:hint="cs"/>
          <w:rtl/>
          <w:lang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80684F">
        <w:rPr>
          <w:vertAlign w:val="superscript"/>
          <w:rtl/>
          <w:lang w:bidi="ar-LB"/>
        </w:rPr>
        <w:footnoteReference w:id="94"/>
      </w:r>
    </w:p>
    <w:p w:rsidR="0080684F" w:rsidRPr="0080684F" w:rsidRDefault="0080684F" w:rsidP="0080684F">
      <w:pPr>
        <w:pStyle w:val="BodyText"/>
        <w:rPr>
          <w:rtl/>
          <w:lang w:bidi="ar-LB"/>
        </w:rPr>
      </w:pPr>
      <w:r w:rsidRPr="0080684F">
        <w:rPr>
          <w:rFonts w:hint="cs"/>
          <w:rtl/>
          <w:lang w:bidi="ar-LB"/>
        </w:rPr>
        <w:t xml:space="preserve">وتنص </w:t>
      </w:r>
      <w:r w:rsidRPr="0080684F">
        <w:rPr>
          <w:rFonts w:hint="cs"/>
          <w:i/>
          <w:iCs/>
          <w:rtl/>
          <w:lang w:bidi="ar-LB"/>
        </w:rPr>
        <w:t>اتفاقية برن لحماية المصنفات الأدبية والفنية</w:t>
      </w:r>
      <w:r w:rsidRPr="0080684F">
        <w:rPr>
          <w:rFonts w:hint="cs"/>
          <w:rtl/>
          <w:lang w:bidi="ar-LB"/>
        </w:rPr>
        <w:t xml:space="preserve"> (1971) على الظروف التي يمكن فيها تقييد حقوق المؤلفين، وبالتالي السماح بالاستعمالات الحرة.</w:t>
      </w:r>
      <w:r w:rsidRPr="0080684F">
        <w:rPr>
          <w:vertAlign w:val="superscript"/>
          <w:rtl/>
          <w:lang w:bidi="ar-LB"/>
        </w:rPr>
        <w:footnoteReference w:id="95"/>
      </w:r>
      <w:r w:rsidRPr="0080684F">
        <w:rPr>
          <w:rFonts w:hint="cs"/>
          <w:rtl/>
          <w:lang w:bidi="ar-LB"/>
        </w:rPr>
        <w:t xml:space="preserve"> وقد وُضع اختبار من ثلاث خطوات لتحديد الظروف التي يمكن أن يُتخذ فيها إجراء للتقييد.</w:t>
      </w:r>
      <w:r w:rsidRPr="0080684F">
        <w:rPr>
          <w:vertAlign w:val="superscript"/>
          <w:rtl/>
          <w:lang w:bidi="ar-LB"/>
        </w:rPr>
        <w:footnoteReference w:id="96"/>
      </w:r>
      <w:r w:rsidRPr="0080684F">
        <w:rPr>
          <w:rFonts w:hint="cs"/>
          <w:rtl/>
          <w:lang w:bidi="ar-LB"/>
        </w:rPr>
        <w:t xml:space="preserve"> وأُدرج هذا الاختبار أيضا في المادة 13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(اتفاق تريبس) والمادة 10 من </w:t>
      </w:r>
      <w:r w:rsidRPr="0080684F">
        <w:rPr>
          <w:rFonts w:hint="cs"/>
          <w:i/>
          <w:iCs/>
          <w:rtl/>
          <w:lang w:bidi="ar-LB"/>
        </w:rPr>
        <w:t>معاهدة الويبو بشأن حق المؤلف</w:t>
      </w:r>
      <w:r w:rsidRPr="0080684F">
        <w:rPr>
          <w:rFonts w:hint="cs"/>
          <w:rtl/>
          <w:lang w:bidi="ar-LB"/>
        </w:rPr>
        <w:t xml:space="preserve">، كاختبار للاستثناءات والتقييدات على جميع الحقوق المالية بناء على حق المؤلف. وفي المادة 16 من </w:t>
      </w:r>
      <w:r w:rsidRPr="0080684F">
        <w:rPr>
          <w:rFonts w:hint="cs"/>
          <w:i/>
          <w:iCs/>
          <w:rtl/>
          <w:lang w:bidi="ar-LB"/>
        </w:rPr>
        <w:t>معاهدة الويبو بشأن الأداء والتسجيل الصوتي</w:t>
      </w:r>
      <w:r w:rsidRPr="0080684F">
        <w:rPr>
          <w:rFonts w:hint="cs"/>
          <w:rtl/>
          <w:lang w:bidi="ar-LB"/>
        </w:rPr>
        <w:t>، يغطي الاختبار أيضا حقوق فناني الأداء ومنتجي التسجيلات الصوتية، التي تنص عليها المعاهدة.</w:t>
      </w:r>
      <w:r w:rsidRPr="0080684F">
        <w:rPr>
          <w:vertAlign w:val="superscript"/>
          <w:rtl/>
          <w:lang w:bidi="ar-EG"/>
        </w:rPr>
        <w:footnoteReference w:id="97"/>
      </w:r>
    </w:p>
    <w:p w:rsidR="0080684F" w:rsidRPr="00720E5B" w:rsidRDefault="0080684F" w:rsidP="00720E5B">
      <w:pPr>
        <w:pStyle w:val="Heading2"/>
        <w:spacing w:before="240" w:after="240"/>
        <w:rPr>
          <w:i/>
          <w:iCs w:val="0"/>
          <w:rtl/>
          <w:lang w:bidi="ar-LB"/>
        </w:rPr>
      </w:pPr>
      <w:bookmarkStart w:id="92" w:name="_Toc109824595"/>
      <w:r w:rsidRPr="00720E5B">
        <w:rPr>
          <w:i/>
          <w:iCs w:val="0"/>
          <w:sz w:val="18"/>
          <w:szCs w:val="22"/>
          <w:rtl/>
          <w:lang w:bidi="ar-LB"/>
        </w:rPr>
        <w:lastRenderedPageBreak/>
        <w:t>اتفاقات نقل المواد</w:t>
      </w:r>
      <w:bookmarkEnd w:id="92"/>
    </w:p>
    <w:p w:rsidR="0080684F" w:rsidRPr="0080684F" w:rsidRDefault="0080684F" w:rsidP="0080684F">
      <w:pPr>
        <w:pStyle w:val="BodyText"/>
        <w:rPr>
          <w:rtl/>
          <w:lang w:bidi="ar-LB"/>
        </w:rPr>
      </w:pPr>
      <w:r w:rsidRPr="0080684F">
        <w:rPr>
          <w:rFonts w:hint="cs"/>
          <w:rtl/>
          <w:lang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للنفاذ إلى مجموعات الجبلة الجرثومية المتاحة للجمهور أو بنوك الحبوب أو الموارد الوراثية في وضعها الطبيعي.</w:t>
      </w:r>
      <w:r w:rsidRPr="0080684F">
        <w:rPr>
          <w:vertAlign w:val="superscript"/>
          <w:rtl/>
          <w:lang w:bidi="ar-LB"/>
        </w:rPr>
        <w:footnoteReference w:id="98"/>
      </w:r>
      <w:r w:rsidRPr="0080684F">
        <w:rPr>
          <w:rFonts w:hint="cs"/>
          <w:rtl/>
          <w:lang w:bidi="ar-LB"/>
        </w:rPr>
        <w:t xml:space="preserve"> ووضعت الويبو قاعدة بيانات باتفاقات النفاذ وتقاسم المنافع المتعلقة بالتنوع البيولوجي التي تحتوي على أحكام تعاقدية تتعلق بنقل الموارد الوراثية واستخدامها.</w:t>
      </w:r>
      <w:r w:rsidRPr="0080684F">
        <w:rPr>
          <w:vertAlign w:val="superscript"/>
          <w:rtl/>
          <w:lang w:bidi="ar-LB"/>
        </w:rPr>
        <w:footnoteReference w:id="99"/>
      </w:r>
      <w:r w:rsidRPr="0080684F">
        <w:rPr>
          <w:rFonts w:hint="cs"/>
          <w:rtl/>
          <w:lang w:bidi="ar-LB"/>
        </w:rPr>
        <w:t xml:space="preserve"> ووضعت منظمة الأغذية والزراعة (الفاو) الاتفاق الموحد لنقل الموارد واعتمدته في سنة 2006 على النحو اللازم لتنفيذ المعاهدة الدولية بشأن الموارد الوراثية النباتية للأغذية والزراعة (2001).</w:t>
      </w:r>
      <w:r w:rsidRPr="0080684F">
        <w:rPr>
          <w:vertAlign w:val="superscript"/>
          <w:rtl/>
          <w:lang w:bidi="ar-LB"/>
        </w:rPr>
        <w:footnoteReference w:id="100"/>
      </w:r>
      <w:r w:rsidRPr="0080684F">
        <w:rPr>
          <w:rFonts w:hint="cs"/>
          <w:rtl/>
          <w:lang w:bidi="ar-LB"/>
        </w:rPr>
        <w:t xml:space="preserve"> ويتضمن المرفق الأول </w:t>
      </w:r>
      <w:r w:rsidRPr="0080684F">
        <w:rPr>
          <w:rFonts w:hint="cs"/>
          <w:i/>
          <w:iCs/>
          <w:rtl/>
          <w:lang w:bidi="ar-LB"/>
        </w:rPr>
        <w:t>لخطوط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عناصر تتعلق باتفاقات نقل المواد.</w:t>
      </w:r>
    </w:p>
    <w:p w:rsidR="0080684F" w:rsidRPr="00720E5B" w:rsidRDefault="0080684F" w:rsidP="00720E5B">
      <w:pPr>
        <w:pStyle w:val="Heading2"/>
        <w:spacing w:before="240" w:after="240"/>
        <w:rPr>
          <w:i/>
          <w:iCs w:val="0"/>
          <w:rtl/>
          <w:lang w:bidi="ar-LB"/>
        </w:rPr>
      </w:pPr>
      <w:bookmarkStart w:id="93" w:name="_Toc109824596"/>
      <w:r w:rsidRPr="00720E5B">
        <w:rPr>
          <w:i/>
          <w:iCs w:val="0"/>
          <w:sz w:val="18"/>
          <w:szCs w:val="22"/>
          <w:rtl/>
          <w:lang w:bidi="ar-LB"/>
        </w:rPr>
        <w:t>الحد الأدنى لمجموعة الوثائق</w:t>
      </w:r>
      <w:bookmarkEnd w:id="93"/>
    </w:p>
    <w:p w:rsidR="0080684F" w:rsidRPr="0080684F" w:rsidRDefault="0080684F" w:rsidP="0080684F">
      <w:pPr>
        <w:pStyle w:val="BodyText"/>
        <w:rPr>
          <w:lang w:val="fr-CH"/>
        </w:rPr>
      </w:pPr>
      <w:r w:rsidRPr="0080684F">
        <w:rPr>
          <w:rFonts w:hint="cs"/>
          <w:rtl/>
          <w:lang w:bidi="ar-LB"/>
        </w:rPr>
        <w:t>وفقاً لمسرد معاهدة الويبو للتعاون بشأن البراءات، يمكن تعريف الحد الأدنى لمجموعة الوثائق بأنها "الوثائق التي على إدارة البحث الدولي أن تبحث فيها عن حالة التقنية الصناعية السابقة الوجيهة. وتنطبق كذلك على إدارات الفحص التمهيدي الدولي لأغراض الفحص. وتضم تلك الوثائق بعض وثائق البراءات المنشورة والإصدارات التي لا تشمل سندات البراءات الواردة في قائمة ينشرها المكتب الدولي. ويرد الحد الأدنى لمجموعة الوثائق في القاعدة 34 من اللائحة التنفيذية لمعاهدة التعاون بشأن البراءات."</w:t>
      </w:r>
      <w:r w:rsidRPr="0080684F">
        <w:rPr>
          <w:vertAlign w:val="superscript"/>
          <w:rtl/>
          <w:lang w:bidi="ar-LB"/>
        </w:rPr>
        <w:footnoteReference w:id="101"/>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وتعرّف المبادئ التوجيهية بشِأن البحث الدولي بناء على معاهدة التعاون بشأن البراءات الحد الأدنى لمجموعة الوثائق بأنه "مجموعة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الإصدارات التي لا تشمل سندات البراءات."</w:t>
      </w:r>
      <w:r w:rsidRPr="0080684F">
        <w:rPr>
          <w:vertAlign w:val="superscript"/>
          <w:rtl/>
          <w:lang w:bidi="ar-LB"/>
        </w:rPr>
        <w:footnoteReference w:id="102"/>
      </w:r>
      <w:r w:rsidRPr="0080684F">
        <w:rPr>
          <w:rFonts w:hint="cs"/>
          <w:i/>
          <w:iCs/>
          <w:rtl/>
          <w:lang w:bidi="ar-LB"/>
        </w:rPr>
        <w:t xml:space="preserve"> </w:t>
      </w:r>
    </w:p>
    <w:p w:rsidR="0080684F" w:rsidRPr="0080684F" w:rsidRDefault="0080684F" w:rsidP="0080684F">
      <w:pPr>
        <w:pStyle w:val="BodyText"/>
        <w:rPr>
          <w:rtl/>
          <w:lang w:bidi="ar-LB"/>
        </w:rPr>
      </w:pPr>
      <w:r w:rsidRPr="0080684F">
        <w:rPr>
          <w:rFonts w:hint="cs"/>
          <w:rtl/>
          <w:lang w:bidi="ar-LB"/>
        </w:rPr>
        <w:t>وفي فبراير 2003، توصل اجتماع الإدارات الدولية العاملة في ظل معاهدة التعاون بشأن البراءات في دورته السابعة إلى اتفاق مبدئي على أنه ينبغي إدراج المعارف التقليدية في الجزء الخاص بالإصدارات التي لا تشمل سندات البراءات في الحد الأدنى لمجموعة الوثائق المنصوص عليها في المعاهدة الآنف ذكرها.</w:t>
      </w:r>
      <w:r w:rsidRPr="0080684F">
        <w:rPr>
          <w:vertAlign w:val="superscript"/>
          <w:rtl/>
          <w:lang w:bidi="ar-LB"/>
        </w:rPr>
        <w:footnoteReference w:id="103"/>
      </w:r>
      <w:r w:rsidRPr="0080684F">
        <w:rPr>
          <w:rFonts w:hint="cs"/>
          <w:rtl/>
          <w:lang w:bidi="ar-LB"/>
        </w:rPr>
        <w:t xml:space="preserve"> فعلى سبيل المثال، اعتبرت الوثيقة "الحد الأدنى لمجموعة الوثائق المنصوص عليها في معاهدة التعاون بشأن البراءات – قائمة الدوريات: الدوريات المستخدمة في مجالي البحث والفحص" المجلة الهندية للمعارف التقليدية والمجلة الكورية للمعارف التقليدية من الإصدارات التي لا تشمل سندات البراءات.</w:t>
      </w:r>
    </w:p>
    <w:p w:rsidR="0080684F" w:rsidRPr="00720E5B" w:rsidRDefault="0080684F" w:rsidP="00720E5B">
      <w:pPr>
        <w:pStyle w:val="Heading2"/>
        <w:spacing w:before="240" w:after="240"/>
        <w:rPr>
          <w:i/>
          <w:iCs w:val="0"/>
          <w:sz w:val="18"/>
          <w:szCs w:val="22"/>
          <w:rtl/>
          <w:lang w:bidi="ar-LB"/>
        </w:rPr>
      </w:pPr>
      <w:bookmarkStart w:id="94" w:name="_Toc109824597"/>
      <w:r w:rsidRPr="00720E5B">
        <w:rPr>
          <w:i/>
          <w:iCs w:val="0"/>
          <w:sz w:val="18"/>
          <w:szCs w:val="22"/>
          <w:rtl/>
          <w:lang w:bidi="ar-LB"/>
        </w:rPr>
        <w:t>الأقلية</w:t>
      </w:r>
      <w:bookmarkEnd w:id="94"/>
    </w:p>
    <w:p w:rsidR="0080684F" w:rsidRPr="0080684F" w:rsidRDefault="0080684F" w:rsidP="0080684F">
      <w:pPr>
        <w:pStyle w:val="BodyText"/>
        <w:rPr>
          <w:rtl/>
          <w:lang w:bidi="ar-EG"/>
        </w:rPr>
      </w:pPr>
      <w:r w:rsidRPr="0080684F">
        <w:rPr>
          <w:rFonts w:hint="cs"/>
          <w:rtl/>
          <w:lang w:bidi="ar-LB"/>
        </w:rPr>
        <w:t>يشير مصطلح "الأقلية" حسب قاموس بلاكس لو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80684F">
        <w:rPr>
          <w:vertAlign w:val="superscript"/>
          <w:lang w:val="fr-CH"/>
        </w:rPr>
        <w:footnoteReference w:id="104"/>
      </w:r>
    </w:p>
    <w:p w:rsidR="0080684F" w:rsidRPr="0080684F" w:rsidRDefault="0080684F" w:rsidP="0080684F">
      <w:pPr>
        <w:pStyle w:val="BodyText"/>
        <w:rPr>
          <w:rtl/>
          <w:lang w:bidi="ar-LB"/>
        </w:rPr>
      </w:pPr>
      <w:r w:rsidRPr="0080684F">
        <w:rPr>
          <w:rFonts w:hint="cs"/>
          <w:rtl/>
          <w:lang w:bidi="ar-LB"/>
        </w:rPr>
        <w:t xml:space="preserve">ووفقا </w:t>
      </w:r>
      <w:r w:rsidRPr="0080684F">
        <w:rPr>
          <w:rFonts w:hint="cs"/>
          <w:i/>
          <w:iCs/>
          <w:rtl/>
          <w:lang w:bidi="ar-LB"/>
        </w:rPr>
        <w:t>للإعلان المتعلق بحقوق الأشخاص المنتمين إلى أقليات قومية أو إثنية وأقليات دينية ولغوية</w:t>
      </w:r>
      <w:r w:rsidRPr="0080684F">
        <w:rPr>
          <w:rFonts w:hint="cs"/>
          <w:rtl/>
          <w:lang w:bidi="ar-LB"/>
        </w:rPr>
        <w:t xml:space="preserve"> لعام 1992، يحق للأقليات التمتع بثقافتها دون تدخل أو أي شكل من أشكال التمييز.</w:t>
      </w:r>
      <w:r w:rsidRPr="0080684F">
        <w:rPr>
          <w:vertAlign w:val="superscript"/>
          <w:rtl/>
          <w:lang w:bidi="ar-LB"/>
        </w:rPr>
        <w:footnoteReference w:id="105"/>
      </w:r>
      <w:r w:rsidRPr="0080684F">
        <w:rPr>
          <w:rFonts w:hint="cs"/>
          <w:rtl/>
          <w:lang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80684F">
        <w:rPr>
          <w:vertAlign w:val="superscript"/>
          <w:rtl/>
          <w:lang w:bidi="ar-LB"/>
        </w:rPr>
        <w:footnoteReference w:id="106"/>
      </w:r>
    </w:p>
    <w:p w:rsidR="0080684F" w:rsidRPr="0080684F" w:rsidRDefault="0080684F" w:rsidP="0080684F">
      <w:pPr>
        <w:pStyle w:val="BodyText"/>
        <w:rPr>
          <w:rtl/>
          <w:lang w:bidi="ar-LB"/>
        </w:rPr>
      </w:pPr>
      <w:r w:rsidRPr="0080684F">
        <w:rPr>
          <w:rFonts w:hint="cs"/>
          <w:rtl/>
          <w:lang w:bidi="ar-LB"/>
        </w:rPr>
        <w:lastRenderedPageBreak/>
        <w:t xml:space="preserve">ووفقا </w:t>
      </w:r>
      <w:r w:rsidRPr="0080684F">
        <w:rPr>
          <w:rFonts w:hint="cs"/>
          <w:i/>
          <w:iCs/>
          <w:rtl/>
          <w:lang w:bidi="ar-LB"/>
        </w:rPr>
        <w:t>للعهد الدولي الخاص بالحقوق المدنية والسياسية</w:t>
      </w:r>
      <w:r w:rsidRPr="0080684F">
        <w:rPr>
          <w:rFonts w:hint="cs"/>
          <w:rtl/>
          <w:lang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80684F">
        <w:rPr>
          <w:vertAlign w:val="superscript"/>
          <w:rtl/>
          <w:lang w:bidi="ar-LB"/>
        </w:rPr>
        <w:footnoteReference w:id="107"/>
      </w:r>
    </w:p>
    <w:p w:rsidR="0080684F" w:rsidRPr="0056101C" w:rsidRDefault="0080684F" w:rsidP="0056101C">
      <w:pPr>
        <w:pStyle w:val="Heading2"/>
        <w:spacing w:before="240" w:after="240"/>
        <w:rPr>
          <w:i/>
          <w:iCs w:val="0"/>
          <w:sz w:val="18"/>
          <w:szCs w:val="22"/>
          <w:rtl/>
          <w:lang w:bidi="ar-LB"/>
        </w:rPr>
      </w:pPr>
      <w:bookmarkStart w:id="95" w:name="_Toc109824598"/>
      <w:r w:rsidRPr="0056101C">
        <w:rPr>
          <w:i/>
          <w:iCs w:val="0"/>
          <w:sz w:val="18"/>
          <w:szCs w:val="22"/>
          <w:rtl/>
          <w:lang w:bidi="ar-LB"/>
        </w:rPr>
        <w:t>التملك غير المشروع</w:t>
      </w:r>
      <w:bookmarkEnd w:id="95"/>
    </w:p>
    <w:p w:rsidR="0080684F" w:rsidRPr="0080684F" w:rsidRDefault="0080684F" w:rsidP="0080684F">
      <w:pPr>
        <w:pStyle w:val="BodyText"/>
        <w:rPr>
          <w:lang w:val="fr-CH"/>
        </w:rPr>
      </w:pPr>
      <w:r w:rsidRPr="0080684F">
        <w:rPr>
          <w:rFonts w:hint="cs"/>
          <w:rtl/>
          <w:lang w:bidi="ar-LB"/>
        </w:rPr>
        <w:t>جاء في قاموس بلاكس لو أن "التملك غير المشروع" في مجال الملكية الفكرية يعني "الضرر الشخصي في القانون الإنكليزي المترتب على استخدام معلومات أو أفكار غير قابلة للحماية بموجب حق المؤلف تجمعها مؤسسة ما وتنشرها للحصول على أرباح عن طريق المنافسة غير المشروعة مع مؤسسة أخرى، أو نسخ مصنف لم يطالب مبدعه بمنحه حقوق استئثارية أو لم يحصل عليها بعد. وعناصر التملك غير المشروع هي: (1) أن يكون المدعي قد استثمر وقته أو ماله أو جهده لاستخراج المعلومات، (2) أن يأخذ المدعى عليه المعلومات دون القيام باستثمار مماثل، (3) أن يكون المدعي قد تضرر من المنافسة بسبب أخذ المعلومات."</w:t>
      </w:r>
    </w:p>
    <w:p w:rsidR="0080684F" w:rsidRPr="0080684F" w:rsidRDefault="0080684F" w:rsidP="0080684F">
      <w:pPr>
        <w:pStyle w:val="BodyText"/>
        <w:rPr>
          <w:lang w:val="fr-CH"/>
        </w:rPr>
      </w:pPr>
      <w:r w:rsidRPr="0080684F">
        <w:rPr>
          <w:rFonts w:hint="cs"/>
          <w:rtl/>
          <w:lang w:bidi="ar-LB"/>
        </w:rPr>
        <w:t>والضرر الناجم عن التملك غير المشروع هو جزء من قانون المنافسة غير المشروعة في نظام القانون الإنكليزي. فالتملك غير المشروع ينطوي إذًا على استخدام أو اقتراض غير مشروع أو غير شريف لملكية شخص ما، وكثيرا ما يستخدم لإقامة الدعوى في القضايا التي لا تنطوي على التعدي على حق من حقوق الملكية في حد ذاتها. وقد يكون التملك غير المشروع اقتراضا غير مشروع أو تملكا عن طريق الغش لأموال أو ممتلكات مؤتمن عليها لدى شخص ما وهي في الواقع ملك شخص آخر.</w:t>
      </w:r>
    </w:p>
    <w:p w:rsidR="0080684F" w:rsidRPr="0080684F" w:rsidRDefault="0080684F" w:rsidP="0080684F">
      <w:pPr>
        <w:pStyle w:val="BodyText"/>
        <w:rPr>
          <w:lang w:val="fr-CH"/>
        </w:rPr>
      </w:pPr>
      <w:r w:rsidRPr="0080684F">
        <w:rPr>
          <w:rFonts w:hint="cs"/>
          <w:rtl/>
          <w:lang w:bidi="ar-LB"/>
        </w:rPr>
        <w:t>وعلى سبيل المثال، تعر</w:t>
      </w:r>
      <w:r w:rsidRPr="0080684F">
        <w:rPr>
          <w:rFonts w:hint="cs"/>
          <w:rtl/>
        </w:rPr>
        <w:t>ّ</w:t>
      </w:r>
      <w:r w:rsidRPr="0080684F">
        <w:rPr>
          <w:rFonts w:hint="cs"/>
          <w:rtl/>
          <w:lang w:bidi="ar-LB"/>
        </w:rPr>
        <w:t xml:space="preserve">ف المادة 3 من مشروع القانون المعنون </w:t>
      </w:r>
      <w:r w:rsidRPr="0080684F">
        <w:rPr>
          <w:rFonts w:hint="cs"/>
          <w:i/>
          <w:iCs/>
          <w:rtl/>
          <w:lang w:bidi="ar-LB"/>
        </w:rPr>
        <w:t>إطار قانوني لحماية المعارف التقليدية في سري لانكا</w:t>
      </w:r>
      <w:r w:rsidRPr="0080684F">
        <w:rPr>
          <w:rFonts w:hint="cs"/>
          <w:rtl/>
          <w:lang w:bidi="ar-LB"/>
        </w:rPr>
        <w:t>، لسنة 2009 "التملك غير المشروع" بأنه ""1" اكتساب المعارف التقليدية أو تملكها أو استخدامها على نحو ينتهك أحكام هذا القانون، "2" تحقيق فوائد من اكتساب المعارف التقليدية أو تملكها أو استخدامها عندما يكون الشخص الذي اكتسب تلك المعارف أو تملكها أو استخدمها على علم بأنها مكتسبة أو ممتلكة أو مستخدمة بوسائل غير عادلة أو في حالة استحالة عدم علمه بذلك أو أن يكون مرتكبا لإهمال بسبب عدم علمه بذلك، "3" أي نشاط تجاري مخالف للممارسات الشريفة يحقق فوائد غير عادلة أو غير منصفة من خلال المعارف التقليدية."</w:t>
      </w:r>
      <w:r w:rsidRPr="0080684F">
        <w:rPr>
          <w:vertAlign w:val="superscript"/>
          <w:rtl/>
          <w:lang w:bidi="ar-LB"/>
        </w:rPr>
        <w:footnoteReference w:id="108"/>
      </w:r>
    </w:p>
    <w:p w:rsidR="0080684F" w:rsidRPr="0056101C" w:rsidRDefault="0080684F" w:rsidP="0056101C">
      <w:pPr>
        <w:pStyle w:val="Heading2"/>
        <w:spacing w:before="240" w:after="240"/>
        <w:rPr>
          <w:i/>
          <w:iCs w:val="0"/>
          <w:sz w:val="18"/>
          <w:szCs w:val="22"/>
          <w:lang w:val="fr-CH"/>
        </w:rPr>
      </w:pPr>
      <w:bookmarkStart w:id="96" w:name="_Toc109824599"/>
      <w:r w:rsidRPr="0056101C">
        <w:rPr>
          <w:i/>
          <w:iCs w:val="0"/>
          <w:sz w:val="18"/>
          <w:szCs w:val="22"/>
          <w:rtl/>
          <w:lang w:bidi="ar-LB"/>
        </w:rPr>
        <w:t>سوء الاستخدام</w:t>
      </w:r>
      <w:r w:rsidRPr="00726E12">
        <w:rPr>
          <w:b/>
          <w:bCs w:val="0"/>
          <w:i/>
          <w:iCs w:val="0"/>
          <w:sz w:val="18"/>
          <w:szCs w:val="22"/>
          <w:vertAlign w:val="superscript"/>
          <w:rtl/>
        </w:rPr>
        <w:footnoteReference w:id="109"/>
      </w:r>
      <w:bookmarkEnd w:id="96"/>
    </w:p>
    <w:p w:rsidR="0080684F" w:rsidRPr="0080684F" w:rsidRDefault="0080684F" w:rsidP="0080684F">
      <w:pPr>
        <w:pStyle w:val="BodyText"/>
        <w:rPr>
          <w:rtl/>
          <w:lang w:bidi="ar-LB"/>
        </w:rPr>
      </w:pPr>
      <w:r w:rsidRPr="0080684F">
        <w:rPr>
          <w:rFonts w:hint="cs"/>
          <w:rtl/>
          <w:lang w:bidi="ar-LB"/>
        </w:rPr>
        <w:t>جاء في قاموس بلاكس لو أن "سوء الاستخدام" في مجال البراءات يعني "الانتفاع ببراءة اختراع إما لتمديد الحق الاحتكاري الممنوح على نحو غير مشروع ليشمل سلعا غير محمية بالبراءة أو لانتهاك قوانين مكافحة الاحتكار." وبصفة عامة، ينص قاموس بلاكس لو على أنه: "الاستخدام غير اللائق، بطريقة غير مقصودة أو لا يمكن توقعها." وتعرّف القواميس سوء الاستخدام بأنه عموما استخدام خاطئ أو غير صحيح أو غير لائق، أو إساءة التطبيق. وقد يشير مصطلح إساءة الاستخدام أيضا إلى استخدام غير لائق أو مفرط، أو إلى الأفعال التي تغيّر غرض</w:t>
      </w:r>
      <w:r w:rsidRPr="0080684F">
        <w:rPr>
          <w:rFonts w:hint="cs"/>
          <w:rtl/>
        </w:rPr>
        <w:t xml:space="preserve"> الشيء</w:t>
      </w:r>
      <w:r w:rsidRPr="0080684F">
        <w:rPr>
          <w:rFonts w:hint="cs"/>
          <w:rtl/>
          <w:lang w:bidi="ar-LB"/>
        </w:rPr>
        <w:t xml:space="preserve"> أو وظيفته الأصلية.</w:t>
      </w:r>
    </w:p>
    <w:p w:rsidR="0080684F" w:rsidRPr="0056101C" w:rsidRDefault="0080684F" w:rsidP="0056101C">
      <w:pPr>
        <w:pStyle w:val="Heading2"/>
        <w:spacing w:before="240" w:after="240"/>
        <w:rPr>
          <w:i/>
          <w:iCs w:val="0"/>
          <w:sz w:val="18"/>
          <w:szCs w:val="22"/>
          <w:rtl/>
          <w:lang w:bidi="ar-LB"/>
        </w:rPr>
      </w:pPr>
      <w:bookmarkStart w:id="97" w:name="_Toc109824600"/>
      <w:r w:rsidRPr="0056101C">
        <w:rPr>
          <w:i/>
          <w:iCs w:val="0"/>
          <w:sz w:val="18"/>
          <w:szCs w:val="22"/>
          <w:rtl/>
          <w:lang w:bidi="ar-LB"/>
        </w:rPr>
        <w:t>التعديل</w:t>
      </w:r>
      <w:bookmarkEnd w:id="97"/>
    </w:p>
    <w:p w:rsidR="0080684F" w:rsidRPr="0080684F" w:rsidRDefault="0080684F" w:rsidP="0080684F">
      <w:pPr>
        <w:pStyle w:val="BodyText"/>
        <w:rPr>
          <w:rtl/>
          <w:lang w:bidi="ar-LB"/>
        </w:rPr>
      </w:pPr>
      <w:r w:rsidRPr="0080684F">
        <w:rPr>
          <w:rFonts w:hint="cs"/>
          <w:rtl/>
          <w:lang w:bidi="ar-LB"/>
        </w:rPr>
        <w:t xml:space="preserve">التعديل هو تغيير شيء ما (قاموس بلاكس لو). وهو مصطلح مرادف لكلمة تغيير. وتنص المادة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 على جملة من الحقوق، منها حق المصنِّف في الاعتراض على كل تحريف أو تشويه أو أي تعديل آخر لمصنفه يكون ضاراً بشرفه أو بسمعته.</w:t>
      </w:r>
    </w:p>
    <w:p w:rsidR="0080684F" w:rsidRPr="0056101C" w:rsidRDefault="0080684F" w:rsidP="0056101C">
      <w:pPr>
        <w:pStyle w:val="Heading2"/>
        <w:spacing w:before="240" w:after="240"/>
        <w:rPr>
          <w:i/>
          <w:iCs w:val="0"/>
          <w:sz w:val="18"/>
          <w:szCs w:val="22"/>
          <w:rtl/>
          <w:lang w:bidi="ar-LB"/>
        </w:rPr>
      </w:pPr>
      <w:bookmarkStart w:id="98" w:name="_Toc109824601"/>
      <w:r w:rsidRPr="0056101C">
        <w:rPr>
          <w:i/>
          <w:iCs w:val="0"/>
          <w:sz w:val="18"/>
          <w:szCs w:val="22"/>
          <w:rtl/>
          <w:lang w:bidi="ar-LB"/>
        </w:rPr>
        <w:t>التحريف</w:t>
      </w:r>
      <w:bookmarkEnd w:id="98"/>
    </w:p>
    <w:p w:rsidR="0080684F" w:rsidRPr="0080684F" w:rsidRDefault="0080684F" w:rsidP="0080684F">
      <w:pPr>
        <w:pStyle w:val="BodyText"/>
        <w:rPr>
          <w:rtl/>
          <w:lang w:bidi="ar-LB"/>
        </w:rPr>
      </w:pPr>
      <w:r w:rsidRPr="0080684F">
        <w:rPr>
          <w:rFonts w:hint="cs"/>
          <w:rtl/>
          <w:lang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w:t>
      </w:r>
    </w:p>
    <w:p w:rsidR="0080684F" w:rsidRPr="0056101C" w:rsidRDefault="0080684F" w:rsidP="0056101C">
      <w:pPr>
        <w:pStyle w:val="Heading2"/>
        <w:spacing w:before="240" w:after="240"/>
        <w:rPr>
          <w:i/>
          <w:iCs w:val="0"/>
          <w:sz w:val="18"/>
          <w:szCs w:val="22"/>
          <w:rtl/>
          <w:lang w:bidi="ar-LB"/>
        </w:rPr>
      </w:pPr>
      <w:bookmarkStart w:id="99" w:name="_Toc109824602"/>
      <w:r w:rsidRPr="0056101C">
        <w:rPr>
          <w:i/>
          <w:iCs w:val="0"/>
          <w:sz w:val="18"/>
          <w:szCs w:val="22"/>
          <w:rtl/>
          <w:lang w:bidi="ar-LB"/>
        </w:rPr>
        <w:lastRenderedPageBreak/>
        <w:t>الاحترام المتبادل</w:t>
      </w:r>
      <w:bookmarkEnd w:id="99"/>
    </w:p>
    <w:p w:rsidR="0080684F" w:rsidRPr="0080684F" w:rsidRDefault="0080684F" w:rsidP="0080684F">
      <w:pPr>
        <w:pStyle w:val="BodyText"/>
        <w:rPr>
          <w:rtl/>
          <w:lang w:bidi="ar-LB"/>
        </w:rPr>
      </w:pPr>
      <w:r w:rsidRPr="0080684F">
        <w:rPr>
          <w:rFonts w:hint="cs"/>
          <w:rtl/>
          <w:lang w:bidi="ar-LB"/>
        </w:rPr>
        <w:t xml:space="preserve">يعتبر </w:t>
      </w:r>
      <w:r w:rsidRPr="0080684F">
        <w:rPr>
          <w:rFonts w:hint="cs"/>
          <w:i/>
          <w:iCs/>
          <w:rtl/>
          <w:lang w:bidi="ar-LB"/>
        </w:rPr>
        <w:t>إعلان الأمم المتحدة بشأن حقوق الشعوب الأصلية</w:t>
      </w:r>
      <w:r w:rsidRPr="0080684F">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80684F" w:rsidRPr="0056101C" w:rsidRDefault="0080684F" w:rsidP="0056101C">
      <w:pPr>
        <w:pStyle w:val="Heading2"/>
        <w:spacing w:before="240" w:after="240"/>
        <w:rPr>
          <w:i/>
          <w:iCs w:val="0"/>
          <w:rtl/>
          <w:lang w:bidi="ar-LB"/>
        </w:rPr>
      </w:pPr>
      <w:bookmarkStart w:id="100" w:name="_Toc109824603"/>
      <w:r w:rsidRPr="0056101C">
        <w:rPr>
          <w:i/>
          <w:iCs w:val="0"/>
          <w:sz w:val="18"/>
          <w:szCs w:val="22"/>
          <w:rtl/>
          <w:lang w:bidi="ar-LB"/>
        </w:rPr>
        <w:t>الشروط المتفق عليها</w:t>
      </w:r>
      <w:bookmarkEnd w:id="100"/>
    </w:p>
    <w:p w:rsidR="0080684F" w:rsidRPr="0080684F" w:rsidRDefault="0080684F" w:rsidP="0080684F">
      <w:pPr>
        <w:pStyle w:val="BodyText"/>
        <w:rPr>
          <w:rtl/>
          <w:lang w:bidi="ar-LB"/>
        </w:rPr>
      </w:pPr>
      <w:r w:rsidRPr="0080684F">
        <w:rPr>
          <w:rFonts w:hint="cs"/>
          <w:rtl/>
          <w:lang w:bidi="ar-LB"/>
        </w:rPr>
        <w:t xml:space="preserve">تقر المادة 15 من </w:t>
      </w:r>
      <w:r w:rsidRPr="0080684F">
        <w:rPr>
          <w:rFonts w:hint="cs"/>
          <w:i/>
          <w:iCs/>
          <w:rtl/>
          <w:lang w:bidi="ar-LB"/>
        </w:rPr>
        <w:t>اتفاقية التنوع البيولوجي</w:t>
      </w:r>
      <w:r w:rsidRPr="0080684F">
        <w:rPr>
          <w:rFonts w:hint="cs"/>
          <w:rtl/>
          <w:lang w:bidi="ar-LB"/>
        </w:rPr>
        <w:t xml:space="preserve"> (1992) بسلطة الحكومات الوطنية في تقرير الحصول على الموارد الوراثية،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80684F">
        <w:rPr>
          <w:vertAlign w:val="superscript"/>
          <w:rtl/>
          <w:lang w:bidi="ar-LB"/>
        </w:rPr>
        <w:footnoteReference w:id="110"/>
      </w:r>
      <w:r w:rsidRPr="0080684F">
        <w:rPr>
          <w:rFonts w:hint="cs"/>
          <w:rtl/>
          <w:lang w:bidi="ar-LB"/>
        </w:rPr>
        <w:t xml:space="preserve"> وترد في المواد من 41 إلى 44 في </w:t>
      </w:r>
      <w:r w:rsidRPr="0080684F">
        <w:rPr>
          <w:rFonts w:hint="cs"/>
          <w:i/>
          <w:iCs/>
          <w:rtl/>
          <w:lang w:bidi="ar-LB"/>
        </w:rPr>
        <w:t xml:space="preserve">خطوط بون التوجيهية بشأن التوصل إلى الموارد الجينية والتقاسم العادل والمنصف للمنافع الناشئة عن استعمالها </w:t>
      </w:r>
      <w:r w:rsidRPr="0080684F">
        <w:rPr>
          <w:rFonts w:hint="cs"/>
          <w:rtl/>
          <w:lang w:bidi="ar-LB"/>
        </w:rPr>
        <w:t>بعض المتطلبات الأساسية للشروط المتفق عليها.</w:t>
      </w:r>
    </w:p>
    <w:p w:rsidR="0080684F" w:rsidRPr="0080684F" w:rsidRDefault="0080684F" w:rsidP="0080684F">
      <w:pPr>
        <w:pStyle w:val="BodyText"/>
        <w:rPr>
          <w:rtl/>
          <w:lang w:bidi="ar-LB"/>
        </w:rPr>
      </w:pPr>
      <w:r w:rsidRPr="0080684F">
        <w:rPr>
          <w:rFonts w:hint="cs"/>
          <w:rtl/>
          <w:lang w:bidi="ar-LB"/>
        </w:rPr>
        <w:t xml:space="preserve">وتتناول المادة 18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الامتثال للشروط المتفق عليها وفقا للشروط التالية: "1- على الأطراف، لدى تنفيذها للفقرة 3 (ز)"1" من المادة 6 والمادة 7 أن تشجع موردي الموارد الجينية و/أو المعارف التقليدية المرتبطة بها والمنتفعين بها على إدراج أحكام بشأن الشروط المتفق عليها، حسب الاقتضاء، لتغطية تسوية النزعات، وتتضمن هذه الأحكام: (أ) الولاية القضائية التي ستخضع لها أي عمليات لتسوية المنازعات؛ (ب) القانون الواجب التطبيق؛ و/أو (ج) خيارات لتسوية المنازعات بطرائق بديلة، مثل الوساطة أو التحكيم. 2- 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 3- تتخذ الأطراف تدابير فعالة، عند الاقتضاء، فيما يخص: (أ) اللجوء إلى العدالة؛ (ب) استخدام آليات فيما يتعلق بالاعتراف المتبادل بالأحكام وقرارات التحكيم الأجنبية وإنفاذها؛ 4- يستعرض مؤتمر الأطراف العامل كاجتماع للأطراف في هذا البروتوكول فعالية هذه المادة وفقا للمادة 31 من هذا البروتوكول."</w:t>
      </w:r>
    </w:p>
    <w:p w:rsidR="0080684F" w:rsidRPr="0080684F" w:rsidRDefault="0080684F" w:rsidP="0056101C">
      <w:pPr>
        <w:pStyle w:val="BodyText"/>
        <w:spacing w:before="240" w:after="240"/>
        <w:rPr>
          <w:b/>
          <w:bCs/>
          <w:rtl/>
          <w:lang w:bidi="ar-LB"/>
        </w:rPr>
      </w:pPr>
      <w:bookmarkStart w:id="101" w:name="_Toc109824604"/>
      <w:r w:rsidRPr="0056101C">
        <w:rPr>
          <w:rStyle w:val="Heading2Char"/>
          <w:i/>
          <w:iCs w:val="0"/>
          <w:sz w:val="18"/>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bookmarkEnd w:id="101"/>
      <w:r w:rsidRPr="0080684F">
        <w:rPr>
          <w:b/>
          <w:bCs/>
          <w:rtl/>
          <w:lang w:bidi="ar-LB"/>
        </w:rPr>
        <w:t>)</w:t>
      </w:r>
    </w:p>
    <w:p w:rsidR="0080684F" w:rsidRPr="0080684F" w:rsidRDefault="0080684F" w:rsidP="0080684F">
      <w:pPr>
        <w:pStyle w:val="BodyText"/>
        <w:rPr>
          <w:rtl/>
          <w:lang w:bidi="ar-LB"/>
        </w:rPr>
      </w:pPr>
      <w:r w:rsidRPr="0080684F">
        <w:rPr>
          <w:rFonts w:hint="cs"/>
          <w:rtl/>
          <w:lang w:bidi="ar-LB"/>
        </w:rPr>
        <w:t>اعتُمد هذا البروتوكول في أكتوبر 2010 خلال الاجتماع العاشر لمؤتمر الأطراف الذي عقد في ناغويا (اليابان). وتنص المادة 1 من البروتوكول على أن: "الهدف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والأمين العام للأمم المتحدة هو أمين إيداع هذا البروتوكول، وقد فتح باب التوقيع عليه في مقر الأمم المتحدة في نيويورك في الفترة من 2 فبراير 2011 إلى الأول من فبراير 2012.</w:t>
      </w:r>
    </w:p>
    <w:p w:rsidR="0080684F" w:rsidRPr="0080684F" w:rsidRDefault="0080684F" w:rsidP="0080684F">
      <w:pPr>
        <w:pStyle w:val="BodyText"/>
        <w:rPr>
          <w:lang w:val="fr-CH"/>
        </w:rPr>
      </w:pPr>
      <w:r w:rsidRPr="0080684F">
        <w:rPr>
          <w:rFonts w:hint="cs"/>
          <w:rtl/>
          <w:lang w:bidi="ar-LB"/>
        </w:rPr>
        <w:t>ولعدد من المواد في البروتوكول صلة خاصة بالمعارف التقليدية المرتبطة بالموارد الوراثية، مثل المادة 7 (النفاذ إلى المعارف التقليدية المرتبطة بالموارد الوراثية)، والمادة 12 (المعارف التقليدية المرتبطة بالموارد الوراثية)، والمادة 16 (الامتثال للتشريع المحلي أو المتطلبات التنظيمية المحلية للنفاذ إلى المعارف التقليدية المرتبطة بالموارد الوراثية وتقاسم المنافع الناشئة عنها).</w:t>
      </w:r>
    </w:p>
    <w:p w:rsidR="0080684F" w:rsidRPr="0056101C" w:rsidRDefault="0080684F" w:rsidP="0056101C">
      <w:pPr>
        <w:pStyle w:val="Heading2"/>
        <w:spacing w:before="240" w:after="240"/>
        <w:rPr>
          <w:i/>
          <w:iCs w:val="0"/>
          <w:sz w:val="18"/>
          <w:szCs w:val="22"/>
          <w:rtl/>
          <w:lang w:bidi="ar-LB"/>
        </w:rPr>
      </w:pPr>
      <w:bookmarkStart w:id="102" w:name="_Toc109824605"/>
      <w:r w:rsidRPr="0056101C">
        <w:rPr>
          <w:i/>
          <w:iCs w:val="0"/>
          <w:sz w:val="18"/>
          <w:szCs w:val="22"/>
          <w:rtl/>
          <w:lang w:bidi="ar-LB"/>
        </w:rPr>
        <w:t>الأمة</w:t>
      </w:r>
      <w:bookmarkEnd w:id="102"/>
    </w:p>
    <w:p w:rsidR="0080684F" w:rsidRPr="0080684F" w:rsidRDefault="0080684F" w:rsidP="0080684F">
      <w:pPr>
        <w:pStyle w:val="BodyText"/>
        <w:rPr>
          <w:rtl/>
          <w:lang w:bidi="ar-LB"/>
        </w:rPr>
      </w:pPr>
      <w:r w:rsidRPr="0080684F">
        <w:rPr>
          <w:rFonts w:hint="cs"/>
          <w:rtl/>
          <w:lang w:bidi="ar-LB"/>
        </w:rPr>
        <w:t>يعرّف قاموس بلاكس لو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0684F">
        <w:rPr>
          <w:vertAlign w:val="superscript"/>
          <w:rtl/>
          <w:lang w:bidi="ar-LB"/>
        </w:rPr>
        <w:footnoteReference w:id="111"/>
      </w:r>
      <w:r w:rsidRPr="0080684F">
        <w:rPr>
          <w:rFonts w:hint="cs"/>
          <w:rtl/>
          <w:lang w:bidi="ar-LB"/>
        </w:rPr>
        <w:t xml:space="preserve"> ويحمل مصطلح "الأمة" في طياته دلالات عن جماعة شكلتها عوامل الأصل والثقافة والتاريخ فضلا عن اللغة المشتركة في كثير من الأحيان.</w:t>
      </w:r>
      <w:r w:rsidRPr="0080684F">
        <w:rPr>
          <w:vertAlign w:val="superscript"/>
          <w:rtl/>
          <w:lang w:bidi="ar-LB"/>
        </w:rPr>
        <w:footnoteReference w:id="112"/>
      </w:r>
      <w:r w:rsidRPr="0080684F">
        <w:rPr>
          <w:rFonts w:hint="cs"/>
          <w:rtl/>
          <w:lang w:bidi="ar-LB"/>
        </w:rPr>
        <w:t xml:space="preserve"> وقصد بأن يظل مصطلح "الجماعات الثقافية" فضفاضا بالقدر الذي يجعله يشمل رعايا بلد ما بكامله، ليشكلوا </w:t>
      </w:r>
      <w:r w:rsidRPr="0080684F">
        <w:rPr>
          <w:rFonts w:hint="cs"/>
          <w:rtl/>
          <w:lang w:bidi="ar-LB"/>
        </w:rPr>
        <w:lastRenderedPageBreak/>
        <w:t>"أمة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80684F">
        <w:rPr>
          <w:vertAlign w:val="superscript"/>
          <w:rtl/>
          <w:lang w:bidi="ar-LB"/>
        </w:rPr>
        <w:footnoteReference w:id="113"/>
      </w:r>
    </w:p>
    <w:p w:rsidR="0080684F" w:rsidRPr="00F73EC2" w:rsidRDefault="0080684F" w:rsidP="00F73EC2">
      <w:pPr>
        <w:pStyle w:val="Heading2"/>
        <w:spacing w:after="240"/>
        <w:rPr>
          <w:i/>
          <w:iCs w:val="0"/>
          <w:sz w:val="18"/>
          <w:szCs w:val="22"/>
          <w:rtl/>
          <w:lang w:bidi="ar-LB"/>
        </w:rPr>
      </w:pPr>
      <w:bookmarkStart w:id="103" w:name="_Toc109824606"/>
      <w:r w:rsidRPr="00F73EC2">
        <w:rPr>
          <w:i/>
          <w:iCs w:val="0"/>
          <w:sz w:val="18"/>
          <w:szCs w:val="22"/>
          <w:rtl/>
          <w:lang w:bidi="ar-LB"/>
        </w:rPr>
        <w:t>الجدة</w:t>
      </w:r>
      <w:bookmarkEnd w:id="103"/>
    </w:p>
    <w:p w:rsidR="0080684F" w:rsidRPr="0080684F" w:rsidRDefault="0080684F" w:rsidP="0080684F">
      <w:pPr>
        <w:pStyle w:val="BodyText"/>
        <w:rPr>
          <w:rtl/>
          <w:lang w:bidi="ar-LB"/>
        </w:rPr>
      </w:pPr>
      <w:r w:rsidRPr="0080684F">
        <w:rPr>
          <w:rFonts w:hint="cs"/>
          <w:rtl/>
          <w:lang w:bidi="ar-LB"/>
        </w:rPr>
        <w:t>الجدة هي أحد معايير منح الحماية بموجب البراءة في أي فحص لموضوع البراءة. ويعتبر أي اختراع جديداً إذا لم تسبقه حالة التقنية الصناعية.</w:t>
      </w:r>
      <w:r w:rsidRPr="0080684F">
        <w:rPr>
          <w:vertAlign w:val="superscript"/>
          <w:rtl/>
          <w:lang w:bidi="ar-LB"/>
        </w:rPr>
        <w:footnoteReference w:id="114"/>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 xml:space="preserve">وتعرّف المادة 33 من </w:t>
      </w:r>
      <w:r w:rsidRPr="0080684F">
        <w:rPr>
          <w:rFonts w:hint="cs"/>
          <w:i/>
          <w:iCs/>
          <w:rtl/>
          <w:lang w:bidi="ar-LB"/>
        </w:rPr>
        <w:t>معاهدة التعاون بشأن البراءات</w:t>
      </w:r>
      <w:r w:rsidRPr="0080684F">
        <w:rPr>
          <w:rFonts w:hint="cs"/>
          <w:rtl/>
          <w:lang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1.64(أ) في اللائحة التنفيذية لمعاهدة التعاون بشأن البراءات "حالة التقنية الصناعية السابقة" بأنها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80684F" w:rsidRPr="0080684F" w:rsidRDefault="0080684F" w:rsidP="0080684F">
      <w:pPr>
        <w:pStyle w:val="BodyText"/>
        <w:rPr>
          <w:rtl/>
          <w:lang w:bidi="ar-LB"/>
        </w:rPr>
      </w:pPr>
      <w:r w:rsidRPr="0080684F">
        <w:rPr>
          <w:rFonts w:hint="cs"/>
          <w:rtl/>
          <w:lang w:bidi="ar-LB"/>
        </w:rPr>
        <w:t xml:space="preserve">وتعرّف المادة 54 من </w:t>
      </w:r>
      <w:r w:rsidRPr="0080684F">
        <w:rPr>
          <w:rFonts w:hint="cs"/>
          <w:i/>
          <w:iCs/>
          <w:rtl/>
          <w:lang w:bidi="ar-LB"/>
        </w:rPr>
        <w:t>اتفاقية البراءات الأوروبية</w:t>
      </w:r>
      <w:r w:rsidRPr="0080684F">
        <w:rPr>
          <w:rFonts w:hint="cs"/>
          <w:rtl/>
          <w:lang w:bidi="ar-LB"/>
        </w:rPr>
        <w:t xml:space="preserve"> "الجدة" على النحو التالي: "يعتبر أي اختراع جديداً إن لم يكن جزءاً من حالة التقنية الصناعية، على أن تشمل حالة التقنية الصناعية كل ما وضع تحت تصرف الجمهور بالوصف الكتابي أو الشفوي أو بالاستخدام أو بأية طريقة أخرى قبل تاريخ إيداع طلب البراءة الأوروبية."</w:t>
      </w:r>
    </w:p>
    <w:p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[شروط الحماية بموجب البراءة؛ والجدة] مفهوم الجدة على النحو التالي: "[أ] يحق لأي شخص الحصول على الحماية بموجب البراءة ما لم – (1) يكن الاختراع المطالب بحمايته محمياً بموجب براءة، أو موصوفاً في منشور مطبوع، أو مستخدماً من قبل الجمهور، 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15"/>
      </w:r>
    </w:p>
    <w:p w:rsidR="0080684F" w:rsidRPr="00F73EC2" w:rsidRDefault="0080684F" w:rsidP="00F73EC2">
      <w:pPr>
        <w:pStyle w:val="Heading2"/>
        <w:spacing w:before="240" w:after="240"/>
        <w:rPr>
          <w:i/>
          <w:iCs w:val="0"/>
          <w:sz w:val="18"/>
          <w:szCs w:val="22"/>
          <w:rtl/>
          <w:lang w:bidi="ar-LB"/>
        </w:rPr>
      </w:pPr>
      <w:bookmarkStart w:id="104" w:name="_Toc109824607"/>
      <w:r w:rsidRPr="00F73EC2">
        <w:rPr>
          <w:i/>
          <w:iCs w:val="0"/>
          <w:sz w:val="18"/>
          <w:szCs w:val="22"/>
          <w:rtl/>
          <w:lang w:bidi="ar-LB"/>
        </w:rPr>
        <w:t>ضار</w:t>
      </w:r>
      <w:bookmarkEnd w:id="104"/>
    </w:p>
    <w:p w:rsidR="0080684F" w:rsidRPr="0080684F" w:rsidRDefault="0080684F" w:rsidP="0080684F">
      <w:pPr>
        <w:pStyle w:val="BodyText"/>
        <w:rPr>
          <w:rtl/>
        </w:rPr>
      </w:pPr>
      <w:r w:rsidRPr="0080684F">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80684F" w:rsidRPr="00F73EC2" w:rsidRDefault="0080684F" w:rsidP="00F73EC2">
      <w:pPr>
        <w:pStyle w:val="Heading2"/>
        <w:spacing w:before="240" w:after="240"/>
        <w:rPr>
          <w:i/>
          <w:iCs w:val="0"/>
          <w:sz w:val="18"/>
          <w:szCs w:val="22"/>
          <w:rtl/>
          <w:lang w:bidi="ar-LB"/>
        </w:rPr>
      </w:pPr>
      <w:bookmarkStart w:id="105" w:name="_Toc109824608"/>
      <w:r w:rsidRPr="00F73EC2">
        <w:rPr>
          <w:i/>
          <w:iCs w:val="0"/>
          <w:sz w:val="18"/>
          <w:szCs w:val="22"/>
          <w:rtl/>
          <w:lang w:bidi="ar-LB"/>
        </w:rPr>
        <w:t>البراءة</w:t>
      </w:r>
      <w:bookmarkEnd w:id="105"/>
    </w:p>
    <w:p w:rsidR="0080684F" w:rsidRPr="0080684F" w:rsidRDefault="0080684F" w:rsidP="0080684F">
      <w:pPr>
        <w:pStyle w:val="BodyText"/>
        <w:rPr>
          <w:rtl/>
          <w:lang w:bidi="ar-LB"/>
        </w:rPr>
      </w:pPr>
      <w:r w:rsidRPr="0080684F">
        <w:rPr>
          <w:rFonts w:hint="cs"/>
          <w:rtl/>
          <w:lang w:bidi="ar-LB"/>
        </w:rPr>
        <w:t>البراءة هي وثيقة تصف اختراعا يمكن تصنيعه واستخدامه وبيعه بتصريح من مالك البراءة. والاختراع هو حل لمشكلة تقنية محددة. وتتضمن وثيقة البراءة عادة مطلبا واحدا على الأقل، والنص الكامل الذي يصف الاختراع، والمعلومات الببليوغرافية مثل اسم مودع الطلب. ومدة الحماية الممنوحة بموجب البراءة محدودة زمنيا (تتراوح في العادة ما بين 15 و20 سنة من تاريخ إيداع الطلب أو منح البراءة). وهي محدودة أيضا جغرافيا في البلد أو البلدان المعنية. والبراءة عبارة عن اتفاق بين مخترع وبلد ما. ويسمح الاتفاق لمالك البراءة بمنع الغير من صنع الاختراع المطلوب حمايته أو استخدامه أو بيعه.</w:t>
      </w:r>
      <w:r w:rsidRPr="0080684F">
        <w:rPr>
          <w:vertAlign w:val="superscript"/>
          <w:rtl/>
          <w:lang w:bidi="ar-LB"/>
        </w:rPr>
        <w:footnoteReference w:id="116"/>
      </w:r>
    </w:p>
    <w:p w:rsidR="0080684F" w:rsidRPr="0080684F" w:rsidRDefault="0080684F" w:rsidP="0080684F">
      <w:pPr>
        <w:pStyle w:val="BodyText"/>
        <w:rPr>
          <w:rtl/>
          <w:lang w:bidi="ar-LB"/>
        </w:rPr>
      </w:pPr>
      <w:r w:rsidRPr="0080684F">
        <w:rPr>
          <w:rFonts w:hint="cs"/>
          <w:rtl/>
          <w:lang w:bidi="ar-LB"/>
        </w:rPr>
        <w:t xml:space="preserve">وتنص المادة 27(1) من </w:t>
      </w:r>
      <w:r w:rsidRPr="0080684F">
        <w:rPr>
          <w:rFonts w:hint="cs"/>
          <w:i/>
          <w:iCs/>
          <w:rtl/>
          <w:lang w:bidi="ar-LB"/>
        </w:rPr>
        <w:t>اتفاق منظمة التجارة العالمية بشأن جوانب حقوق الملكية المتصلة بالتجارة</w:t>
      </w:r>
      <w:r w:rsidRPr="0080684F">
        <w:rPr>
          <w:rFonts w:hint="cs"/>
          <w:rtl/>
          <w:lang w:bidi="ar-LB"/>
        </w:rPr>
        <w:t xml:space="preserve"> (اتفاق تريبس) على "إمكانية منح البراءات لأية اختراعات، سواء أكانت منتجات أو طرائق صنع، في كل مجالات التكنولوجيا، على أن تكون الاختراعات جديدة </w:t>
      </w:r>
      <w:r w:rsidRPr="0080684F">
        <w:rPr>
          <w:rFonts w:hint="cs"/>
          <w:rtl/>
          <w:lang w:bidi="ar-LB"/>
        </w:rPr>
        <w:lastRenderedPageBreak/>
        <w:t>وتنطوي على نشاط ابتكاري وقابلة للتطبيق الصناعي. وتُمنح البراءات وحقوق البراءات دون تمييز من حيث مكان الاختراع، أو مجال التكنولوجيا أو كون المنتجات مستوردة أو منتجة محليا.</w:t>
      </w:r>
    </w:p>
    <w:p w:rsidR="0080684F" w:rsidRPr="00613159" w:rsidRDefault="0080684F" w:rsidP="00613159">
      <w:pPr>
        <w:pStyle w:val="Heading2"/>
        <w:spacing w:before="240" w:after="240"/>
        <w:rPr>
          <w:i/>
          <w:iCs w:val="0"/>
          <w:sz w:val="18"/>
          <w:szCs w:val="22"/>
          <w:rtl/>
          <w:lang w:bidi="ar-LB"/>
        </w:rPr>
      </w:pPr>
      <w:bookmarkStart w:id="106" w:name="_Toc109824609"/>
      <w:r w:rsidRPr="00613159">
        <w:rPr>
          <w:i/>
          <w:iCs w:val="0"/>
          <w:sz w:val="18"/>
          <w:szCs w:val="22"/>
          <w:rtl/>
          <w:lang w:bidi="ar-LB"/>
        </w:rPr>
        <w:t>الوقاية</w:t>
      </w:r>
      <w:bookmarkEnd w:id="106"/>
    </w:p>
    <w:p w:rsidR="0080684F" w:rsidRPr="0080684F" w:rsidRDefault="0080684F" w:rsidP="0080684F">
      <w:pPr>
        <w:pStyle w:val="BodyText"/>
        <w:rPr>
          <w:rtl/>
          <w:lang w:bidi="ar-LB"/>
        </w:rPr>
      </w:pPr>
      <w:r w:rsidRPr="0080684F">
        <w:rPr>
          <w:rFonts w:hint="cs"/>
          <w:rtl/>
          <w:lang w:bidi="ar-LB"/>
        </w:rPr>
        <w:t>ينطوي مصطلح الوقاية على عنصرين رئيسيين: أولا، المحافظة على السياق الثقافي والاجتماعي الحي للمعارف التقليدية وأشكال التعبير الثقافي التقليدي، بحيث يظل الإطار العرفي لتطوير المعارف التقليدية أو أشكال التعبير الثقافي التقليدي ونقلها وإدارة النفاذ إليها قائما. وثانيا، المحافظة على المعارف التقليدية وأشكال التعبير الثقافي التقليدي في شكل ثابت كما هو الحال عند توثيقها. وقد ترمي الوقاية إلى المساعدة على بقاء المعارف التقليدية أو أشكال التعبير الثقافي التقليدي لأجيال الجماعة الأصلية المقبلة وضمان استمراريتها ضمن إطار تقليدي أو عرفي بالأساس، أو قد ترمى إلى إتاحتها لجمهور أعم (بمن فيه من العلماء والباحثين)، تقديرا لأهميتها كجزء من التراث الثقافي الجماعي البشري.</w:t>
      </w:r>
      <w:r w:rsidRPr="0080684F">
        <w:rPr>
          <w:vertAlign w:val="superscript"/>
          <w:rtl/>
          <w:lang w:bidi="ar-LB"/>
        </w:rPr>
        <w:footnoteReference w:id="117"/>
      </w:r>
    </w:p>
    <w:p w:rsidR="0080684F" w:rsidRPr="0080684F" w:rsidRDefault="0080684F" w:rsidP="0080684F">
      <w:pPr>
        <w:pStyle w:val="BodyText"/>
        <w:rPr>
          <w:rtl/>
          <w:lang w:bidi="ar-LB"/>
        </w:rPr>
      </w:pPr>
      <w:r w:rsidRPr="0080684F">
        <w:rPr>
          <w:rFonts w:hint="cs"/>
          <w:rtl/>
          <w:lang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80684F">
        <w:rPr>
          <w:rFonts w:hint="cs"/>
          <w:i/>
          <w:iCs/>
          <w:rtl/>
          <w:lang w:bidi="ar-LB"/>
        </w:rPr>
        <w:t>اتفاقية التنوع البيولوجي</w:t>
      </w:r>
      <w:r w:rsidRPr="0080684F">
        <w:rPr>
          <w:rFonts w:hint="cs"/>
          <w:rtl/>
          <w:lang w:bidi="ar-LB"/>
        </w:rPr>
        <w:t xml:space="preserve"> (1992) ومنظمة الأمم المتحدة للتريبة والعلم والثقافة (اليونسكو) جوانب من الحفاظ على المعارف التقليدية وأشكال التعبير الثقافي التقليدي ووقايتها وصونها ضمن سياساتها العامة المحددة.</w:t>
      </w:r>
      <w:r w:rsidRPr="0080684F">
        <w:rPr>
          <w:vertAlign w:val="superscript"/>
          <w:rtl/>
          <w:lang w:bidi="ar-EG"/>
        </w:rPr>
        <w:footnoteReference w:id="118"/>
      </w:r>
    </w:p>
    <w:p w:rsidR="0080684F" w:rsidRPr="00613159" w:rsidRDefault="0080684F" w:rsidP="00613159">
      <w:pPr>
        <w:pStyle w:val="Heading2"/>
        <w:spacing w:before="240" w:after="240"/>
        <w:rPr>
          <w:i/>
          <w:iCs w:val="0"/>
          <w:sz w:val="18"/>
          <w:szCs w:val="22"/>
          <w:rtl/>
          <w:lang w:bidi="ar-LB"/>
        </w:rPr>
      </w:pPr>
      <w:bookmarkStart w:id="107" w:name="_Toc109824610"/>
      <w:r w:rsidRPr="00613159">
        <w:rPr>
          <w:i/>
          <w:iCs w:val="0"/>
          <w:sz w:val="18"/>
          <w:szCs w:val="22"/>
          <w:rtl/>
          <w:lang w:bidi="ar-LB"/>
        </w:rPr>
        <w:t>الموافقة المسبقة المستنيرة</w:t>
      </w:r>
      <w:bookmarkEnd w:id="107"/>
    </w:p>
    <w:p w:rsidR="0080684F" w:rsidRPr="0080684F" w:rsidRDefault="0080684F" w:rsidP="0080684F">
      <w:pPr>
        <w:pStyle w:val="BodyText"/>
        <w:rPr>
          <w:rtl/>
          <w:lang w:bidi="ar-LB"/>
        </w:rPr>
      </w:pPr>
      <w:r w:rsidRPr="0080684F">
        <w:rPr>
          <w:rFonts w:hint="cs"/>
          <w:rtl/>
          <w:lang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80684F">
        <w:rPr>
          <w:rFonts w:hint="cs"/>
          <w:i/>
          <w:iCs/>
          <w:rtl/>
          <w:lang w:bidi="ar-LB"/>
        </w:rPr>
        <w:t>اتفاقية بازل بشأن التحكم في نقل النفايات الخطرة والتخلص منها عبر الحدود</w:t>
      </w:r>
      <w:r w:rsidRPr="0080684F">
        <w:rPr>
          <w:rFonts w:hint="cs"/>
          <w:rtl/>
          <w:lang w:bidi="ar-LB"/>
        </w:rPr>
        <w:t>، لسنة 1989، و</w:t>
      </w:r>
      <w:r w:rsidRPr="0080684F">
        <w:rPr>
          <w:rFonts w:hint="cs"/>
          <w:i/>
          <w:iCs/>
          <w:rtl/>
          <w:lang w:bidi="ar-LB"/>
        </w:rPr>
        <w:t>اتفاقية التنوع البيولوجي</w:t>
      </w:r>
      <w:r w:rsidRPr="0080684F">
        <w:rPr>
          <w:rFonts w:hint="cs"/>
          <w:rtl/>
          <w:lang w:bidi="ar-LB"/>
        </w:rPr>
        <w:t xml:space="preserve"> (1992).</w:t>
      </w:r>
    </w:p>
    <w:p w:rsidR="0080684F" w:rsidRPr="0080684F" w:rsidRDefault="0080684F" w:rsidP="0080684F">
      <w:pPr>
        <w:pStyle w:val="BodyText"/>
        <w:rPr>
          <w:rtl/>
          <w:lang w:bidi="ar-LB"/>
        </w:rPr>
      </w:pPr>
      <w:r w:rsidRPr="0080684F">
        <w:rPr>
          <w:rFonts w:hint="cs"/>
          <w:rtl/>
          <w:lang w:bidi="ar-LB"/>
        </w:rPr>
        <w:t xml:space="preserve">وتنص المادة 15(5) من </w:t>
      </w:r>
      <w:r w:rsidRPr="0080684F">
        <w:rPr>
          <w:rFonts w:hint="cs"/>
          <w:i/>
          <w:iCs/>
          <w:rtl/>
          <w:lang w:bidi="ar-LB"/>
        </w:rPr>
        <w:t>اتفاقية التنوع البيولوجي</w:t>
      </w:r>
      <w:r w:rsidRPr="0080684F">
        <w:rPr>
          <w:rFonts w:hint="cs"/>
          <w:rtl/>
          <w:lang w:bidi="ar-LB"/>
        </w:rPr>
        <w:t xml:space="preserve"> (1992) على أن يكون الحصول على الموارد الجينية "رهناً بموافقة مستنيرة مسبقة للطرف المتعاقد الذي يوفر هذه الموارد، إلا إذا قرر هذا الطرف غير ذلك".</w:t>
      </w:r>
    </w:p>
    <w:p w:rsidR="0080684F" w:rsidRPr="0080684F" w:rsidRDefault="0080684F" w:rsidP="0080684F">
      <w:pPr>
        <w:pStyle w:val="BodyText"/>
        <w:rPr>
          <w:rtl/>
          <w:lang w:bidi="ar-LB"/>
        </w:rPr>
      </w:pPr>
      <w:r w:rsidRPr="0080684F">
        <w:rPr>
          <w:rFonts w:hint="cs"/>
          <w:rtl/>
          <w:lang w:bidi="ar-LB"/>
        </w:rPr>
        <w:t xml:space="preserve">وتنص المادة 16(1)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أن "يتخذ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rsidR="0080684F" w:rsidRPr="0080684F" w:rsidRDefault="0080684F" w:rsidP="0080684F">
      <w:pPr>
        <w:pStyle w:val="BodyText"/>
        <w:rPr>
          <w:rtl/>
          <w:lang w:bidi="ar-LB"/>
        </w:rPr>
      </w:pPr>
      <w:r w:rsidRPr="0080684F">
        <w:rPr>
          <w:rFonts w:hint="cs"/>
          <w:rtl/>
          <w:lang w:bidi="ar-LB"/>
        </w:rPr>
        <w:t xml:space="preserve">واشتق هذا المفهوم في الأصل من مدونات أخلاقيات مهنة الطب التي يحق فيها للمريض أن يقرر الخضوع لعلاج طبي بعد أن يطلع اطلاعاً كاملاً على أخطار العلاج ومنافعه. وتنص المادة 5 من </w:t>
      </w:r>
      <w:r w:rsidRPr="0080684F">
        <w:rPr>
          <w:rFonts w:hint="cs"/>
          <w:i/>
          <w:iCs/>
          <w:rtl/>
          <w:lang w:bidi="ar-LB"/>
        </w:rPr>
        <w:t>الإعلان العالمي بشأن المجين البشري وحقوق الإنسان</w:t>
      </w:r>
      <w:r w:rsidRPr="0080684F">
        <w:rPr>
          <w:rFonts w:hint="cs"/>
          <w:rtl/>
          <w:lang w:bidi="ar-LB"/>
        </w:rPr>
        <w:t xml:space="preserve"> لسنة 1997، على سبيل المثال، على أنه ينبغي، في كل الأحوال التي يتم فيها إجراء أي بحث أو القيام بأية معالجة أو تشخيص يتعلق بمجين شخص ما، إجراء تقييم للأخطار والفوائد المحتملة، وينبغي "التماس القبول المسبق والحر والواعي من الشخص المعني". وتنص المادة 6 من </w:t>
      </w:r>
      <w:r w:rsidRPr="0080684F">
        <w:rPr>
          <w:rFonts w:hint="cs"/>
          <w:i/>
          <w:iCs/>
          <w:rtl/>
          <w:lang w:bidi="ar-LB"/>
        </w:rPr>
        <w:t>إعلان منظمة الأمم المتحدة للتريبة والعلم والثقافة (اليونسكو) بشأن أخلاقيات البيولوجيا وحقوق الإنسان</w:t>
      </w:r>
      <w:r w:rsidRPr="0080684F">
        <w:rPr>
          <w:rFonts w:hint="cs"/>
          <w:rtl/>
          <w:lang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80684F" w:rsidRPr="0080684F" w:rsidRDefault="0080684F" w:rsidP="0080684F">
      <w:pPr>
        <w:pStyle w:val="BodyText"/>
        <w:rPr>
          <w:rtl/>
          <w:lang w:bidi="ar-LB"/>
        </w:rPr>
      </w:pPr>
      <w:r w:rsidRPr="0080684F">
        <w:rPr>
          <w:rFonts w:hint="cs"/>
          <w:rtl/>
          <w:lang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80684F">
        <w:rPr>
          <w:vertAlign w:val="superscript"/>
          <w:rtl/>
          <w:lang w:bidi="ar-LB"/>
        </w:rPr>
        <w:footnoteReference w:id="119"/>
      </w:r>
    </w:p>
    <w:p w:rsidR="0080684F" w:rsidRPr="0080684F" w:rsidRDefault="0080684F" w:rsidP="0080684F">
      <w:pPr>
        <w:pStyle w:val="BodyText"/>
        <w:rPr>
          <w:rtl/>
          <w:lang w:bidi="ar-LB"/>
        </w:rPr>
      </w:pPr>
      <w:r w:rsidRPr="0080684F">
        <w:rPr>
          <w:rFonts w:hint="cs"/>
          <w:rtl/>
          <w:lang w:bidi="ar-LB"/>
        </w:rPr>
        <w:t xml:space="preserve">والغرض من استخدام النعت "حرة" هو ضمان عدم التلاعب وعدم الإكراه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w:t>
      </w:r>
      <w:r w:rsidRPr="0080684F">
        <w:rPr>
          <w:rFonts w:hint="cs"/>
          <w:rtl/>
          <w:lang w:bidi="ar-LB"/>
        </w:rPr>
        <w:lastRenderedPageBreak/>
        <w:t>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80684F" w:rsidRPr="0080684F" w:rsidRDefault="0080684F" w:rsidP="0080684F">
      <w:pPr>
        <w:pStyle w:val="BodyText"/>
        <w:rPr>
          <w:rtl/>
          <w:lang w:bidi="ar-LB"/>
        </w:rPr>
      </w:pPr>
      <w:r w:rsidRPr="0080684F">
        <w:rPr>
          <w:rFonts w:hint="cs"/>
          <w:rtl/>
          <w:lang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والاستخدامات المستقبلية. ويجب أن تكون العملية شفافة وأن تكون اللغة المستخدمة مفهومة بالكامل من جانب الشعوب الأصلية.</w:t>
      </w:r>
      <w:r w:rsidRPr="0080684F">
        <w:rPr>
          <w:vertAlign w:val="superscript"/>
          <w:rtl/>
          <w:lang w:bidi="ar-LB"/>
        </w:rPr>
        <w:footnoteReference w:id="120"/>
      </w:r>
    </w:p>
    <w:p w:rsidR="0080684F" w:rsidRPr="00613159" w:rsidRDefault="0080684F" w:rsidP="00613159">
      <w:pPr>
        <w:pStyle w:val="Heading2"/>
        <w:spacing w:before="240" w:after="240"/>
        <w:rPr>
          <w:i/>
          <w:iCs w:val="0"/>
          <w:sz w:val="18"/>
          <w:szCs w:val="22"/>
          <w:rtl/>
          <w:lang w:bidi="ar-LB"/>
        </w:rPr>
      </w:pPr>
      <w:bookmarkStart w:id="108" w:name="_Toc109824611"/>
      <w:r w:rsidRPr="00613159">
        <w:rPr>
          <w:i/>
          <w:iCs w:val="0"/>
          <w:sz w:val="18"/>
          <w:szCs w:val="22"/>
          <w:rtl/>
          <w:lang w:bidi="ar-LB"/>
        </w:rPr>
        <w:t>حالة التقنية الصناعية السابقة</w:t>
      </w:r>
      <w:bookmarkEnd w:id="108"/>
    </w:p>
    <w:p w:rsidR="0080684F" w:rsidRPr="0080684F" w:rsidRDefault="0080684F" w:rsidP="0080684F">
      <w:pPr>
        <w:pStyle w:val="BodyText"/>
        <w:rPr>
          <w:rtl/>
          <w:lang w:bidi="ar-LB"/>
        </w:rPr>
      </w:pPr>
      <w:r w:rsidRPr="0080684F">
        <w:rPr>
          <w:rFonts w:hint="cs"/>
          <w:rtl/>
          <w:lang w:bidi="ar-LB"/>
        </w:rPr>
        <w:t>حالة التقنية الصناعية السابقة هي على وجه العموم جميع المعارف الموجودة قبل تاريخ الإيداع أو تاريخ الأولوية، سواء كانت موجودة عن طريق الكشف الكتابي أو الشفوي. وتفرّق بعض الصكوك القانونية بين المنشورات المطبوعة والكشف الشفوي والانتفاع السابق وبين الأماكن التي تصدر فيها المنشورات ويتم فيها الكشف.</w:t>
      </w:r>
      <w:r w:rsidRPr="0080684F">
        <w:rPr>
          <w:vertAlign w:val="superscript"/>
          <w:rtl/>
          <w:lang w:bidi="ar-LB"/>
        </w:rPr>
        <w:footnoteReference w:id="121"/>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ولأغراض معاهدة التعاون بشأن البراءات تعرّف القاعدة 1.33 من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80684F" w:rsidRPr="0080684F" w:rsidRDefault="0080684F" w:rsidP="0080684F">
      <w:pPr>
        <w:pStyle w:val="BodyText"/>
        <w:rPr>
          <w:rtl/>
          <w:lang w:bidi="ar-LB"/>
        </w:rPr>
      </w:pPr>
      <w:r w:rsidRPr="0080684F">
        <w:rPr>
          <w:rFonts w:hint="cs"/>
          <w:rtl/>
          <w:lang w:bidi="ar-LB"/>
        </w:rPr>
        <w:t xml:space="preserve">وفي حالة أوروبا، تعرف المادة 54(2) من </w:t>
      </w:r>
      <w:r w:rsidRPr="0080684F">
        <w:rPr>
          <w:rFonts w:hint="cs"/>
          <w:i/>
          <w:iCs/>
          <w:rtl/>
          <w:lang w:bidi="ar-LB"/>
        </w:rPr>
        <w:t>اتفاقية البراءات الأوروبية</w:t>
      </w:r>
      <w:r w:rsidRPr="0080684F">
        <w:rPr>
          <w:rFonts w:hint="cs"/>
          <w:rtl/>
          <w:lang w:bidi="ar-LB"/>
        </w:rPr>
        <w:t xml:space="preserve"> المصطلح المعادل وهو "حالة التقنية الصناعية" على أنه يشمل "كل ما يجري توفيره للجمهور عن طريق الوصف الكتابي أو الشفوي أو عن طريق الاستخدام أو بأية طريقة أخرى، قبل إيداع طلب البراءة الأوروبية." وبالإشارة إلى هذا الحكم من اتفاقية البراءات الأوروبية، فإن </w:t>
      </w:r>
      <w:r w:rsidRPr="0080684F">
        <w:rPr>
          <w:rFonts w:hint="cs"/>
          <w:i/>
          <w:iCs/>
          <w:rtl/>
          <w:lang w:bidi="ar-LB"/>
        </w:rPr>
        <w:t>المبادئ التوجيهية للفحص في مكتب البراءات الأوروبي</w:t>
      </w:r>
      <w:r w:rsidRPr="0080684F">
        <w:rPr>
          <w:rFonts w:hint="cs"/>
          <w:rtl/>
          <w:lang w:bidi="ar-LB"/>
        </w:rPr>
        <w:t xml:space="preserve"> تشدد على أنه "ينبغي الإحاطة علماً بنطاق هذا التعريف. ولا تفرض أية قيود بخصوص المكان الجغرافي الذي تتاح فيه المعلومات للجمهور ولا بخصوص لغاتها أو طريقة إتاحتها، ولا يُفرض أي حد عمري على تاريخ الوثائق أو أية مصادر أخرى للمعلومات. ولكن توجد بعض الاستثناءات المحدّدة (انظر زاي – الفصل الخامس)."</w:t>
      </w:r>
    </w:p>
    <w:p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حالة التقنية الصناعية السابقة تعريفاً غير مباشر من خلال مفهوم الجدة على أنها "أي شيء محمي بموجب براءة، أو موصوف في منشور مطبوع، أو مستخدم من قبل الجمهور، أو معروض للبيع، أو متاح بأية طريقة أخرى للجمهور قبل تاريخ الإيداع الفعلي للاختراع المطالب بحمايته؛ أو (2) ما كان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22"/>
      </w:r>
    </w:p>
    <w:p w:rsidR="0080684F" w:rsidRPr="0080684F" w:rsidRDefault="0080684F" w:rsidP="0080684F">
      <w:pPr>
        <w:pStyle w:val="BodyText"/>
        <w:rPr>
          <w:rtl/>
          <w:lang w:bidi="ar-LB"/>
        </w:rPr>
      </w:pPr>
      <w:r w:rsidRPr="0080684F">
        <w:rPr>
          <w:rFonts w:hint="cs"/>
          <w:rtl/>
          <w:lang w:bidi="ar-LB"/>
        </w:rPr>
        <w:t>يكون معروفاً أو مستخدماً لدى الغير في هذا البلد، أو محمياً بموجب براءة أو موصوفاً في منشور مطبوع في هذا البلد أو في بلد أجنبي، قبل أن يخترعه مودع طلب الحصول على براءة".</w:t>
      </w:r>
      <w:r w:rsidRPr="0080684F">
        <w:rPr>
          <w:vertAlign w:val="superscript"/>
          <w:rtl/>
          <w:lang w:bidi="ar-LB"/>
        </w:rPr>
        <w:footnoteReference w:id="123"/>
      </w:r>
    </w:p>
    <w:p w:rsidR="0080684F" w:rsidRPr="0080684F" w:rsidRDefault="0080684F" w:rsidP="0080684F">
      <w:pPr>
        <w:pStyle w:val="BodyText"/>
        <w:rPr>
          <w:rtl/>
          <w:lang w:bidi="ar-LB"/>
        </w:rPr>
      </w:pPr>
      <w:r w:rsidRPr="0080684F">
        <w:rPr>
          <w:rFonts w:hint="cs"/>
          <w:rtl/>
          <w:lang w:bidi="ar-LB"/>
        </w:rPr>
        <w:t>وتُعرّف المادة 29 من قانون البراءات الياباني "حالة التقنية الصناعية السابقة" تعريفاً غير مباشر على أنها "(1)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تتاح للجمهور من خلال خط الاتصالات الإلكتروني في اليابان أو في بلد أجنبي، قبل إيداع طلب الحصول على البراءة."</w:t>
      </w:r>
    </w:p>
    <w:p w:rsidR="0080684F" w:rsidRPr="00613159" w:rsidRDefault="0080684F" w:rsidP="00613159">
      <w:pPr>
        <w:pStyle w:val="Heading2"/>
        <w:spacing w:before="240" w:after="240"/>
        <w:rPr>
          <w:i/>
          <w:iCs w:val="0"/>
          <w:sz w:val="18"/>
          <w:szCs w:val="22"/>
          <w:rtl/>
          <w:lang w:bidi="ar-LB"/>
        </w:rPr>
      </w:pPr>
      <w:bookmarkStart w:id="109" w:name="_Toc109824612"/>
      <w:r w:rsidRPr="00613159">
        <w:rPr>
          <w:i/>
          <w:iCs w:val="0"/>
          <w:sz w:val="18"/>
          <w:szCs w:val="22"/>
          <w:rtl/>
          <w:lang w:bidi="ar-LB"/>
        </w:rPr>
        <w:lastRenderedPageBreak/>
        <w:t>الحماية</w:t>
      </w:r>
      <w:bookmarkEnd w:id="109"/>
    </w:p>
    <w:p w:rsidR="0080684F" w:rsidRPr="0080684F" w:rsidRDefault="0080684F" w:rsidP="0080684F">
      <w:pPr>
        <w:pStyle w:val="BodyText"/>
        <w:rPr>
          <w:rtl/>
          <w:lang w:bidi="ar-LB"/>
        </w:rPr>
      </w:pPr>
      <w:r w:rsidRPr="0080684F">
        <w:rPr>
          <w:rFonts w:hint="cs"/>
          <w:rtl/>
          <w:lang w:bidi="ar-LB"/>
        </w:rPr>
        <w:t>يشير مصطلح "الحماية" عادة في إطار عمل لجنة المعارف إلى حماية المعارف التقليدية وأشكال التعبير الثقافي التقليدي من بعض أشكال استخدام الغير لها دون تصريح.</w:t>
      </w:r>
      <w:r w:rsidRPr="0080684F">
        <w:rPr>
          <w:vertAlign w:val="superscript"/>
          <w:rtl/>
          <w:lang w:bidi="ar-LB"/>
        </w:rPr>
        <w:footnoteReference w:id="124"/>
      </w:r>
      <w:r w:rsidRPr="0080684F">
        <w:rPr>
          <w:rFonts w:hint="cs"/>
          <w:rtl/>
          <w:lang w:bidi="ar-LB"/>
        </w:rPr>
        <w:t xml:space="preserve"> وقد وضع شكلان من الحماية ويطبق الشكلان.</w:t>
      </w:r>
    </w:p>
    <w:p w:rsidR="0080684F" w:rsidRPr="00DB0636" w:rsidRDefault="0080684F" w:rsidP="00DB0636">
      <w:pPr>
        <w:pStyle w:val="BodyText"/>
        <w:rPr>
          <w:i/>
          <w:iCs/>
          <w:u w:val="single"/>
          <w:rtl/>
        </w:rPr>
      </w:pPr>
      <w:r w:rsidRPr="00DB0636">
        <w:rPr>
          <w:rFonts w:hint="cs"/>
          <w:i/>
          <w:iCs/>
          <w:u w:val="single"/>
          <w:rtl/>
        </w:rPr>
        <w:t>الحماية الموجبة</w:t>
      </w:r>
    </w:p>
    <w:p w:rsidR="0080684F" w:rsidRPr="0080684F" w:rsidRDefault="0080684F" w:rsidP="0080684F">
      <w:pPr>
        <w:pStyle w:val="BodyText"/>
        <w:rPr>
          <w:rtl/>
          <w:lang w:bidi="ar-LB"/>
        </w:rPr>
      </w:pPr>
      <w:r w:rsidRPr="0080684F">
        <w:rPr>
          <w:rFonts w:hint="cs"/>
          <w:rtl/>
          <w:lang w:bidi="ar-LB"/>
        </w:rPr>
        <w:t>نستكشف هنا جانبين من جوانب الحماية الموجبة للمعارف التقليدية وأشكال التعبير الثقافي التقليدي بحقوق الملكية الفكرية، ويتعلق الجانب الأول بمنع الاستخدام دون تصريح والثاني بالاستغلال على يد مجتمع المنشأ استغلالا نشطا. وقد يكون استخدام نُهج غير قائمة على الملكية الفكرية لتوفير حماية موجبة للمعارف التقليدية وأشكال التعبير الثقافي التقليدي عنصرا مكملا للانتفاع بحقوق الملكية الفكرية ويمكن استخدامها إلى جانب حماية الملكية الفكرية.</w:t>
      </w:r>
      <w:r w:rsidRPr="0080684F">
        <w:rPr>
          <w:vertAlign w:val="superscript"/>
          <w:rtl/>
          <w:lang w:bidi="ar-LB"/>
        </w:rPr>
        <w:footnoteReference w:id="125"/>
      </w:r>
      <w:r w:rsidRPr="0080684F">
        <w:rPr>
          <w:rFonts w:hint="cs"/>
          <w:rtl/>
          <w:lang w:bidi="ar-LB"/>
        </w:rPr>
        <w:t xml:space="preserve"> فعلى سبيل المثال، قد يمنع تطبيق الحماية الموجبة على المعارف التقليدية وأشكال التعبير الثقافي التقليدي الغير من النفاذ إليها بشكل غير شرعي أو استخدامها لتحقيق أرباح تجارية دون تقاسم المنافع بإنصاف، ولكن يمكن أن يستخدمها أيضا أصحاب المعارف التقليدية وأشكال التعبير الثقافي التقليدي لإقامة مشاريعهم الخاصة على أساس معارفهم التقليدية وأشكال تعبيرهم الثقافي التقليدي.</w:t>
      </w:r>
      <w:r w:rsidRPr="0080684F">
        <w:rPr>
          <w:vertAlign w:val="superscript"/>
          <w:rtl/>
          <w:lang w:bidi="ar-LB"/>
        </w:rPr>
        <w:footnoteReference w:id="126"/>
      </w:r>
    </w:p>
    <w:p w:rsidR="0080684F" w:rsidRPr="00DB0636" w:rsidRDefault="0080684F" w:rsidP="00DB0636">
      <w:pPr>
        <w:pStyle w:val="BodyText"/>
        <w:rPr>
          <w:i/>
          <w:iCs/>
          <w:u w:val="single"/>
          <w:rtl/>
        </w:rPr>
      </w:pPr>
      <w:r w:rsidRPr="00DB0636">
        <w:rPr>
          <w:rFonts w:hint="cs"/>
          <w:i/>
          <w:iCs/>
          <w:u w:val="single"/>
          <w:rtl/>
        </w:rPr>
        <w:t>الحماية الدفاعية</w:t>
      </w:r>
    </w:p>
    <w:p w:rsidR="0080684F" w:rsidRPr="0080684F" w:rsidRDefault="0080684F" w:rsidP="0080684F">
      <w:pPr>
        <w:pStyle w:val="BodyText"/>
        <w:rPr>
          <w:rtl/>
          <w:lang w:bidi="ar-LB"/>
        </w:rPr>
      </w:pPr>
      <w:r w:rsidRPr="0080684F">
        <w:rPr>
          <w:rFonts w:hint="cs"/>
          <w:rtl/>
          <w:lang w:bidi="ar-LB"/>
        </w:rPr>
        <w:t>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أشكال التعبير الثقافي التقليدي وموضوع المعارف التقليدية وما يتصل بها من موارد وراثية.</w:t>
      </w:r>
      <w:r w:rsidRPr="0080684F">
        <w:rPr>
          <w:vertAlign w:val="superscript"/>
          <w:rtl/>
          <w:lang w:bidi="ar-LB"/>
        </w:rPr>
        <w:footnoteReference w:id="127"/>
      </w:r>
      <w:r w:rsidRPr="0080684F">
        <w:rPr>
          <w:rFonts w:hint="cs"/>
          <w:rtl/>
          <w:lang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80684F" w:rsidRPr="00DB0636" w:rsidRDefault="0080684F" w:rsidP="00DB0636">
      <w:pPr>
        <w:pStyle w:val="Heading2"/>
        <w:spacing w:before="240" w:after="240"/>
        <w:rPr>
          <w:i/>
          <w:iCs w:val="0"/>
          <w:sz w:val="18"/>
          <w:szCs w:val="22"/>
          <w:rtl/>
          <w:lang w:bidi="ar-LB"/>
        </w:rPr>
      </w:pPr>
      <w:bookmarkStart w:id="110" w:name="_Toc109824613"/>
      <w:r w:rsidRPr="00DB0636">
        <w:rPr>
          <w:i/>
          <w:iCs w:val="0"/>
          <w:sz w:val="18"/>
          <w:szCs w:val="22"/>
          <w:rtl/>
          <w:lang w:bidi="ar-LB"/>
        </w:rPr>
        <w:t>الميثاق</w:t>
      </w:r>
      <w:bookmarkEnd w:id="110"/>
    </w:p>
    <w:p w:rsidR="0080684F" w:rsidRPr="0080684F" w:rsidRDefault="0080684F" w:rsidP="0080684F">
      <w:pPr>
        <w:pStyle w:val="BodyText"/>
        <w:rPr>
          <w:rtl/>
          <w:lang w:bidi="ar-LB"/>
        </w:rPr>
      </w:pPr>
      <w:r w:rsidRPr="0080684F">
        <w:rPr>
          <w:rFonts w:hint="cs"/>
          <w:rtl/>
          <w:lang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80684F">
        <w:rPr>
          <w:vertAlign w:val="superscript"/>
          <w:rtl/>
          <w:lang w:bidi="ar-LB"/>
        </w:rPr>
        <w:footnoteReference w:id="128"/>
      </w:r>
    </w:p>
    <w:p w:rsidR="0080684F" w:rsidRPr="00DB0636" w:rsidRDefault="0080684F" w:rsidP="00DB0636">
      <w:pPr>
        <w:pStyle w:val="Heading2"/>
        <w:spacing w:before="240" w:after="240"/>
        <w:rPr>
          <w:i/>
          <w:iCs w:val="0"/>
          <w:rtl/>
          <w:lang w:bidi="ar-LB"/>
        </w:rPr>
      </w:pPr>
      <w:bookmarkStart w:id="111" w:name="_Toc109824614"/>
      <w:r w:rsidRPr="00DB0636">
        <w:rPr>
          <w:i/>
          <w:iCs w:val="0"/>
          <w:sz w:val="18"/>
          <w:szCs w:val="22"/>
          <w:rtl/>
          <w:lang w:bidi="ar-LB"/>
        </w:rPr>
        <w:t>مورّدو الموارد الوراثية ومتلقوها</w:t>
      </w:r>
      <w:bookmarkEnd w:id="111"/>
    </w:p>
    <w:p w:rsidR="0080684F" w:rsidRPr="0080684F" w:rsidRDefault="0080684F" w:rsidP="0080684F">
      <w:pPr>
        <w:pStyle w:val="BodyText"/>
        <w:rPr>
          <w:rtl/>
          <w:lang w:bidi="ar-LB"/>
        </w:rPr>
      </w:pPr>
      <w:r w:rsidRPr="0080684F">
        <w:rPr>
          <w:rFonts w:hint="cs"/>
          <w:rtl/>
          <w:lang w:bidi="ar-LB"/>
        </w:rPr>
        <w:t>قد يشمل مورّدو الموارد الوراثية ومتلقوها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80684F">
        <w:rPr>
          <w:vertAlign w:val="superscript"/>
          <w:rtl/>
          <w:lang w:bidi="ar-LB"/>
        </w:rPr>
        <w:footnoteReference w:id="129"/>
      </w:r>
    </w:p>
    <w:p w:rsidR="0080684F" w:rsidRPr="00DB0636" w:rsidRDefault="0080684F" w:rsidP="00DB0636">
      <w:pPr>
        <w:pStyle w:val="Heading2"/>
        <w:spacing w:before="240" w:after="240"/>
        <w:rPr>
          <w:i/>
          <w:iCs w:val="0"/>
          <w:sz w:val="18"/>
          <w:szCs w:val="22"/>
          <w:rtl/>
          <w:lang w:bidi="ar-LB"/>
        </w:rPr>
      </w:pPr>
      <w:bookmarkStart w:id="112" w:name="_Toc109824615"/>
      <w:r w:rsidRPr="00DB0636">
        <w:rPr>
          <w:i/>
          <w:iCs w:val="0"/>
          <w:sz w:val="18"/>
          <w:szCs w:val="22"/>
          <w:rtl/>
          <w:lang w:bidi="ar-LB"/>
        </w:rPr>
        <w:t>الملك العام</w:t>
      </w:r>
      <w:bookmarkEnd w:id="112"/>
    </w:p>
    <w:p w:rsidR="0080684F" w:rsidRPr="0080684F" w:rsidRDefault="0080684F" w:rsidP="0080684F">
      <w:pPr>
        <w:pStyle w:val="BodyText"/>
        <w:rPr>
          <w:rtl/>
          <w:lang w:bidi="ar-LB"/>
        </w:rPr>
      </w:pPr>
      <w:r w:rsidRPr="0080684F">
        <w:rPr>
          <w:rFonts w:hint="cs"/>
          <w:rtl/>
          <w:lang w:bidi="ar-LB"/>
        </w:rPr>
        <w:t>بصفة عامة، يعتبر أي مصنف جزءا من الملك العام إذا لم يكن من قيود قانونية على انتفاع الجمهور به.</w:t>
      </w:r>
      <w:r w:rsidRPr="0080684F">
        <w:rPr>
          <w:vertAlign w:val="superscript"/>
          <w:rtl/>
          <w:lang w:bidi="ar-LB"/>
        </w:rPr>
        <w:footnoteReference w:id="130"/>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lastRenderedPageBreak/>
        <w:t>ويعرّف قاموس بلاكس لو الملك العام بأنه "مجموعة الاختراعات والأعمال الإبداعية غير المحمية بحقوق الملكية الفكرية. فهي إذا متاحة ليستخدمها أي شخص مجاناً. وعندما يبطل حق المؤلف أو العلامة التجارية أو البراءة أو السر التجاري أو ينتهي سريانه، تؤول الملكية الفكرية التي حمتها تلك الحقوق إلى الملك العام ويمكن لأي شخص أن يتملكها دون أن تقع عليه مسؤولية التعدي عليها."</w:t>
      </w:r>
    </w:p>
    <w:p w:rsidR="0080684F" w:rsidRPr="0080684F" w:rsidRDefault="0080684F" w:rsidP="0080684F">
      <w:pPr>
        <w:pStyle w:val="BodyText"/>
        <w:rPr>
          <w:rtl/>
          <w:lang w:bidi="ar-LB"/>
        </w:rPr>
      </w:pPr>
      <w:r w:rsidRPr="0080684F">
        <w:rPr>
          <w:rFonts w:hint="cs"/>
          <w:rtl/>
          <w:lang w:bidi="ar-LB"/>
        </w:rPr>
        <w:t>وقد عُرّف الملك العام في ميدان حق المؤلف والحقوق المجاورة بأنه "نطاق الأعمال والمواد المحمية بالحقوق المجاورة التي يمكن لأي شخص الانتفاع بها أو استغلالها دون تصريح ودون الالتزام بسداد أجر لأصحاب حق المؤلف والحقوق المجاورة المعنيين – وكقاعدة، يعزى ذلك إلى انقضاء فترة الحماية بموجب تلك الحقوق أو غياب معاهدة دولية تكفل الحماية لتلك الأعمال والمواد في البلد المعين."</w:t>
      </w:r>
      <w:r w:rsidRPr="0080684F">
        <w:rPr>
          <w:vertAlign w:val="superscript"/>
          <w:rtl/>
          <w:lang w:bidi="ar-LB"/>
        </w:rPr>
        <w:footnoteReference w:id="131"/>
      </w:r>
    </w:p>
    <w:p w:rsidR="0080684F" w:rsidRPr="0080684F" w:rsidRDefault="0080684F" w:rsidP="0080684F">
      <w:pPr>
        <w:pStyle w:val="BodyText"/>
        <w:rPr>
          <w:rtl/>
          <w:lang w:bidi="ar-LB"/>
        </w:rPr>
      </w:pPr>
      <w:r w:rsidRPr="0080684F">
        <w:rPr>
          <w:rFonts w:hint="cs"/>
          <w:rtl/>
          <w:lang w:bidi="ar-LB"/>
        </w:rPr>
        <w:t>ويتكون الملك العام المرتبط بقانون البراءات عموماً من المعارف والأفكار والابتكارات التي لا يملك فيها شخص أو مؤسسة أية حقوق للملكية. وتكون تلك المعارف والأفكار والابتكارات جزءا من الملك العام إذا لم يكن من قيود قانونية على استخدامها (وتختلف تلك القيود من تشريع لآخر، وهكذا فإن الملك العام يختلف باختلاف التشريعات)، بعد انقضاء فترة سريان البراءات (20 سنة عموما)، إذا لم تجدد أو بعد إلغائها أو إبطالها.</w:t>
      </w:r>
      <w:r w:rsidRPr="0080684F">
        <w:rPr>
          <w:vertAlign w:val="superscript"/>
          <w:rtl/>
          <w:lang w:bidi="ar-LB"/>
        </w:rPr>
        <w:footnoteReference w:id="132"/>
      </w:r>
    </w:p>
    <w:p w:rsidR="0080684F" w:rsidRPr="0080684F" w:rsidRDefault="0080684F" w:rsidP="0080684F">
      <w:pPr>
        <w:pStyle w:val="BodyText"/>
        <w:rPr>
          <w:rtl/>
          <w:lang w:bidi="ar-LB"/>
        </w:rPr>
      </w:pPr>
      <w:r w:rsidRPr="0080684F">
        <w:rPr>
          <w:rFonts w:hint="cs"/>
          <w:rtl/>
          <w:lang w:bidi="ar-LB"/>
        </w:rPr>
        <w:t>وتستمر المناقشات في دور "الملك العام" وسماته وحدوده في العديد من المنتديات، بما فيها الويبو وهذه اللجنة. وتقف الوثيقة "مذكرة عن معاني مصطلح "الملك العام" في نظام الملكية الفكرية مع إشارة خاصة إلى حماية المعارف التقليدية وأشكال التعبير الثقافي التقليدي/الفولكلور" (</w:t>
      </w:r>
      <w:r w:rsidRPr="0080684F">
        <w:rPr>
          <w:lang w:val="fr-CH"/>
        </w:rPr>
        <w:t>WIPO/GRTKF/IC/17/INF/8</w:t>
      </w:r>
      <w:r w:rsidRPr="0080684F">
        <w:rPr>
          <w:rFonts w:hint="cs"/>
          <w:rtl/>
          <w:lang w:bidi="ar-LB"/>
        </w:rPr>
        <w:t>) على معاني "الملك العام" المرتبط بالمعارف التقليدية وأشكال التعبير الثقافي التقليدي.</w:t>
      </w:r>
    </w:p>
    <w:p w:rsidR="0080684F" w:rsidRPr="00DB0636" w:rsidRDefault="0080684F" w:rsidP="00DB0636">
      <w:pPr>
        <w:pStyle w:val="Heading2"/>
        <w:spacing w:before="240" w:after="240"/>
        <w:rPr>
          <w:i/>
          <w:iCs w:val="0"/>
          <w:sz w:val="18"/>
          <w:szCs w:val="22"/>
          <w:rtl/>
          <w:lang w:bidi="ar-LB"/>
        </w:rPr>
      </w:pPr>
      <w:bookmarkStart w:id="113" w:name="_Toc109824616"/>
      <w:r w:rsidRPr="00DB0636">
        <w:rPr>
          <w:i/>
          <w:iCs w:val="0"/>
          <w:sz w:val="18"/>
          <w:szCs w:val="22"/>
          <w:rtl/>
          <w:lang w:bidi="ar-LB"/>
        </w:rPr>
        <w:t>متاح للجمهور</w:t>
      </w:r>
      <w:bookmarkEnd w:id="113"/>
    </w:p>
    <w:p w:rsidR="0080684F" w:rsidRPr="0080684F" w:rsidRDefault="0080684F" w:rsidP="0080684F">
      <w:pPr>
        <w:pStyle w:val="BodyText"/>
        <w:rPr>
          <w:lang w:val="fr-CH"/>
        </w:rPr>
      </w:pPr>
      <w:r w:rsidRPr="0080684F">
        <w:rPr>
          <w:rFonts w:hint="cs"/>
          <w:rtl/>
          <w:lang w:bidi="ar-LB"/>
        </w:rPr>
        <w:t>ناقش الخبراء في اجتماع فريق الخبراء التقنيين والقانونيين المعني بالمعارف التقليدية المرتبطة بالموارد الوراثية في سياق النظام الدولي بشأن النفاذ وتقاسم المنافع مصطلح "الملك العام" وعبارة "متاح للجمهور" مع إشارة خاصة إلى المعارف التقليدية المرتبطة بالموارد الوراثية وخلصوا إلى أن "مصطلح الملك العام الذي يستخدم للإشارة إلى توافر عمل ما مجانا قد استُخدم في غير سياقه وطُبق على المعارف التقليدية المرتبطة بالموارد الوراثية المتاحة للجمهور. والفهم الشائع للعمل المتاح للجمهور لا يعني أنه مجاني وقد يعني أنه رهن بشروط متفق عليها مثل دفع رسوم النفاذ. ويعتبر الكثير المعارف التقليدية جزءا من الملك العام ومتاحة مجانا بمجرد النفاذ إليها وإزالتها من سياقها الثقافي الخاص ونشرها. ولكن لا يمكن القول بأن المعارف التقليدية المرتبطة بالموارد الوراثية التي أُتيحت للجمهور ليست ملكا لأحد، حيث يمكن طلب موافقة مسبقة مستنيرة من صاحب المعارف ضمن مفهوم إتاحتها للجمهور إضافة إلى تطبيق أحكام تقاسم المنافع في حالات منها حدوث تغيير واضح في الانتفاع بها مقارنة بأية موافقة مسبقة مستنيرة في وقت سابق. وعندما يستحيل تحديد صاحب المعارف التقليدية، يمكن أن تحدد الدولة مثلا المستفيدين من هذه المعارف."</w:t>
      </w:r>
      <w:r w:rsidRPr="0080684F">
        <w:rPr>
          <w:vertAlign w:val="superscript"/>
          <w:rtl/>
          <w:lang w:bidi="ar-LB"/>
        </w:rPr>
        <w:footnoteReference w:id="133"/>
      </w:r>
      <w:r w:rsidRPr="0080684F">
        <w:rPr>
          <w:rFonts w:hint="cs"/>
          <w:rtl/>
          <w:lang w:bidi="ar-LB"/>
        </w:rPr>
        <w:t xml:space="preserve"> </w:t>
      </w:r>
    </w:p>
    <w:p w:rsidR="0080684F" w:rsidRPr="00DB0636" w:rsidRDefault="0080684F" w:rsidP="00DB0636">
      <w:pPr>
        <w:pStyle w:val="Heading2"/>
        <w:spacing w:before="240" w:after="240"/>
        <w:rPr>
          <w:i/>
          <w:iCs w:val="0"/>
          <w:sz w:val="18"/>
          <w:szCs w:val="22"/>
          <w:rtl/>
          <w:lang w:bidi="ar-LB"/>
        </w:rPr>
      </w:pPr>
      <w:bookmarkStart w:id="114" w:name="_Toc109824617"/>
      <w:r w:rsidRPr="00DB0636">
        <w:rPr>
          <w:i/>
          <w:iCs w:val="0"/>
          <w:sz w:val="18"/>
          <w:szCs w:val="22"/>
          <w:rtl/>
          <w:lang w:bidi="ar-LB"/>
        </w:rPr>
        <w:t>سجلات المعارف التقليدية</w:t>
      </w:r>
      <w:bookmarkEnd w:id="114"/>
    </w:p>
    <w:p w:rsidR="0080684F" w:rsidRPr="0080684F" w:rsidRDefault="0080684F" w:rsidP="0080684F">
      <w:pPr>
        <w:pStyle w:val="BodyText"/>
        <w:rPr>
          <w:rtl/>
          <w:lang w:bidi="ar-LB"/>
        </w:rPr>
      </w:pPr>
      <w:r w:rsidRPr="0080684F">
        <w:rPr>
          <w:rFonts w:hint="cs"/>
          <w:rtl/>
          <w:lang w:bidi="ar-LB"/>
        </w:rPr>
        <w:t>يمكن تحليل السجلات من وجهات نظر مختلفة. إذ يمكن تسميتها وفقا لطبيعتها القانونية إما سجلات إعلانية أو سجلات تأسيسية تبعا للنظام الذي وُضعت في ظله.</w:t>
      </w:r>
      <w:r w:rsidRPr="0080684F">
        <w:rPr>
          <w:vertAlign w:val="superscript"/>
          <w:rtl/>
          <w:lang w:bidi="ar-LB"/>
        </w:rPr>
        <w:footnoteReference w:id="134"/>
      </w:r>
    </w:p>
    <w:p w:rsidR="0080684F" w:rsidRPr="0080684F" w:rsidRDefault="0080684F" w:rsidP="0080684F">
      <w:pPr>
        <w:pStyle w:val="BodyText"/>
        <w:rPr>
          <w:lang w:val="fr-CH"/>
        </w:rPr>
      </w:pPr>
      <w:r w:rsidRPr="0080684F">
        <w:rPr>
          <w:rFonts w:hint="cs"/>
          <w:rtl/>
          <w:lang w:bidi="ar-LB"/>
        </w:rPr>
        <w:t>ويقر نظام التسجيل الإعلاني المتعلق بالمعارف التقليدية بأن الحقوق في المعارف التقليدية لا تنشأ بفعل من الحكومات وإنما تستند إلى الحقوق القائمة من قبل، ومنها حقوق الأجداد والحقوق العرفية والمعنوية وحقوق الإنسان. ويمكن استخدام السجلات الإعلانية لمساعدة المسؤولين عن البراءات على تحليل حالة التقنية الصناعية السابقة، ودعم الطعون في البراءات الممنوحة التي قد تكون انتفعت بشكل مباشر أو غير مباشر بالمعارف التقليدية رغم أن التسجيل لا يؤثر في وجود هذه الحقوق. وإذا كانت هذه السجلات مرتبة في شكل إلكتروني ومتاحة على الإنترنت، من المهم وضع آلية تكفل صلاحية تواريخ إدخال المعارف التقليدية عند إجراء البحوث المتصلة بالجدة والنشاط الابتكاري. والوظيفة الثالثة لهذه السجلات هي تسهيل تقاسم المنافع بين المستخدمين والموردين.</w:t>
      </w:r>
      <w:r w:rsidRPr="0080684F">
        <w:rPr>
          <w:vertAlign w:val="superscript"/>
          <w:rtl/>
          <w:lang w:bidi="ar-LB"/>
        </w:rPr>
        <w:footnoteReference w:id="135"/>
      </w:r>
    </w:p>
    <w:p w:rsidR="0080684F" w:rsidRPr="0080684F" w:rsidRDefault="0080684F" w:rsidP="0080684F">
      <w:pPr>
        <w:pStyle w:val="BodyText"/>
        <w:rPr>
          <w:lang w:val="fr-CH"/>
        </w:rPr>
      </w:pPr>
      <w:r w:rsidRPr="0080684F">
        <w:rPr>
          <w:rFonts w:hint="cs"/>
          <w:rtl/>
          <w:lang w:bidi="ar-LB"/>
        </w:rPr>
        <w:lastRenderedPageBreak/>
        <w:t>وأما السجلات التأسيسية فهي جزء من النظام القانوني الذي يسعى إلى منح الحقوق في المعارف التقليدية. ويدون في السجلات التأسيسية منح الحقوق (أي حقوق الملكية الاستئثارية) لأصحاب المعارف التقليدية كوسيلة لضمان حماية مصالحهم المعنوية والاقتصادية والقانونية والاعتراف بها. وتعتبر أغلبية السجلات التأسيسية النموذجية ذات طبيعة عامة تديرها هيئة وطنية بموجب قانون أو لائحة تحدد بوضوح كيفية إجراء تسجيل سليم للمعارف التقليدية والاعتراف والقبول به رسميا. وهكذا، فإن تصميم هذه السجلات قد يكون أكثر إثارة للجدل وأكثر صعوبة وقد يواجه بعض التحديات الجسيمة والتساؤلات العويصة عند الانتقال من المفهوم إلى التطبيق.</w:t>
      </w:r>
      <w:r w:rsidRPr="0080684F">
        <w:rPr>
          <w:vertAlign w:val="superscript"/>
          <w:rtl/>
          <w:lang w:bidi="ar-LB"/>
        </w:rPr>
        <w:footnoteReference w:id="136"/>
      </w:r>
    </w:p>
    <w:p w:rsidR="0080684F" w:rsidRPr="0080684F" w:rsidRDefault="0080684F" w:rsidP="0080684F">
      <w:pPr>
        <w:pStyle w:val="BodyText"/>
        <w:rPr>
          <w:lang w:val="fr-CH"/>
        </w:rPr>
      </w:pPr>
      <w:r w:rsidRPr="0080684F">
        <w:rPr>
          <w:rFonts w:hint="cs"/>
          <w:rtl/>
          <w:lang w:bidi="ar-LB"/>
        </w:rPr>
        <w:t xml:space="preserve">وكمثال على قانون وطني، تنص المادة 16 من </w:t>
      </w:r>
      <w:r w:rsidRPr="0080684F">
        <w:rPr>
          <w:rFonts w:hint="cs"/>
          <w:i/>
          <w:iCs/>
          <w:rtl/>
          <w:lang w:bidi="ar-LB"/>
        </w:rPr>
        <w:t>قانون بيرو رقم 27811 بشأن اعتماد نظام لحماية المعارف الجماعية للشعوب الأصلية المشتقة من الموارد البيولوجية</w:t>
      </w:r>
      <w:r w:rsidRPr="0080684F">
        <w:rPr>
          <w:rFonts w:hint="cs"/>
          <w:rtl/>
          <w:lang w:bidi="ar-LB"/>
        </w:rPr>
        <w:t xml:space="preserve"> على أن "الهدف من سجلات المعارف الجماعية لشعوب الأصلية هي، حسب مقتضى الحال، كالتالي: (أ) وقاية على المعارف الجماعية للشعوب الأصلية وحقوقهم فيها وصونها، (ب) إتاحة هذه المعلومات للمعهد الوطني للدفاع عن المنافسة وحماية الملكية الفكرية لتمكينه من الدفاع عن مصالح الشعوب الأصلية عندما يتعلق الأمر بمعارفهم الجماعية."</w:t>
      </w:r>
      <w:r w:rsidRPr="0080684F">
        <w:rPr>
          <w:vertAlign w:val="superscript"/>
          <w:rtl/>
          <w:lang w:bidi="ar-LB"/>
        </w:rPr>
        <w:footnoteReference w:id="137"/>
      </w:r>
      <w:r w:rsidRPr="0080684F">
        <w:rPr>
          <w:rFonts w:hint="cs"/>
          <w:rtl/>
          <w:lang w:bidi="ar-LB"/>
        </w:rPr>
        <w:t xml:space="preserve"> وتنص المادة 15 على أنه "يجوز إدخال المعارف الجماعية للشعوب الأصلية في ثلاثة أنواع من السجلات: (أ) السجل الوطني العام للمعارف الجماعية للشعوب الأصلية، (ب) السجل الوطني السري للمعارف الجماعية للشعوب الأصلية، (ج) السجلات المحلية للمعارف الجماعية للشعوب الأصلية."</w:t>
      </w:r>
    </w:p>
    <w:p w:rsidR="0080684F" w:rsidRPr="00764C2F" w:rsidRDefault="0080684F" w:rsidP="00764C2F">
      <w:pPr>
        <w:pStyle w:val="Heading2"/>
        <w:spacing w:before="240" w:after="240"/>
        <w:rPr>
          <w:i/>
          <w:iCs w:val="0"/>
          <w:sz w:val="18"/>
          <w:szCs w:val="22"/>
          <w:rtl/>
          <w:lang w:bidi="ar-LB"/>
        </w:rPr>
      </w:pPr>
      <w:bookmarkStart w:id="115" w:name="_Toc109824618"/>
      <w:r w:rsidRPr="00764C2F">
        <w:rPr>
          <w:i/>
          <w:iCs w:val="0"/>
          <w:sz w:val="18"/>
          <w:szCs w:val="22"/>
          <w:rtl/>
          <w:lang w:bidi="ar-LB"/>
        </w:rPr>
        <w:t>السمعة</w:t>
      </w:r>
      <w:bookmarkEnd w:id="115"/>
    </w:p>
    <w:p w:rsidR="0080684F" w:rsidRPr="0080684F" w:rsidRDefault="0080684F" w:rsidP="0080684F">
      <w:pPr>
        <w:pStyle w:val="BodyText"/>
        <w:rPr>
          <w:rtl/>
          <w:lang w:bidi="ar-EG"/>
        </w:rPr>
      </w:pPr>
      <w:r w:rsidRPr="0080684F">
        <w:rPr>
          <w:rFonts w:hint="cs"/>
          <w:rtl/>
          <w:lang w:bidi="ar-LB"/>
        </w:rPr>
        <w:t>يشير مصطلح "السمعة" حسب قاموس بلاكس لو إلى الاعتبار الذي يوليه الآخرون لشخص ما. وتندرج السمعة ضمن مجموعة الحقوق الأدبية المحمية للمؤلف.</w:t>
      </w:r>
      <w:r w:rsidRPr="0080684F">
        <w:rPr>
          <w:vertAlign w:val="superscript"/>
          <w:rtl/>
          <w:lang w:bidi="ar-EG"/>
        </w:rPr>
        <w:footnoteReference w:id="138"/>
      </w:r>
      <w:r w:rsidRPr="0080684F">
        <w:rPr>
          <w:rFonts w:hint="cs"/>
          <w:rtl/>
          <w:lang w:bidi="ar-LB"/>
        </w:rPr>
        <w:t xml:space="preserve"> وفضل مؤتمر المراجعة في بروكسل بشأن </w:t>
      </w:r>
      <w:r w:rsidRPr="0080684F">
        <w:rPr>
          <w:rFonts w:hint="cs"/>
          <w:i/>
          <w:iCs/>
          <w:rtl/>
          <w:lang w:bidi="ar-LB"/>
        </w:rPr>
        <w:t>اتفاقية برن لحماية المصنفات الأدبية والفنية</w:t>
      </w:r>
      <w:r w:rsidRPr="0080684F">
        <w:rPr>
          <w:rFonts w:hint="cs"/>
          <w:rtl/>
          <w:lang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80684F">
        <w:rPr>
          <w:vertAlign w:val="superscript"/>
          <w:rtl/>
          <w:lang w:bidi="ar-EG"/>
        </w:rPr>
        <w:footnoteReference w:id="139"/>
      </w:r>
    </w:p>
    <w:p w:rsidR="0080684F" w:rsidRPr="00764C2F" w:rsidRDefault="0080684F" w:rsidP="00764C2F">
      <w:pPr>
        <w:pStyle w:val="Heading2"/>
        <w:spacing w:before="240" w:after="240"/>
        <w:rPr>
          <w:i/>
          <w:iCs w:val="0"/>
          <w:sz w:val="18"/>
          <w:szCs w:val="22"/>
          <w:rtl/>
          <w:lang w:bidi="ar-LB"/>
        </w:rPr>
      </w:pPr>
      <w:bookmarkStart w:id="116" w:name="_Toc109824619"/>
      <w:r w:rsidRPr="00764C2F">
        <w:rPr>
          <w:i/>
          <w:iCs w:val="0"/>
          <w:sz w:val="18"/>
          <w:szCs w:val="22"/>
          <w:rtl/>
          <w:lang w:bidi="ar-LB"/>
        </w:rPr>
        <w:t>مقدس</w:t>
      </w:r>
      <w:bookmarkEnd w:id="116"/>
    </w:p>
    <w:p w:rsidR="0080684F" w:rsidRPr="0080684F" w:rsidRDefault="0080684F" w:rsidP="0080684F">
      <w:pPr>
        <w:pStyle w:val="BodyText"/>
        <w:rPr>
          <w:rtl/>
          <w:lang w:bidi="ar-EG"/>
        </w:rPr>
      </w:pPr>
      <w:r w:rsidRPr="0080684F">
        <w:rPr>
          <w:rFonts w:hint="cs"/>
          <w:rtl/>
          <w:lang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 للمعارف التقليدية.</w:t>
      </w:r>
      <w:bookmarkStart w:id="117" w:name="sdfootnote48anc"/>
      <w:r w:rsidRPr="0080684F">
        <w:rPr>
          <w:rFonts w:hint="cs"/>
          <w:rtl/>
          <w:lang w:bidi="ar-EG"/>
        </w:rPr>
        <w:t>"</w:t>
      </w:r>
      <w:bookmarkEnd w:id="117"/>
      <w:r w:rsidRPr="0080684F">
        <w:rPr>
          <w:vertAlign w:val="superscript"/>
          <w:rtl/>
          <w:lang w:bidi="ar-EG"/>
        </w:rPr>
        <w:footnoteReference w:id="140"/>
      </w:r>
    </w:p>
    <w:p w:rsidR="0080684F" w:rsidRPr="0080684F" w:rsidRDefault="0080684F" w:rsidP="0080684F">
      <w:pPr>
        <w:pStyle w:val="BodyText"/>
        <w:rPr>
          <w:rtl/>
          <w:lang w:bidi="ar-EG"/>
        </w:rPr>
      </w:pPr>
      <w:r w:rsidRPr="0080684F">
        <w:rPr>
          <w:rFonts w:hint="cs"/>
          <w:rtl/>
          <w:lang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80684F" w:rsidRPr="0080684F" w:rsidRDefault="0080684F" w:rsidP="0080684F">
      <w:pPr>
        <w:pStyle w:val="BodyText"/>
        <w:rPr>
          <w:lang w:val="fr-CH"/>
        </w:rPr>
      </w:pPr>
      <w:r w:rsidRPr="0080684F">
        <w:rPr>
          <w:rFonts w:hint="cs"/>
          <w:rtl/>
          <w:lang w:bidi="ar-EG"/>
        </w:rPr>
        <w:t xml:space="preserve">وقد ورد في </w:t>
      </w:r>
      <w:r w:rsidRPr="0080684F">
        <w:rPr>
          <w:rFonts w:hint="cs"/>
          <w:i/>
          <w:iCs/>
          <w:rtl/>
          <w:lang w:bidi="ar-EG"/>
        </w:rPr>
        <w:t>تقرير الويبو عن بعثات تقصي الحقائق بشأن الملكية الفكرية والمعارف التقليدية</w:t>
      </w:r>
      <w:r w:rsidRPr="0080684F">
        <w:rPr>
          <w:rFonts w:hint="cs"/>
          <w:rtl/>
          <w:lang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80684F">
        <w:rPr>
          <w:vertAlign w:val="superscript"/>
          <w:rtl/>
          <w:lang w:bidi="ar-EG"/>
        </w:rPr>
        <w:footnoteReference w:id="141"/>
      </w:r>
      <w:r w:rsidRPr="0080684F">
        <w:rPr>
          <w:rFonts w:hint="cs"/>
          <w:rtl/>
          <w:lang w:bidi="ar-EG"/>
        </w:rPr>
        <w:t xml:space="preserve"> وفي بيرو "تنتقل المعارف من جيل إلى جيل في 'كتاب' </w:t>
      </w:r>
      <w:r w:rsidRPr="0080684F">
        <w:rPr>
          <w:rFonts w:hint="cs"/>
          <w:rtl/>
          <w:lang w:bidi="ar-EG"/>
        </w:rPr>
        <w:lastRenderedPageBreak/>
        <w:t>مقدس غير موضوع كتابةً.</w:t>
      </w:r>
      <w:bookmarkStart w:id="118" w:name="sdfootnote51anc"/>
      <w:r w:rsidRPr="0080684F">
        <w:rPr>
          <w:rFonts w:hint="cs"/>
          <w:rtl/>
          <w:lang w:bidi="ar-EG"/>
        </w:rPr>
        <w:t>"</w:t>
      </w:r>
      <w:bookmarkEnd w:id="118"/>
      <w:r w:rsidRPr="0080684F">
        <w:rPr>
          <w:vertAlign w:val="superscript"/>
          <w:rtl/>
          <w:lang w:bidi="ar-EG"/>
        </w:rPr>
        <w:footnoteReference w:id="142"/>
      </w:r>
      <w:r w:rsidRPr="0080684F">
        <w:rPr>
          <w:rFonts w:hint="cs"/>
          <w:rtl/>
          <w:lang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80684F" w:rsidRPr="0080684F" w:rsidRDefault="0080684F" w:rsidP="0080684F">
      <w:pPr>
        <w:pStyle w:val="BodyText"/>
        <w:rPr>
          <w:rtl/>
          <w:lang w:bidi="ar-EG"/>
        </w:rPr>
      </w:pPr>
      <w:r w:rsidRPr="0080684F">
        <w:rPr>
          <w:rFonts w:hint="cs"/>
          <w:rtl/>
          <w:lang w:bidi="ar-EG"/>
        </w:rPr>
        <w:t xml:space="preserve">ومن منظور الملكية الفكرية، ومن حيث عمل اللجنة على وجه الخصوص، يمكن إبداء الملاحظات التالية: </w:t>
      </w:r>
    </w:p>
    <w:p w:rsidR="0080684F" w:rsidRPr="0080684F" w:rsidRDefault="0080684F" w:rsidP="004E5ECA">
      <w:pPr>
        <w:pStyle w:val="BodyText"/>
        <w:numPr>
          <w:ilvl w:val="0"/>
          <w:numId w:val="16"/>
        </w:numPr>
        <w:rPr>
          <w:rtl/>
          <w:lang w:bidi="ar-EG"/>
        </w:rPr>
      </w:pPr>
      <w:r w:rsidRPr="0080684F">
        <w:rPr>
          <w:rFonts w:hint="cs"/>
          <w:rtl/>
          <w:lang w:bidi="ar-EG"/>
        </w:rPr>
        <w:t>سأل أحد الوفود عن مدى مراعاة المعارف التقليدية المقدسة عند مناقشة حماية المعارف التقليدية بموجب الملكية الفكرية.</w:t>
      </w:r>
      <w:bookmarkStart w:id="119" w:name="sdfootnote52anc"/>
      <w:r w:rsidRPr="0080684F">
        <w:rPr>
          <w:rtl/>
          <w:lang w:bidi="ar-EG"/>
        </w:rPr>
        <w:footnoteReference w:id="143"/>
      </w:r>
      <w:bookmarkEnd w:id="119"/>
      <w:r w:rsidRPr="0080684F">
        <w:rPr>
          <w:rFonts w:hint="cs"/>
          <w:rtl/>
          <w:lang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80684F">
        <w:rPr>
          <w:rtl/>
          <w:lang w:bidi="ar-EG"/>
        </w:rPr>
        <w:footnoteReference w:id="144"/>
      </w:r>
      <w:r w:rsidRPr="0080684F">
        <w:rPr>
          <w:rFonts w:hint="cs"/>
          <w:rtl/>
          <w:lang w:bidi="ar-EG"/>
        </w:rPr>
        <w:t>؛</w:t>
      </w:r>
    </w:p>
    <w:p w:rsidR="0080684F" w:rsidRPr="0080684F" w:rsidRDefault="0080684F" w:rsidP="004E5ECA">
      <w:pPr>
        <w:pStyle w:val="BodyText"/>
        <w:numPr>
          <w:ilvl w:val="0"/>
          <w:numId w:val="16"/>
        </w:numPr>
        <w:rPr>
          <w:rtl/>
          <w:lang w:bidi="ar-EG"/>
        </w:rPr>
      </w:pPr>
      <w:r w:rsidRPr="0080684F">
        <w:rPr>
          <w:rFonts w:hint="cs"/>
          <w:rtl/>
          <w:lang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80684F">
        <w:rPr>
          <w:lang w:val="fr-CH"/>
        </w:rPr>
        <w:t>WIPO/GRTKF/IC/13/5(b) Rev.</w:t>
      </w:r>
      <w:r w:rsidRPr="0080684F">
        <w:rPr>
          <w:rFonts w:hint="cs"/>
          <w:rtl/>
          <w:lang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80684F">
        <w:rPr>
          <w:rtl/>
          <w:lang w:bidi="ar-EG"/>
        </w:rPr>
        <w:footnoteReference w:id="145"/>
      </w:r>
    </w:p>
    <w:p w:rsidR="0080684F" w:rsidRPr="00764C2F" w:rsidRDefault="0080684F" w:rsidP="00764C2F">
      <w:pPr>
        <w:pStyle w:val="Heading2"/>
        <w:spacing w:before="240" w:after="240"/>
        <w:rPr>
          <w:i/>
          <w:iCs w:val="0"/>
          <w:sz w:val="18"/>
          <w:szCs w:val="22"/>
          <w:rtl/>
          <w:lang w:bidi="ar-LB"/>
        </w:rPr>
      </w:pPr>
      <w:bookmarkStart w:id="120" w:name="_Toc109824620"/>
      <w:r w:rsidRPr="00764C2F">
        <w:rPr>
          <w:i/>
          <w:iCs w:val="0"/>
          <w:sz w:val="18"/>
          <w:szCs w:val="22"/>
          <w:rtl/>
          <w:lang w:bidi="ar-LB"/>
        </w:rPr>
        <w:t>الصون</w:t>
      </w:r>
      <w:bookmarkEnd w:id="120"/>
    </w:p>
    <w:p w:rsidR="0080684F" w:rsidRPr="0080684F" w:rsidRDefault="0080684F" w:rsidP="0080684F">
      <w:pPr>
        <w:pStyle w:val="BodyText"/>
        <w:rPr>
          <w:rtl/>
          <w:lang w:bidi="ar-LB"/>
        </w:rPr>
      </w:pPr>
      <w:r w:rsidRPr="0080684F">
        <w:rPr>
          <w:rFonts w:hint="cs"/>
          <w:rtl/>
          <w:lang w:bidi="ar-LB"/>
        </w:rPr>
        <w:t xml:space="preserve">تصف </w:t>
      </w:r>
      <w:r w:rsidRPr="0080684F">
        <w:rPr>
          <w:rFonts w:hint="cs"/>
          <w:i/>
          <w:iCs/>
          <w:rtl/>
          <w:lang w:bidi="ar-LB"/>
        </w:rPr>
        <w:t>اتفاقية منظمة الأمم المتحدة للتريبة والعلم والثقافة (اليونسكو) لصون التراث الثقافي غير الملموس</w:t>
      </w:r>
      <w:r w:rsidRPr="0080684F">
        <w:rPr>
          <w:rFonts w:hint="cs"/>
          <w:rtl/>
          <w:lang w:bidi="ar-LB"/>
        </w:rPr>
        <w:t xml:space="preserve"> (2003)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 قيمة.</w:t>
      </w:r>
    </w:p>
    <w:p w:rsidR="0080684F" w:rsidRPr="00764C2F" w:rsidRDefault="0080684F" w:rsidP="00764C2F">
      <w:pPr>
        <w:pStyle w:val="Heading2"/>
        <w:spacing w:before="240" w:after="240"/>
        <w:rPr>
          <w:i/>
          <w:iCs w:val="0"/>
          <w:sz w:val="18"/>
          <w:szCs w:val="22"/>
          <w:rtl/>
          <w:lang w:bidi="ar-LB"/>
        </w:rPr>
      </w:pPr>
      <w:bookmarkStart w:id="121" w:name="_Toc109824621"/>
      <w:r w:rsidRPr="00764C2F">
        <w:rPr>
          <w:i/>
          <w:iCs w:val="0"/>
          <w:sz w:val="18"/>
          <w:szCs w:val="22"/>
          <w:rtl/>
          <w:lang w:bidi="ar-LB"/>
        </w:rPr>
        <w:t>السر</w:t>
      </w:r>
      <w:bookmarkEnd w:id="121"/>
    </w:p>
    <w:p w:rsidR="0080684F" w:rsidRPr="0080684F" w:rsidRDefault="0080684F" w:rsidP="0080684F">
      <w:pPr>
        <w:pStyle w:val="BodyText"/>
        <w:rPr>
          <w:rtl/>
          <w:lang w:bidi="ar-LB"/>
        </w:rPr>
      </w:pPr>
      <w:r w:rsidRPr="0080684F">
        <w:rPr>
          <w:rFonts w:hint="cs"/>
          <w:rtl/>
          <w:lang w:bidi="ar-LB"/>
        </w:rPr>
        <w:t>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وفقا للقوانين والممارسات العرفية لأصحابها التقليديين.</w:t>
      </w:r>
      <w:r w:rsidRPr="0080684F">
        <w:rPr>
          <w:vertAlign w:val="superscript"/>
          <w:rtl/>
          <w:lang w:bidi="ar-LB"/>
        </w:rPr>
        <w:footnoteReference w:id="146"/>
      </w:r>
    </w:p>
    <w:p w:rsidR="0080684F" w:rsidRPr="00764C2F" w:rsidRDefault="0080684F" w:rsidP="00764C2F">
      <w:pPr>
        <w:pStyle w:val="Heading2"/>
        <w:spacing w:before="240" w:after="240"/>
        <w:rPr>
          <w:i/>
          <w:iCs w:val="0"/>
          <w:sz w:val="18"/>
          <w:szCs w:val="22"/>
          <w:rtl/>
          <w:lang w:bidi="ar-LB"/>
        </w:rPr>
      </w:pPr>
      <w:bookmarkStart w:id="122" w:name="_Toc109824622"/>
      <w:r w:rsidRPr="00764C2F">
        <w:rPr>
          <w:i/>
          <w:iCs w:val="0"/>
          <w:sz w:val="18"/>
          <w:szCs w:val="22"/>
          <w:rtl/>
          <w:lang w:bidi="ar-LB"/>
        </w:rPr>
        <w:t>مصادر الموارد الوراثية/الجينية</w:t>
      </w:r>
      <w:bookmarkEnd w:id="122"/>
    </w:p>
    <w:p w:rsidR="0080684F" w:rsidRPr="0080684F" w:rsidRDefault="0080684F" w:rsidP="0080684F">
      <w:pPr>
        <w:pStyle w:val="BodyText"/>
        <w:rPr>
          <w:rtl/>
        </w:rPr>
      </w:pPr>
      <w:r w:rsidRPr="0080684F">
        <w:rPr>
          <w:rFonts w:hint="cs"/>
          <w:rtl/>
        </w:rPr>
        <w:t>اقترح وفد سويسرا في اقتراحه المعنون "الإعلان عن مصدر الموارد الوراثية والمعارف التقليدية في طلبات البراءات" أن يُشترط على مودعي طلبات البراءات الإعلان عن "مصدر" الموارد الوراثية والمعارف التقليدية. وقالت في ذلك الاقتراح "يُفهم مفهوم 'المصدر' بمعناه الأعم قدر الإمكان" نظراً لأن "العديد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80684F">
        <w:rPr>
          <w:vertAlign w:val="superscript"/>
          <w:rtl/>
        </w:rPr>
        <w:footnoteReference w:id="147"/>
      </w:r>
      <w:r w:rsidRPr="0080684F">
        <w:rPr>
          <w:rFonts w:hint="cs"/>
          <w:rtl/>
        </w:rPr>
        <w:t xml:space="preserve"> والنظام متعدد الأطراف المذكور في المعاهدة الدولية لمنظمة الأغذية والزراعة (الفاو)</w:t>
      </w:r>
      <w:r w:rsidRPr="0080684F">
        <w:rPr>
          <w:vertAlign w:val="superscript"/>
          <w:rtl/>
        </w:rPr>
        <w:footnoteReference w:id="148"/>
      </w:r>
      <w:r w:rsidRPr="0080684F">
        <w:rPr>
          <w:rFonts w:hint="cs"/>
          <w:rtl/>
        </w:rPr>
        <w:t xml:space="preserve"> والمجتمعات الأصلية والمحلية</w:t>
      </w:r>
      <w:r w:rsidRPr="0080684F">
        <w:rPr>
          <w:vertAlign w:val="superscript"/>
          <w:rtl/>
        </w:rPr>
        <w:footnoteReference w:id="149"/>
      </w:r>
      <w:r w:rsidRPr="0080684F">
        <w:rPr>
          <w:rFonts w:hint="cs"/>
          <w:rtl/>
        </w:rPr>
        <w:t>، والمصادر الثانوية من ناحية أخرى، ومنها على وجه الخصوص المجموعات خارج الوضع الطبيعي والأدبيات العلمية".</w:t>
      </w:r>
      <w:r w:rsidRPr="0080684F">
        <w:rPr>
          <w:vertAlign w:val="superscript"/>
          <w:rtl/>
        </w:rPr>
        <w:footnoteReference w:id="150"/>
      </w:r>
    </w:p>
    <w:p w:rsidR="0080684F" w:rsidRPr="00764C2F" w:rsidRDefault="0080684F" w:rsidP="00764C2F">
      <w:pPr>
        <w:pStyle w:val="Heading2"/>
        <w:spacing w:before="240" w:after="240"/>
        <w:rPr>
          <w:i/>
          <w:iCs w:val="0"/>
          <w:szCs w:val="22"/>
          <w:rtl/>
          <w:lang w:bidi="ar-LB"/>
        </w:rPr>
      </w:pPr>
      <w:bookmarkStart w:id="123" w:name="_Toc109824623"/>
      <w:r w:rsidRPr="00764C2F">
        <w:rPr>
          <w:i/>
          <w:iCs w:val="0"/>
          <w:szCs w:val="22"/>
          <w:rtl/>
          <w:lang w:bidi="ar-LB"/>
        </w:rPr>
        <w:lastRenderedPageBreak/>
        <w:t>نظام خاص (</w:t>
      </w:r>
      <w:r w:rsidRPr="00764C2F">
        <w:rPr>
          <w:i/>
          <w:iCs w:val="0"/>
          <w:szCs w:val="22"/>
          <w:lang w:val="fr-CH"/>
        </w:rPr>
        <w:t>sui generis</w:t>
      </w:r>
      <w:r w:rsidRPr="00764C2F">
        <w:rPr>
          <w:i/>
          <w:iCs w:val="0"/>
          <w:szCs w:val="22"/>
          <w:rtl/>
          <w:lang w:bidi="ar-LB"/>
        </w:rPr>
        <w:t>)</w:t>
      </w:r>
      <w:bookmarkEnd w:id="123"/>
    </w:p>
    <w:p w:rsidR="0080684F" w:rsidRPr="0080684F" w:rsidRDefault="0080684F" w:rsidP="0080684F">
      <w:pPr>
        <w:pStyle w:val="BodyText"/>
      </w:pPr>
      <w:r w:rsidRPr="0080684F">
        <w:rPr>
          <w:rFonts w:hint="cs"/>
          <w:rtl/>
        </w:rPr>
        <w:t xml:space="preserve">يعرّف </w:t>
      </w:r>
      <w:r w:rsidRPr="0080684F">
        <w:rPr>
          <w:rFonts w:hint="cs"/>
          <w:rtl/>
          <w:lang w:bidi="ar-LB"/>
        </w:rPr>
        <w:t>قاموس بلاكس لو مصطلح "</w:t>
      </w:r>
      <w:r w:rsidRPr="0080684F">
        <w:t>sui generis</w:t>
      </w:r>
      <w:r w:rsidRPr="0080684F">
        <w:rPr>
          <w:rFonts w:hint="cs"/>
          <w:rtl/>
          <w:lang w:bidi="ar-LB"/>
        </w:rPr>
        <w:t xml:space="preserve">" بأنه مصطلح لاتيني يعني "الشيء من ذاته أو نوعه، أو الفريد أو الخاص. ويُستخدم هذا المصطلح في مجال قانون الملكية الفكرية لوصف نظام صُمم لحماية حقوق خارج القواعد التقليدية لبراءات الاختراع والعلامات التجارية وحق المؤلف والأسرار التجارية. فعلى سبيل المثال، لا يمكن حماية قواعد البيانات بموجب قانون حق المؤلف إذا كان محتواها غير أصلي، ولكن يمكن حمايتها بنظام خاص مصمم لهذا الغرض." والنظام الخاص هو نظام مصمم خصيصا لمعالجة الاحتياجات والمشاغل في قضية معينة. وهناك العديد من الأمثلة على الأنظمة الخاصة لحقوق الملكية الفكرية، مثل حقوق مستولدي النباتات، على النحو الوارد في </w:t>
      </w:r>
      <w:r w:rsidRPr="0080684F">
        <w:rPr>
          <w:rFonts w:hint="cs"/>
          <w:i/>
          <w:iCs/>
          <w:rtl/>
          <w:lang w:bidi="ar-LB"/>
        </w:rPr>
        <w:t>الاتفاقية الدولية لحماية الأصناف النباتية الجديدة لسنة 1991</w:t>
      </w:r>
      <w:r w:rsidRPr="0080684F">
        <w:rPr>
          <w:rFonts w:hint="cs"/>
          <w:rtl/>
          <w:lang w:bidi="ar-LB"/>
        </w:rPr>
        <w:t xml:space="preserve"> ("اتفاقية الأوبوف")، وحماية الملكية الفكرية للدوائر المتكاملة، على النحو الوارد في </w:t>
      </w:r>
      <w:r w:rsidRPr="0080684F">
        <w:rPr>
          <w:rFonts w:hint="cs"/>
          <w:i/>
          <w:iCs/>
          <w:rtl/>
          <w:lang w:bidi="ar-LB"/>
        </w:rPr>
        <w:t>معاهدة الملكية الفكرية فيما يختص بالدوائر المتكاملة</w:t>
      </w:r>
      <w:r w:rsidRPr="0080684F">
        <w:rPr>
          <w:rFonts w:hint="cs"/>
          <w:rtl/>
          <w:lang w:bidi="ar-LB"/>
        </w:rPr>
        <w:t xml:space="preserve"> لسنة 1989 ("معاهدة واشنطن"). و</w:t>
      </w:r>
      <w:r w:rsidRPr="0080684F">
        <w:rPr>
          <w:rFonts w:hint="cs"/>
          <w:i/>
          <w:iCs/>
          <w:rtl/>
          <w:lang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80684F">
        <w:rPr>
          <w:rFonts w:hint="cs"/>
          <w:rtl/>
          <w:lang w:bidi="ar-LB"/>
        </w:rPr>
        <w:t xml:space="preserve"> هو أيضا نظام خاص.</w:t>
      </w:r>
    </w:p>
    <w:p w:rsidR="0080684F" w:rsidRPr="00764C2F" w:rsidRDefault="0080684F" w:rsidP="00764C2F">
      <w:pPr>
        <w:pStyle w:val="Heading2"/>
        <w:spacing w:before="240" w:after="240"/>
        <w:rPr>
          <w:i/>
          <w:iCs w:val="0"/>
          <w:szCs w:val="22"/>
          <w:rtl/>
          <w:lang w:bidi="ar-LB"/>
        </w:rPr>
      </w:pPr>
      <w:bookmarkStart w:id="124" w:name="_Toc109824624"/>
      <w:r w:rsidRPr="00764C2F">
        <w:rPr>
          <w:i/>
          <w:iCs w:val="0"/>
          <w:szCs w:val="22"/>
          <w:rtl/>
          <w:lang w:bidi="ar-LB"/>
        </w:rPr>
        <w:t>بروتوكول سواكوبماند لحماية المعارف التقليدية وأشكال التعبير الفولكلوري</w:t>
      </w:r>
      <w:bookmarkEnd w:id="124"/>
    </w:p>
    <w:p w:rsidR="0080684F" w:rsidRPr="0080684F" w:rsidRDefault="0080684F" w:rsidP="0080684F">
      <w:pPr>
        <w:pStyle w:val="BodyText"/>
        <w:rPr>
          <w:rtl/>
          <w:lang w:bidi="ar-LB"/>
        </w:rPr>
      </w:pPr>
      <w:r w:rsidRPr="0080684F">
        <w:rPr>
          <w:rFonts w:hint="cs"/>
          <w:rtl/>
          <w:lang w:bidi="ar-LB"/>
        </w:rPr>
        <w:t>اعتمدت الدول الأعضاء في المنظمة الإقليمية الأفريقية للملكية الفكرية (الأريبو) بروتوكولا في أغسطس 2010 أثناء المؤتمر الدبلوماسي الذي انعقد في سواكوبماند في ناميبيا. ووفقا للمادة 1.1، فإن البروتوكول يهدف إلى: "</w:t>
      </w:r>
      <w:r w:rsidRPr="0080684F">
        <w:rPr>
          <w:rFonts w:hint="cs"/>
          <w:i/>
          <w:iCs/>
          <w:rtl/>
          <w:lang w:bidi="ar-LB"/>
        </w:rPr>
        <w:t>(أ) حماية أصحاب المعارف التقليدية من أي تعد على حقوقهم التي يقرها هذا البروتوكول، (ب) حماية أشكال التعبير الفولكلوري من التملك غير المشروع وسوء الاستخدام والاستغلال غير القانوني خارج سياقها التقليدي</w:t>
      </w:r>
      <w:r w:rsidRPr="0080684F">
        <w:rPr>
          <w:rFonts w:hint="cs"/>
          <w:rtl/>
          <w:lang w:bidi="ar-LB"/>
        </w:rPr>
        <w:t>". ودخل البروتوكول حيز النفاذ في 11 مايو 2015 بعد أن أودعت ست دول أعضاء في الأريبو إما وثائق التصديق أو وثائق الانضمام.</w:t>
      </w:r>
    </w:p>
    <w:p w:rsidR="0080684F" w:rsidRPr="00764C2F" w:rsidRDefault="0080684F" w:rsidP="00764C2F">
      <w:pPr>
        <w:pStyle w:val="Heading2"/>
        <w:spacing w:before="240" w:after="240"/>
        <w:rPr>
          <w:i/>
          <w:iCs w:val="0"/>
          <w:szCs w:val="22"/>
          <w:rtl/>
          <w:lang w:bidi="ar-LB"/>
        </w:rPr>
      </w:pPr>
      <w:bookmarkStart w:id="125" w:name="_Toc109824625"/>
      <w:r w:rsidRPr="00764C2F">
        <w:rPr>
          <w:i/>
          <w:iCs w:val="0"/>
          <w:szCs w:val="22"/>
          <w:rtl/>
          <w:lang w:bidi="ar-LB"/>
        </w:rPr>
        <w:t>أشكال التعبير الملموس</w:t>
      </w:r>
      <w:bookmarkEnd w:id="125"/>
    </w:p>
    <w:p w:rsidR="0080684F" w:rsidRPr="0080684F" w:rsidRDefault="0080684F" w:rsidP="0080684F">
      <w:pPr>
        <w:pStyle w:val="BodyText"/>
        <w:rPr>
          <w:rtl/>
          <w:lang w:bidi="ar-EG"/>
        </w:rPr>
      </w:pPr>
      <w:r w:rsidRPr="0080684F">
        <w:rPr>
          <w:rFonts w:hint="cs"/>
          <w:rtl/>
          <w:lang w:bidi="ar-LB"/>
        </w:rPr>
        <w:t>يشير مصطلح</w:t>
      </w:r>
      <w:r w:rsidRPr="0080684F">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4A642B" w:rsidRDefault="0080684F" w:rsidP="00726E12">
      <w:pPr>
        <w:pStyle w:val="BodyText"/>
        <w:rPr>
          <w:rtl/>
          <w:lang w:bidi="ar-EG"/>
        </w:rPr>
      </w:pPr>
      <w:r w:rsidRPr="0080684F">
        <w:rPr>
          <w:rFonts w:hint="cs"/>
          <w:rtl/>
          <w:lang w:bidi="ar-EG"/>
        </w:rPr>
        <w:t>فأشكال التعبير الملموس هي أشكال تعبير مدرجة في شيء مادي.</w:t>
      </w:r>
      <w:r w:rsidRPr="0080684F">
        <w:rPr>
          <w:vertAlign w:val="superscript"/>
          <w:rtl/>
          <w:lang w:bidi="ar-EG"/>
        </w:rPr>
        <w:footnoteReference w:id="151"/>
      </w:r>
      <w:r w:rsidRPr="0080684F">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w:t>
      </w:r>
      <w:r w:rsidR="004A642B">
        <w:rPr>
          <w:rFonts w:hint="cs"/>
          <w:rtl/>
          <w:lang w:bidi="ar-EG"/>
        </w:rPr>
        <w:t>ولكلوري تحظى بالحماية. ونورد في</w:t>
      </w:r>
      <w:r w:rsidRPr="0080684F">
        <w:rPr>
          <w:rFonts w:hint="cs"/>
          <w:rtl/>
          <w:lang w:bidi="ar-EG"/>
        </w:rPr>
        <w:t>ما يلي أمثلة أشكال التعبير الملموس وهي:</w:t>
      </w:r>
    </w:p>
    <w:p w:rsidR="0080684F" w:rsidRPr="0080684F" w:rsidRDefault="004A642B" w:rsidP="00726E12">
      <w:pPr>
        <w:pStyle w:val="BodyText"/>
        <w:spacing w:after="120"/>
        <w:ind w:left="1134" w:hanging="567"/>
        <w:rPr>
          <w:rtl/>
          <w:lang w:bidi="ar-EG"/>
        </w:rPr>
      </w:pPr>
      <w:r w:rsidRPr="0080684F">
        <w:rPr>
          <w:rFonts w:hint="cs"/>
          <w:rtl/>
          <w:lang w:bidi="ar-EG"/>
        </w:rPr>
        <w:t xml:space="preserve"> </w:t>
      </w:r>
      <w:r w:rsidR="0080684F" w:rsidRPr="0080684F">
        <w:rPr>
          <w:rFonts w:hint="cs"/>
          <w:rtl/>
          <w:lang w:bidi="ar-EG"/>
        </w:rPr>
        <w:t>(أ)</w:t>
      </w:r>
      <w:r w:rsidR="0080684F" w:rsidRPr="0080684F">
        <w:rPr>
          <w:rFonts w:hint="cs"/>
          <w:rtl/>
          <w:lang w:bidi="ar-EG"/>
        </w:rPr>
        <w:tab/>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80684F" w:rsidRPr="0080684F" w:rsidRDefault="0080684F" w:rsidP="00726E12">
      <w:pPr>
        <w:pStyle w:val="BodyText"/>
        <w:spacing w:after="120"/>
        <w:ind w:firstLine="567"/>
        <w:rPr>
          <w:rtl/>
          <w:lang w:bidi="ar-EG"/>
        </w:rPr>
      </w:pPr>
      <w:r w:rsidRPr="0080684F">
        <w:rPr>
          <w:rFonts w:hint="cs"/>
          <w:rtl/>
          <w:lang w:bidi="ar-EG"/>
        </w:rPr>
        <w:t>(ب)</w:t>
      </w:r>
      <w:r w:rsidRPr="0080684F">
        <w:rPr>
          <w:rFonts w:hint="cs"/>
          <w:rtl/>
          <w:lang w:bidi="ar-EG"/>
        </w:rPr>
        <w:tab/>
        <w:t>الأدوات الموسيقية؛</w:t>
      </w:r>
    </w:p>
    <w:p w:rsidR="0080684F" w:rsidRPr="0080684F" w:rsidRDefault="0080684F" w:rsidP="004A642B">
      <w:pPr>
        <w:pStyle w:val="BodyText"/>
        <w:ind w:firstLine="567"/>
        <w:rPr>
          <w:rtl/>
          <w:lang w:bidi="ar-EG"/>
        </w:rPr>
      </w:pPr>
      <w:r w:rsidRPr="0080684F">
        <w:rPr>
          <w:rFonts w:hint="cs"/>
          <w:rtl/>
          <w:lang w:bidi="ar-EG"/>
        </w:rPr>
        <w:t>(ج)</w:t>
      </w:r>
      <w:r w:rsidRPr="0080684F">
        <w:rPr>
          <w:rFonts w:hint="cs"/>
          <w:rtl/>
          <w:lang w:bidi="ar-EG"/>
        </w:rPr>
        <w:tab/>
        <w:t>أشكال الفن المعماري.</w:t>
      </w:r>
      <w:r w:rsidRPr="0080684F">
        <w:rPr>
          <w:vertAlign w:val="superscript"/>
          <w:rtl/>
          <w:lang w:bidi="ar-EG"/>
        </w:rPr>
        <w:footnoteReference w:id="152"/>
      </w:r>
    </w:p>
    <w:p w:rsidR="0080684F" w:rsidRPr="00764C2F" w:rsidRDefault="0080684F" w:rsidP="00764C2F">
      <w:pPr>
        <w:pStyle w:val="Heading2"/>
        <w:spacing w:before="240" w:after="240"/>
        <w:rPr>
          <w:i/>
          <w:iCs w:val="0"/>
          <w:szCs w:val="22"/>
          <w:rtl/>
          <w:lang w:bidi="ar-LB"/>
        </w:rPr>
      </w:pPr>
      <w:bookmarkStart w:id="126" w:name="_Toc109824626"/>
      <w:r w:rsidRPr="00764C2F">
        <w:rPr>
          <w:i/>
          <w:iCs w:val="0"/>
          <w:szCs w:val="22"/>
          <w:rtl/>
          <w:lang w:bidi="ar-LB"/>
        </w:rPr>
        <w:t>السياق التقليدي</w:t>
      </w:r>
      <w:bookmarkEnd w:id="126"/>
    </w:p>
    <w:p w:rsidR="0080684F" w:rsidRPr="0080684F" w:rsidRDefault="0080684F" w:rsidP="0080684F">
      <w:pPr>
        <w:pStyle w:val="BodyText"/>
        <w:rPr>
          <w:lang w:val="fr-CH"/>
        </w:rPr>
      </w:pPr>
      <w:r w:rsidRPr="0080684F">
        <w:rPr>
          <w:rFonts w:hint="cs"/>
          <w:rtl/>
          <w:lang w:bidi="ar-LB"/>
        </w:rPr>
        <w:t>إن كلمة "تقليدي" تعني أن المعارف التقليدية أو أشكال التعبير الثقافي التقليدي أُنشئت وفقا لقواعد جماعة معينة ومواثيقها وأعرافها ولا تعني أنها قديمة. وبعبارة أخرى، فإن صفة "تقليدي" تصف طريقة إنشاء المعارف التقليدية أو أشكال التعبير الثقافي التقليدي وليس المعارف أو أشكال التعبير ذاتها.</w:t>
      </w:r>
      <w:r w:rsidRPr="0080684F">
        <w:rPr>
          <w:vertAlign w:val="superscript"/>
          <w:rtl/>
          <w:lang w:bidi="ar-LB"/>
        </w:rPr>
        <w:footnoteReference w:id="153"/>
      </w:r>
      <w:r w:rsidRPr="0080684F">
        <w:rPr>
          <w:rFonts w:hint="cs"/>
          <w:rtl/>
          <w:lang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80684F">
        <w:rPr>
          <w:vertAlign w:val="superscript"/>
          <w:rtl/>
          <w:lang w:bidi="ar-LB"/>
        </w:rPr>
        <w:footnoteReference w:id="154"/>
      </w:r>
      <w:r w:rsidRPr="0080684F">
        <w:rPr>
          <w:rFonts w:hint="cs"/>
          <w:rtl/>
          <w:lang w:bidi="ar-LB"/>
        </w:rPr>
        <w:t xml:space="preserve"> ويشير مصطلح "السياق التقليدي" إلى طريقة استخدام المعارف التقليدية أو أشكال التعبير الثقافي التقليدي في إطارها الفني الملائم استنادا إلى استخدام مستمر للجماعة. </w:t>
      </w:r>
      <w:r w:rsidRPr="0080684F">
        <w:rPr>
          <w:rFonts w:hint="cs"/>
          <w:rtl/>
          <w:lang w:bidi="ar-LB"/>
        </w:rPr>
        <w:lastRenderedPageBreak/>
        <w:t>ومن الأمثلة على ذلك استخدام رقصة خاصة بالطقوس في سياقها التقليدي، حيث يحيل ذلك إلى أداء الرقصة المذكورة في الإطار الفعلي للطقس.</w:t>
      </w:r>
      <w:r w:rsidRPr="0080684F">
        <w:rPr>
          <w:vertAlign w:val="superscript"/>
          <w:rtl/>
          <w:lang w:bidi="ar-LB"/>
        </w:rPr>
        <w:footnoteReference w:id="155"/>
      </w:r>
    </w:p>
    <w:p w:rsidR="0080684F" w:rsidRPr="0080684F" w:rsidRDefault="0080684F" w:rsidP="0080684F">
      <w:pPr>
        <w:pStyle w:val="BodyText"/>
        <w:rPr>
          <w:rtl/>
          <w:lang w:bidi="ar-LB"/>
        </w:rPr>
      </w:pPr>
      <w:r w:rsidRPr="0080684F">
        <w:rPr>
          <w:rFonts w:hint="cs"/>
          <w:rtl/>
          <w:lang w:bidi="ar-LB"/>
        </w:rPr>
        <w:t>وكما هو مشار إليه في الوثيقة "عناصر نظام خاص لحماية المعارف التقليدية" (</w:t>
      </w:r>
      <w:r w:rsidRPr="0080684F">
        <w:rPr>
          <w:lang w:val="fr-CH"/>
        </w:rPr>
        <w:t>WIPO/GRTKF/IC/4/8</w:t>
      </w:r>
      <w:r w:rsidRPr="0080684F">
        <w:rPr>
          <w:rFonts w:hint="cs"/>
          <w:rtl/>
          <w:lang w:bidi="ar-LB"/>
        </w:rPr>
        <w:t>)، فإن المعارف التقليدية "تقليدية" لأنها تنشأ بطريقة تجسد تقاليد الجماعات. فصفة "تقليدي" لا تتعلق إذاً بالضرورة بطبيعة المعارف ولكن بطريقة إنشاء هذه المعارف والحفاظ عليها ونشرها.</w:t>
      </w:r>
      <w:r w:rsidRPr="0080684F">
        <w:rPr>
          <w:vertAlign w:val="superscript"/>
          <w:rtl/>
          <w:lang w:bidi="ar-LB"/>
        </w:rPr>
        <w:footnoteReference w:id="156"/>
      </w:r>
    </w:p>
    <w:p w:rsidR="0080684F" w:rsidRPr="00BE4193" w:rsidRDefault="0080684F" w:rsidP="00BE4193">
      <w:pPr>
        <w:pStyle w:val="Heading2"/>
        <w:spacing w:before="240" w:after="240"/>
        <w:rPr>
          <w:i/>
          <w:iCs w:val="0"/>
          <w:sz w:val="18"/>
          <w:szCs w:val="22"/>
          <w:rtl/>
          <w:lang w:bidi="ar-LB"/>
        </w:rPr>
      </w:pPr>
      <w:bookmarkStart w:id="127" w:name="_Toc109824627"/>
      <w:r w:rsidRPr="00BE4193">
        <w:rPr>
          <w:i/>
          <w:iCs w:val="0"/>
          <w:sz w:val="18"/>
          <w:szCs w:val="22"/>
          <w:rtl/>
          <w:lang w:bidi="ar-LB"/>
        </w:rPr>
        <w:t>أشكال التعبير الثقافي التقليدي</w:t>
      </w:r>
      <w:bookmarkEnd w:id="127"/>
    </w:p>
    <w:p w:rsidR="0080684F" w:rsidRPr="0080684F" w:rsidRDefault="0080684F" w:rsidP="0080684F">
      <w:pPr>
        <w:pStyle w:val="BodyText"/>
        <w:rPr>
          <w:rtl/>
          <w:lang w:bidi="ar-LB"/>
        </w:rPr>
      </w:pPr>
      <w:r w:rsidRPr="0080684F">
        <w:rPr>
          <w:rFonts w:hint="cs"/>
          <w:rtl/>
          <w:lang w:bidi="ar-LB"/>
        </w:rPr>
        <w:t>تستخدم الويبو مصطلحي "أشكال التعبير الثقافي التقليدي" و"أشكال التعبير الفولكلوري" للإشارة إلى أشكال ملموسة أو غير ملموسة يعبّر فيها عن المعرفة والثقافة التقليدية</w:t>
      </w:r>
      <w:r w:rsidRPr="0080684F">
        <w:rPr>
          <w:rFonts w:hint="cs"/>
          <w:b/>
          <w:bCs/>
          <w:rtl/>
          <w:lang w:bidi="ar-LB"/>
        </w:rPr>
        <w:t xml:space="preserve"> </w:t>
      </w:r>
      <w:r w:rsidRPr="0080684F">
        <w:rPr>
          <w:rFonts w:hint="cs"/>
          <w:rtl/>
          <w:lang w:bidi="ar-LB"/>
        </w:rPr>
        <w:t>أو تنقل بواسطتها أو تتجلى فيها</w:t>
      </w:r>
      <w:r w:rsidRPr="0080684F">
        <w:rPr>
          <w:rFonts w:hint="cs"/>
          <w:b/>
          <w:bCs/>
          <w:rtl/>
          <w:lang w:bidi="ar-LB"/>
        </w:rPr>
        <w:t>.</w:t>
      </w:r>
      <w:r w:rsidRPr="0080684F">
        <w:rPr>
          <w:rFonts w:hint="cs"/>
          <w:rtl/>
          <w:lang w:bidi="ar-LB"/>
        </w:rPr>
        <w:t xml:space="preserve"> وتشمل الأمثلة الموسيقى التقليدية، وأوجه الأداء، وأشكال السرد، والأسماء، والرموز، والتصاميم والأشكال المعمارية. ويستخدم مصطلحا "أشكال التعبير الثقافي التقليدي" و"أشكال التعبير الفولكلوري"</w:t>
      </w:r>
      <w:r w:rsidRPr="0080684F">
        <w:rPr>
          <w:rFonts w:hint="cs"/>
          <w:b/>
          <w:bCs/>
          <w:rtl/>
          <w:lang w:bidi="ar-LB"/>
        </w:rPr>
        <w:t xml:space="preserve"> </w:t>
      </w:r>
      <w:r w:rsidRPr="0080684F">
        <w:rPr>
          <w:rFonts w:hint="cs"/>
          <w:rtl/>
          <w:lang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80684F" w:rsidRPr="00BE4193" w:rsidRDefault="0080684F" w:rsidP="00BE4193">
      <w:pPr>
        <w:pStyle w:val="Heading2"/>
        <w:spacing w:before="240" w:after="240"/>
        <w:rPr>
          <w:i/>
          <w:iCs w:val="0"/>
          <w:sz w:val="18"/>
          <w:szCs w:val="22"/>
          <w:rtl/>
          <w:lang w:bidi="ar-LB"/>
        </w:rPr>
      </w:pPr>
      <w:bookmarkStart w:id="128" w:name="_Toc109824628"/>
      <w:r w:rsidRPr="00BE4193">
        <w:rPr>
          <w:i/>
          <w:iCs w:val="0"/>
          <w:sz w:val="18"/>
          <w:szCs w:val="22"/>
          <w:rtl/>
          <w:lang w:bidi="ar-LB"/>
        </w:rPr>
        <w:t>الثقافات التقليدية</w:t>
      </w:r>
      <w:bookmarkEnd w:id="128"/>
    </w:p>
    <w:p w:rsidR="0080684F" w:rsidRPr="0080684F" w:rsidRDefault="0080684F" w:rsidP="0080684F">
      <w:pPr>
        <w:pStyle w:val="BodyText"/>
        <w:rPr>
          <w:rtl/>
          <w:lang w:bidi="ar-LB"/>
        </w:rPr>
      </w:pPr>
      <w:r w:rsidRPr="0080684F">
        <w:rPr>
          <w:rFonts w:hint="cs"/>
          <w:rtl/>
          <w:lang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80684F">
        <w:rPr>
          <w:vertAlign w:val="superscript"/>
          <w:rtl/>
          <w:lang w:bidi="ar-LB"/>
        </w:rPr>
        <w:footnoteReference w:id="157"/>
      </w:r>
    </w:p>
    <w:p w:rsidR="0080684F" w:rsidRPr="00BE4193" w:rsidRDefault="0080684F" w:rsidP="00BE4193">
      <w:pPr>
        <w:pStyle w:val="Heading2"/>
        <w:spacing w:before="240" w:after="240"/>
        <w:rPr>
          <w:i/>
          <w:iCs w:val="0"/>
          <w:sz w:val="18"/>
          <w:szCs w:val="22"/>
          <w:rtl/>
          <w:lang w:bidi="ar-LB"/>
        </w:rPr>
      </w:pPr>
      <w:bookmarkStart w:id="129" w:name="_Toc109824629"/>
      <w:r w:rsidRPr="00BE4193">
        <w:rPr>
          <w:i/>
          <w:iCs w:val="0"/>
          <w:sz w:val="18"/>
          <w:szCs w:val="22"/>
          <w:rtl/>
          <w:lang w:bidi="ar-LB"/>
        </w:rPr>
        <w:t>المعارف الإيكولوجية التقليدية/المعارف البيئية التقليدية</w:t>
      </w:r>
      <w:bookmarkEnd w:id="129"/>
    </w:p>
    <w:p w:rsidR="0080684F" w:rsidRPr="0080684F" w:rsidRDefault="0080684F" w:rsidP="0080684F">
      <w:pPr>
        <w:pStyle w:val="BodyText"/>
        <w:rPr>
          <w:lang w:val="fr-CH"/>
        </w:rPr>
      </w:pPr>
      <w:r w:rsidRPr="0080684F">
        <w:rPr>
          <w:rFonts w:hint="cs"/>
          <w:rtl/>
          <w:lang w:bidi="ar-LB"/>
        </w:rPr>
        <w:t>يعرّف المعهد الثقافي لشعب ديني "المعارف البيئية التقليدية" بأنها "مجموعة من المعارف والمعتقدات التي تنتقل عبر التقاليد الشفهية والملاحظة المباشرة. وتشمل نظاما للتصنيف ومجموعة من الملاحظات التجريبية بشأن البيئة المحلية ونظاما للإدارة الذاتية التي تحكم استخدام الموارد. وترتبط الجوانب البيئية ارتباطا وثيقا بالجوانب الاجتماعية والروحية لنظام المعارف. وتتفاوت كمية تلك المعارف ونوعيتها بين أفراد الجماعة، ويتوقف ذلك على الجنس والعمر والحالة الاجتماعية والقدرة الفكرية والمهنة (صياد، زعيم روحي، معالج، إلى غير ذلك). ولما كانت جذور المعارف البيئية التقليدية راسخة في الماضي، فإن لها طابعا تراكميا وحيويا، إذ تقوم على تجربة الأجيال السابقة وتتكيف مع التغيرات التكنولوجية والاجتماعية والاقتصادية الجديدة التي يشهدها الوقت الحاضر."</w:t>
      </w:r>
      <w:r w:rsidRPr="0080684F">
        <w:rPr>
          <w:vertAlign w:val="superscript"/>
          <w:rtl/>
          <w:lang w:bidi="ar-LB"/>
        </w:rPr>
        <w:footnoteReference w:id="158"/>
      </w:r>
    </w:p>
    <w:p w:rsidR="0080684F" w:rsidRPr="0080684F" w:rsidRDefault="0080684F" w:rsidP="0080684F">
      <w:pPr>
        <w:pStyle w:val="BodyText"/>
        <w:rPr>
          <w:rtl/>
          <w:lang w:bidi="ar-LB"/>
        </w:rPr>
      </w:pPr>
      <w:r w:rsidRPr="0080684F">
        <w:rPr>
          <w:rFonts w:hint="cs"/>
          <w:rtl/>
          <w:lang w:bidi="ar-LB"/>
        </w:rPr>
        <w:t>وتُعرّف أيضا المعارف البيئية التقليدية بأنها "مجموعة من المعارف والمعتقدات المتراكمة التي تتوارثها الأجيال عبر التواصل الثقافي وتتناول علاقة الكائنات الحية (بما فيها الكائن البشري) فيما بينها وعلاقتها ببيئتها. والمعارف البيئية التقليدية هي سمة من سمات المجتمعات التي لها امتداد تاريخي من حيث استخدام الموارد في ممارساتها، وهي عامة مجتمعات غير صناعية أو أقل تقدما من الناحية التكنولوجية، ومعظمها مجتمعات أصلية أو قبلية."</w:t>
      </w:r>
      <w:r w:rsidRPr="0080684F">
        <w:rPr>
          <w:vertAlign w:val="superscript"/>
          <w:rtl/>
          <w:lang w:bidi="ar-LB"/>
        </w:rPr>
        <w:footnoteReference w:id="159"/>
      </w:r>
    </w:p>
    <w:p w:rsidR="0080684F" w:rsidRPr="00BE4193" w:rsidRDefault="0080684F" w:rsidP="00BE4193">
      <w:pPr>
        <w:pStyle w:val="Heading2"/>
        <w:spacing w:before="240" w:after="240"/>
        <w:rPr>
          <w:i/>
          <w:iCs w:val="0"/>
          <w:rtl/>
          <w:lang w:bidi="ar-LB"/>
        </w:rPr>
      </w:pPr>
      <w:bookmarkStart w:id="130" w:name="_Toc109824630"/>
      <w:r w:rsidRPr="00BE4193">
        <w:rPr>
          <w:i/>
          <w:iCs w:val="0"/>
          <w:sz w:val="18"/>
          <w:szCs w:val="22"/>
          <w:rtl/>
          <w:lang w:bidi="ar-LB"/>
        </w:rPr>
        <w:t>المعارف التقليدية</w:t>
      </w:r>
      <w:bookmarkEnd w:id="130"/>
    </w:p>
    <w:p w:rsidR="0080684F" w:rsidRPr="0080684F" w:rsidRDefault="0080684F" w:rsidP="0080684F">
      <w:pPr>
        <w:pStyle w:val="BodyText"/>
        <w:rPr>
          <w:rtl/>
          <w:lang w:bidi="ar-LB"/>
        </w:rPr>
      </w:pPr>
      <w:r w:rsidRPr="0080684F">
        <w:rPr>
          <w:rFonts w:hint="cs"/>
          <w:rtl/>
          <w:lang w:bidi="ar-LB"/>
        </w:rPr>
        <w:t>لا يوجد حتى الآن تعريف مقبول لمصطلح "المعارف التقليدية" على المستوى الدولي.</w:t>
      </w:r>
    </w:p>
    <w:p w:rsidR="0080684F" w:rsidRPr="0080684F" w:rsidRDefault="0080684F" w:rsidP="0080684F">
      <w:pPr>
        <w:pStyle w:val="BodyText"/>
        <w:rPr>
          <w:rtl/>
          <w:lang w:bidi="ar-LB"/>
        </w:rPr>
      </w:pPr>
      <w:r w:rsidRPr="0080684F">
        <w:rPr>
          <w:rFonts w:hint="cs"/>
          <w:rtl/>
          <w:lang w:bidi="ar-LB"/>
        </w:rPr>
        <w:t xml:space="preserve">ويشمل مصطلح "المعارف التقليدية" بتوصيفه الواسع للموضوع عموما التراث الفكري والتراث الثقافي غير المادي والممارسات وأنظمة المعارف في المجتمعات التقليدية، بما في ذلك المجتمعات الأصلية والمحلية (المعارف التقليدية بمعناها العام أو الواسع). </w:t>
      </w:r>
      <w:r w:rsidRPr="0080684F">
        <w:rPr>
          <w:rFonts w:hint="cs"/>
          <w:rtl/>
          <w:lang w:bidi="ar-LB"/>
        </w:rPr>
        <w:lastRenderedPageBreak/>
        <w:t>وبعبارة أخرى، فالمعارف التقليدية إجمالا تشمل مضمون المعارف نفسها وأشكال التعبير الثقافي التقليدي، بما في ذلك العلامات والرموز المميِّزة المرتبطة بالمعارف التقليدية</w:t>
      </w:r>
      <w:r w:rsidRPr="0080684F">
        <w:rPr>
          <w:rFonts w:hint="cs"/>
          <w:rtl/>
          <w:lang w:bidi="ar-EG"/>
        </w:rPr>
        <w:t>.</w:t>
      </w:r>
    </w:p>
    <w:p w:rsidR="0080684F" w:rsidRPr="0080684F" w:rsidRDefault="0080684F" w:rsidP="0080684F">
      <w:pPr>
        <w:pStyle w:val="BodyText"/>
      </w:pPr>
      <w:r w:rsidRPr="0080684F">
        <w:rPr>
          <w:rFonts w:hint="cs"/>
          <w:rtl/>
          <w:lang w:bidi="ar-LB"/>
        </w:rPr>
        <w:t xml:space="preserve">أما في المناقشات الدولية، فإن مصطلح "المعارف التقليدية" يُستخدم بمعنى ضيق للإشارة إلى المعارف في حد ذاتها، ولا سيما </w:t>
      </w:r>
      <w:r w:rsidRPr="0080684F">
        <w:rPr>
          <w:rFonts w:hint="cs"/>
          <w:rtl/>
          <w:lang w:bidi="ar-EG"/>
        </w:rPr>
        <w:t>مضمون المعارف أو مادتها التي تكون نتيجة نشاط فكري في سياق تقليدي، وتشمل الدراية العملية والممارسات والمهارات والابتكارات. ويمكن أن توجد المعارف التقليدية في سياقات عديدة ومتنوعة، منها: المعارف الزراعية 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80684F">
        <w:rPr>
          <w:vertAlign w:val="superscript"/>
          <w:rtl/>
          <w:lang w:bidi="ar-EG"/>
        </w:rPr>
        <w:footnoteReference w:id="160"/>
      </w:r>
    </w:p>
    <w:p w:rsidR="0080684F" w:rsidRPr="00BE4193" w:rsidRDefault="0080684F" w:rsidP="00BE4193">
      <w:pPr>
        <w:pStyle w:val="Heading2"/>
        <w:spacing w:before="240" w:after="240"/>
        <w:rPr>
          <w:sz w:val="18"/>
          <w:szCs w:val="22"/>
          <w:rtl/>
          <w:lang w:bidi="ar-LB"/>
        </w:rPr>
      </w:pPr>
      <w:bookmarkStart w:id="131" w:name="_Toc109824631"/>
      <w:r w:rsidRPr="00BE4193">
        <w:rPr>
          <w:i/>
          <w:iCs w:val="0"/>
          <w:sz w:val="18"/>
          <w:szCs w:val="22"/>
          <w:rtl/>
          <w:lang w:bidi="ar-LB"/>
        </w:rPr>
        <w:t>المكتبة الرقمية للمعارف التقليدية</w:t>
      </w:r>
      <w:bookmarkEnd w:id="131"/>
    </w:p>
    <w:p w:rsidR="0080684F" w:rsidRPr="0080684F" w:rsidRDefault="0080684F" w:rsidP="0080684F">
      <w:pPr>
        <w:pStyle w:val="BodyText"/>
        <w:rPr>
          <w:rtl/>
          <w:lang w:bidi="ar-LB"/>
        </w:rPr>
      </w:pPr>
      <w:r w:rsidRPr="0080684F">
        <w:rPr>
          <w:rFonts w:hint="cs"/>
          <w:rtl/>
          <w:lang w:bidi="ar-LB"/>
        </w:rPr>
        <w:t>المكتبة الرقمية للمعارف التقليدية هي مبادرة رائدة أطلقتها الهند لمنع التملك غير المشروع لمعارف البلد الطبية التقليدية. وشارك فريق متعدد التخصصات من خبراء الطب الشعبي (أيورفيدا، وأوناني، وسيدها، ويوغا)، وفاحصي البراءات، وخبراء تكنولوجيا المعلومات، والعلماء، والموظفين التقنيين في إنشاء المكتبة الرقمية للمعارف التقليدية للأنظمة الطبية الهندية. ويقوم المشروع على توثيق المعارف التقليدية المتاحة في الملك العام في شكل إصدارات سابقة ذات صلة بأنظمة أيورفيدا، وأوناني، وسيدها، ويوغا ويضعها في شكل رقمي بخمس لغات هي الإنكليزية والألمانية والفرنسية واليابانية والإسبانية. وتتيح المكتبة الرقمية معلومات عن المعارف التقليدية الموجودة في البلد بلغات وأنساق يفهمها فاحصو البراءات في مكاتب البراءات الدولية لمنع منح البراءات الخاطئة.</w:t>
      </w:r>
      <w:r w:rsidRPr="0080684F">
        <w:rPr>
          <w:vertAlign w:val="superscript"/>
          <w:rtl/>
          <w:lang w:bidi="ar-LB"/>
        </w:rPr>
        <w:footnoteReference w:id="161"/>
      </w:r>
    </w:p>
    <w:p w:rsidR="0080684F" w:rsidRPr="0080684F" w:rsidRDefault="0080684F" w:rsidP="0080684F">
      <w:pPr>
        <w:pStyle w:val="BodyText"/>
        <w:rPr>
          <w:lang w:val="fr-CH"/>
        </w:rPr>
      </w:pPr>
      <w:r w:rsidRPr="0080684F">
        <w:rPr>
          <w:rFonts w:hint="cs"/>
          <w:rtl/>
          <w:lang w:bidi="ar-LB"/>
        </w:rPr>
        <w:t>وللمكتبة الرقمية هدفان. فهي تسعى في المقام الأول إلى منع منح براءات في منتجات طُورت باستخدام المعارف التقليدية وبقليل من النشاط الابتكاري إن كان من نشاط ابتكاري أصلا. وتسعى في المقام الثاني إلى أن تكون همزة وصل بين العلوم الحديثة والمعارف التقليدية، ويمكن استخدامها لدفع البحوث المعمقة التي تعتمد على المعلومات المتعلقة بالمعارف التقليدية من أجل إنتاج أدوية جديدة. والغاية من المكتبة الرقمية هي أن تكون بمثابة همزة وصل بين مقطع باللغة السنسكريتية القديمة وفاحص البراءة على مستوى عالمي، لأن قاعدة البيانات ستحتوي على معلومات عن الأسماء الحديثة والمحلية بلغة ونسق يفهمهما فاحصو البراءات. ومن المتوقع أن تتقلص الفجوة بين حالة التقنية الصناعية السابقة والمعارف التقليدية. وستتضمن قاعدة البيانات تفاصيل كافية بشأن تعاريف المصطلحات والمبادئ والمفاهيم للحد من إمكانية منح براءات "للاختراعات" لمجرد إجراء تعديلات طفيفة لا قيمة لها.</w:t>
      </w:r>
      <w:r w:rsidRPr="0080684F">
        <w:rPr>
          <w:vertAlign w:val="superscript"/>
          <w:rtl/>
          <w:lang w:bidi="ar-LB"/>
        </w:rPr>
        <w:footnoteReference w:id="162"/>
      </w:r>
    </w:p>
    <w:p w:rsidR="0080684F" w:rsidRPr="00BE4193" w:rsidRDefault="0080684F" w:rsidP="00BE4193">
      <w:pPr>
        <w:pStyle w:val="BodyText"/>
        <w:spacing w:before="240" w:after="240"/>
        <w:rPr>
          <w:b/>
          <w:bCs/>
          <w:rtl/>
          <w:lang w:bidi="ar-LB"/>
        </w:rPr>
      </w:pPr>
      <w:bookmarkStart w:id="132" w:name="_Toc109824632"/>
      <w:r w:rsidRPr="00BE4193">
        <w:rPr>
          <w:rStyle w:val="Heading2Char"/>
          <w:i/>
          <w:iCs w:val="0"/>
          <w:sz w:val="18"/>
          <w:szCs w:val="22"/>
          <w:rtl/>
        </w:rPr>
        <w:t>تصنيف موارد المعارف</w:t>
      </w:r>
      <w:bookmarkEnd w:id="132"/>
      <w:r w:rsidRPr="00BE4193">
        <w:rPr>
          <w:b/>
          <w:bCs/>
          <w:sz w:val="18"/>
          <w:szCs w:val="18"/>
          <w:rtl/>
          <w:lang w:bidi="ar-LB"/>
        </w:rPr>
        <w:t xml:space="preserve"> </w:t>
      </w:r>
      <w:r w:rsidRPr="00BE4193">
        <w:rPr>
          <w:b/>
          <w:bCs/>
          <w:rtl/>
          <w:lang w:bidi="ar-LB"/>
        </w:rPr>
        <w:t>التقليدية</w:t>
      </w:r>
    </w:p>
    <w:p w:rsidR="0080684F" w:rsidRPr="0080684F" w:rsidRDefault="0080684F" w:rsidP="0080684F">
      <w:pPr>
        <w:pStyle w:val="BodyText"/>
        <w:rPr>
          <w:rtl/>
          <w:lang w:bidi="ar-LB"/>
        </w:rPr>
      </w:pPr>
      <w:r w:rsidRPr="0080684F">
        <w:rPr>
          <w:rFonts w:hint="cs"/>
          <w:rtl/>
          <w:lang w:bidi="ar-LB"/>
        </w:rPr>
        <w:t>تصنيف موارد المعارف التقليدية هو نظام مبتكر مصمم لأغراض الفرز والتوزيع والاسترجاع، فيه حوالي 5000 مجموعة فرعية من المعارف التقليدية مقابل مجموعة واحدة في التصنيف الدولي للبراءات.</w:t>
      </w:r>
      <w:r w:rsidRPr="0080684F">
        <w:rPr>
          <w:vertAlign w:val="superscript"/>
          <w:rtl/>
          <w:lang w:bidi="ar-LB"/>
        </w:rPr>
        <w:footnoteReference w:id="163"/>
      </w:r>
      <w:r w:rsidRPr="0080684F">
        <w:rPr>
          <w:rFonts w:hint="cs"/>
          <w:rtl/>
          <w:lang w:bidi="ar-LB"/>
        </w:rPr>
        <w:t xml:space="preserve"> وقد وُضع هذا النظام من أجل الأنظمة الهندية للطب (أيورفيدا، وأوناني، وسيدها، ويوغا) واكتسب اعترافا دوليا ورُبط بالتصنيف الدولي للبراءات. ومن المرجح أن يذكي الوعي بأنظمة المعارف التقليدية عن طريق الاستفادة من أنظمة النشر الحديثة، أي تكنولوجيا المعلومات وتقنيات </w:t>
      </w:r>
      <w:r w:rsidRPr="0080684F">
        <w:rPr>
          <w:rFonts w:hint="cs"/>
          <w:rtl/>
          <w:lang w:bidi="ar-EG"/>
        </w:rPr>
        <w:t xml:space="preserve">الإنترنت </w:t>
      </w:r>
      <w:r w:rsidRPr="0080684F">
        <w:rPr>
          <w:rFonts w:hint="cs"/>
          <w:rtl/>
          <w:lang w:bidi="ar-LB"/>
        </w:rPr>
        <w:t>على وجه الخصوص. ونظرا لهيكل نظام تصنيف موارد المعارف التقليدية وما يتضمنه من تفاصيل، فمن المتوقع أن يثير اهتمام البلدان التي تحرص على منع منح البراءات الخاطئة للاكتشافات غير الأصلية المتعلقة بأنظمة المعارف التقليدية.</w:t>
      </w:r>
      <w:r w:rsidRPr="0080684F">
        <w:rPr>
          <w:vertAlign w:val="superscript"/>
          <w:rtl/>
          <w:lang w:bidi="ar-LB"/>
        </w:rPr>
        <w:footnoteReference w:id="164"/>
      </w:r>
    </w:p>
    <w:p w:rsidR="0080684F" w:rsidRPr="00BE4193" w:rsidRDefault="0080684F" w:rsidP="00BE4193">
      <w:pPr>
        <w:pStyle w:val="Heading2"/>
        <w:rPr>
          <w:i/>
          <w:iCs w:val="0"/>
          <w:sz w:val="18"/>
          <w:szCs w:val="22"/>
          <w:rtl/>
          <w:lang w:bidi="ar-LB"/>
        </w:rPr>
      </w:pPr>
      <w:bookmarkStart w:id="133" w:name="_Toc109824633"/>
      <w:r w:rsidRPr="00BE4193">
        <w:rPr>
          <w:i/>
          <w:iCs w:val="0"/>
          <w:sz w:val="18"/>
          <w:szCs w:val="22"/>
          <w:rtl/>
          <w:lang w:bidi="ar-LB"/>
        </w:rPr>
        <w:t>الطب الشعبي</w:t>
      </w:r>
      <w:bookmarkEnd w:id="133"/>
    </w:p>
    <w:p w:rsidR="0080684F" w:rsidRPr="0080684F" w:rsidRDefault="0080684F" w:rsidP="0080684F">
      <w:pPr>
        <w:pStyle w:val="BodyText"/>
        <w:rPr>
          <w:rtl/>
          <w:lang w:bidi="ar-LB"/>
        </w:rPr>
      </w:pPr>
      <w:r w:rsidRPr="0080684F">
        <w:rPr>
          <w:rFonts w:hint="cs"/>
          <w:rtl/>
          <w:lang w:bidi="ar-LB"/>
        </w:rPr>
        <w:t>جاء في تعريف منظمة الصحة العالمية لمصطلح "الطب الشعبي" أنه "مجموعة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80684F">
        <w:rPr>
          <w:vertAlign w:val="superscript"/>
          <w:rtl/>
          <w:lang w:bidi="ar-LB"/>
        </w:rPr>
        <w:footnoteReference w:id="165"/>
      </w:r>
      <w:r w:rsidRPr="0080684F">
        <w:rPr>
          <w:rFonts w:hint="cs"/>
          <w:rtl/>
          <w:lang w:bidi="ar-LB"/>
        </w:rPr>
        <w:t xml:space="preserve"> وجاء في تعرف منظمة الصحة العالمية لهذا المصطلح أيضا أنه "يشمل الممارسات والنهج والمعارف والمعتقدات الصحية المتنوعة ويستخدم أدوية من أصل نباتي أو </w:t>
      </w:r>
      <w:r w:rsidRPr="0080684F">
        <w:rPr>
          <w:rFonts w:hint="cs"/>
          <w:rtl/>
          <w:lang w:bidi="ar-LB"/>
        </w:rPr>
        <w:lastRenderedPageBreak/>
        <w:t>حيواني أو معدني أو من خليط منها ويستخدم العلاجات الروحية والتقنيات والتمارين اليدوية منفردة أو مجتمعة لرعاية المصابين وعلاج الأمراض أو تشخيصها أو الوقاية منها."</w:t>
      </w:r>
      <w:r w:rsidRPr="0080684F">
        <w:rPr>
          <w:vertAlign w:val="superscript"/>
          <w:rtl/>
          <w:lang w:bidi="ar-LB"/>
        </w:rPr>
        <w:footnoteReference w:id="166"/>
      </w:r>
    </w:p>
    <w:p w:rsidR="0080684F" w:rsidRPr="00BE4193" w:rsidRDefault="0080684F" w:rsidP="00BE4193">
      <w:pPr>
        <w:pStyle w:val="Heading2"/>
        <w:spacing w:before="240" w:after="240"/>
        <w:rPr>
          <w:i/>
          <w:iCs w:val="0"/>
          <w:rtl/>
          <w:lang w:bidi="ar-LB"/>
        </w:rPr>
      </w:pPr>
      <w:bookmarkStart w:id="134" w:name="_Toc109824634"/>
      <w:r w:rsidRPr="00BE4193">
        <w:rPr>
          <w:i/>
          <w:iCs w:val="0"/>
          <w:sz w:val="18"/>
          <w:szCs w:val="22"/>
          <w:rtl/>
          <w:lang w:bidi="ar-LB"/>
        </w:rPr>
        <w:t>الابتكار أو الإبداع القائم على التقاليد</w:t>
      </w:r>
      <w:bookmarkEnd w:id="134"/>
    </w:p>
    <w:p w:rsidR="0080684F" w:rsidRPr="0080684F" w:rsidRDefault="0080684F" w:rsidP="0080684F">
      <w:pPr>
        <w:pStyle w:val="BodyText"/>
        <w:rPr>
          <w:rtl/>
          <w:lang w:bidi="ar-EG"/>
        </w:rPr>
      </w:pPr>
      <w:r w:rsidRPr="0080684F">
        <w:rPr>
          <w:rFonts w:hint="cs"/>
          <w:rtl/>
          <w:lang w:bidi="ar-LB"/>
        </w:rPr>
        <w:t>التقاليد هي مجموعة من الممارسات والأفكار الثقافية التي تعتبر جزءا من الماضي وتمنح مركزا معينا. وتشير الابتكارات أو الإبداعات القائمة على التقاليد إلى "الابتكارات والإبداعات القائمة على المعارف التقليدية "في حد ذاتها" التي تطورت وابتكرت خارج "سياق تقليدي".</w:t>
      </w:r>
      <w:r w:rsidRPr="0080684F">
        <w:rPr>
          <w:vertAlign w:val="superscript"/>
          <w:rtl/>
          <w:lang w:bidi="ar-LB"/>
        </w:rPr>
        <w:footnoteReference w:id="167"/>
      </w:r>
      <w:r w:rsidRPr="0080684F">
        <w:rPr>
          <w:rFonts w:hint="cs"/>
          <w:i/>
          <w:iCs/>
          <w:rtl/>
          <w:lang w:bidi="ar-LB"/>
        </w:rPr>
        <w:t xml:space="preserve"> </w:t>
      </w:r>
      <w:r w:rsidRPr="0080684F">
        <w:rPr>
          <w:rFonts w:hint="cs"/>
          <w:rtl/>
          <w:lang w:bidi="ar-LB"/>
        </w:rPr>
        <w:t xml:space="preserve">أما "المعارف التقليدية </w:t>
      </w:r>
      <w:r w:rsidRPr="0080684F">
        <w:rPr>
          <w:rFonts w:hint="cs"/>
          <w:i/>
          <w:iCs/>
          <w:rtl/>
          <w:lang w:bidi="ar-LB"/>
        </w:rPr>
        <w:t>في حد ذاتها</w:t>
      </w:r>
      <w:r w:rsidRPr="0080684F">
        <w:rPr>
          <w:rFonts w:hint="cs"/>
          <w:rtl/>
          <w:lang w:bidi="ar-LB"/>
        </w:rPr>
        <w:t>" فتشير إلى "أنظمة المعارف والإبداعات والابتكارات وأشكال التعبير الثقافي التي تتوارثها الأجيال عموما وتعتبر إجمالا أنها تنتمي إلى شعب معين أو إلى أرضه وتتطور عموما بطريقة غير منهجية، وهي تتطور باطراد وفق البيئة المتغيرة."</w:t>
      </w:r>
      <w:r w:rsidRPr="0080684F">
        <w:rPr>
          <w:vertAlign w:val="superscript"/>
          <w:rtl/>
          <w:lang w:bidi="ar-LB"/>
        </w:rPr>
        <w:footnoteReference w:id="168"/>
      </w:r>
      <w:r w:rsidRPr="0080684F">
        <w:rPr>
          <w:rFonts w:hint="cs"/>
          <w:rtl/>
          <w:lang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80684F">
        <w:rPr>
          <w:vertAlign w:val="superscript"/>
          <w:rtl/>
          <w:lang w:bidi="ar-LB"/>
        </w:rPr>
        <w:footnoteReference w:id="169"/>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أكثر المعارف التقليدية "في حد ذاتها" والابتكارات والإبداعات القائمة على المعارف التقليدية.</w:t>
      </w:r>
      <w:r w:rsidRPr="0080684F">
        <w:rPr>
          <w:vertAlign w:val="superscript"/>
          <w:rtl/>
          <w:lang w:bidi="ar-EG"/>
        </w:rPr>
        <w:footnoteReference w:id="170"/>
      </w:r>
    </w:p>
    <w:p w:rsidR="0080684F" w:rsidRPr="00BE4193" w:rsidRDefault="0080684F" w:rsidP="00BE4193">
      <w:pPr>
        <w:pStyle w:val="Heading2"/>
        <w:spacing w:before="240" w:after="240"/>
        <w:rPr>
          <w:i/>
          <w:iCs w:val="0"/>
          <w:sz w:val="18"/>
          <w:szCs w:val="22"/>
          <w:rtl/>
          <w:lang w:bidi="ar-LB"/>
        </w:rPr>
      </w:pPr>
      <w:bookmarkStart w:id="135" w:name="_Toc109824635"/>
      <w:r w:rsidRPr="00BE4193">
        <w:rPr>
          <w:i/>
          <w:iCs w:val="0"/>
          <w:sz w:val="18"/>
          <w:szCs w:val="22"/>
          <w:rtl/>
          <w:lang w:bidi="ar-LB"/>
        </w:rPr>
        <w:t>اتفاقية اليونسكو المتعلقة بالتدابير الواجب اتخاذها لحظر ومنع استيراد وتصدير ونقل ملكية الممتلكات الثقافية بطرق غير مشروعة</w:t>
      </w:r>
      <w:bookmarkEnd w:id="135"/>
    </w:p>
    <w:p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 1972.</w:t>
      </w:r>
    </w:p>
    <w:p w:rsidR="0080684F" w:rsidRPr="0080684F" w:rsidRDefault="0080684F" w:rsidP="0080684F">
      <w:pPr>
        <w:pStyle w:val="BodyText"/>
        <w:rPr>
          <w:rtl/>
          <w:lang w:bidi="ar-LB"/>
        </w:rPr>
      </w:pPr>
      <w:r w:rsidRPr="0080684F">
        <w:rPr>
          <w:rFonts w:hint="cs"/>
          <w:rtl/>
          <w:lang w:bidi="ar-LB"/>
        </w:rPr>
        <w:t>وتقتضي الاتفاقية من الدول الأعضاء فيها اتخاذ إجراءات في ثلاثة مجالات رئيسية، هي:</w:t>
      </w:r>
    </w:p>
    <w:p w:rsidR="004A642B" w:rsidRDefault="0080684F" w:rsidP="004E5ECA">
      <w:pPr>
        <w:pStyle w:val="BodyText"/>
        <w:numPr>
          <w:ilvl w:val="0"/>
          <w:numId w:val="17"/>
        </w:numPr>
        <w:spacing w:after="120"/>
        <w:rPr>
          <w:lang w:bidi="ar-LB"/>
        </w:rPr>
      </w:pPr>
      <w:r w:rsidRPr="0080684F">
        <w:rPr>
          <w:rFonts w:hint="cs"/>
          <w:rtl/>
          <w:lang w:bidi="ar-LB"/>
        </w:rPr>
        <w:t>تدابير وقائية: قوائم جرد، وشهادات تصدير، ورصد الأنشطة التجارية، وفرض عقوبات جزائية وإدارية، وحملات تثقيفية، وغيرها من التدابير.</w:t>
      </w:r>
    </w:p>
    <w:p w:rsidR="004A642B" w:rsidRDefault="0080684F" w:rsidP="004E5ECA">
      <w:pPr>
        <w:pStyle w:val="BodyText"/>
        <w:numPr>
          <w:ilvl w:val="0"/>
          <w:numId w:val="17"/>
        </w:numPr>
        <w:spacing w:after="120"/>
        <w:rPr>
          <w:lang w:bidi="ar-LB"/>
        </w:rPr>
      </w:pPr>
      <w:r w:rsidRPr="0080684F">
        <w:rPr>
          <w:rFonts w:hint="cs"/>
          <w:rtl/>
          <w:lang w:bidi="ar-LB"/>
        </w:rPr>
        <w:t>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 13 بطريقة غير مباشرة، مع مراعاة التشريعات المحلية، على أحكام تتعلق بالاسترداد والتعاون.</w:t>
      </w:r>
    </w:p>
    <w:p w:rsidR="0080684F" w:rsidRPr="0080684F" w:rsidRDefault="0080684F" w:rsidP="004E5ECA">
      <w:pPr>
        <w:pStyle w:val="BodyText"/>
        <w:numPr>
          <w:ilvl w:val="0"/>
          <w:numId w:val="17"/>
        </w:numPr>
        <w:rPr>
          <w:lang w:bidi="ar-LB"/>
        </w:rPr>
      </w:pPr>
      <w:r w:rsidRPr="0080684F">
        <w:rPr>
          <w:rFonts w:hint="cs"/>
          <w:rtl/>
          <w:lang w:bidi="ar-LB"/>
        </w:rPr>
        <w:t>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80684F" w:rsidRPr="00BE4193" w:rsidRDefault="0080684F" w:rsidP="00BE4193">
      <w:pPr>
        <w:pStyle w:val="Heading2"/>
        <w:spacing w:before="240" w:after="240"/>
        <w:rPr>
          <w:i/>
          <w:iCs w:val="0"/>
          <w:sz w:val="18"/>
          <w:szCs w:val="22"/>
          <w:rtl/>
          <w:lang w:bidi="ar-LB"/>
        </w:rPr>
      </w:pPr>
      <w:bookmarkStart w:id="136" w:name="_Toc109824636"/>
      <w:r w:rsidRPr="00BE4193">
        <w:rPr>
          <w:i/>
          <w:iCs w:val="0"/>
          <w:sz w:val="18"/>
          <w:szCs w:val="22"/>
          <w:rtl/>
          <w:lang w:bidi="ar-LB"/>
        </w:rPr>
        <w:t>اتفاقية اليونسكو بشأن حماية وتعزيز تنوع أشكال التعبير الثقافي</w:t>
      </w:r>
      <w:bookmarkEnd w:id="136"/>
    </w:p>
    <w:p w:rsidR="0080684F" w:rsidRPr="0080684F" w:rsidRDefault="0080684F" w:rsidP="0080684F">
      <w:pPr>
        <w:pStyle w:val="BodyText"/>
        <w:rPr>
          <w:rtl/>
          <w:lang w:bidi="ar-LB"/>
        </w:rPr>
      </w:pPr>
      <w:r w:rsidRPr="0080684F">
        <w:rPr>
          <w:rFonts w:hint="cs"/>
          <w:rtl/>
          <w:lang w:bidi="ar-LB"/>
        </w:rPr>
        <w:t>هي اتفاقية دولية اعتمدتها منظمة الأمم المتحدة للتريبة والعلم والثقافة (اليونسكو) في سنة 2005. ودخلت حيز النفاذ في 18 مارس 2007.</w:t>
      </w:r>
    </w:p>
    <w:p w:rsidR="0080684F" w:rsidRPr="0080684F" w:rsidRDefault="0080684F" w:rsidP="0080684F">
      <w:pPr>
        <w:pStyle w:val="BodyText"/>
        <w:rPr>
          <w:rtl/>
        </w:rPr>
      </w:pPr>
      <w:r w:rsidRPr="0080684F">
        <w:rPr>
          <w:rFonts w:hint="cs"/>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w:t>
      </w:r>
      <w:r w:rsidRPr="0080684F">
        <w:rPr>
          <w:rFonts w:hint="cs"/>
          <w:rtl/>
        </w:rPr>
        <w:lastRenderedPageBreak/>
        <w:t>توطيد التعاون والتضامن الدوليين بروح من الشراكة ولا سيما من أجل النهوض بقدرات البلدان النامية على حماية وتعزيز تنوع أشكال التعبير الثقافي.</w:t>
      </w:r>
    </w:p>
    <w:p w:rsidR="0080684F" w:rsidRPr="0080684F" w:rsidRDefault="0080684F" w:rsidP="00BE4193">
      <w:pPr>
        <w:pStyle w:val="BodyText"/>
        <w:spacing w:before="240" w:after="240"/>
        <w:rPr>
          <w:b/>
          <w:bCs/>
          <w:rtl/>
          <w:lang w:bidi="ar-LB"/>
        </w:rPr>
      </w:pPr>
      <w:bookmarkStart w:id="137" w:name="_Toc109824637"/>
      <w:r w:rsidRPr="00BE4193">
        <w:rPr>
          <w:rStyle w:val="Heading2Char"/>
          <w:i/>
          <w:iCs w:val="0"/>
          <w:szCs w:val="22"/>
          <w:rtl/>
        </w:rPr>
        <w:t>اتفاقية اليونسكو لصون التراث</w:t>
      </w:r>
      <w:bookmarkEnd w:id="137"/>
      <w:r w:rsidRPr="00BE4193">
        <w:rPr>
          <w:rStyle w:val="Heading2Char"/>
          <w:rtl/>
        </w:rPr>
        <w:t xml:space="preserve"> </w:t>
      </w:r>
      <w:r w:rsidRPr="0080684F">
        <w:rPr>
          <w:b/>
          <w:bCs/>
          <w:rtl/>
          <w:lang w:bidi="ar-LB"/>
        </w:rPr>
        <w:t>الثقافي غير الملموس</w:t>
      </w:r>
    </w:p>
    <w:p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2003. ودخلت الاتفاقية حيز النفاذ في 20 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80684F" w:rsidRPr="00BE4193" w:rsidRDefault="0080684F" w:rsidP="00BE4193">
      <w:pPr>
        <w:pStyle w:val="BodyText"/>
        <w:spacing w:before="240" w:after="240"/>
        <w:rPr>
          <w:b/>
          <w:bCs/>
          <w:rtl/>
          <w:lang w:bidi="ar-LB"/>
        </w:rPr>
      </w:pPr>
      <w:bookmarkStart w:id="138" w:name="_Toc109824638"/>
      <w:r w:rsidRPr="00BE4193">
        <w:rPr>
          <w:rStyle w:val="Heading2Char"/>
          <w:i/>
          <w:iCs w:val="0"/>
          <w:szCs w:val="22"/>
          <w:rtl/>
        </w:rPr>
        <w:t>المنافسة</w:t>
      </w:r>
      <w:bookmarkEnd w:id="138"/>
      <w:r w:rsidRPr="00BE4193">
        <w:rPr>
          <w:rStyle w:val="Heading2Char"/>
          <w:szCs w:val="22"/>
          <w:rtl/>
        </w:rPr>
        <w:t xml:space="preserve"> </w:t>
      </w:r>
      <w:r w:rsidRPr="00BE4193">
        <w:rPr>
          <w:b/>
          <w:bCs/>
          <w:rtl/>
          <w:lang w:bidi="ar-LB"/>
        </w:rPr>
        <w:t>غير المشروعة</w:t>
      </w:r>
    </w:p>
    <w:p w:rsidR="0080684F" w:rsidRPr="0080684F" w:rsidRDefault="0080684F" w:rsidP="0080684F">
      <w:pPr>
        <w:pStyle w:val="BodyText"/>
        <w:rPr>
          <w:rtl/>
        </w:rPr>
      </w:pPr>
      <w:r w:rsidRPr="0080684F">
        <w:rPr>
          <w:rFonts w:hint="cs"/>
          <w:rtl/>
          <w:lang w:bidi="ar-LB"/>
        </w:rPr>
        <w:t>ورد في قاموس بلاكس لو أن "المنافسة غير المشروعة" هي "تنافس غير شريف واحتيالي في التجارة والمبادلات، ولا سيما سعي شركة ما إلى طرح بضائع أو منتجات في السوق على أنها بضائع أو منتجات شركة أخرى عن طريق تقليد أو تزوير الاسم أو العلامة التجارية أو الحجم أو الشكل أو السمات المميزة الأخرى لتلك البضاعة أو لتغليفها."</w:t>
      </w:r>
    </w:p>
    <w:p w:rsidR="0080684F" w:rsidRPr="0080684F" w:rsidRDefault="0080684F" w:rsidP="0080684F">
      <w:pPr>
        <w:pStyle w:val="BodyText"/>
        <w:rPr>
          <w:rtl/>
        </w:rPr>
      </w:pPr>
      <w:r w:rsidRPr="0080684F">
        <w:rPr>
          <w:rFonts w:hint="cs"/>
          <w:rtl/>
          <w:lang w:bidi="ar-LB"/>
        </w:rPr>
        <w:t xml:space="preserve">وتنص الفقرة 2 من المادة 10(ثانيا) من </w:t>
      </w:r>
      <w:r w:rsidRPr="0080684F">
        <w:rPr>
          <w:rFonts w:hint="cs"/>
          <w:i/>
          <w:iCs/>
          <w:rtl/>
          <w:lang w:bidi="ar-LB"/>
        </w:rPr>
        <w:t>اتفاقية باريس لحماية الملكية الصناعية</w:t>
      </w:r>
      <w:r w:rsidRPr="0080684F">
        <w:rPr>
          <w:rFonts w:hint="cs"/>
          <w:rtl/>
          <w:lang w:bidi="ar-LB"/>
        </w:rPr>
        <w:t xml:space="preserve"> (1883) على ما يلي: "يعتبر من أعمال المنافسة غير المشروعة كل منافسة تتعارض مع العادات الشريفة في الشؤون الصناعية أو التجارية". كما نصت الفقرة 3 من المادة نفسها على ما يلي: "يكون محظورا بصفة خاصة ما يلي: 1- كافة الأعمال التي من طبيعتها أن توجد بأية وسيلة كانت لبسا مع منشأة أحد المنافسين أو منتجاته أو نشاطه الصناعي أو التجاري. 2- الادعاءات المخالفة للحقيقة في مزاولة التجارة والتي من طبيعتها نزع الثقة عن منشأة أحد المنافسين أو منتجاته أو نشاطه الصناعي أو التجاري. 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p>
    <w:p w:rsidR="0080684F" w:rsidRPr="00BE4193" w:rsidRDefault="0080684F" w:rsidP="00BE4193">
      <w:pPr>
        <w:pStyle w:val="Heading2"/>
        <w:spacing w:before="240" w:after="240"/>
        <w:rPr>
          <w:i/>
          <w:iCs w:val="0"/>
          <w:rtl/>
          <w:lang w:bidi="ar-LB"/>
        </w:rPr>
      </w:pPr>
      <w:bookmarkStart w:id="139" w:name="_Toc109824639"/>
      <w:r w:rsidRPr="00BE4193">
        <w:rPr>
          <w:i/>
          <w:iCs w:val="0"/>
          <w:sz w:val="18"/>
          <w:szCs w:val="22"/>
          <w:rtl/>
          <w:lang w:bidi="ar-LB"/>
        </w:rPr>
        <w:t>إعلان الأمم المتحدة بشأن حقوق الشعوب الأصلية</w:t>
      </w:r>
      <w:bookmarkEnd w:id="139"/>
    </w:p>
    <w:p w:rsidR="0080684F" w:rsidRPr="0080684F" w:rsidRDefault="0080684F" w:rsidP="0080684F">
      <w:pPr>
        <w:pStyle w:val="BodyText"/>
        <w:rPr>
          <w:rtl/>
          <w:lang w:bidi="ar-LB"/>
        </w:rPr>
      </w:pPr>
      <w:r w:rsidRPr="0080684F">
        <w:rPr>
          <w:rFonts w:hint="cs"/>
          <w:rtl/>
          <w:lang w:bidi="ar-LB"/>
        </w:rPr>
        <w:t xml:space="preserve">اعتمدت الجمعية العامة للأمم المتحدة </w:t>
      </w:r>
      <w:r w:rsidRPr="0080684F">
        <w:rPr>
          <w:rFonts w:hint="cs"/>
          <w:i/>
          <w:iCs/>
          <w:rtl/>
          <w:lang w:bidi="ar-LB"/>
        </w:rPr>
        <w:t>إعلان الأمم المتحدة بشأن حقوق الشعوب الأصلية</w:t>
      </w:r>
      <w:r w:rsidRPr="0080684F">
        <w:rPr>
          <w:rFonts w:hint="cs"/>
          <w:rtl/>
          <w:lang w:bidi="ar-LB"/>
        </w:rPr>
        <w:t xml:space="preserve"> في عام 2007. ويقر </w:t>
      </w:r>
      <w:r w:rsidRPr="0080684F">
        <w:rPr>
          <w:rFonts w:hint="cs"/>
          <w:rtl/>
        </w:rPr>
        <w:t>ال</w:t>
      </w:r>
      <w:r w:rsidRPr="0080684F">
        <w:rPr>
          <w:rFonts w:hint="cs"/>
          <w:rtl/>
          <w:lang w:bidi="ar-LB"/>
        </w:rPr>
        <w:t xml:space="preserve">إعلان بتمتع الشعوب الأصلية بحقوق الإنسان على قدم المساواة مع الشعوب الأخرى ضد التمييز الثقافي ويرمي إلى تعزيز الاحترام المتبادل والعلاقات الطيبة بين الشعوب الأصلية والدول. </w:t>
      </w:r>
    </w:p>
    <w:p w:rsidR="0080684F" w:rsidRPr="0080684F" w:rsidRDefault="0080684F" w:rsidP="0080684F">
      <w:pPr>
        <w:pStyle w:val="BodyText"/>
        <w:rPr>
          <w:rtl/>
          <w:lang w:bidi="ar-LB"/>
        </w:rPr>
      </w:pPr>
      <w:r w:rsidRPr="0080684F">
        <w:rPr>
          <w:rFonts w:hint="cs"/>
          <w:rtl/>
          <w:lang w:bidi="ar-LB"/>
        </w:rPr>
        <w:t>وفيما يخص المعارف التقليدية وأشكال التعبير الثقافي التقليدي والموارد الوراثية، تنص الفقرة 1 من المادة 31 على ما يلي: "للشعوب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 وبموجب الفقرة 2 من المادة 31، فإنه "على الدول أن تتخذ، جنبا إلى جنب مع الشعوب الأصلية، تدابير فعالة للاعتراف بهذه الحقوق وحماية ممارستها." وعن الطب الشعبي، تنص المادة 24 على أن "للشعوب الأصلية الحق في طبها التقليدي وفي الحفاظ على ممارساتها الصحية، بما في ذلك حفظ النباتات الطبية والحيوانات والمعادن الحيوية الخاصة بها."</w:t>
      </w:r>
    </w:p>
    <w:p w:rsidR="0080684F" w:rsidRPr="00BE4193" w:rsidRDefault="0080684F" w:rsidP="00BE4193">
      <w:pPr>
        <w:pStyle w:val="Heading2"/>
        <w:spacing w:before="240" w:after="240"/>
        <w:rPr>
          <w:i/>
          <w:iCs w:val="0"/>
          <w:sz w:val="18"/>
          <w:szCs w:val="22"/>
          <w:rtl/>
          <w:lang w:bidi="ar-LB"/>
        </w:rPr>
      </w:pPr>
      <w:bookmarkStart w:id="140" w:name="_Toc109824640"/>
      <w:r w:rsidRPr="00BE4193">
        <w:rPr>
          <w:i/>
          <w:iCs w:val="0"/>
          <w:sz w:val="18"/>
          <w:szCs w:val="22"/>
          <w:rtl/>
          <w:lang w:bidi="ar-LB"/>
        </w:rPr>
        <w:t>الإعلان العالمي لحقوق الإنسان</w:t>
      </w:r>
      <w:bookmarkEnd w:id="140"/>
    </w:p>
    <w:p w:rsidR="0080684F" w:rsidRPr="0080684F" w:rsidRDefault="0080684F" w:rsidP="0080684F">
      <w:pPr>
        <w:pStyle w:val="BodyText"/>
        <w:rPr>
          <w:rtl/>
          <w:lang w:bidi="ar-LB"/>
        </w:rPr>
      </w:pPr>
      <w:r w:rsidRPr="0080684F">
        <w:rPr>
          <w:rFonts w:hint="cs"/>
          <w:rtl/>
          <w:lang w:bidi="ar-LB"/>
        </w:rPr>
        <w:t>الإعلان العالمي لحقوق الإنسان وثيقة تاريخية هامة في تاريخ حقوق الإنسان صاغها ممثلون من مختلف الخلفيات القانونية والثقافية من جميع أنحاء العالم، واعتمدت الجمعية العامة للأمم المتحدة ذلك الإعلان في باريس في 10 ديسمبر 1948 بوصفه المعيار المشترك الذي ينبغي أن تستهدفه كل الشعوب والأمم. وهو يحدّد، للمرّة الأولى، حقوق الإنسان الأساسية التي يتعين حمايتها عالمياً.</w:t>
      </w:r>
      <w:r w:rsidRPr="0080684F">
        <w:rPr>
          <w:vertAlign w:val="superscript"/>
          <w:rtl/>
          <w:lang w:bidi="ar-LB"/>
        </w:rPr>
        <w:footnoteReference w:id="171"/>
      </w:r>
    </w:p>
    <w:p w:rsidR="0080684F" w:rsidRPr="00BE4193" w:rsidRDefault="0080684F" w:rsidP="00BE4193">
      <w:pPr>
        <w:pStyle w:val="Heading2"/>
        <w:spacing w:before="240" w:after="240"/>
        <w:rPr>
          <w:i/>
          <w:iCs w:val="0"/>
          <w:sz w:val="18"/>
          <w:szCs w:val="22"/>
          <w:rtl/>
          <w:lang w:bidi="ar-LB"/>
        </w:rPr>
      </w:pPr>
      <w:bookmarkStart w:id="141" w:name="_Toc109824641"/>
      <w:r w:rsidRPr="00BE4193">
        <w:rPr>
          <w:i/>
          <w:iCs w:val="0"/>
          <w:sz w:val="18"/>
          <w:szCs w:val="22"/>
          <w:rtl/>
          <w:lang w:bidi="ar-LB"/>
        </w:rPr>
        <w:t>استخدام أشكال التعبير الثقافي التقليدي/المعارف التقليدية</w:t>
      </w:r>
      <w:bookmarkEnd w:id="141"/>
    </w:p>
    <w:p w:rsidR="00BE4193" w:rsidRDefault="0080684F" w:rsidP="004A642B">
      <w:pPr>
        <w:pStyle w:val="BodyText"/>
        <w:rPr>
          <w:rtl/>
          <w:lang w:bidi="ar-LB"/>
        </w:rPr>
      </w:pPr>
      <w:r w:rsidRPr="0080684F">
        <w:rPr>
          <w:rFonts w:hint="cs"/>
          <w:rtl/>
          <w:lang w:bidi="ar-LB"/>
        </w:rPr>
        <w:t>يمكن استخدام المعارف التقليدية وأشكال التعبير الثقافي التقليدي لأغراض مختلفة. ويشمل ذلك الاستخدام التجاري و</w:t>
      </w:r>
      <w:r w:rsidRPr="0080684F">
        <w:rPr>
          <w:rFonts w:hint="cs"/>
          <w:rtl/>
        </w:rPr>
        <w:t>ال</w:t>
      </w:r>
      <w:r w:rsidRPr="0080684F">
        <w:rPr>
          <w:rFonts w:hint="cs"/>
          <w:rtl/>
          <w:lang w:bidi="ar-LB"/>
        </w:rPr>
        <w:t>صناعي والاستخدام وفقا للأعراف القائمة والانتفاع المنصف والاستخدام المنزلي واستخدام الأدوية الشعبية لأغراض الصحة العامة والبحث والتعليم.</w:t>
      </w:r>
    </w:p>
    <w:p w:rsidR="0080684F" w:rsidRPr="0080684F" w:rsidRDefault="0080684F" w:rsidP="0080684F">
      <w:pPr>
        <w:pStyle w:val="BodyText"/>
        <w:rPr>
          <w:i/>
          <w:iCs/>
          <w:u w:val="single"/>
          <w:rtl/>
          <w:lang w:bidi="ar-LB"/>
        </w:rPr>
      </w:pPr>
      <w:r w:rsidRPr="0080684F">
        <w:rPr>
          <w:rFonts w:hint="cs"/>
          <w:i/>
          <w:iCs/>
          <w:u w:val="single"/>
          <w:rtl/>
          <w:lang w:bidi="ar-LB"/>
        </w:rPr>
        <w:t>الاستخدام التجاري</w:t>
      </w:r>
    </w:p>
    <w:p w:rsidR="0080684F" w:rsidRPr="0080684F" w:rsidRDefault="0080684F" w:rsidP="0080684F">
      <w:pPr>
        <w:pStyle w:val="BodyText"/>
        <w:rPr>
          <w:lang w:val="fr-CH"/>
        </w:rPr>
      </w:pPr>
      <w:r w:rsidRPr="0080684F">
        <w:rPr>
          <w:rFonts w:hint="cs"/>
          <w:rtl/>
          <w:lang w:bidi="ar-LB"/>
        </w:rPr>
        <w:lastRenderedPageBreak/>
        <w:t>ورد في قاموس بلاكس لو أن "الاستخدام التجاري" هو "استخدام يرتبط بنشاط مستمر مدر للربح أو يعززه". وأما "الاستخدام غير التجاري" فهو "استخدام من أجل المتعة الشخصية أو لأغراض العمل ولا ينطوي على توليد دخل أو منح مكافأة أو أي تعويض آخر".</w:t>
      </w:r>
    </w:p>
    <w:p w:rsidR="0080684F" w:rsidRPr="0080684F" w:rsidRDefault="0080684F" w:rsidP="0080684F">
      <w:pPr>
        <w:pStyle w:val="BodyText"/>
        <w:rPr>
          <w:i/>
          <w:iCs/>
          <w:u w:val="single"/>
          <w:rtl/>
          <w:lang w:bidi="ar-LB"/>
        </w:rPr>
      </w:pPr>
      <w:r w:rsidRPr="0080684F">
        <w:rPr>
          <w:rFonts w:hint="cs"/>
          <w:i/>
          <w:iCs/>
          <w:u w:val="single"/>
          <w:rtl/>
          <w:lang w:bidi="ar-LB"/>
        </w:rPr>
        <w:t>الاستخدام وفق الأعراف القائمة</w:t>
      </w:r>
    </w:p>
    <w:p w:rsidR="0080684F" w:rsidRPr="0080684F" w:rsidRDefault="0080684F" w:rsidP="0080684F">
      <w:pPr>
        <w:pStyle w:val="BodyText"/>
        <w:rPr>
          <w:rtl/>
          <w:lang w:bidi="ar-LB"/>
        </w:rPr>
      </w:pPr>
      <w:r w:rsidRPr="0080684F">
        <w:rPr>
          <w:rFonts w:hint="cs"/>
          <w:rtl/>
          <w:lang w:bidi="ar-LB"/>
        </w:rPr>
        <w:t xml:space="preserve">يعرّف </w:t>
      </w:r>
      <w:r w:rsidRPr="0080684F">
        <w:rPr>
          <w:rFonts w:hint="cs"/>
          <w:i/>
          <w:iCs/>
          <w:rtl/>
          <w:lang w:bidi="ar-LB"/>
        </w:rPr>
        <w:t>الإطار الإقليمي للمحيط الهادئ لحماية المعارف التقليدية وأشكال التعبير الثقافي</w:t>
      </w:r>
      <w:r w:rsidRPr="0080684F">
        <w:rPr>
          <w:rFonts w:hint="cs"/>
          <w:rtl/>
          <w:lang w:bidi="ar-LB"/>
        </w:rPr>
        <w:t>، لسنة 2002، "استخدام المعارف وفق الأعراف القائمة" بأنه "استخدام المعارف التقليدية أو أشكال التعبير الثقافي وفقا للقوانين والممارسات العرفية لأصحابها التقليديين".</w:t>
      </w:r>
    </w:p>
    <w:p w:rsidR="0080684F" w:rsidRPr="0080684F" w:rsidRDefault="0080684F" w:rsidP="0080684F">
      <w:pPr>
        <w:pStyle w:val="BodyText"/>
        <w:rPr>
          <w:rtl/>
          <w:lang w:bidi="ar-EG"/>
        </w:rPr>
      </w:pPr>
      <w:r w:rsidRPr="0080684F">
        <w:rPr>
          <w:rFonts w:hint="cs"/>
          <w:rtl/>
          <w:lang w:bidi="ar-EG"/>
        </w:rPr>
        <w:t>ويشير مصطلح "الاستخدام المتواصل وفق الأعراف القائمة" إلى وجود استمرارية وحيوية في استخدام الجماعات الأصلية للمعارف التقليدية و/أو أشكال التعبير الثقافي التقليدي وفقا لقوانينها وممارساتها العرفية.</w:t>
      </w:r>
    </w:p>
    <w:p w:rsidR="0080684F" w:rsidRPr="0080684F" w:rsidRDefault="0080684F" w:rsidP="0080684F">
      <w:pPr>
        <w:pStyle w:val="BodyText"/>
        <w:rPr>
          <w:i/>
          <w:iCs/>
          <w:u w:val="single"/>
          <w:rtl/>
        </w:rPr>
      </w:pPr>
      <w:r w:rsidRPr="0080684F">
        <w:rPr>
          <w:rFonts w:hint="cs"/>
          <w:i/>
          <w:iCs/>
          <w:u w:val="single"/>
          <w:rtl/>
        </w:rPr>
        <w:t>الانتفاع المنصف</w:t>
      </w:r>
    </w:p>
    <w:p w:rsidR="0080684F" w:rsidRPr="0080684F" w:rsidRDefault="0080684F" w:rsidP="0080684F">
      <w:pPr>
        <w:pStyle w:val="BodyText"/>
        <w:rPr>
          <w:lang w:val="fr-CH"/>
        </w:rPr>
      </w:pPr>
      <w:r w:rsidRPr="0080684F">
        <w:rPr>
          <w:rFonts w:hint="cs"/>
          <w:rtl/>
          <w:lang w:bidi="ar-LB"/>
        </w:rPr>
        <w:t>جاء في قاموس بلاكس لو أن "</w:t>
      </w:r>
      <w:r w:rsidRPr="0080684F">
        <w:rPr>
          <w:rFonts w:hint="cs"/>
          <w:rtl/>
        </w:rPr>
        <w:t>الانتفاع المنصف</w:t>
      </w:r>
      <w:r w:rsidRPr="0080684F">
        <w:rPr>
          <w:rFonts w:hint="cs"/>
          <w:rtl/>
          <w:lang w:bidi="ar-LB"/>
        </w:rPr>
        <w:t>" في مجال حق المؤلف هو "</w:t>
      </w:r>
      <w:r w:rsidRPr="0080684F">
        <w:rPr>
          <w:rFonts w:hint="cs"/>
          <w:rtl/>
        </w:rPr>
        <w:t>انتفاع</w:t>
      </w:r>
      <w:r w:rsidRPr="0080684F">
        <w:rPr>
          <w:rFonts w:hint="cs"/>
          <w:rtl/>
          <w:lang w:bidi="ar-LB"/>
        </w:rPr>
        <w:t xml:space="preserve"> معقول ومحدود بالمصنفات المحمية دون إذن من المؤلف كأن تقتبس من كتاب عند استعراض كتاب ما أو أن تستخدم أجزاء منه في مسرحية هازلة. والانتفاع العادل هو حجة ضد ادعاء التعدي وفقا للعوامل القانونية التالية: (1) الغرض من الانتفاع وطبيعته، (2) طبيعة المصنف المحمي، (3) حجم المصنف المنتفع به، (4) الأثر الاقتصادي للانتفاع بالمصنف."</w:t>
      </w:r>
    </w:p>
    <w:p w:rsidR="0080684F" w:rsidRPr="0080684F" w:rsidRDefault="0080684F" w:rsidP="0080684F">
      <w:pPr>
        <w:pStyle w:val="BodyText"/>
        <w:rPr>
          <w:i/>
          <w:iCs/>
          <w:u w:val="single"/>
          <w:lang w:val="fr-CH"/>
        </w:rPr>
      </w:pPr>
      <w:r w:rsidRPr="0080684F">
        <w:rPr>
          <w:rFonts w:hint="cs"/>
          <w:i/>
          <w:iCs/>
          <w:u w:val="single"/>
          <w:rtl/>
          <w:lang w:bidi="ar-LB"/>
        </w:rPr>
        <w:t>الاستخدام المنزلي والاستخدام لأغراض الصحة العامة</w:t>
      </w:r>
    </w:p>
    <w:p w:rsidR="0080684F" w:rsidRPr="0080684F" w:rsidRDefault="0080684F" w:rsidP="0080684F">
      <w:pPr>
        <w:pStyle w:val="BodyText"/>
        <w:rPr>
          <w:rtl/>
          <w:lang w:bidi="ar-LB"/>
        </w:rPr>
      </w:pPr>
      <w:r w:rsidRPr="0080684F">
        <w:rPr>
          <w:rFonts w:hint="cs"/>
          <w:rtl/>
          <w:lang w:bidi="ar-LB"/>
        </w:rPr>
        <w:t>يعرّف قاموس بلاكس لو كلمة "منزلي" بأنها "صفة تصف شيئا خاصا بالمنزل أو الأسرة، عائلي". وتقر المادة 1 من إعلان الدوحة حول اتفاق تريبس والصحة العامة "بخطورة المشاكل الصحية العامة التي تصيب كثيرا من البلدان النامية والبلدان الأقل نموا، وخاصة المشاكل الناجمة عن فيروس نقص المناعة البشرية/الإيدز والسل والملاريا والأوبئة الأخرى." كما تنص المادة 5(ج) على أن "لكل عضو الحق في تحديد المسائل التي تشكل حالة طوارئ وطنية أو غيرها من حالات الطوارئ القصوى، علما بأن أزمات الصحة العامة، بما فيها تلك المتعلقة بفيروس نقص المناعة البشرية/الإيدز والسل والملاريا وغيرها من الأوبئة، يمكن أن تشكل حالة طوارئ وطنية أو غيرها من حالات الطوارئ القصوى."</w:t>
      </w:r>
    </w:p>
    <w:p w:rsidR="0080684F" w:rsidRPr="0080684F" w:rsidRDefault="0080684F" w:rsidP="0080684F">
      <w:pPr>
        <w:pStyle w:val="BodyText"/>
        <w:rPr>
          <w:i/>
          <w:iCs/>
          <w:u w:val="single"/>
          <w:rtl/>
          <w:lang w:bidi="ar-LB"/>
        </w:rPr>
      </w:pPr>
      <w:r w:rsidRPr="0080684F">
        <w:rPr>
          <w:rFonts w:hint="cs"/>
          <w:i/>
          <w:iCs/>
          <w:u w:val="single"/>
          <w:rtl/>
          <w:lang w:bidi="ar-LB"/>
        </w:rPr>
        <w:t>الاستخدام لأغراض البحث والتعليم</w:t>
      </w:r>
    </w:p>
    <w:p w:rsidR="00726E12" w:rsidRDefault="0080684F" w:rsidP="00726E12">
      <w:pPr>
        <w:pStyle w:val="BodyText"/>
        <w:rPr>
          <w:rtl/>
          <w:lang w:val="fr-CH" w:bidi="ar-EG"/>
        </w:rPr>
      </w:pPr>
      <w:r w:rsidRPr="0080684F">
        <w:rPr>
          <w:rFonts w:hint="cs"/>
          <w:rtl/>
          <w:lang w:bidi="ar-LB"/>
        </w:rPr>
        <w:t>يعرّف قاموس بلاكس لو عبارة "حجة الاستخدام لأغراض التجارب" في مجال براءات الاختراع بأنها "حجة في دعوى التعدي على البراءات التي تُرفع عندما يُصنع اختراع محمي ببراءة ويستخدم لأغراض علمية فقط. ورغم أن هذه الحجة لا تزال معترفا بها فإنها تفسر تفسيرا ضيقا وقد لا تنطبق اليوم إلا على البحوث التي تختبر مطالب المخترعين للحماية." والجدير بالذكر أن حقوق الملكية الفكرية وإن كانت حقوقا استئثارية، فعليها بعض الاستثناءات والتقييدات. ففي مجال براءات الاختراع على سبيل المثال، سن عدد من البلدان في تشريعاتها الوطنية بعض الاستثناءات والتقييدات على الحقوق</w:t>
      </w:r>
      <w:r w:rsidR="00726E12">
        <w:rPr>
          <w:rFonts w:hint="cs"/>
          <w:rtl/>
          <w:lang w:bidi="ar-LB"/>
        </w:rPr>
        <w:t xml:space="preserve"> الاستئثارية، بما في ذلك ما يلي</w:t>
      </w:r>
      <w:r w:rsidR="00726E12">
        <w:rPr>
          <w:rFonts w:hint="cs"/>
          <w:rtl/>
          <w:lang w:val="fr-CH" w:bidi="ar-EG"/>
        </w:rPr>
        <w:t>:</w:t>
      </w:r>
      <w:r w:rsidR="00726E12">
        <w:rPr>
          <w:rtl/>
          <w:lang w:val="fr-CH" w:bidi="ar-EG"/>
        </w:rPr>
        <w:br w:type="page"/>
      </w:r>
    </w:p>
    <w:p w:rsidR="0080684F" w:rsidRPr="0080684F" w:rsidRDefault="00726E12" w:rsidP="00726E12">
      <w:pPr>
        <w:pStyle w:val="BodyText"/>
        <w:spacing w:after="120"/>
        <w:ind w:firstLine="567"/>
        <w:rPr>
          <w:lang w:val="fr-CH"/>
        </w:rPr>
      </w:pPr>
      <w:r w:rsidRPr="0080684F">
        <w:rPr>
          <w:rFonts w:hint="cs"/>
          <w:rtl/>
          <w:lang w:bidi="ar-LB"/>
        </w:rPr>
        <w:lastRenderedPageBreak/>
        <w:t xml:space="preserve"> </w:t>
      </w:r>
      <w:r w:rsidR="0080684F" w:rsidRPr="0080684F">
        <w:rPr>
          <w:rFonts w:hint="cs"/>
          <w:rtl/>
          <w:lang w:bidi="ar-LB"/>
        </w:rPr>
        <w:t>(أ)</w:t>
      </w:r>
      <w:r w:rsidR="0080684F" w:rsidRPr="0080684F">
        <w:rPr>
          <w:rFonts w:hint="cs"/>
          <w:rtl/>
          <w:lang w:bidi="ar-LB"/>
        </w:rPr>
        <w:tab/>
        <w:t>الأعمال المنجزة للاستخدام الخاص وغير التجاري؛</w:t>
      </w:r>
    </w:p>
    <w:p w:rsidR="0080684F" w:rsidRPr="0080684F" w:rsidRDefault="0080684F" w:rsidP="004A642B">
      <w:pPr>
        <w:pStyle w:val="BodyText"/>
        <w:ind w:firstLine="567"/>
        <w:rPr>
          <w:lang w:val="fr-CH"/>
        </w:rPr>
      </w:pPr>
      <w:r w:rsidRPr="0080684F">
        <w:rPr>
          <w:rFonts w:hint="cs"/>
          <w:rtl/>
          <w:lang w:bidi="ar-LB"/>
        </w:rPr>
        <w:t>(ب)</w:t>
      </w:r>
      <w:r w:rsidRPr="0080684F">
        <w:rPr>
          <w:rFonts w:hint="cs"/>
          <w:rtl/>
          <w:lang w:bidi="ar-LB"/>
        </w:rPr>
        <w:tab/>
        <w:t>الأعمال المنجزة لأغراض التجارب أو البحوث فقط.</w:t>
      </w:r>
    </w:p>
    <w:p w:rsidR="0080684F" w:rsidRPr="00BE4193" w:rsidRDefault="0080684F" w:rsidP="00BE4193">
      <w:pPr>
        <w:pStyle w:val="Heading2"/>
        <w:spacing w:before="240" w:after="240"/>
        <w:rPr>
          <w:i/>
          <w:iCs w:val="0"/>
          <w:sz w:val="18"/>
          <w:szCs w:val="22"/>
          <w:rtl/>
          <w:lang w:bidi="ar-LB"/>
        </w:rPr>
      </w:pPr>
      <w:bookmarkStart w:id="142" w:name="_Toc109824642"/>
      <w:r w:rsidRPr="00BE4193">
        <w:rPr>
          <w:i/>
          <w:iCs w:val="0"/>
          <w:sz w:val="18"/>
          <w:szCs w:val="22"/>
          <w:rtl/>
          <w:lang w:bidi="ar-LB"/>
        </w:rPr>
        <w:t>الاستعمال</w:t>
      </w:r>
      <w:bookmarkEnd w:id="142"/>
    </w:p>
    <w:p w:rsidR="0080684F" w:rsidRPr="0080684F" w:rsidRDefault="0080684F" w:rsidP="0080684F">
      <w:pPr>
        <w:pStyle w:val="BodyText"/>
        <w:rPr>
          <w:rtl/>
          <w:lang w:bidi="ar-LB"/>
        </w:rPr>
      </w:pPr>
      <w:r w:rsidRPr="0080684F">
        <w:rPr>
          <w:rFonts w:hint="cs"/>
          <w:rtl/>
          <w:lang w:bidi="ar-EG"/>
        </w:rPr>
        <w:t xml:space="preserve">ينص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80684F" w:rsidRPr="00BE4193" w:rsidRDefault="0080684F" w:rsidP="00BE4193">
      <w:pPr>
        <w:pStyle w:val="Heading2"/>
        <w:spacing w:before="240" w:after="240"/>
        <w:rPr>
          <w:i/>
          <w:iCs w:val="0"/>
          <w:rtl/>
          <w:lang w:bidi="ar-LB"/>
        </w:rPr>
      </w:pPr>
      <w:bookmarkStart w:id="143" w:name="_Toc109824643"/>
      <w:r w:rsidRPr="00BE4193">
        <w:rPr>
          <w:i/>
          <w:iCs w:val="0"/>
          <w:sz w:val="18"/>
          <w:szCs w:val="22"/>
          <w:rtl/>
          <w:lang w:bidi="ar-LB"/>
        </w:rPr>
        <w:t>مجموعة أدوات الويبو لتوثيق المعارف التقليدية (توثيق المعارف التقليدية – مجموعة أدوات)</w:t>
      </w:r>
      <w:bookmarkEnd w:id="143"/>
    </w:p>
    <w:p w:rsidR="0080684F" w:rsidRPr="0080684F" w:rsidRDefault="0080684F" w:rsidP="0080684F">
      <w:pPr>
        <w:pStyle w:val="BodyText"/>
        <w:rPr>
          <w:rtl/>
          <w:lang w:bidi="ar-LB"/>
        </w:rPr>
      </w:pPr>
      <w:r w:rsidRPr="0080684F">
        <w:rPr>
          <w:rFonts w:hint="cs"/>
          <w:rtl/>
          <w:lang w:bidi="ar-LB"/>
        </w:rPr>
        <w:t>يمكن أن تثير برامج التوثيق تساؤلات في مجال الملكية الفكرية لدى أصحاب المعارف التقليدية. ومن الأهمية بمكان إيلاء عناية متأنية لتداعيات الملكية الفكرية أثناء عملية التوثيق. وتركّز</w:t>
      </w:r>
      <w:r w:rsidRPr="0080684F">
        <w:rPr>
          <w:rFonts w:hint="cs"/>
          <w:rtl/>
          <w:lang w:bidi="ar-EG"/>
        </w:rPr>
        <w:t xml:space="preserve"> </w:t>
      </w:r>
      <w:r w:rsidRPr="0080684F">
        <w:rPr>
          <w:rFonts w:hint="cs"/>
          <w:rtl/>
          <w:lang w:bidi="ar-LB"/>
        </w:rPr>
        <w:t>مجموعة أدوات الويبو لتوثيق المعارف التقليدية على إدارة جوانب الملكية الفكرية أثناء عملية التوثيق، وتأخذ أيضا عملية التوثيق كنقطة انطلاق لإدارة أنفع للمعارف التقليدية باعتبارها أصولا فكرية وثقافية لجماعة ما.</w:t>
      </w:r>
      <w:r w:rsidRPr="0080684F">
        <w:rPr>
          <w:vertAlign w:val="superscript"/>
          <w:rtl/>
          <w:lang w:bidi="ar-LB"/>
        </w:rPr>
        <w:footnoteReference w:id="172"/>
      </w:r>
    </w:p>
    <w:p w:rsidR="0080684F" w:rsidRPr="0080684F" w:rsidRDefault="0080684F" w:rsidP="0080684F">
      <w:pPr>
        <w:pStyle w:val="BodyText"/>
        <w:rPr>
          <w:lang w:val="fr-CH"/>
        </w:rPr>
      </w:pPr>
      <w:r w:rsidRPr="0080684F">
        <w:rPr>
          <w:rFonts w:hint="cs"/>
          <w:rtl/>
          <w:lang w:bidi="ar-LB"/>
        </w:rPr>
        <w:t>ومجموعة أدوات الويبو لتوثيق المعارف التقليدية دليل مُصمّم خصيصا لتستخدمه الشعوب الأصلية والجماعات المحلية. وقد تستفيد منه جهات أخرى، مثل المسؤولين العامين في مكاتب الملكية الفكرية وراسمي السياسات عموما ومؤسسات البحث والمؤسسات الثقافية التي تضطلع بمشروعات التوثيق.</w:t>
      </w:r>
    </w:p>
    <w:p w:rsidR="0080684F" w:rsidRPr="0080684F" w:rsidRDefault="0080684F" w:rsidP="0080684F">
      <w:pPr>
        <w:pStyle w:val="BodyText"/>
        <w:rPr>
          <w:lang w:val="fr-CH"/>
        </w:rPr>
      </w:pPr>
      <w:r w:rsidRPr="0080684F">
        <w:rPr>
          <w:rFonts w:hint="cs"/>
          <w:rtl/>
          <w:lang w:bidi="ar-LB"/>
        </w:rPr>
        <w:t>ومن الجائز تسخير حقوق الملكية الفكرية وغيرها من الأدوات القانونية لحماية المعارف عندما تكون موثقة، شريطة اتخاذ التدابير الصحيحة أثناء عملية التوثيق. وستساعد مجموعة أدوات الويبو لتوثيق المعارف التقليدية على تقييم خيارات الملكية الفكرية والتخطيط لها وصياغة استراتيجياتها عند توثيق المعارف التقليدية.</w:t>
      </w:r>
    </w:p>
    <w:p w:rsidR="0080684F" w:rsidRPr="00B5633D" w:rsidRDefault="0080684F" w:rsidP="00B5633D">
      <w:pPr>
        <w:pStyle w:val="Heading2"/>
        <w:spacing w:before="240" w:after="240"/>
        <w:rPr>
          <w:i/>
          <w:iCs w:val="0"/>
          <w:sz w:val="18"/>
          <w:szCs w:val="22"/>
          <w:rtl/>
          <w:lang w:bidi="ar-LB"/>
        </w:rPr>
      </w:pPr>
      <w:bookmarkStart w:id="144" w:name="_Toc109824644"/>
      <w:r w:rsidRPr="00B5633D">
        <w:rPr>
          <w:i/>
          <w:iCs w:val="0"/>
          <w:sz w:val="18"/>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44"/>
    </w:p>
    <w:p w:rsidR="0080684F" w:rsidRPr="0080684F" w:rsidRDefault="0080684F" w:rsidP="0080684F">
      <w:pPr>
        <w:pStyle w:val="BodyText"/>
        <w:rPr>
          <w:rtl/>
          <w:lang w:bidi="ar-LB"/>
        </w:rPr>
      </w:pPr>
      <w:r w:rsidRPr="0080684F">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80684F">
        <w:rPr>
          <w:rFonts w:hint="cs"/>
          <w:i/>
          <w:iCs/>
          <w:rtl/>
          <w:lang w:bidi="ar-LB"/>
        </w:rPr>
        <w:t>الأحكام النموذجية</w:t>
      </w:r>
      <w:r w:rsidRPr="0080684F">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 ما.</w:t>
      </w:r>
    </w:p>
    <w:p w:rsidR="0080684F" w:rsidRPr="0080684F" w:rsidRDefault="0080684F" w:rsidP="0080684F">
      <w:pPr>
        <w:pStyle w:val="BodyText"/>
        <w:rPr>
          <w:rtl/>
          <w:lang w:bidi="ar-LB"/>
        </w:rPr>
      </w:pPr>
      <w:r w:rsidRPr="0080684F">
        <w:rPr>
          <w:rFonts w:hint="cs"/>
          <w:rtl/>
          <w:lang w:bidi="ar-LB"/>
        </w:rPr>
        <w:t xml:space="preserve">وتسعى </w:t>
      </w:r>
      <w:r w:rsidRPr="0080684F">
        <w:rPr>
          <w:rFonts w:hint="cs"/>
          <w:i/>
          <w:iCs/>
          <w:rtl/>
          <w:lang w:bidi="ar-LB"/>
        </w:rPr>
        <w:t>الأحكام النموذجية</w:t>
      </w:r>
      <w:r w:rsidRPr="0080684F">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80684F" w:rsidRPr="0080684F" w:rsidRDefault="0080684F" w:rsidP="0080684F">
      <w:pPr>
        <w:pStyle w:val="BodyText"/>
        <w:rPr>
          <w:rtl/>
        </w:rPr>
      </w:pPr>
      <w:r w:rsidRPr="0080684F">
        <w:rPr>
          <w:rFonts w:hint="cs"/>
          <w:rtl/>
          <w:lang w:bidi="ar-LB"/>
        </w:rPr>
        <w:t xml:space="preserve">وتحظى أشكال التعبير الثقافي التقليدي/أشكال التعبير الفولكلوري بالحماية بموجب </w:t>
      </w:r>
      <w:r w:rsidRPr="0080684F">
        <w:rPr>
          <w:rFonts w:hint="cs"/>
          <w:i/>
          <w:iCs/>
          <w:rtl/>
          <w:lang w:bidi="ar-LB"/>
        </w:rPr>
        <w:t>الأحكام النموذجية</w:t>
      </w:r>
      <w:r w:rsidRPr="0080684F">
        <w:rPr>
          <w:rFonts w:hint="cs"/>
          <w:rtl/>
          <w:lang w:bidi="ar-LB"/>
        </w:rPr>
        <w:t xml:space="preserve"> من "الاستغلال غير المشروع والأفعال الضارة الأخرى". وفي سنتي 2000 و2001، أجرت الويبو استقصاء للاطلاع على تجارب الدول في استخدام الأحكام النموذجية وتنفيذها. ويتاح تقرير في وثيقة الويبو </w:t>
      </w:r>
      <w:r w:rsidRPr="0080684F">
        <w:t>WIPO/GRTKF/IC/3/10</w:t>
      </w:r>
      <w:r w:rsidRPr="0080684F">
        <w:rPr>
          <w:rFonts w:hint="cs"/>
          <w:rtl/>
          <w:lang w:bidi="ar-LB"/>
        </w:rPr>
        <w:t>.</w:t>
      </w:r>
    </w:p>
    <w:p w:rsidR="0080684F" w:rsidRPr="0080684F" w:rsidRDefault="0080684F" w:rsidP="00B5633D">
      <w:pPr>
        <w:pStyle w:val="Endofdocument-Annex"/>
        <w:spacing w:before="480"/>
        <w:rPr>
          <w:rtl/>
          <w:lang w:bidi="ar-EG"/>
        </w:rPr>
      </w:pPr>
      <w:r w:rsidRPr="0080684F">
        <w:rPr>
          <w:rtl/>
          <w:lang w:bidi="ar-LB"/>
        </w:rPr>
        <w:t>[نهاية المرفق</w:t>
      </w:r>
      <w:r w:rsidR="00B5633D">
        <w:t xml:space="preserve"> </w:t>
      </w:r>
      <w:r w:rsidR="00B5633D">
        <w:rPr>
          <w:rFonts w:hint="cs"/>
          <w:rtl/>
        </w:rPr>
        <w:t>والوثيقة</w:t>
      </w:r>
      <w:r w:rsidR="00B5633D" w:rsidRPr="002A62C3">
        <w:rPr>
          <w:rtl/>
        </w:rPr>
        <w:t>]</w:t>
      </w:r>
    </w:p>
    <w:p w:rsidR="00FE339E" w:rsidRPr="008909D8" w:rsidRDefault="00FE339E" w:rsidP="0080684F">
      <w:pPr>
        <w:pStyle w:val="BodyText"/>
      </w:pPr>
    </w:p>
    <w:sectPr w:rsidR="00FE339E" w:rsidRPr="008909D8" w:rsidSect="00546F9A">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B8C" w:rsidRDefault="003D5B8C">
      <w:r>
        <w:separator/>
      </w:r>
    </w:p>
  </w:endnote>
  <w:endnote w:type="continuationSeparator" w:id="0">
    <w:p w:rsidR="003D5B8C" w:rsidRDefault="003D5B8C" w:rsidP="003B38C1">
      <w:r>
        <w:separator/>
      </w:r>
    </w:p>
    <w:p w:rsidR="003D5B8C" w:rsidRPr="003B38C1" w:rsidRDefault="003D5B8C" w:rsidP="003B38C1">
      <w:pPr>
        <w:spacing w:after="60"/>
        <w:rPr>
          <w:sz w:val="17"/>
        </w:rPr>
      </w:pPr>
      <w:r>
        <w:rPr>
          <w:sz w:val="17"/>
        </w:rPr>
        <w:t>[Endnote continued from previous page]</w:t>
      </w:r>
    </w:p>
  </w:endnote>
  <w:endnote w:type="continuationNotice" w:id="1">
    <w:p w:rsidR="003D5B8C" w:rsidRPr="003B38C1" w:rsidRDefault="003D5B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B8C" w:rsidRDefault="003D5B8C">
      <w:r>
        <w:separator/>
      </w:r>
    </w:p>
  </w:footnote>
  <w:footnote w:type="continuationSeparator" w:id="0">
    <w:p w:rsidR="003D5B8C" w:rsidRDefault="003D5B8C" w:rsidP="008B60B2">
      <w:r>
        <w:separator/>
      </w:r>
    </w:p>
    <w:p w:rsidR="003D5B8C" w:rsidRPr="00ED77FB" w:rsidRDefault="003D5B8C" w:rsidP="008B60B2">
      <w:pPr>
        <w:spacing w:after="60"/>
        <w:rPr>
          <w:sz w:val="17"/>
          <w:szCs w:val="17"/>
        </w:rPr>
      </w:pPr>
      <w:r w:rsidRPr="00ED77FB">
        <w:rPr>
          <w:sz w:val="17"/>
          <w:szCs w:val="17"/>
        </w:rPr>
        <w:t>[Footnote continued from previous page]</w:t>
      </w:r>
    </w:p>
  </w:footnote>
  <w:footnote w:type="continuationNotice" w:id="1">
    <w:p w:rsidR="003D5B8C" w:rsidRPr="00ED77FB" w:rsidRDefault="003D5B8C" w:rsidP="008B60B2">
      <w:pPr>
        <w:spacing w:before="60"/>
        <w:jc w:val="right"/>
        <w:rPr>
          <w:sz w:val="17"/>
          <w:szCs w:val="17"/>
        </w:rPr>
      </w:pPr>
      <w:r w:rsidRPr="00ED77FB">
        <w:rPr>
          <w:sz w:val="17"/>
          <w:szCs w:val="17"/>
        </w:rPr>
        <w:t>[Footnote continued on next page]</w:t>
      </w:r>
    </w:p>
  </w:footnote>
  <w:footnote w:id="2">
    <w:p w:rsidR="00072B49" w:rsidRPr="007C1431" w:rsidRDefault="00072B49" w:rsidP="00C87E7C">
      <w:pPr>
        <w:pStyle w:val="FootnoteText"/>
        <w:ind w:left="567" w:hanging="567"/>
        <w:rPr>
          <w:rtl/>
          <w:lang w:bidi="ar-EG"/>
        </w:rPr>
      </w:pPr>
      <w:r w:rsidRPr="00546F9A">
        <w:rPr>
          <w:rStyle w:val="FootnoteReference"/>
          <w:rFonts w:asciiTheme="minorHAnsi" w:hAnsiTheme="minorHAnsi" w:cstheme="minorHAnsi"/>
          <w:sz w:val="18"/>
          <w:szCs w:val="18"/>
        </w:rPr>
        <w:footnoteRef/>
      </w:r>
      <w:r>
        <w:rPr>
          <w:rFonts w:hint="cs"/>
          <w:rtl/>
        </w:rPr>
        <w:t>.</w:t>
      </w:r>
      <w:r w:rsidR="00C87E7C">
        <w:rPr>
          <w:rtl/>
        </w:rPr>
        <w:tab/>
      </w:r>
      <w:r w:rsidRPr="007C1431">
        <w:rPr>
          <w:rFonts w:hint="cs"/>
          <w:rtl/>
        </w:rPr>
        <w:t xml:space="preserve">تقرير الدورة السادسة عشرة للجنة (الوثيقة </w:t>
      </w:r>
      <w:r w:rsidRPr="007C1431">
        <w:t>WIPO/GRTKF/IC/16/8</w:t>
      </w:r>
      <w:r w:rsidRPr="007C1431">
        <w:rPr>
          <w:rFonts w:hint="cs"/>
          <w:rtl/>
        </w:rPr>
        <w:t>) وتقرير الدورة السابعة عشرة للجنة (الوثيقة </w:t>
      </w:r>
      <w:r w:rsidRPr="007C1431">
        <w:t>WIPO/GRTKF/IC/17/12</w:t>
      </w:r>
      <w:r w:rsidRPr="007C1431">
        <w:rPr>
          <w:rFonts w:hint="cs"/>
          <w:rtl/>
        </w:rPr>
        <w:t>).</w:t>
      </w:r>
    </w:p>
  </w:footnote>
  <w:footnote w:id="3">
    <w:p w:rsidR="00072B49" w:rsidRDefault="00072B49" w:rsidP="00546F9A">
      <w:pPr>
        <w:pStyle w:val="FootnoteText"/>
        <w:rPr>
          <w:lang w:bidi="ar-EG"/>
        </w:rPr>
      </w:pPr>
      <w:r w:rsidRPr="00546F9A">
        <w:rPr>
          <w:rStyle w:val="FootnoteReference"/>
          <w:rFonts w:asciiTheme="minorHAnsi" w:hAnsiTheme="minorHAnsi" w:cstheme="minorHAnsi"/>
          <w:sz w:val="18"/>
          <w:szCs w:val="18"/>
        </w:rPr>
        <w:footnoteRef/>
      </w:r>
      <w:r w:rsidR="00561435">
        <w:rPr>
          <w:rFonts w:hint="cs"/>
          <w:rtl/>
        </w:rPr>
        <w:t>.</w:t>
      </w:r>
      <w:r w:rsidR="00561435">
        <w:rPr>
          <w:rtl/>
        </w:rPr>
        <w:tab/>
      </w:r>
      <w:r w:rsidRPr="007C1431">
        <w:rPr>
          <w:rFonts w:hint="cs"/>
          <w:rtl/>
        </w:rPr>
        <w:t xml:space="preserve">تقرير الدورة التاسعة عشرة للجنة (الوثيقة </w:t>
      </w:r>
      <w:r w:rsidRPr="007C1431">
        <w:t>WIPO/GRTKF/IC/19/12</w:t>
      </w:r>
      <w:r w:rsidRPr="007C1431">
        <w:rPr>
          <w:rFonts w:hint="cs"/>
          <w:rtl/>
        </w:rPr>
        <w:t>).</w:t>
      </w:r>
    </w:p>
  </w:footnote>
  <w:footnote w:id="4">
    <w:p w:rsidR="00072B49" w:rsidRPr="00FD58A2" w:rsidRDefault="00072B49" w:rsidP="0080684F">
      <w:pPr>
        <w:pStyle w:val="FootnoteText"/>
        <w:ind w:left="566" w:hanging="566"/>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بروتوكول ناغويا بشأن الحصول على الموارد الجينية والتقاسم العادل والمنصف للمنافع الناشئة عن استخدامها من الانتفاع بها الملحق باتفاقية التنوع البيولوجي، المادة 5(4).</w:t>
      </w:r>
    </w:p>
  </w:footnote>
  <w:footnote w:id="5">
    <w:p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خطوط بون التوجيهية بشأن التوصل إلى الموارد الجينية والتقاسم العادل والمنصف للمنافع الناشئة عن استعمالها، الفقرة 23.</w:t>
      </w:r>
    </w:p>
  </w:footnote>
  <w:footnote w:id="6">
    <w:p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WIPO, p. 264.</w:t>
      </w:r>
    </w:p>
  </w:footnote>
  <w:footnote w:id="7">
    <w:p w:rsidR="00072B49" w:rsidRPr="00FD58A2" w:rsidRDefault="00072B49" w:rsidP="0080684F">
      <w:pPr>
        <w:pStyle w:val="FootnoteText"/>
        <w:ind w:left="555" w:hanging="555"/>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النسخة المستخدمة لأغراض هذه الوثيقة هي النسخة العاشرة، من إعداد براين غارنر.</w:t>
      </w:r>
    </w:p>
  </w:footnote>
  <w:footnote w:id="8">
    <w:p w:rsidR="00072B49" w:rsidRPr="00FD58A2" w:rsidRDefault="00072B49" w:rsidP="004A642B">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hyperlink r:id="rId1" w:history="1">
        <w:r w:rsidRPr="00FD58A2">
          <w:rPr>
            <w:rStyle w:val="Hyperlink"/>
            <w:rFonts w:asciiTheme="minorHAnsi" w:hAnsiTheme="minorHAnsi" w:cstheme="minorHAnsi"/>
            <w:color w:val="auto"/>
            <w:u w:val="none"/>
          </w:rPr>
          <w:t>https://www.wipo.int/publications/en/details.jsp?id=3877</w:t>
        </w:r>
      </w:hyperlink>
      <w:r w:rsidRPr="00FD58A2">
        <w:rPr>
          <w:rFonts w:asciiTheme="minorHAnsi" w:hAnsiTheme="minorHAnsi" w:cstheme="minorHAnsi"/>
          <w:rtl/>
        </w:rPr>
        <w:t>.</w:t>
      </w:r>
    </w:p>
  </w:footnote>
  <w:footnote w:id="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التوصيات المقدمة للمفاوضين الأفارقة في الاجتماع التحضيري الثاني للشعوب الأصلية والجماعات المحلية الأفريقية، الوثيقة </w:t>
      </w:r>
      <w:r w:rsidRPr="00FD58A2">
        <w:rPr>
          <w:rFonts w:asciiTheme="minorHAnsi" w:hAnsiTheme="minorHAnsi" w:cstheme="minorHAnsi"/>
        </w:rPr>
        <w:t>UNEP/CBD/COP/10/INF/37</w:t>
      </w:r>
      <w:r w:rsidRPr="00FD58A2">
        <w:rPr>
          <w:rFonts w:asciiTheme="minorHAnsi" w:hAnsiTheme="minorHAnsi" w:cstheme="minorHAnsi"/>
          <w:rtl/>
        </w:rPr>
        <w:t>، 14 أكتوبر 2010.</w:t>
      </w:r>
    </w:p>
  </w:footnote>
  <w:footnote w:id="10">
    <w:p w:rsidR="00072B49" w:rsidRDefault="00072B49" w:rsidP="0080684F">
      <w:pPr>
        <w:pStyle w:val="FootnoteText"/>
        <w:ind w:left="567" w:hanging="567"/>
      </w:pPr>
      <w:r w:rsidRPr="00FD58A2">
        <w:rPr>
          <w:rStyle w:val="FootnoteReference"/>
          <w:rFonts w:asciiTheme="minorHAnsi" w:hAnsiTheme="minorHAnsi" w:cstheme="minorHAnsi"/>
          <w:sz w:val="18"/>
          <w:szCs w:val="18"/>
        </w:rPr>
        <w:footnoteRef/>
      </w:r>
      <w:r w:rsidRPr="00B34965">
        <w:rPr>
          <w:rFonts w:hint="cs"/>
          <w:rtl/>
        </w:rPr>
        <w:tab/>
        <w:t xml:space="preserve">تقرير الدورة السابعة عشرة للجنة (الوثيقة </w:t>
      </w:r>
      <w:r w:rsidRPr="00B34965">
        <w:t>WIPO/GRTKF/IC/17/12</w:t>
      </w:r>
      <w:r w:rsidRPr="00B34965">
        <w:rPr>
          <w:rFonts w:hint="cs"/>
          <w:rtl/>
        </w:rPr>
        <w:t>).</w:t>
      </w:r>
    </w:p>
  </w:footnote>
  <w:footnote w:id="11">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1.3 من التوجيه 98/44/</w:t>
      </w:r>
      <w:r w:rsidRPr="00FD58A2">
        <w:rPr>
          <w:rFonts w:asciiTheme="minorHAnsi" w:hAnsiTheme="minorHAnsi" w:cstheme="minorHAnsi"/>
        </w:rPr>
        <w:t>EC</w:t>
      </w:r>
      <w:r w:rsidRPr="00FD58A2">
        <w:rPr>
          <w:rFonts w:asciiTheme="minorHAnsi" w:hAnsiTheme="minorHAnsi" w:cstheme="minorHAnsi"/>
          <w:rtl/>
        </w:rPr>
        <w:t xml:space="preserve"> الصادر عن البرلمان الأوروبي والمجلس الأوروبي بتاريخ 6 يوليو 1998 بشأن حماية الاختراعات البيوتكنولوجية.</w:t>
      </w:r>
    </w:p>
  </w:footnote>
  <w:footnote w:id="12">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16 في الوثيقة </w:t>
      </w:r>
      <w:r w:rsidRPr="00FD58A2">
        <w:rPr>
          <w:rFonts w:asciiTheme="minorHAnsi" w:hAnsiTheme="minorHAnsi" w:cstheme="minorHAnsi"/>
        </w:rPr>
        <w:t>WIPO/GRTKF/IC/1/3</w:t>
      </w:r>
      <w:r w:rsidRPr="00FD58A2">
        <w:rPr>
          <w:rFonts w:asciiTheme="minorHAnsi" w:hAnsiTheme="minorHAnsi" w:cstheme="minorHAnsi"/>
          <w:rtl/>
        </w:rPr>
        <w:t>.</w:t>
      </w:r>
    </w:p>
  </w:footnote>
  <w:footnote w:id="13">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بيان منظمة الأغذية والزراعة عن التكنولوجيا الحيوية متاح على الموقع التالي:</w:t>
      </w:r>
    </w:p>
    <w:p w:rsidR="00072B49" w:rsidRPr="00FD58A2" w:rsidRDefault="00072B49" w:rsidP="0080684F">
      <w:pPr>
        <w:pStyle w:val="FootnoteText"/>
        <w:ind w:left="567" w:hanging="1"/>
        <w:rPr>
          <w:rFonts w:asciiTheme="minorHAnsi" w:hAnsiTheme="minorHAnsi" w:cstheme="minorHAnsi"/>
          <w:rtl/>
          <w:lang w:bidi="ar-SY"/>
        </w:rPr>
      </w:pPr>
      <w:r w:rsidRPr="00FD58A2">
        <w:rPr>
          <w:rFonts w:asciiTheme="minorHAnsi" w:hAnsiTheme="minorHAnsi" w:cstheme="minorHAnsi"/>
        </w:rPr>
        <w:t>http://www.fao.org/biotech/fao-statement-on-biotechnology/en/</w:t>
      </w:r>
      <w:r w:rsidRPr="00FD58A2">
        <w:rPr>
          <w:rFonts w:asciiTheme="minorHAnsi" w:hAnsiTheme="minorHAnsi" w:cstheme="minorHAnsi"/>
          <w:rtl/>
        </w:rPr>
        <w:t>.</w:t>
      </w:r>
    </w:p>
  </w:footnote>
  <w:footnote w:id="14">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التعريف والتعريف المستند إلى قائمة التقنيات الكاملة، على الموقع التالي: &lt;</w:t>
      </w:r>
      <w:r w:rsidRPr="00FD58A2">
        <w:rPr>
          <w:rFonts w:asciiTheme="minorHAnsi" w:hAnsiTheme="minorHAnsi" w:cstheme="minorHAnsi"/>
        </w:rPr>
        <w:t xml:space="preserve"> http://www.oecd.org/sti/biotechnologypolicies/statisticaldefinitionofbiotechnology.htm</w:t>
      </w:r>
      <w:r w:rsidRPr="00FD58A2">
        <w:rPr>
          <w:rFonts w:asciiTheme="minorHAnsi" w:hAnsiTheme="minorHAnsi" w:cstheme="minorHAnsi"/>
          <w:rtl/>
        </w:rPr>
        <w:t>&gt;.</w:t>
      </w:r>
    </w:p>
  </w:footnote>
  <w:footnote w:id="15">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1 و7(أ) والمواد من 17 إلى 21.</w:t>
      </w:r>
    </w:p>
  </w:footnote>
  <w:footnote w:id="1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من 24 إلى 50 والملحق الثاني.</w:t>
      </w:r>
    </w:p>
  </w:footnote>
  <w:footnote w:id="17">
    <w:p w:rsidR="00072B49" w:rsidRPr="00FD58A2" w:rsidRDefault="00072B49" w:rsidP="0080684F">
      <w:pPr>
        <w:pStyle w:val="FootnoteText"/>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22 وهو متاح على الموقع التالي: </w:t>
      </w:r>
      <w:hyperlink r:id="rId2" w:history="1">
        <w:r w:rsidRPr="00FD58A2">
          <w:rPr>
            <w:rStyle w:val="Hyperlink"/>
            <w:rFonts w:asciiTheme="minorHAnsi" w:hAnsiTheme="minorHAnsi" w:cstheme="minorHAnsi"/>
            <w:color w:val="auto"/>
            <w:u w:val="none"/>
          </w:rPr>
          <w:t>https://www.unenvironment.org/resources/report/glossary-terms-negotiators-multilateral-environmental-agreements</w:t>
        </w:r>
      </w:hyperlink>
      <w:r w:rsidRPr="00FD58A2">
        <w:rPr>
          <w:rFonts w:asciiTheme="minorHAnsi" w:hAnsiTheme="minorHAnsi" w:cstheme="minorHAnsi"/>
          <w:rtl/>
        </w:rPr>
        <w:t>.</w:t>
      </w:r>
    </w:p>
  </w:footnote>
  <w:footnote w:id="1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16 من المرفق.</w:t>
      </w:r>
    </w:p>
  </w:footnote>
  <w:footnote w:id="1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أيورفيدا نظام مقنن للطب الشعبي كُشف عنه في كتابات تعود إلى الحقبة الفيدية عندما جمع الآريون مجلدات فيدا الأربعة (1800-1500 قبل الميلاد) مع أكبر قدر من المراجع في مجلدي </w:t>
      </w:r>
      <w:r w:rsidRPr="00FD58A2">
        <w:rPr>
          <w:rFonts w:asciiTheme="minorHAnsi" w:hAnsiTheme="minorHAnsi" w:cstheme="minorHAnsi"/>
          <w:i/>
          <w:iCs/>
          <w:rtl/>
        </w:rPr>
        <w:t>ريغفيدا</w:t>
      </w:r>
      <w:r w:rsidRPr="00FD58A2">
        <w:rPr>
          <w:rFonts w:asciiTheme="minorHAnsi" w:hAnsiTheme="minorHAnsi" w:cstheme="minorHAnsi"/>
          <w:rtl/>
        </w:rPr>
        <w:t xml:space="preserve"> و</w:t>
      </w:r>
      <w:r w:rsidRPr="00FD58A2">
        <w:rPr>
          <w:rFonts w:asciiTheme="minorHAnsi" w:hAnsiTheme="minorHAnsi" w:cstheme="minorHAnsi"/>
          <w:i/>
          <w:iCs/>
          <w:rtl/>
        </w:rPr>
        <w:t>أثارفافيدا</w:t>
      </w:r>
      <w:r w:rsidRPr="00FD58A2">
        <w:rPr>
          <w:rFonts w:asciiTheme="minorHAnsi" w:hAnsiTheme="minorHAnsi" w:cstheme="minorHAnsi"/>
          <w:rtl/>
        </w:rPr>
        <w:t>.</w:t>
      </w:r>
    </w:p>
  </w:footnote>
  <w:footnote w:id="2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قُنن الطب الشعبي الصيني أصلا وكُشف عنه كتابيا في كتاب </w:t>
      </w:r>
      <w:r w:rsidRPr="00FD58A2">
        <w:rPr>
          <w:rFonts w:asciiTheme="minorHAnsi" w:hAnsiTheme="minorHAnsi" w:cstheme="minorHAnsi"/>
        </w:rPr>
        <w:t>Yellow Emperor’s Canon of Medicine</w:t>
      </w:r>
      <w:r w:rsidRPr="00FD58A2">
        <w:rPr>
          <w:rFonts w:asciiTheme="minorHAnsi" w:hAnsiTheme="minorHAnsi" w:cstheme="minorHAnsi"/>
          <w:rtl/>
        </w:rPr>
        <w:t xml:space="preserve"> (قانون الإمبراطور الأصفر في الطب) وهو أول مؤلف كلاسيكي ضخم يؤسس للطب الشعبي الصيني. وجُمع هذا القانون على مدار مئات السنين وخرج إلى الوجود بين عام 300 وعام 100 قبل الميلاد.</w:t>
      </w:r>
    </w:p>
  </w:footnote>
  <w:footnote w:id="2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يحدد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 انظر(ي) جرد قواعد البيانات الإلكترونية التي تتضمن بيانات عن المعارف التقليدية الموثقة (</w:t>
      </w:r>
      <w:r w:rsidRPr="00FD58A2">
        <w:rPr>
          <w:rFonts w:asciiTheme="minorHAnsi" w:hAnsiTheme="minorHAnsi" w:cstheme="minorHAnsi"/>
        </w:rPr>
        <w:t>WIPO/GRTKF/IC/3/6</w:t>
      </w:r>
      <w:r w:rsidRPr="00FD58A2">
        <w:rPr>
          <w:rFonts w:asciiTheme="minorHAnsi" w:hAnsiTheme="minorHAnsi" w:cstheme="minorHAnsi"/>
          <w:rtl/>
        </w:rPr>
        <w:t>)، الفقرة 8. انظر(ي) أيضا لكارين تميرمان وتوغي أوتاديولو اتفاق تريبس والمستحضرات الصيدلانية: تقرير حلقة عمل لرابطة أمم جنوب شرقي آسيا بشأن اتفاق تريبس وأثره على المستحضرات الصيدلانية، الصفحة 45.</w:t>
      </w:r>
    </w:p>
  </w:footnote>
  <w:footnote w:id="22">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مداخلة وفد كندا. انظر(ي) تقرير الدورة الثانية (</w:t>
      </w:r>
      <w:r w:rsidRPr="00FD58A2">
        <w:rPr>
          <w:rFonts w:asciiTheme="minorHAnsi" w:hAnsiTheme="minorHAnsi" w:cstheme="minorHAnsi"/>
        </w:rPr>
        <w:t>WIPO/GRTKF/IC/2/16</w:t>
      </w:r>
      <w:r w:rsidRPr="00FD58A2">
        <w:rPr>
          <w:rFonts w:asciiTheme="minorHAnsi" w:hAnsiTheme="minorHAnsi" w:cstheme="minorHAnsi"/>
          <w:rtl/>
        </w:rPr>
        <w:t>)، الفقرة 131.</w:t>
      </w:r>
    </w:p>
  </w:footnote>
  <w:footnote w:id="2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Terri Janke, </w:t>
      </w:r>
      <w:r w:rsidRPr="00FD58A2">
        <w:rPr>
          <w:rFonts w:asciiTheme="minorHAnsi" w:hAnsiTheme="minorHAnsi" w:cstheme="minorHAnsi"/>
          <w:i/>
          <w:iCs/>
        </w:rPr>
        <w:t>Pathways &amp; Protocols – A Filmmaker’s guide to Working with Indigenous People, Culture and Concepts</w:t>
      </w:r>
      <w:r w:rsidRPr="00FD58A2">
        <w:rPr>
          <w:rFonts w:asciiTheme="minorHAnsi" w:hAnsiTheme="minorHAnsi" w:cstheme="minorHAnsi"/>
        </w:rPr>
        <w:t>, p. 51</w:t>
      </w:r>
      <w:r w:rsidRPr="00FD58A2">
        <w:rPr>
          <w:rFonts w:asciiTheme="minorHAnsi" w:hAnsiTheme="minorHAnsi" w:cstheme="minorHAnsi"/>
          <w:rtl/>
        </w:rPr>
        <w:t>.</w:t>
      </w:r>
    </w:p>
  </w:footnote>
  <w:footnote w:id="24">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مشروع مسرد اقترحه فريق من الخبراء في مكتب لجنة هولندا الوطنية لليونسكو، الوثيقة </w:t>
      </w:r>
      <w:r w:rsidRPr="00FD58A2">
        <w:rPr>
          <w:rFonts w:asciiTheme="minorHAnsi" w:hAnsiTheme="minorHAnsi" w:cstheme="minorHAnsi"/>
        </w:rPr>
        <w:t>TER/CH/2002/WD/4</w:t>
      </w:r>
      <w:r w:rsidRPr="00FD58A2">
        <w:rPr>
          <w:rFonts w:asciiTheme="minorHAnsi" w:hAnsiTheme="minorHAnsi" w:cstheme="minorHAnsi"/>
          <w:rtl/>
        </w:rPr>
        <w:t>، 2002.</w:t>
      </w:r>
    </w:p>
  </w:footnote>
  <w:footnote w:id="2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4(1) من اتفاقية اليونسكو المتعلقة بحماية وتعزيز تنوع أشكال التعبير الثقافي، 2005.</w:t>
      </w:r>
    </w:p>
  </w:footnote>
  <w:footnote w:id="2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4(3) من اتفاقية اليونسكو المتعلقة بحماية وتعزيز تنوع أشكال التعبير الثقافي، 2005.</w:t>
      </w:r>
    </w:p>
  </w:footnote>
  <w:footnote w:id="2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r>
      <w:r w:rsidRPr="00FD58A2">
        <w:rPr>
          <w:rFonts w:asciiTheme="minorHAnsi" w:hAnsiTheme="minorHAnsi" w:cstheme="minorHAnsi"/>
          <w:rtl/>
        </w:rPr>
        <w:t xml:space="preserve">انظر(ي) مكنز اليونسكو المتاح على الموقع التالي: </w:t>
      </w:r>
      <w:r w:rsidRPr="00FD58A2">
        <w:rPr>
          <w:rFonts w:asciiTheme="minorHAnsi" w:hAnsiTheme="minorHAnsi" w:cstheme="minorHAnsi"/>
        </w:rPr>
        <w:t>http://www.vocabularyserver.com/unesco/en/index.php?tema=2526&amp;/cultural-identity</w:t>
      </w:r>
      <w:r w:rsidRPr="00FD58A2">
        <w:rPr>
          <w:rFonts w:asciiTheme="minorHAnsi" w:hAnsiTheme="minorHAnsi" w:cstheme="minorHAnsi"/>
          <w:rtl/>
        </w:rPr>
        <w:t>.</w:t>
      </w:r>
    </w:p>
  </w:footnote>
  <w:footnote w:id="2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اتفاقية منظمة العمل الدولية رقم 169 بشأن الشعوب الأصلية والقبلية في البلدان المستقلة، 1989، المادة 2(2)(ب).</w:t>
      </w:r>
    </w:p>
  </w:footnote>
  <w:footnote w:id="2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Model Provisions for National Laws on the Protection of Expressions of Folklore against illicit Exploitation and Other Prejudicial Actions, 1982, Part III, para. 42.</w:t>
      </w:r>
    </w:p>
  </w:footnote>
  <w:footnote w:id="3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rsidR="00072B49" w:rsidRPr="00FD58A2" w:rsidRDefault="00072B49" w:rsidP="004A642B">
      <w:pPr>
        <w:pStyle w:val="FootnoteText"/>
        <w:ind w:left="567" w:hanging="567"/>
        <w:rPr>
          <w:rFonts w:asciiTheme="minorHAnsi" w:hAnsiTheme="minorHAnsi" w:cstheme="minorHAnsi"/>
          <w:rtl/>
          <w:lang w:val="fr-CH"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Customary Law, Traditional Knowledge and Intellectual Property: An Outline of the Issues (2013).</w:t>
      </w:r>
      <w:r w:rsidRPr="00FD58A2">
        <w:rPr>
          <w:rFonts w:asciiTheme="minorHAnsi" w:hAnsiTheme="minorHAnsi" w:cstheme="minorHAnsi"/>
          <w:szCs w:val="20"/>
        </w:rPr>
        <w:t xml:space="preserve"> </w:t>
      </w:r>
      <w:hyperlink r:id="rId3" w:history="1">
        <w:r w:rsidRPr="00FD58A2">
          <w:rPr>
            <w:rStyle w:val="Hyperlink"/>
            <w:rFonts w:asciiTheme="minorHAnsi" w:hAnsiTheme="minorHAnsi" w:cstheme="minorHAnsi"/>
            <w:color w:val="auto"/>
            <w:u w:val="none"/>
          </w:rPr>
          <w:t>https://www.wipo.int/export/sites/www/tk/en/resources/pdf/overview_customary_law.pdf</w:t>
        </w:r>
      </w:hyperlink>
      <w:r w:rsidRPr="00FD58A2">
        <w:rPr>
          <w:rStyle w:val="Hyperlink"/>
          <w:rFonts w:asciiTheme="minorHAnsi" w:hAnsiTheme="minorHAnsi" w:cstheme="minorHAnsi"/>
          <w:color w:val="auto"/>
          <w:u w:val="none"/>
          <w:rtl/>
          <w:lang w:val="fr-CH" w:bidi="ar-EG"/>
        </w:rPr>
        <w:t>.</w:t>
      </w:r>
    </w:p>
  </w:footnote>
  <w:footnote w:id="3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Paul Kuruk, “African Customary Law and the Protection of Folklore”, Copyright Bulletin, XXXVI, No.2, 2002, p. 6, quoting, in part, Paris, 15 June 1982, Gazette du Palais, 1982.2, Summary, p. 378, or Paris, 25 April 1978, Gazette du Palais, 1978.2, p. 448.</w:t>
      </w:r>
    </w:p>
  </w:footnote>
  <w:footnote w:id="33">
    <w:p w:rsidR="00072B49" w:rsidRPr="00FD58A2" w:rsidRDefault="00072B49" w:rsidP="004A642B">
      <w:pPr>
        <w:pStyle w:val="FootnoteText"/>
        <w:tabs>
          <w:tab w:val="left" w:pos="500"/>
        </w:tabs>
        <w:ind w:left="499" w:hanging="499"/>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Customary Law, Traditional Knowledge and Intellectual Property: An Outline of the Issues (2013) </w:t>
      </w:r>
      <w:hyperlink r:id="rId4" w:history="1">
        <w:r w:rsidRPr="00FD58A2">
          <w:rPr>
            <w:rStyle w:val="Hyperlink"/>
            <w:rFonts w:asciiTheme="minorHAnsi" w:hAnsiTheme="minorHAnsi" w:cstheme="minorHAnsi"/>
            <w:color w:val="auto"/>
            <w:u w:val="none"/>
          </w:rPr>
          <w:t>https://www.wipo.int/export/sites/www/tk/en/resources/pdf/overview_customary_law.pdf</w:t>
        </w:r>
      </w:hyperlink>
      <w:r w:rsidRPr="00FD58A2">
        <w:rPr>
          <w:rFonts w:asciiTheme="minorHAnsi" w:hAnsiTheme="minorHAnsi" w:cstheme="minorHAnsi"/>
        </w:rPr>
        <w:t xml:space="preserve"> </w:t>
      </w:r>
      <w:r w:rsidRPr="00FD58A2">
        <w:rPr>
          <w:rFonts w:asciiTheme="minorHAnsi" w:hAnsiTheme="minorHAnsi" w:cstheme="minorHAnsi"/>
          <w:rtl/>
        </w:rPr>
        <w:t>.</w:t>
      </w:r>
    </w:p>
  </w:footnote>
  <w:footnote w:id="34">
    <w:p w:rsidR="00072B49" w:rsidRPr="00FD58A2" w:rsidRDefault="00072B49" w:rsidP="004A642B">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2 في الوثيقة </w:t>
      </w:r>
      <w:r w:rsidRPr="00FD58A2">
        <w:rPr>
          <w:rFonts w:asciiTheme="minorHAnsi" w:hAnsiTheme="minorHAnsi" w:cstheme="minorHAnsi"/>
        </w:rPr>
        <w:t>WIPO/GRTKF/IC/2/3</w:t>
      </w:r>
      <w:r w:rsidRPr="00FD58A2">
        <w:rPr>
          <w:rFonts w:asciiTheme="minorHAnsi" w:hAnsiTheme="minorHAnsi" w:cstheme="minorHAnsi"/>
          <w:rtl/>
        </w:rPr>
        <w:t xml:space="preserve"> في الصفحة 4، وقاعدة البيانات متاحة على الإنترنت على الموقع التالي: </w:t>
      </w:r>
      <w:r w:rsidRPr="00FD58A2">
        <w:rPr>
          <w:rFonts w:asciiTheme="minorHAnsi" w:hAnsiTheme="minorHAnsi" w:cstheme="minorHAnsi"/>
        </w:rPr>
        <w:t>https://www.wipo.int/tk/en/databases/contracts/index.html</w:t>
      </w:r>
      <w:r w:rsidRPr="00FD58A2">
        <w:rPr>
          <w:rFonts w:asciiTheme="minorHAnsi" w:hAnsiTheme="minorHAnsi" w:cstheme="minorHAnsi"/>
          <w:rtl/>
        </w:rPr>
        <w:t>.</w:t>
      </w:r>
    </w:p>
  </w:footnote>
  <w:footnote w:id="35">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WIPO/GRTKF/IC/17/INF/11</w:t>
      </w:r>
      <w:r w:rsidRPr="00FD58A2">
        <w:rPr>
          <w:rFonts w:asciiTheme="minorHAnsi" w:hAnsiTheme="minorHAnsi" w:cstheme="minorHAnsi"/>
          <w:rtl/>
        </w:rPr>
        <w:t>.</w:t>
      </w:r>
    </w:p>
  </w:footnote>
  <w:footnote w:id="36">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2(3) من اتفاقية برن: "تتمتع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p>
  </w:footnote>
  <w:footnote w:id="3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WIPO Guide to the Copyright and Related Right Treaties Administered by WIPO and Glossary of Copyright and Related Rights Terms, WIPO.</w:t>
      </w:r>
    </w:p>
  </w:footnote>
  <w:footnote w:id="38">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2(5) من اتفاقية برن، والمادة 10(2) من اتفاق تريبس، والمادة 6 من معاهدة الويبو بشأن حق المؤلف.</w:t>
      </w:r>
    </w:p>
  </w:footnote>
  <w:footnote w:id="39">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p.485.</w:t>
      </w:r>
    </w:p>
  </w:footnote>
  <w:footnote w:id="4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الإطار الإقليمي لجنوب المحيط الهادئ الخاص بحماية المعارف التقليدية وأشكال التعبير الثقافي، لسنة 2002، الجزء الأول 4.</w:t>
      </w:r>
    </w:p>
  </w:footnote>
  <w:footnote w:id="4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p.603.</w:t>
      </w:r>
    </w:p>
  </w:footnote>
  <w:footnote w:id="4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4 من الملحق.</w:t>
      </w:r>
    </w:p>
  </w:footnote>
  <w:footnote w:id="4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p.282.</w:t>
      </w:r>
    </w:p>
  </w:footnote>
  <w:footnote w:id="44">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المادة 10(ثانيا) والمادة 11. وانظر(ي) أيضا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p.614</w:t>
      </w:r>
      <w:r w:rsidRPr="00FD58A2">
        <w:rPr>
          <w:rFonts w:asciiTheme="minorHAnsi" w:hAnsiTheme="minorHAnsi" w:cstheme="minorHAnsi"/>
          <w:rtl/>
        </w:rPr>
        <w:t>.</w:t>
      </w:r>
    </w:p>
  </w:footnote>
  <w:footnote w:id="4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مرفق</w:t>
      </w:r>
      <w:r w:rsidRPr="00FD58A2">
        <w:rPr>
          <w:rFonts w:asciiTheme="minorHAnsi" w:hAnsiTheme="minorHAnsi" w:cstheme="minorHAnsi"/>
        </w:rPr>
        <w:t xml:space="preserve"> </w:t>
      </w:r>
      <w:r w:rsidRPr="00FD58A2">
        <w:rPr>
          <w:rFonts w:asciiTheme="minorHAnsi" w:hAnsiTheme="minorHAnsi" w:cstheme="minorHAnsi"/>
          <w:rtl/>
        </w:rPr>
        <w:t xml:space="preserve">الوثيقة </w:t>
      </w:r>
      <w:r w:rsidRPr="00FD58A2">
        <w:rPr>
          <w:rFonts w:asciiTheme="minorHAnsi" w:hAnsiTheme="minorHAnsi" w:cstheme="minorHAnsi"/>
        </w:rPr>
        <w:t>WO/GA/32/8</w:t>
      </w:r>
      <w:r w:rsidRPr="00FD58A2">
        <w:rPr>
          <w:rFonts w:asciiTheme="minorHAnsi" w:hAnsiTheme="minorHAnsi" w:cstheme="minorHAnsi"/>
          <w:rtl/>
        </w:rPr>
        <w:t>، الصفحة 32 في النسخة الإنكليزية.</w:t>
      </w:r>
    </w:p>
  </w:footnote>
  <w:footnote w:id="46">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للمزيد من المعلومات، انظر(ي) المرفق الأول من الوثيقة </w:t>
      </w:r>
      <w:r w:rsidRPr="00FD58A2">
        <w:rPr>
          <w:rFonts w:asciiTheme="minorHAnsi" w:hAnsiTheme="minorHAnsi" w:cstheme="minorHAnsi"/>
        </w:rPr>
        <w:t>WIPO/GRTKF/IC/16/6</w:t>
      </w:r>
      <w:r w:rsidRPr="00FD58A2">
        <w:rPr>
          <w:rFonts w:asciiTheme="minorHAnsi" w:hAnsiTheme="minorHAnsi" w:cstheme="minorHAnsi"/>
          <w:rtl/>
        </w:rPr>
        <w:t>، الصفحات من 7 إلى 11.</w:t>
      </w:r>
    </w:p>
  </w:footnote>
  <w:footnote w:id="4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الصفحة 65 من دراسة الويبو التقنية حول شروط الكشف في البراءات فيما يخص الموارد الوراثية والمعارف التقليدية، منشور الويبو رقم 786(</w:t>
      </w:r>
      <w:r w:rsidRPr="00FD58A2">
        <w:rPr>
          <w:rFonts w:asciiTheme="minorHAnsi" w:hAnsiTheme="minorHAnsi" w:cstheme="minorHAnsi"/>
        </w:rPr>
        <w:t>E</w:t>
      </w:r>
      <w:r w:rsidRPr="00FD58A2">
        <w:rPr>
          <w:rFonts w:asciiTheme="minorHAnsi" w:hAnsiTheme="minorHAnsi" w:cstheme="minorHAnsi"/>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D58A2">
        <w:rPr>
          <w:rFonts w:asciiTheme="minorHAnsi" w:hAnsiTheme="minorHAnsi" w:cstheme="minorHAnsi"/>
        </w:rPr>
        <w:t>http://wwws.wipo.int/publications/en/details.jsp?id=4194</w:t>
      </w:r>
      <w:r w:rsidRPr="00FD58A2">
        <w:rPr>
          <w:rFonts w:asciiTheme="minorHAnsi" w:hAnsiTheme="minorHAnsi" w:cstheme="minorHAnsi"/>
          <w:rtl/>
        </w:rPr>
        <w:t>.</w:t>
      </w:r>
    </w:p>
  </w:footnote>
  <w:footnote w:id="4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WIPO/GRTKF/IC/9/13</w:t>
      </w:r>
      <w:r w:rsidRPr="00FD58A2">
        <w:rPr>
          <w:rFonts w:asciiTheme="minorHAnsi" w:hAnsiTheme="minorHAnsi" w:cstheme="minorHAnsi"/>
          <w:rtl/>
        </w:rPr>
        <w:t xml:space="preserve"> (اقتراح بديل).</w:t>
      </w:r>
    </w:p>
  </w:footnote>
  <w:footnote w:id="4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TN/C/W/52</w:t>
      </w:r>
      <w:r w:rsidRPr="00FD58A2">
        <w:rPr>
          <w:rFonts w:asciiTheme="minorHAnsi" w:hAnsiTheme="minorHAnsi" w:cstheme="minorHAnsi"/>
          <w:rtl/>
        </w:rPr>
        <w:t>.</w:t>
      </w:r>
    </w:p>
  </w:footnote>
  <w:footnote w:id="5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تقرير عن مجموعة أدوات إدارة الملكية الفكرية أثناء توثيق المعارف التقليدية والموارد الوراثية (</w:t>
      </w:r>
      <w:r w:rsidRPr="00FD58A2">
        <w:rPr>
          <w:rFonts w:asciiTheme="minorHAnsi" w:hAnsiTheme="minorHAnsi" w:cstheme="minorHAnsi"/>
        </w:rPr>
        <w:t>WIPO/GRTKF/IC/5/5</w:t>
      </w:r>
      <w:r w:rsidRPr="00FD58A2">
        <w:rPr>
          <w:rFonts w:asciiTheme="minorHAnsi" w:hAnsiTheme="minorHAnsi" w:cstheme="minorHAnsi"/>
          <w:rtl/>
        </w:rPr>
        <w:t>)، الصفحة 4 من المرفق.</w:t>
      </w:r>
    </w:p>
  </w:footnote>
  <w:footnote w:id="5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w:t>
      </w:r>
    </w:p>
  </w:footnote>
  <w:footnote w:id="5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Exceptions and Limits to Copyright and Neighboring Rights, study prepared by Pierre Sirinelli, WCT-WPPT/IMP/1, 1999, p.2.</w:t>
      </w:r>
    </w:p>
  </w:footnote>
  <w:footnote w:id="5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9(2).</w:t>
      </w:r>
    </w:p>
  </w:footnote>
  <w:footnote w:id="54">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1982, para. 37.</w:t>
      </w:r>
    </w:p>
  </w:footnote>
  <w:footnote w:id="5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w:t>
      </w:r>
    </w:p>
  </w:footnote>
  <w:footnote w:id="5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Section 2.</w:t>
      </w:r>
    </w:p>
  </w:footnote>
  <w:footnote w:id="5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 289.</w:t>
      </w:r>
    </w:p>
  </w:footnote>
  <w:footnote w:id="5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 الصفحة 290.</w:t>
      </w:r>
    </w:p>
  </w:footnote>
  <w:footnote w:id="5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2(2).</w:t>
      </w:r>
    </w:p>
  </w:footnote>
  <w:footnote w:id="6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Terri Janke, “Unauthorized Reproduction of Rock Art”, in Minding Culture: Case Studies on Intellectual Property and Traditional Cultural Expressions, WIPO, 2003</w:t>
      </w:r>
      <w:r w:rsidRPr="00720E5B">
        <w:rPr>
          <w:rFonts w:hint="cs"/>
          <w:rtl/>
        </w:rPr>
        <w:t>.</w:t>
      </w:r>
    </w:p>
  </w:footnote>
  <w:footnote w:id="6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تقرير الدورة السابعة عشرة للجنة (</w:t>
      </w:r>
      <w:r w:rsidRPr="00720E5B">
        <w:t>WIPO/GRTKF/IC/17/12</w:t>
      </w:r>
      <w:r w:rsidRPr="00720E5B">
        <w:rPr>
          <w:rFonts w:hint="cs"/>
          <w:rtl/>
        </w:rPr>
        <w:t>) الفقرة 50.</w:t>
      </w:r>
    </w:p>
  </w:footnote>
  <w:footnote w:id="6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Model Provisions for National Laws on the Protection of Expressions of Folklore against Illicit Exploitation and Other Prejudicial Actions, 1982, Part I, para. 5-7.</w:t>
      </w:r>
    </w:p>
  </w:footnote>
  <w:footnote w:id="63">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290.</w:t>
      </w:r>
    </w:p>
  </w:footnote>
  <w:footnote w:id="64">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5(2) من اتفاقية برن، والمادة 9(1) من اتفاق تريبس، والمادة 25(10) من معاهدة الويبو بشأن حق المؤلف، والمادة 20 من</w:t>
      </w:r>
      <w:r w:rsidRPr="00720E5B">
        <w:rPr>
          <w:rFonts w:hint="cs"/>
          <w:rtl/>
          <w:lang w:bidi="ar-LB"/>
        </w:rPr>
        <w:t xml:space="preserve"> معاهدة الويبو بشأن الأداء والتسجيل الصوتي. </w:t>
      </w:r>
      <w:r>
        <w:rPr>
          <w:rFonts w:hint="cs"/>
          <w:rtl/>
          <w:lang w:bidi="ar-LB"/>
        </w:rPr>
        <w:t>انظر(ي)</w:t>
      </w:r>
      <w:r w:rsidRPr="00720E5B">
        <w:rPr>
          <w:rFonts w:hint="cs"/>
          <w:rtl/>
          <w:lang w:bidi="ar-LB"/>
        </w:rPr>
        <w:t xml:space="preserve"> أيضا </w:t>
      </w:r>
      <w:r w:rsidRPr="00720E5B">
        <w:rPr>
          <w:lang w:bidi="ar-LB"/>
        </w:rPr>
        <w:t>WIPO Guide to the Copyright and Related Right Treaties Administered by WIPO and Glossary of Copyright and Related Rights Terms, p. 291.</w:t>
      </w:r>
    </w:p>
  </w:footnote>
  <w:footnote w:id="65">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UNEP/CBD/WG-ABS/9/INF/1</w:t>
      </w:r>
      <w:r w:rsidRPr="00720E5B">
        <w:rPr>
          <w:rFonts w:hint="cs"/>
          <w:rtl/>
        </w:rPr>
        <w:t xml:space="preserve"> (مفهوم "الموارد الجينية" في اتفاقية التنوع البيولوجي وارتباطها بنظام دولي عامل بشأن النفاذ وتقاسم المنافع)، الصفحة 8.</w:t>
      </w:r>
    </w:p>
  </w:footnote>
  <w:footnote w:id="66">
    <w:p w:rsidR="00072B49" w:rsidRPr="00720E5B"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t xml:space="preserve">وضع المعايير: الأولويات المقبلة لأنشطة وضع المعايير، استعراض مشروع المبادئ العامة والمبادئ التوجيهية المتعلقة بالتراث الثقافي للشعوب الأصلية، ورقة عمل مقدمة من السيد يوزو يوكوتا ومجلس شعب الصامي، الوثيقة </w:t>
      </w:r>
      <w:r w:rsidRPr="00720E5B">
        <w:t>E/CN.4/Sub.2/AC.4/2006/5</w:t>
      </w:r>
      <w:r w:rsidRPr="00720E5B">
        <w:rPr>
          <w:rFonts w:hint="cs"/>
          <w:rtl/>
        </w:rPr>
        <w:t xml:space="preserve">، </w:t>
      </w:r>
      <w:r w:rsidRPr="00720E5B">
        <w:t>16</w:t>
      </w:r>
      <w:r w:rsidRPr="00720E5B">
        <w:rPr>
          <w:rFonts w:hint="cs"/>
          <w:rtl/>
        </w:rPr>
        <w:t xml:space="preserve"> يونيو 2006.</w:t>
      </w:r>
    </w:p>
  </w:footnote>
  <w:footnote w:id="67">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26.</w:t>
      </w:r>
    </w:p>
  </w:footnote>
  <w:footnote w:id="68">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قائمة وشرح تقني مختصر لمختلف الأشكال التي قد تتخذها المعارف التقليدية (الوثيقة </w:t>
      </w:r>
      <w:r w:rsidRPr="00720E5B">
        <w:t>WIPO/GRTKF/IC/17/INF/9</w:t>
      </w:r>
      <w:r w:rsidRPr="00720E5B">
        <w:rPr>
          <w:rFonts w:hint="cs"/>
          <w:rtl/>
        </w:rPr>
        <w:t>)، الفقرتان 43 و44 من المرفق.</w:t>
      </w:r>
    </w:p>
  </w:footnote>
  <w:footnote w:id="69">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مفهوم المجتمعات</w:t>
      </w:r>
      <w:r w:rsidRPr="00720E5B">
        <w:rPr>
          <w:rFonts w:hint="cs"/>
        </w:rPr>
        <w:t xml:space="preserve"> </w:t>
      </w:r>
      <w:r w:rsidRPr="00720E5B">
        <w:rPr>
          <w:rFonts w:hint="cs"/>
          <w:rtl/>
        </w:rPr>
        <w:t>أو الجماعات المحلية، ورقة مرجعية أعدتها الأمانة العامة للمنتدى الدائم المعني بقضايا الشعوب الأصلية لحلقة عمل للخبراء بشأن فرز البيانات (</w:t>
      </w:r>
      <w:r w:rsidRPr="00720E5B">
        <w:t>PFII/2004/WS.1/3/Add.1</w:t>
      </w:r>
      <w:r w:rsidRPr="00720E5B">
        <w:rPr>
          <w:rFonts w:hint="cs"/>
          <w:rtl/>
        </w:rPr>
        <w:t xml:space="preserve">). </w:t>
      </w:r>
      <w:r>
        <w:rPr>
          <w:rFonts w:hint="cs"/>
          <w:rtl/>
        </w:rPr>
        <w:t>انظر(ي)</w:t>
      </w:r>
      <w:r w:rsidRPr="00720E5B">
        <w:rPr>
          <w:rFonts w:hint="cs"/>
          <w:rtl/>
        </w:rPr>
        <w:t xml:space="preserve"> أيضا الوثيقة </w:t>
      </w:r>
      <w:r w:rsidRPr="00720E5B">
        <w:t>UNEP/CBD/WS-CB/LAC/1/INF/5</w:t>
      </w:r>
      <w:r w:rsidRPr="00720E5B">
        <w:rPr>
          <w:rFonts w:hint="cs"/>
          <w:rtl/>
        </w:rPr>
        <w:t>.</w:t>
      </w:r>
    </w:p>
  </w:footnote>
  <w:footnote w:id="70">
    <w:p w:rsidR="00072B49" w:rsidRPr="00720E5B"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اتفاقية التنوع البيولوجي، وضع عناصر الأنظمة الخاصة لحماية المعارف التقليدية والاختراعات والممارسات، الوثيقة </w:t>
      </w:r>
      <w:r w:rsidRPr="00720E5B">
        <w:t>UNEP/CBD/WG8J/4/INF/18</w:t>
      </w:r>
      <w:r w:rsidRPr="00720E5B">
        <w:rPr>
          <w:rFonts w:hint="cs"/>
          <w:rtl/>
        </w:rPr>
        <w:t>، الصفحة 5.</w:t>
      </w:r>
    </w:p>
  </w:footnote>
  <w:footnote w:id="71">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23. و</w:t>
      </w:r>
      <w:r>
        <w:rPr>
          <w:rFonts w:hint="cs"/>
          <w:rtl/>
        </w:rPr>
        <w:t>انظر(ي)</w:t>
      </w:r>
      <w:r w:rsidRPr="00720E5B">
        <w:rPr>
          <w:rFonts w:hint="cs"/>
          <w:rtl/>
        </w:rPr>
        <w:t xml:space="preserve"> أيضا قائمة وشرح تقني مختصر لمختلف الأشكال التي قد تتخذها المعارف التقليدية (الوثيقة </w:t>
      </w:r>
      <w:r w:rsidRPr="00720E5B">
        <w:t>WIPO/GRTKF/IC/17/INF/9</w:t>
      </w:r>
      <w:r w:rsidRPr="00720E5B">
        <w:rPr>
          <w:rFonts w:hint="cs"/>
          <w:rtl/>
        </w:rPr>
        <w:t>)، الفقرة 41 من المرفق.</w:t>
      </w:r>
    </w:p>
  </w:footnote>
  <w:footnote w:id="7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 من اتفاقية منظمة العمل الدولية رقم 169 بشأن الشعوب الأصلية والقبلية في البلدان المستقلة.</w:t>
      </w:r>
    </w:p>
  </w:footnote>
  <w:footnote w:id="73">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4A642B">
        <w:rPr>
          <w:rFonts w:hint="cs"/>
          <w:rtl/>
        </w:rPr>
        <w:t xml:space="preserve">مسرد مصطلحات برنامج الأمم المتحدة للبيئة لفائدة مفاوضي الاتفاقات المتعددة الأطراف بشأن البيئة، الصفحة 49 وهو متاح على الموقع التالي: </w:t>
      </w:r>
      <w:hyperlink r:id="rId5" w:history="1">
        <w:r w:rsidRPr="004A642B">
          <w:rPr>
            <w:rStyle w:val="Hyperlink"/>
            <w:color w:val="auto"/>
            <w:u w:val="none"/>
          </w:rPr>
          <w:t>http://wedocs.unep.org/handle/20.500.11822/7569</w:t>
        </w:r>
      </w:hyperlink>
      <w:r w:rsidRPr="004A642B">
        <w:rPr>
          <w:rFonts w:hint="cs"/>
          <w:rtl/>
        </w:rPr>
        <w:t>.</w:t>
      </w:r>
    </w:p>
  </w:footnote>
  <w:footnote w:id="74">
    <w:p w:rsidR="00072B49" w:rsidRPr="004A642B" w:rsidRDefault="00072B49" w:rsidP="0080684F">
      <w:pPr>
        <w:pStyle w:val="FootnoteText"/>
        <w:ind w:left="567" w:hanging="567"/>
        <w:rPr>
          <w:rtl/>
          <w:lang w:val="fr-CH"/>
        </w:rPr>
      </w:pPr>
      <w:r w:rsidRPr="00C87E7C">
        <w:rPr>
          <w:rStyle w:val="FootnoteReference"/>
          <w:rFonts w:ascii="Calibri" w:hAnsi="Calibri" w:cs="Calibri"/>
          <w:sz w:val="18"/>
          <w:szCs w:val="18"/>
        </w:rPr>
        <w:footnoteRef/>
      </w:r>
      <w:r w:rsidRPr="004A642B">
        <w:rPr>
          <w:rFonts w:hint="cs"/>
          <w:rtl/>
        </w:rPr>
        <w:tab/>
      </w:r>
      <w:r>
        <w:rPr>
          <w:rFonts w:hint="cs"/>
          <w:rtl/>
          <w:lang w:val="fr-CH"/>
        </w:rPr>
        <w:t>انظر(ي)</w:t>
      </w:r>
      <w:r w:rsidRPr="004A642B">
        <w:rPr>
          <w:rFonts w:hint="cs"/>
          <w:rtl/>
          <w:lang w:val="fr-CH"/>
        </w:rPr>
        <w:t xml:space="preserve"> </w:t>
      </w:r>
      <w:r w:rsidRPr="004A642B">
        <w:t>Operational Policy 4.10 on Indigenous Peoples, World Bank 2005; John Henriksen: Key Principles in Implementing ILO Convention No. 169, 2008.</w:t>
      </w:r>
    </w:p>
  </w:footnote>
  <w:footnote w:id="75">
    <w:p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w:t>
      </w:r>
      <w:r>
        <w:rPr>
          <w:rFonts w:hint="cs"/>
          <w:rtl/>
        </w:rPr>
        <w:t>انظر(ي)</w:t>
      </w:r>
      <w:r w:rsidRPr="004A642B">
        <w:rPr>
          <w:rFonts w:hint="cs"/>
          <w:rtl/>
        </w:rPr>
        <w:t xml:space="preserve"> المرفق الأول). وتستخدم الفاو نفس المعايير في سياستها المتعلقة بالشعوب الأصلية والقبلية (وهي متاحة على الموقع التالي: &lt;</w:t>
      </w:r>
      <w:r w:rsidRPr="004A642B">
        <w:t>http://www.fao.org/docrep/013/i1857e/i1857e00.pdf</w:t>
      </w:r>
      <w:r w:rsidRPr="004A642B">
        <w:rPr>
          <w:rFonts w:hint="cs"/>
          <w:rtl/>
        </w:rPr>
        <w:t>&gt;).</w:t>
      </w:r>
    </w:p>
  </w:footnote>
  <w:footnote w:id="76">
    <w:p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متاحة على موقع: &lt;</w:t>
      </w:r>
      <w:r w:rsidRPr="004A642B">
        <w:t>http://www.ifad.org/english/indigenous/documents/ip_policy_e.pdf</w:t>
      </w:r>
      <w:r w:rsidRPr="004A642B">
        <w:rPr>
          <w:rFonts w:hint="cs"/>
          <w:rtl/>
        </w:rPr>
        <w:t>&gt;.</w:t>
      </w:r>
    </w:p>
  </w:footnote>
  <w:footnote w:id="77">
    <w:p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 xml:space="preserve">متاحة على موقع: </w:t>
      </w:r>
      <w:hyperlink r:id="rId6" w:history="1">
        <w:r w:rsidRPr="004A642B">
          <w:rPr>
            <w:rStyle w:val="Hyperlink"/>
            <w:iCs/>
            <w:color w:val="auto"/>
            <w:u w:val="none"/>
            <w:lang w:val="en-GB"/>
          </w:rPr>
          <w:t>http://www.undp.org/content/undp/en/home/librarypage/environment-energy/local_development/undp-and-indigenous-peoples-a-policy-of-engagement.html</w:t>
        </w:r>
      </w:hyperlink>
      <w:r w:rsidRPr="004A642B">
        <w:rPr>
          <w:rFonts w:hint="cs"/>
          <w:rtl/>
        </w:rPr>
        <w:t>.</w:t>
      </w:r>
    </w:p>
  </w:footnote>
  <w:footnote w:id="78">
    <w:p w:rsidR="00072B49" w:rsidRPr="00720E5B" w:rsidRDefault="00072B49" w:rsidP="0080684F">
      <w:pPr>
        <w:pStyle w:val="FootnoteText"/>
        <w:ind w:left="567" w:hanging="567"/>
        <w:rPr>
          <w:rtl/>
          <w:lang w:val="fr-CH" w:bidi="ar-LB"/>
        </w:rPr>
      </w:pPr>
      <w:r w:rsidRPr="00C87E7C">
        <w:rPr>
          <w:rStyle w:val="FootnoteReference"/>
          <w:rFonts w:ascii="Calibri" w:hAnsi="Calibri" w:cs="Calibri"/>
          <w:sz w:val="18"/>
          <w:szCs w:val="18"/>
        </w:rPr>
        <w:footnoteRef/>
      </w:r>
      <w:r w:rsidRPr="00720E5B">
        <w:rPr>
          <w:rFonts w:hint="cs"/>
          <w:rtl/>
        </w:rPr>
        <w:tab/>
      </w:r>
      <w:r w:rsidRPr="00720E5B">
        <w:rPr>
          <w:rFonts w:hint="cs"/>
          <w:rtl/>
          <w:lang w:val="fr-CH"/>
        </w:rPr>
        <w:t>الل</w:t>
      </w:r>
      <w:r w:rsidRPr="00720E5B">
        <w:rPr>
          <w:rFonts w:hint="cs"/>
          <w:rtl/>
          <w:lang w:val="fr-CH" w:bidi="ar-LB"/>
        </w:rPr>
        <w:t>جنة الفرعية لمنع التمييز وحماية الأقليات التابعة للأمم المتحدة ودراستها المتعلقة بمشكلة التمييز ضد السكان الأصليين، وثيقة صادرة عن الأمم المتحدة، الوثيقة </w:t>
      </w:r>
      <w:r w:rsidRPr="00720E5B">
        <w:rPr>
          <w:lang w:val="fr-CH" w:bidi="ar-LB"/>
        </w:rPr>
        <w:t>E/CN.4/Sub.2/1986/7/Add.4</w:t>
      </w:r>
      <w:r w:rsidRPr="00720E5B">
        <w:rPr>
          <w:rFonts w:hint="cs"/>
          <w:rtl/>
          <w:lang w:val="fr-CH" w:bidi="ar-LB"/>
        </w:rPr>
        <w:t>، الفقرة 379 (1986).</w:t>
      </w:r>
    </w:p>
  </w:footnote>
  <w:footnote w:id="79">
    <w:p w:rsidR="00072B49" w:rsidRPr="0080684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293.</w:t>
      </w:r>
    </w:p>
  </w:footnote>
  <w:footnote w:id="80">
    <w:p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Sam Ricketson and Jane C. Ginsburg, International Copyright and Neighboring Rights—The Berne Convention and Beyond, Oxford, Vol. I., p.602</w:t>
      </w:r>
    </w:p>
  </w:footnote>
  <w:footnote w:id="8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133 من الوثيقة </w:t>
      </w:r>
      <w:r w:rsidRPr="00720E5B">
        <w:t>WIPO/GRTKF/IC/2/3</w:t>
      </w:r>
      <w:r w:rsidRPr="00720E5B">
        <w:rPr>
          <w:rFonts w:hint="cs"/>
          <w:rtl/>
        </w:rPr>
        <w:t>.</w:t>
      </w:r>
    </w:p>
  </w:footnote>
  <w:footnote w:id="8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WIPO/GRTKF/IC/7/9</w:t>
      </w:r>
      <w:r w:rsidRPr="00720E5B">
        <w:rPr>
          <w:rFonts w:hint="cs"/>
          <w:rtl/>
        </w:rPr>
        <w:t xml:space="preserve"> (الموارد الوراثية: مشروع مبادئ توجيهية بشأن الملكية الفكرية للنفاذ والتقاسم العادل للمنافع).</w:t>
      </w:r>
    </w:p>
  </w:footnote>
  <w:footnote w:id="83">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المبادئ التطبيقية في الوثيقة </w:t>
      </w:r>
      <w:r w:rsidRPr="00720E5B">
        <w:t>WIPO/GRTKF/IC/2/3</w:t>
      </w:r>
      <w:r w:rsidRPr="00720E5B">
        <w:rPr>
          <w:rFonts w:hint="cs"/>
          <w:rtl/>
        </w:rPr>
        <w:t>، الفصل خامساً – باء، الصفحة 50.</w:t>
      </w:r>
    </w:p>
  </w:footnote>
  <w:footnote w:id="84">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 xml:space="preserve"> (الموارد الوراثية: مشروع مبادئ توجيهية بشأن الملكية الفكرية للنفاذ والتقاسم العادل للمنافع: صيغة محدّثة).</w:t>
      </w:r>
    </w:p>
  </w:footnote>
  <w:footnote w:id="85">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w:t>
      </w:r>
    </w:p>
  </w:footnote>
  <w:footnote w:id="86">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 الصفحة 4 من المرفق.</w:t>
      </w:r>
    </w:p>
  </w:footnote>
  <w:footnote w:id="87">
    <w:p w:rsidR="00072B49"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88">
    <w:p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t>مسرد ركن براءات الويبو (</w:t>
      </w:r>
      <w:r w:rsidRPr="00720E5B">
        <w:t>PatentScope</w:t>
      </w:r>
      <w:r w:rsidRPr="00720E5B">
        <w:rPr>
          <w:rFonts w:hint="cs"/>
          <w:rtl/>
        </w:rPr>
        <w:t xml:space="preserve">). </w:t>
      </w:r>
    </w:p>
  </w:footnote>
  <w:footnote w:id="89">
    <w:p w:rsidR="00072B49" w:rsidRPr="00720E5B" w:rsidRDefault="00072B49" w:rsidP="0080684F">
      <w:pPr>
        <w:pStyle w:val="FootnoteText"/>
      </w:pPr>
      <w:r w:rsidRPr="00C87E7C">
        <w:rPr>
          <w:rStyle w:val="FootnoteReference"/>
          <w:rFonts w:ascii="Calibri" w:hAnsi="Calibri" w:cs="Calibri"/>
          <w:sz w:val="18"/>
          <w:szCs w:val="18"/>
        </w:rPr>
        <w:footnoteRef/>
      </w:r>
      <w:r w:rsidRPr="00720E5B">
        <w:rPr>
          <w:rFonts w:hint="cs"/>
          <w:rtl/>
        </w:rPr>
        <w:tab/>
        <w:t>المادة 1 من المعاهدة.</w:t>
      </w:r>
    </w:p>
  </w:footnote>
  <w:footnote w:id="9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الصفحة 20 في دليل الويبو للملكية الفكرية، منشور الويبو رقم 489 (</w:t>
      </w:r>
      <w:r w:rsidRPr="00720E5B">
        <w:t>E</w:t>
      </w:r>
      <w:r w:rsidRPr="00720E5B">
        <w:rPr>
          <w:rFonts w:hint="cs"/>
          <w:rtl/>
        </w:rPr>
        <w:t>)، لسنة 2008.</w:t>
      </w:r>
    </w:p>
  </w:footnote>
  <w:footnote w:id="9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المادة 35 من قانون الولايات المتحدة الأمريكية رقم 103 المتاح على الموقع التالي: </w:t>
      </w:r>
      <w:r w:rsidRPr="00720E5B">
        <w:t>https://www.uspto.gov/web/offices/pac/mpep/s2158.html</w:t>
      </w:r>
      <w:r w:rsidRPr="00720E5B">
        <w:rPr>
          <w:rFonts w:hint="cs"/>
          <w:rtl/>
        </w:rPr>
        <w:t>.</w:t>
      </w:r>
    </w:p>
  </w:footnote>
  <w:footnote w:id="9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3">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"Exceptions and Limits to Copyright and Neighboring Rights"</w:t>
      </w:r>
      <w:r w:rsidRPr="00720E5B">
        <w:rPr>
          <w:rFonts w:hint="cs"/>
          <w:rtl/>
        </w:rPr>
        <w:t>، دراسة من إعداد بيير سيرينيلي، الوثيقة </w:t>
      </w:r>
      <w:r w:rsidRPr="00720E5B">
        <w:t>WCT</w:t>
      </w:r>
      <w:r w:rsidRPr="00720E5B">
        <w:noBreakHyphen/>
        <w:t>WPPT/IMP/1</w:t>
      </w:r>
      <w:r w:rsidRPr="00720E5B">
        <w:rPr>
          <w:rFonts w:hint="cs"/>
          <w:rtl/>
        </w:rPr>
        <w:t>، الصفحة 2.</w:t>
      </w:r>
    </w:p>
  </w:footnote>
  <w:footnote w:id="94">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موقع الويبو الخاص بحق المؤلف والحقوق المجاورة: </w:t>
      </w:r>
      <w:r w:rsidRPr="00720E5B">
        <w:t>&lt;https://www.wipo.int/copyright/en/limitations/index.html&gt;</w:t>
      </w:r>
      <w:r w:rsidRPr="00720E5B">
        <w:rPr>
          <w:rFonts w:hint="cs"/>
          <w:rtl/>
        </w:rPr>
        <w:t>.</w:t>
      </w:r>
    </w:p>
  </w:footnote>
  <w:footnote w:id="95">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10(1).</w:t>
      </w:r>
    </w:p>
  </w:footnote>
  <w:footnote w:id="96">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9(2).</w:t>
      </w:r>
    </w:p>
  </w:footnote>
  <w:footnote w:id="97">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313.</w:t>
      </w:r>
    </w:p>
  </w:footnote>
  <w:footnote w:id="98">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9">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متاحة على الموقع التالي: </w:t>
      </w:r>
      <w:r w:rsidRPr="00720E5B">
        <w:t>&lt;https://www.wipo.int/tk/en/databases/contracts/index.html&gt;</w:t>
      </w:r>
      <w:r w:rsidRPr="00720E5B">
        <w:rPr>
          <w:rFonts w:hint="cs"/>
          <w:rtl/>
        </w:rPr>
        <w:t>.</w:t>
      </w:r>
    </w:p>
  </w:footnote>
  <w:footnote w:id="10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 على الموقع التالي: </w:t>
      </w:r>
      <w:r w:rsidRPr="00720E5B">
        <w:rPr>
          <w:bCs/>
        </w:rPr>
        <w:t>http://www.fao.org/3/a-be623e.pdf</w:t>
      </w:r>
      <w:r w:rsidRPr="00720E5B">
        <w:rPr>
          <w:rFonts w:hint="cs"/>
          <w:bCs/>
          <w:rtl/>
        </w:rPr>
        <w:t>.</w:t>
      </w:r>
    </w:p>
  </w:footnote>
  <w:footnote w:id="10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المسرد متاح على الموقع التالي: </w:t>
      </w:r>
      <w:r w:rsidRPr="00720E5B">
        <w:t>&lt;https://www.wipo.int/pct/en/texts/glossary.html#M&gt;</w:t>
      </w:r>
      <w:r w:rsidRPr="00720E5B">
        <w:rPr>
          <w:rFonts w:hint="cs"/>
          <w:rtl/>
        </w:rPr>
        <w:t>.</w:t>
      </w:r>
    </w:p>
  </w:footnote>
  <w:footnote w:id="10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تاسعاً- 1.2 من المبادئ التوجيهية بشأن البحث الدولي بناء على معاهدة التعاون بشأن البراءات (السارية منذ 18 سبتمبر 1998).</w:t>
      </w:r>
    </w:p>
  </w:footnote>
  <w:footnote w:id="103">
    <w:p w:rsidR="00072B49"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 xml:space="preserve">الحد الأدنى لمجموعة الوثائق المنصوص عليها في معاهدة التعاون بشأن البراءات الوثيقة </w:t>
      </w:r>
      <w:r w:rsidRPr="00720E5B">
        <w:t>PCT/MIA/9/4</w:t>
      </w:r>
      <w:r w:rsidRPr="00720E5B">
        <w:rPr>
          <w:rFonts w:hint="cs"/>
          <w:rtl/>
        </w:rPr>
        <w:t>.</w:t>
      </w:r>
    </w:p>
  </w:footnote>
  <w:footnote w:id="104">
    <w:p w:rsidR="00072B49" w:rsidRPr="00720E5B"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فرانشسكو كابوتورتي، المقرر الخاص السابق للأمم المتحدة، 1979، اقتبس عنه ديتر كوغلمان،</w:t>
      </w:r>
      <w:r w:rsidRPr="00720E5B">
        <w:rPr>
          <w:i/>
          <w:iCs/>
          <w:lang w:val="fr-FR"/>
        </w:rPr>
        <w:t>The Protection of Minorities and Indigenous Peoples Respective Cultural Diversity</w:t>
      </w:r>
      <w:r w:rsidRPr="00720E5B">
        <w:rPr>
          <w:lang w:val="fr-FR"/>
        </w:rPr>
        <w:t>, A. Von Bogdandy and R. Wolffrum, (eds), Max Planck Year Book of United Nations Law, Vol. 11, 2007, p.237</w:t>
      </w:r>
    </w:p>
  </w:footnote>
  <w:footnote w:id="105">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المادة 2(1) من الإعلان اﻟﻤﺘﻌﻠق ﺑﺤﻘﻮق اﻷﺷﺨﺎص اﻟﻤﻨﺘﻤﻴﻦ إﻟﻰ أﻗﻠﻴﺎت ﻗﻮﻣﻴﺔ أو إثنية وإﻟى أﻗﻠﻴﺎت دينية ولغوية، اعتمد بموجب قرار الجمعية العامة 47/135 المؤرخ في ديسمبر 1992.</w:t>
      </w:r>
    </w:p>
  </w:footnote>
  <w:footnote w:id="106">
    <w:p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المادة 1(1) من المرجع ذاته.</w:t>
      </w:r>
    </w:p>
  </w:footnote>
  <w:footnote w:id="107">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 xml:space="preserve">المادة 27 من </w:t>
      </w:r>
      <w:r w:rsidRPr="0056101C">
        <w:rPr>
          <w:rFonts w:hint="cs"/>
          <w:i/>
          <w:iCs/>
          <w:rtl/>
        </w:rPr>
        <w:t>العهد الدولي الخاص بالحقوق المدنية والسياسية</w:t>
      </w:r>
      <w:r w:rsidRPr="0056101C">
        <w:rPr>
          <w:rFonts w:hint="cs"/>
          <w:rtl/>
        </w:rPr>
        <w:t>، اعتمد وفتح باب التوقيع والتصديق والانضمام بموجب قرار الجمعية العامة 2200</w:t>
      </w:r>
      <w:r w:rsidRPr="0056101C">
        <w:t>A</w:t>
      </w:r>
      <w:r w:rsidRPr="0056101C">
        <w:rPr>
          <w:rtl/>
        </w:rPr>
        <w:t xml:space="preserve"> </w:t>
      </w:r>
      <w:r w:rsidRPr="0056101C">
        <w:rPr>
          <w:rFonts w:hint="cs"/>
          <w:rtl/>
        </w:rPr>
        <w:t>(</w:t>
      </w:r>
      <w:r w:rsidRPr="0056101C">
        <w:t>XXI</w:t>
      </w:r>
      <w:r w:rsidRPr="0056101C">
        <w:rPr>
          <w:rFonts w:hint="cs"/>
          <w:rtl/>
        </w:rPr>
        <w:t>) المؤرخ في 16 ديسمبر 1966 ودخل حيز النفاذ في 23 مارس 1976.</w:t>
      </w:r>
    </w:p>
  </w:footnote>
  <w:footnote w:id="108">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وثيقة العمل، النسخة المؤرخة 01 يناير 2009 "إطار قانوني لحماية المعارف التقليدية في سري لانكا".</w:t>
      </w:r>
    </w:p>
  </w:footnote>
  <w:footnote w:id="109">
    <w:p w:rsidR="00072B49"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 xml:space="preserve">اقترحت بعض الوفود، مثل وفد إندونيسيا ووفد المكسيك، إضافة مصطلح "سوء الاستخدام" إلى نص الوثيقة "حماية المعارف التقليدية: الأهداف والمبادئ المعدلة" (الوثيقة </w:t>
      </w:r>
      <w:r w:rsidRPr="0056101C">
        <w:t>WIPO/GRTKF/IC/18/5</w:t>
      </w:r>
      <w:r w:rsidRPr="0056101C">
        <w:rPr>
          <w:rFonts w:hint="cs"/>
          <w:rtl/>
        </w:rPr>
        <w:t>). غير أن وفد أستراليا لاحظ أن سوء الاستخدام مصطلح استُخدم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واستخدم للإشارة إلى الأفعال المنافية للشروط المتفق عليها بين الطرفين، أما التملك غير المشروع فيشير تحديدا إلى الاكتساب من غير موافقة مستنيرة مسبقة. 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p>
  </w:footnote>
  <w:footnote w:id="110">
    <w:p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r>
      <w:r>
        <w:rPr>
          <w:rFonts w:hint="cs"/>
          <w:rtl/>
        </w:rPr>
        <w:t>انظر(ي)</w:t>
      </w:r>
      <w:r w:rsidRPr="0056101C">
        <w:rPr>
          <w:rFonts w:hint="cs"/>
          <w:rtl/>
        </w:rPr>
        <w:t xml:space="preserve"> الفقرة 32 من الوثيقة </w:t>
      </w:r>
      <w:r w:rsidRPr="0056101C">
        <w:t>UNEP/CBD/COP/4/22</w:t>
      </w:r>
      <w:r w:rsidRPr="0056101C">
        <w:rPr>
          <w:rFonts w:hint="cs"/>
          <w:rtl/>
        </w:rPr>
        <w:t>.</w:t>
      </w:r>
    </w:p>
  </w:footnote>
  <w:footnote w:id="111">
    <w:p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sidRPr="00F73EC2">
        <w:t xml:space="preserve">Daniel Gervais, </w:t>
      </w:r>
      <w:r w:rsidRPr="00F73EC2">
        <w:rPr>
          <w:i/>
          <w:iCs/>
        </w:rPr>
        <w:t>The TRIPS Agreement. Drafting and Analysis</w:t>
      </w:r>
      <w:r w:rsidRPr="00F73EC2">
        <w:t>, 3rd Edition, Sweet &amp; Maxwell, p. 161</w:t>
      </w:r>
    </w:p>
  </w:footnote>
  <w:footnote w:id="112">
    <w:p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r>
      <w:r w:rsidRPr="00F73EC2">
        <w:t xml:space="preserve">Diter Kugelmann, </w:t>
      </w:r>
      <w:r w:rsidRPr="00F73EC2">
        <w:rPr>
          <w:i/>
          <w:iCs/>
        </w:rPr>
        <w:t>The Protection of Minorities and Indigenous Peoples Respective Cultural Diversity</w:t>
      </w:r>
      <w:r w:rsidRPr="00F73EC2">
        <w:t>, A. Von Bogdandy and R. Wolffrum, (eds), Max Planck Year Book of United Nations Law, Vol. 11, 2007, p.235.</w:t>
      </w:r>
    </w:p>
  </w:footnote>
  <w:footnote w:id="113">
    <w:p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t>معجم التراث الثقافي غير الملموس، من إعداد لجنة هولندا الوطنية لليونسكو لسنة 2002 في عبارة: (</w:t>
      </w:r>
      <w:r w:rsidRPr="00F73EC2">
        <w:t>“A nation can be a cultural community”</w:t>
      </w:r>
      <w:r w:rsidRPr="00F73EC2">
        <w:rPr>
          <w:rFonts w:hint="cs"/>
          <w:rtl/>
        </w:rPr>
        <w:t>) التي استشهد بها في الوثيقة: "حماية أشكال التعبير الثقافي التقليدي/ أشكال التعبير الفولكلوري: الأهداف والمبادئ المعدّلة"، الوثيقة </w:t>
      </w:r>
      <w:r w:rsidRPr="00F73EC2">
        <w:t>WIPO/GRTKF/IC/17/4</w:t>
      </w:r>
      <w:r w:rsidRPr="00F73EC2">
        <w:rPr>
          <w:rFonts w:hint="cs"/>
          <w:rtl/>
        </w:rPr>
        <w:t>.</w:t>
      </w:r>
    </w:p>
  </w:footnote>
  <w:footnote w:id="114">
    <w:p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t>دليل الويبو للملكية الفكرية، منشور الويبو رقم 498 (</w:t>
      </w:r>
      <w:r w:rsidRPr="00F73EC2">
        <w:t>E</w:t>
      </w:r>
      <w:r w:rsidRPr="00F73EC2">
        <w:rPr>
          <w:rFonts w:hint="cs"/>
          <w:rtl/>
        </w:rPr>
        <w:t>)، لسنة 2008، الصفحة 19.</w:t>
      </w:r>
    </w:p>
  </w:footnote>
  <w:footnote w:id="115">
    <w:p w:rsidR="00072B49"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Pr>
          <w:rFonts w:hint="cs"/>
          <w:rtl/>
        </w:rPr>
        <w:t>انظر(ي)</w:t>
      </w:r>
      <w:r w:rsidRPr="00F73EC2">
        <w:rPr>
          <w:rFonts w:hint="cs"/>
          <w:rtl/>
        </w:rPr>
        <w:t xml:space="preserve"> المادة 35 من قانون الولايات المتحدة رقم 102، المتاح على الموقع التالي: </w:t>
      </w:r>
      <w:r w:rsidRPr="00F73EC2">
        <w:t>https://www.uspto.gov/web/offices/pac/mpep/mpep-9015-appx-l.html#al_d1fbe1_19797_b0</w:t>
      </w:r>
      <w:r w:rsidRPr="00F73EC2">
        <w:rPr>
          <w:rFonts w:hint="cs"/>
          <w:rtl/>
        </w:rPr>
        <w:t xml:space="preserve">. ويُشار إلى المادة 35 من قانون الولايات المتحدة رقم 151 – إصدار البراءة، المتاح على الموقع التالي: </w:t>
      </w:r>
      <w:r w:rsidRPr="00F73EC2">
        <w:t>https://www.gpo.gov/fdsys/pkg/USCODE-2011-title35/pdf/USCODE-2011-title35-partII-chap14-sec151.pdf</w:t>
      </w:r>
      <w:r w:rsidRPr="00F73EC2">
        <w:rPr>
          <w:rFonts w:hint="cs"/>
          <w:rtl/>
        </w:rPr>
        <w:t xml:space="preserve">، وإلى المادة 35 من قانون الولايات المتحدة رقم 122(ب) – الوضع السري للطلبات؛ ونشر طلبات البراءات، المتاح على الموقع التالي: </w:t>
      </w:r>
      <w:r w:rsidRPr="00F73EC2">
        <w:rPr>
          <w:lang w:val="en"/>
        </w:rPr>
        <w:t>https://www.gpo.gov/fdsys/pkg/USCODE-2011-title35/pdf/USCODE-2011-title35-partII-chap11-sec122.pdf</w:t>
      </w:r>
      <w:r w:rsidRPr="00F73EC2">
        <w:rPr>
          <w:rFonts w:hint="cs"/>
          <w:rtl/>
          <w:lang w:val="en"/>
        </w:rPr>
        <w:t>.</w:t>
      </w:r>
    </w:p>
  </w:footnote>
  <w:footnote w:id="116">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مسرد ركن براءات الويبو (</w:t>
      </w:r>
      <w:r w:rsidRPr="004A642B">
        <w:t>PatentScope</w:t>
      </w:r>
      <w:r w:rsidRPr="004A642B">
        <w:rPr>
          <w:rFonts w:hint="cs"/>
          <w:rtl/>
        </w:rPr>
        <w:t>).</w:t>
      </w:r>
    </w:p>
  </w:footnote>
  <w:footnote w:id="117">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استعراض أنشطة لجنة المعارف ونتائجها (الوثيقة </w:t>
      </w:r>
      <w:r w:rsidRPr="004A642B">
        <w:t>WIPO/GRTKF/IC/5/12</w:t>
      </w:r>
      <w:r w:rsidRPr="004A642B">
        <w:rPr>
          <w:rFonts w:hint="cs"/>
          <w:rtl/>
        </w:rPr>
        <w:t>)، الفقرة 37.</w:t>
      </w:r>
    </w:p>
  </w:footnote>
  <w:footnote w:id="118">
    <w:p w:rsidR="00072B49"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وثيقة "حماية المعارف التقليدية: مشروع تحليل الثغرات المحدّث" (الوثيقة </w:t>
      </w:r>
      <w:r w:rsidRPr="004A642B">
        <w:t>WIPO/GRTKF/IC/38/6</w:t>
      </w:r>
      <w:r w:rsidRPr="004A642B">
        <w:rPr>
          <w:rFonts w:hint="cs"/>
          <w:rtl/>
        </w:rPr>
        <w:t>)، الصفحة 6 من المرفق الأول.</w:t>
      </w:r>
    </w:p>
  </w:footnote>
  <w:footnote w:id="119">
    <w:p w:rsidR="00072B49" w:rsidRPr="004A642B" w:rsidRDefault="00072B49" w:rsidP="0080684F">
      <w:pPr>
        <w:pStyle w:val="FootnoteText"/>
        <w:ind w:left="567" w:hanging="567"/>
        <w:rPr>
          <w:rtl/>
        </w:rPr>
      </w:pPr>
      <w:r w:rsidRPr="00C87E7C">
        <w:rPr>
          <w:rStyle w:val="FootnoteReference"/>
          <w:rFonts w:ascii="Calibri" w:hAnsi="Calibri" w:cs="Calibri"/>
          <w:sz w:val="18"/>
          <w:szCs w:val="18"/>
        </w:rPr>
        <w:footnoteRef/>
      </w:r>
      <w:r w:rsidRPr="004A642B">
        <w:rPr>
          <w:rFonts w:hint="cs"/>
          <w:rtl/>
        </w:rPr>
        <w:tab/>
        <w:t xml:space="preserve">المادة 32(2) من إعلان الأمم المتحدة بشأن حقوق الشعوب الأصلية؛ </w:t>
      </w:r>
      <w:r>
        <w:rPr>
          <w:rFonts w:hint="cs"/>
          <w:rtl/>
        </w:rPr>
        <w:t>انظر(ي)</w:t>
      </w:r>
      <w:r w:rsidRPr="004A642B">
        <w:rPr>
          <w:rFonts w:hint="cs"/>
          <w:rtl/>
        </w:rPr>
        <w:t xml:space="preserve"> أيضا مبادئ توجيهية بشأن الشعوب الأصلية لمجموعة الأمم المتحدة الإنمائية.</w:t>
      </w:r>
    </w:p>
  </w:footnote>
  <w:footnote w:id="120">
    <w:p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sidRPr="00613159">
        <w:t>Stephen Allen and Alexandra Xanthaki, “Reflections on the UN Declaration on the Rights of Indigenous Peoples”, Oxford and Portland, Oregon, p.49</w:t>
      </w:r>
      <w:r w:rsidRPr="00613159">
        <w:rPr>
          <w:rFonts w:hint="cs"/>
          <w:rtl/>
        </w:rPr>
        <w:t xml:space="preserve">. </w:t>
      </w:r>
      <w:r>
        <w:rPr>
          <w:rFonts w:hint="cs"/>
          <w:rtl/>
        </w:rPr>
        <w:t>انظر(ي)</w:t>
      </w:r>
      <w:r w:rsidRPr="00613159">
        <w:rPr>
          <w:rFonts w:hint="cs"/>
          <w:rtl/>
        </w:rPr>
        <w:t xml:space="preserve"> أيضا الدورة الرابعة لمنتدى الأمم المتحدة الدائم بشأن قضايا الشعوب الأصلية، والوثيقة “</w:t>
      </w:r>
      <w:r w:rsidRPr="00613159">
        <w:t>Report of the International Workshop on Methodologies regarding Free, Prior and Informed Consent and Indigenous Peoples”, E/C.19/2005/3. p.8.</w:t>
      </w:r>
    </w:p>
  </w:footnote>
  <w:footnote w:id="121">
    <w:p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دليل الويبو للملكية الفكرية، منشور الويبو رقم 498 (</w:t>
      </w:r>
      <w:r w:rsidRPr="00613159">
        <w:t>E</w:t>
      </w:r>
      <w:r w:rsidRPr="00613159">
        <w:rPr>
          <w:rFonts w:hint="cs"/>
          <w:rtl/>
        </w:rPr>
        <w:t>)، لسنة 2008، الصفحة 19.</w:t>
      </w:r>
    </w:p>
  </w:footnote>
  <w:footnote w:id="122">
    <w:p w:rsidR="00072B49" w:rsidRPr="00613159" w:rsidRDefault="00072B49" w:rsidP="0080684F">
      <w:pPr>
        <w:pStyle w:val="FootnoteText"/>
        <w:ind w:left="567" w:hanging="567"/>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المادة 35 من قانون الولايات المتحدة رقم 102، المتاح على الموقع التالي: </w:t>
      </w:r>
      <w:r w:rsidRPr="00613159">
        <w:t>https://www.uspto.gov/web/offices/pac/mpep/mpep-9015-appx-l.html#al_d1fbe1_19797_b0</w:t>
      </w:r>
      <w:r w:rsidRPr="00613159">
        <w:rPr>
          <w:rFonts w:hint="cs"/>
          <w:rtl/>
        </w:rPr>
        <w:t xml:space="preserve">. ويُشار إلى المادة 35 من قانون الولايات المتحدة رقم 151 – إصدار البراءة، المتاح على الموقع التالي: </w:t>
      </w:r>
      <w:r w:rsidRPr="00613159">
        <w:t>https://www.gpo.gov/fdsys/pkg/USCODE-2011-title35/pdf/USCODE-2011-title35-partII-chap14-sec151.pdf</w:t>
      </w:r>
      <w:r w:rsidRPr="00613159">
        <w:rPr>
          <w:rFonts w:hint="cs"/>
          <w:rtl/>
        </w:rPr>
        <w:t xml:space="preserve">، وإلى المادة 35 من قانون الولايات المتحدة رقم 122(ب) – الوضع السري للطلبات؛ ونشر طلبات البراءات، المتاح على الموقع التالي: </w:t>
      </w:r>
      <w:r w:rsidRPr="00613159">
        <w:rPr>
          <w:lang w:val="en"/>
        </w:rPr>
        <w:t>https://www.gpo.gov/fdsys/pkg/USCODE-2011-title35/pdf/USCODE-2011-title35-partII-chap11-sec122.pdf</w:t>
      </w:r>
      <w:r w:rsidRPr="00613159">
        <w:rPr>
          <w:rFonts w:hint="cs"/>
          <w:rtl/>
          <w:lang w:val="en"/>
        </w:rPr>
        <w:t>.</w:t>
      </w:r>
    </w:p>
  </w:footnote>
  <w:footnote w:id="123">
    <w:p w:rsidR="00072B49" w:rsidRDefault="00072B49" w:rsidP="0080684F">
      <w:pPr>
        <w:pStyle w:val="FootnoteText"/>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قانون البراءات الياباني المتاح على الموقع التالي: </w:t>
      </w:r>
      <w:r w:rsidRPr="00613159">
        <w:t>https://www.wipo.int/wipolex/en/details.jsp?id=16061</w:t>
      </w:r>
      <w:r w:rsidRPr="00613159">
        <w:rPr>
          <w:rFonts w:hint="cs"/>
          <w:rtl/>
        </w:rPr>
        <w:t>.</w:t>
      </w:r>
    </w:p>
  </w:footnote>
  <w:footnote w:id="124">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استعراض أنشطة لجنة المعارف ونتائجها (</w:t>
      </w:r>
      <w:r w:rsidRPr="00DB0636">
        <w:t>WIPO/GRTKF/IC/5/12</w:t>
      </w:r>
      <w:r w:rsidRPr="00DB0636">
        <w:rPr>
          <w:rFonts w:hint="cs"/>
          <w:rtl/>
        </w:rPr>
        <w:t>)، الفقرة 20.</w:t>
      </w:r>
    </w:p>
  </w:footnote>
  <w:footnote w:id="125">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الفقرتان 21 و22.</w:t>
      </w:r>
    </w:p>
  </w:footnote>
  <w:footnote w:id="126">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21.</w:t>
      </w:r>
    </w:p>
  </w:footnote>
  <w:footnote w:id="127">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28.</w:t>
      </w:r>
    </w:p>
  </w:footnote>
  <w:footnote w:id="128">
    <w:p w:rsidR="00072B49" w:rsidRPr="00DB0636" w:rsidRDefault="00072B49" w:rsidP="0080684F">
      <w:pPr>
        <w:pStyle w:val="FootnoteText"/>
        <w:ind w:left="555" w:hanging="555"/>
      </w:pPr>
      <w:r w:rsidRPr="00C87E7C">
        <w:rPr>
          <w:rStyle w:val="FootnoteReference"/>
          <w:rFonts w:ascii="Calibri" w:hAnsi="Calibri" w:cs="Calibri"/>
          <w:sz w:val="18"/>
          <w:szCs w:val="18"/>
        </w:rPr>
        <w:footnoteRef/>
      </w:r>
      <w:r w:rsidRPr="00DB0636">
        <w:rPr>
          <w:rFonts w:hint="cs"/>
          <w:rtl/>
        </w:rPr>
        <w:tab/>
      </w:r>
      <w:r w:rsidRPr="00DB0636">
        <w:t>Jane Anderson, “Indigenous Knowledge/Traditional Knowledge and Intellectual Property,” Issues Paper, Centre for the Public Domain, Duke University, 2011, available at &lt;http://www.law.duke.edu/cspd/itkpaper&gt;</w:t>
      </w:r>
      <w:r w:rsidRPr="00DB0636">
        <w:rPr>
          <w:rtl/>
        </w:rPr>
        <w:t xml:space="preserve"> </w:t>
      </w:r>
    </w:p>
  </w:footnote>
  <w:footnote w:id="129">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WIPO/GRTKF/17/INF/12</w:t>
      </w:r>
      <w:r w:rsidRPr="00DB0636">
        <w:rPr>
          <w:rFonts w:hint="cs"/>
          <w:rtl/>
        </w:rPr>
        <w:t>.</w:t>
      </w:r>
    </w:p>
  </w:footnote>
  <w:footnote w:id="130">
    <w:p w:rsidR="00072B49" w:rsidRPr="00DB0636"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1">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r>
      <w:r w:rsidRPr="00DB0636">
        <w:t>WIPO Guide to the Copyright and Related Rights Treaties by WIPO and Glossary of Copyright and Related Rights Terms.</w:t>
      </w:r>
    </w:p>
  </w:footnote>
  <w:footnote w:id="132">
    <w:p w:rsidR="00072B49" w:rsidRPr="00DB0636" w:rsidRDefault="00072B49" w:rsidP="0080684F">
      <w:pPr>
        <w:pStyle w:val="FootnoteText"/>
        <w:ind w:left="567" w:hanging="567"/>
        <w:rPr>
          <w:rt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3">
    <w:p w:rsidR="00072B49" w:rsidRPr="00DB0636" w:rsidRDefault="00072B49" w:rsidP="0080684F">
      <w:pPr>
        <w:pStyle w:val="FootnoteText"/>
        <w:ind w:left="567" w:hanging="567"/>
        <w:rPr>
          <w:rFonts w:cs="Aria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UNEP/CBD/WG-ABS/8/2</w:t>
      </w:r>
      <w:r w:rsidRPr="00DB0636">
        <w:rPr>
          <w:rFonts w:hint="cs"/>
          <w:rtl/>
        </w:rPr>
        <w:t>، تقرير اجتماع فريق الخبراء التقنيين والقانونيين المعني بالمعارف التقليدية المرتبطة بالموارد الوراثية في سياق النظام الدولي بشأن النفاذ وتقاسم المنافع.</w:t>
      </w:r>
    </w:p>
  </w:footnote>
  <w:footnote w:id="134">
    <w:p w:rsidR="00072B49" w:rsidRDefault="00072B49" w:rsidP="0080684F">
      <w:pPr>
        <w:pStyle w:val="FootnoteText"/>
        <w:ind w:left="567" w:hanging="567"/>
        <w:rPr>
          <w:rFonts w:cs="Arabic Typesetting"/>
          <w:sz w:val="28"/>
          <w:szCs w:val="28"/>
        </w:rPr>
      </w:pPr>
      <w:r w:rsidRPr="00C87E7C">
        <w:rPr>
          <w:rStyle w:val="FootnoteReference"/>
          <w:rFonts w:ascii="Calibri" w:hAnsi="Calibri" w:cs="Calibri"/>
          <w:sz w:val="18"/>
          <w:szCs w:val="18"/>
        </w:rPr>
        <w:footnoteRef/>
      </w:r>
      <w:r w:rsidRPr="00DB0636">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32.</w:t>
      </w:r>
    </w:p>
  </w:footnote>
  <w:footnote w:id="135">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w:t>
      </w:r>
    </w:p>
  </w:footnote>
  <w:footnote w:id="136">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المرجع السابق.</w:t>
      </w:r>
    </w:p>
  </w:footnote>
  <w:footnote w:id="137">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المادة 16 من القانون رقم 27811 بشأن إدخال نظام لحماية المعارف الجماعية للشعوب الأصلية المشتقة من الموارد البيولوجية. والقانون متاح على الموقع التالي: </w:t>
      </w:r>
      <w:r w:rsidRPr="00764C2F">
        <w:t>&lt;https://www.wipo.int/wipolex/en/details.jsp?id=3420&gt;</w:t>
      </w:r>
      <w:r w:rsidRPr="00764C2F">
        <w:rPr>
          <w:rFonts w:hint="cs"/>
          <w:rtl/>
        </w:rPr>
        <w:t>.</w:t>
      </w:r>
    </w:p>
  </w:footnote>
  <w:footnote w:id="138">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المادة 6(ثانيا) من اتفاقية برن.</w:t>
      </w:r>
    </w:p>
  </w:footnote>
  <w:footnote w:id="139">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tl/>
        </w:rPr>
        <w:t xml:space="preserve"> </w:t>
      </w:r>
      <w:r w:rsidRPr="00764C2F">
        <w:rPr>
          <w:rFonts w:hint="cs"/>
          <w:rtl/>
        </w:rPr>
        <w:tab/>
      </w:r>
      <w:r w:rsidRPr="00764C2F">
        <w:t>Sam Ricketson and Jane C. Ginsburg, International Copyright and Neighboring Rights—The Berne Convention and Beyond, Oxford, Vol. I., p. 606.</w:t>
      </w:r>
    </w:p>
  </w:footnote>
  <w:footnote w:id="140">
    <w:p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Daniel J. Gervais, Spiritual but not Intellectual: the Protection of Sacred Intangible Traditional Knowledge, 11 Cardozo J. Int’l &amp; Comp. L. 467, 469-490 (2003)</w:t>
      </w:r>
    </w:p>
  </w:footnote>
  <w:footnote w:id="141">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Gupta, A., “Rewarding Traditional Knowledge and Contemporary Grassroots Creativity: The Role of Intellectual Property Protection”, on file with the Secretariat.</w:t>
      </w:r>
    </w:p>
  </w:footnote>
  <w:footnote w:id="142">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171، متاح باللغة الإنكليزية على الموقع: &lt;</w:t>
      </w:r>
      <w:r w:rsidRPr="00764C2F">
        <w:t>https://www.wipo.int/tk/en/tk/ffm/report/index.html</w:t>
      </w:r>
      <w:r w:rsidRPr="00764C2F">
        <w:rPr>
          <w:rFonts w:hint="cs"/>
          <w:rtl/>
        </w:rPr>
        <w:t>&gt;.</w:t>
      </w:r>
    </w:p>
  </w:footnote>
  <w:footnote w:id="143">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نيوزيلندا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220.</w:t>
      </w:r>
    </w:p>
  </w:footnote>
  <w:footnote w:id="144">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اليابان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296.</w:t>
      </w:r>
    </w:p>
  </w:footnote>
  <w:footnote w:id="145">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حماية المعارف التقليدية: مشروع تحليل الثغرات: نص معدل (الوثيقة </w:t>
      </w:r>
      <w:r w:rsidRPr="00764C2F">
        <w:t>WIPO/GRTKF/IC/13/5(b) Rev.</w:t>
      </w:r>
      <w:r w:rsidRPr="00764C2F">
        <w:rPr>
          <w:rFonts w:hint="cs"/>
          <w:rtl/>
        </w:rPr>
        <w:t>) الصفحة 23 من المرفق الأول، والصفحات من 11 إلى 16 من المرفق الثاني.</w:t>
      </w:r>
    </w:p>
  </w:footnote>
  <w:footnote w:id="146">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الإطار الإقليمي للمحيط الهادئ لحماية المعارف التقليدية وأشكال التعبير الثقافي، 2002، الجزء الأول (4).</w:t>
      </w:r>
    </w:p>
  </w:footnote>
  <w:footnote w:id="147">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15 و16 و19 من اتفاقية التنوع البيولوجي.</w:t>
      </w:r>
    </w:p>
  </w:footnote>
  <w:footnote w:id="148">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من 10 إلى 13 من المعاهدة الدولية بشأن الموارد الوراثية النباتية للأغذية والزراعة.</w:t>
      </w:r>
    </w:p>
  </w:footnote>
  <w:footnote w:id="149">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المادة 8(ي) من اتفاقية التنوع البيولوجي.</w:t>
      </w:r>
    </w:p>
  </w:footnote>
  <w:footnote w:id="150">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الوثيقة </w:t>
      </w:r>
      <w:r w:rsidRPr="00764C2F">
        <w:t>WIPO/GRTKF/IC/11/10</w:t>
      </w:r>
      <w:r w:rsidRPr="00764C2F">
        <w:rPr>
          <w:rFonts w:hint="cs"/>
          <w:rtl/>
        </w:rPr>
        <w:t>.</w:t>
      </w:r>
    </w:p>
  </w:footnote>
  <w:footnote w:id="151">
    <w:p w:rsidR="00072B49" w:rsidRPr="00764C2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Part III.</w:t>
      </w:r>
    </w:p>
  </w:footnote>
  <w:footnote w:id="152">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Sect.2(iv).</w:t>
      </w:r>
    </w:p>
  </w:footnote>
  <w:footnote w:id="153">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نينو بيريز دي كارفاليو، من كوخ الشامان إلى مكتب البراءات: طريق قيد الإنشاء، التنوع البيولوجي والقانون، الصفحة 244.</w:t>
      </w:r>
    </w:p>
  </w:footnote>
  <w:footnote w:id="154">
    <w:p w:rsidR="00072B49"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التحليل الموحد للحماية القانونية لأشكال التعبير الثقافي التقليدي، الوثيقة </w:t>
      </w:r>
      <w:r w:rsidRPr="00764C2F">
        <w:t>WIPO/GRTKF/IC/5/3</w:t>
      </w:r>
      <w:r w:rsidRPr="00764C2F">
        <w:rPr>
          <w:rFonts w:hint="cs"/>
          <w:rtl/>
        </w:rPr>
        <w:t>، الفقرة 53.</w:t>
      </w:r>
    </w:p>
  </w:footnote>
  <w:footnote w:id="155">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sidRPr="00BE4193">
        <w:rPr>
          <w:i/>
          <w:iCs/>
        </w:rPr>
        <w:t>Model Provisions for National Laws on the Protection of Expressions of Folklore against Illicit Exploitation and Other Prejudicial Actions, 1982</w:t>
      </w:r>
      <w:r w:rsidRPr="00BE4193">
        <w:t>, Part III. 42</w:t>
      </w:r>
    </w:p>
  </w:footnote>
  <w:footnote w:id="156">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عناصر نظام خاص لحماية المعارف التقليدية (الوثيقة </w:t>
      </w:r>
      <w:r w:rsidRPr="00BE4193">
        <w:t>WIPO/GRTKF/IC/4/8</w:t>
      </w:r>
      <w:r w:rsidRPr="00BE4193">
        <w:rPr>
          <w:rFonts w:hint="cs"/>
          <w:rtl/>
        </w:rPr>
        <w:t>)، الفقرة 27.</w:t>
      </w:r>
    </w:p>
  </w:footnote>
  <w:footnote w:id="157">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sidRPr="00BE4193">
        <w:t>Consolidated Analysis of the Legal Protection of Traditional Cultural Expressions, WIPO/GRTKF/IC/5/3, para. 54</w:t>
      </w:r>
    </w:p>
  </w:footnote>
  <w:footnote w:id="158">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أيضا مارك ستفنسون، "المعارف الأصلية في عمليات التقييم البيئي" (</w:t>
      </w:r>
      <w:r w:rsidRPr="00BE4193">
        <w:t>49 ARCTIC 278</w:t>
      </w:r>
      <w:r w:rsidRPr="00BE4193">
        <w:rPr>
          <w:rFonts w:hint="cs"/>
          <w:rtl/>
        </w:rPr>
        <w:t>) (1996)، الصفحة 281.</w:t>
      </w:r>
    </w:p>
  </w:footnote>
  <w:footnote w:id="159">
    <w:p w:rsidR="00072B49"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فيكريت بيركس، "المعارف البيئية التقليدية من منظور آخر. المعارف البيئية التقليدية: مفاهيم وحالات". البرنامج الدولي بشأن المعارف البيئية التقليدية ومركز بحوث التنمية الدولية، أوتاوا.</w:t>
      </w:r>
    </w:p>
  </w:footnote>
  <w:footnote w:id="160">
    <w:p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25، وهو متاح على الموقع التالي: &lt;</w:t>
      </w:r>
      <w:r w:rsidRPr="00BE4193">
        <w:rPr>
          <w:rFonts w:cs="Arial"/>
        </w:rPr>
        <w:t xml:space="preserve"> </w:t>
      </w:r>
      <w:r w:rsidRPr="00BE4193">
        <w:t>https://www.wipo.int/publications/en/details.jsp?id=283&amp;plang=EN</w:t>
      </w:r>
      <w:r w:rsidRPr="00BE4193">
        <w:rPr>
          <w:rFonts w:hint="cs"/>
          <w:rtl/>
        </w:rPr>
        <w:t>.</w:t>
      </w:r>
    </w:p>
  </w:footnote>
  <w:footnote w:id="161">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للمزيد من المعلومات يمكن الاطلاع على الموقع التالي: </w:t>
      </w:r>
      <w:r w:rsidRPr="00BE4193">
        <w:t>&lt;http://www.tkdl.res.in/tkdl/langdefault/common/Abouttkdl.asp?GL=Eng&gt;</w:t>
      </w:r>
      <w:r w:rsidRPr="00BE4193">
        <w:rPr>
          <w:rFonts w:hint="cs"/>
          <w:rtl/>
        </w:rPr>
        <w:t>.</w:t>
      </w:r>
    </w:p>
  </w:footnote>
  <w:footnote w:id="162">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18.</w:t>
      </w:r>
    </w:p>
  </w:footnote>
  <w:footnote w:id="163">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المرجع السابق.</w:t>
      </w:r>
    </w:p>
  </w:footnote>
  <w:footnote w:id="164">
    <w:p w:rsidR="00072B49" w:rsidRDefault="00072B49" w:rsidP="0080684F">
      <w:pPr>
        <w:pStyle w:val="FootnoteText"/>
        <w:spacing w:line="260" w:lineRule="atLeast"/>
        <w:ind w:left="567" w:hanging="567"/>
      </w:pPr>
      <w:r w:rsidRPr="00C87E7C">
        <w:rPr>
          <w:rStyle w:val="FootnoteReference"/>
          <w:rFonts w:ascii="Calibri" w:hAnsi="Calibri" w:cs="Calibri"/>
          <w:sz w:val="18"/>
          <w:szCs w:val="18"/>
        </w:rPr>
        <w:footnoteRef/>
      </w:r>
      <w:r w:rsidRPr="00BE4193">
        <w:rPr>
          <w:rFonts w:hint="cs"/>
          <w:rtl/>
        </w:rPr>
        <w:tab/>
        <w:t xml:space="preserve">للمزيد من المعلومات يرجى الاطلاع على الموقع التالي: </w:t>
      </w:r>
      <w:r w:rsidRPr="00BE4193">
        <w:t>&lt;http://www.tkdl.res.in/tkdl/langdefault/common/TKRC.asp?GL=Eng&gt;</w:t>
      </w:r>
      <w:r w:rsidRPr="00BE4193">
        <w:rPr>
          <w:rFonts w:hint="cs"/>
          <w:rtl/>
        </w:rPr>
        <w:t>.</w:t>
      </w:r>
    </w:p>
  </w:footnote>
  <w:footnote w:id="165">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 xml:space="preserve">المبادئ التوجيهية العامة لمنهجيات البحث والتقييم في مجال الطب الشعبي (الوثيقة </w:t>
      </w:r>
      <w:r w:rsidRPr="00BE4193">
        <w:t>WHO/EDM/TRM/2000.1</w:t>
      </w:r>
      <w:r w:rsidRPr="00BE4193">
        <w:rPr>
          <w:rFonts w:hint="cs"/>
          <w:rtl/>
        </w:rPr>
        <w:t>)، الصفحة 1.</w:t>
      </w:r>
    </w:p>
  </w:footnote>
  <w:footnote w:id="166">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استراتيجية منظمة الصحة العالمية بشأن الطب الشعبي 2002-2005، الصفحة 7.</w:t>
      </w:r>
    </w:p>
  </w:footnote>
  <w:footnote w:id="167">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المواد من 10 إلى 13 من المعاهدة الدولية بشأن الموارد الوراثية النباتية للأغذية والزراعة.</w:t>
      </w:r>
    </w:p>
  </w:footnote>
  <w:footnote w:id="168">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وثيقة الويبو </w:t>
      </w:r>
      <w:r w:rsidRPr="00BE4193">
        <w:t>WIPO/GRTKF/IC/3/9</w:t>
      </w:r>
      <w:r w:rsidRPr="00BE4193">
        <w:rPr>
          <w:rFonts w:hint="cs"/>
          <w:rtl/>
        </w:rPr>
        <w:t>.</w:t>
      </w:r>
    </w:p>
  </w:footnote>
  <w:footnote w:id="169">
    <w:p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t xml:space="preserve">التحليل الموحد الخاص بالحماية القانونية لأشكال التعبير الثقافي التقليدي (الوثيقة </w:t>
      </w:r>
      <w:r w:rsidRPr="00BE4193">
        <w:t>WIPO/GRTKF/IC/5/3</w:t>
      </w:r>
      <w:r w:rsidRPr="00BE4193">
        <w:rPr>
          <w:rFonts w:hint="cs"/>
          <w:rtl/>
        </w:rPr>
        <w:t>)، الفقرة 57.</w:t>
      </w:r>
    </w:p>
  </w:footnote>
  <w:footnote w:id="170">
    <w:p w:rsidR="00072B49"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sidRPr="00BE4193">
        <w:t>Daniel Gervais, The TRIPS Agreement. Drafting and Analysis, 3rd Edition, Sweet &amp; Maxwell, p. 132.</w:t>
      </w:r>
    </w:p>
  </w:footnote>
  <w:footnote w:id="171">
    <w:p w:rsidR="00072B49" w:rsidRPr="00B13374" w:rsidRDefault="00072B49" w:rsidP="0080684F">
      <w:pPr>
        <w:pStyle w:val="FootnoteText"/>
        <w:rPr>
          <w:rtl/>
        </w:rPr>
      </w:pPr>
      <w:r w:rsidRPr="00C87E7C">
        <w:rPr>
          <w:rStyle w:val="FootnoteReference"/>
          <w:rFonts w:ascii="Calibri" w:hAnsi="Calibri" w:cs="Calibri"/>
          <w:sz w:val="18"/>
          <w:szCs w:val="18"/>
        </w:rPr>
        <w:footnoteRef/>
      </w:r>
      <w:r w:rsidRPr="00B13374">
        <w:rPr>
          <w:rFonts w:hint="cs"/>
          <w:rtl/>
        </w:rPr>
        <w:tab/>
      </w:r>
      <w:r>
        <w:rPr>
          <w:rFonts w:hint="cs"/>
          <w:rtl/>
        </w:rPr>
        <w:t>انظر(ي)</w:t>
      </w:r>
      <w:r w:rsidRPr="00B13374">
        <w:rPr>
          <w:rFonts w:hint="cs"/>
          <w:rtl/>
        </w:rPr>
        <w:t xml:space="preserve"> الموقع التالي: </w:t>
      </w:r>
      <w:r w:rsidRPr="00B13374">
        <w:t>http://www.un.org/en/universal-declaration-human-rights</w:t>
      </w:r>
      <w:r w:rsidRPr="00B13374">
        <w:rPr>
          <w:rFonts w:hint="cs"/>
          <w:rtl/>
        </w:rPr>
        <w:t>.</w:t>
      </w:r>
    </w:p>
  </w:footnote>
  <w:footnote w:id="172">
    <w:p w:rsidR="00072B49" w:rsidRPr="00B13374" w:rsidRDefault="00072B49" w:rsidP="0080684F">
      <w:pPr>
        <w:pStyle w:val="FootnoteText"/>
        <w:ind w:left="567" w:hanging="567"/>
      </w:pPr>
      <w:r w:rsidRPr="00C87E7C">
        <w:rPr>
          <w:rStyle w:val="FootnoteReference"/>
          <w:rFonts w:ascii="Calibri" w:hAnsi="Calibri" w:cs="Calibri"/>
          <w:sz w:val="18"/>
          <w:szCs w:val="18"/>
        </w:rPr>
        <w:footnoteRef/>
      </w:r>
      <w:r w:rsidRPr="00B13374">
        <w:rPr>
          <w:rFonts w:hint="cs"/>
          <w:rtl/>
        </w:rPr>
        <w:tab/>
        <w:t xml:space="preserve">يمكن الاطلاع على منشور الويبو المعنون "توثيق المعارف التقليدية – مجموعة أدوات" على الموقع الإلكتروني التالي: </w:t>
      </w:r>
      <w:r w:rsidRPr="00B13374">
        <w:t>https://www.wipo.int/publications/en/details.jsp?id=4235</w:t>
      </w:r>
      <w:r w:rsidRPr="00B13374">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Pr="00546F9A" w:rsidRDefault="00072B49" w:rsidP="00072B49">
    <w:pPr>
      <w:pStyle w:val="Header"/>
      <w:bidi w:val="0"/>
      <w:rPr>
        <w:rtl/>
      </w:rPr>
    </w:pPr>
    <w:r w:rsidRPr="00BD60D0">
      <w:t>WIPO/GRTKF/IC/</w:t>
    </w:r>
    <w:r>
      <w:t>46</w:t>
    </w:r>
    <w:r w:rsidRPr="00BD60D0">
      <w:t>/</w:t>
    </w:r>
    <w:r>
      <w:t>INF/7</w:t>
    </w:r>
  </w:p>
  <w:p w:rsidR="00072B49" w:rsidRDefault="00072B49" w:rsidP="00655D5F">
    <w:pPr>
      <w:pStyle w:val="Header"/>
      <w:bidi w:val="0"/>
      <w:rPr>
        <w:noProof/>
        <w:rtl/>
      </w:rPr>
    </w:pPr>
    <w:r>
      <w:fldChar w:fldCharType="begin"/>
    </w:r>
    <w:r>
      <w:instrText xml:space="preserve"> PAGE   \* MERGEFORMAT </w:instrText>
    </w:r>
    <w:r>
      <w:fldChar w:fldCharType="separate"/>
    </w:r>
    <w:r w:rsidR="00680448">
      <w:rPr>
        <w:noProof/>
      </w:rPr>
      <w:t>2</w:t>
    </w:r>
    <w:r>
      <w:rPr>
        <w:noProof/>
      </w:rPr>
      <w:fldChar w:fldCharType="end"/>
    </w:r>
  </w:p>
  <w:p w:rsidR="00072B49" w:rsidRDefault="00072B49" w:rsidP="00B13374">
    <w:pPr>
      <w:pStyle w:val="Header"/>
      <w:bidi w:val="0"/>
    </w:pPr>
  </w:p>
  <w:p w:rsidR="00072B49" w:rsidRPr="00F52843" w:rsidRDefault="00072B49"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Default="00072B49" w:rsidP="00072B49">
    <w:pPr>
      <w:pStyle w:val="Header"/>
      <w:bidi w:val="0"/>
    </w:pPr>
    <w:r w:rsidRPr="00BD60D0">
      <w:t>WIPO/GRTKF/IC/</w:t>
    </w:r>
    <w:r>
      <w:t>46</w:t>
    </w:r>
    <w:r w:rsidRPr="00BD60D0">
      <w:t>/</w:t>
    </w:r>
    <w:r>
      <w:t>INF/7</w:t>
    </w:r>
  </w:p>
  <w:p w:rsidR="00072B49" w:rsidRPr="002A62C3" w:rsidRDefault="00072B49" w:rsidP="00310791">
    <w:pPr>
      <w:pStyle w:val="Header"/>
      <w:bidi w:val="0"/>
      <w:rPr>
        <w:rtl/>
        <w:lang w:val="fr-CH"/>
      </w:rPr>
    </w:pPr>
    <w:r>
      <w:t>Annex</w:t>
    </w:r>
  </w:p>
  <w:p w:rsidR="00072B49" w:rsidRDefault="00072B49" w:rsidP="00B13374">
    <w:pPr>
      <w:pStyle w:val="Header"/>
      <w:bidi w:val="0"/>
    </w:pPr>
    <w:r>
      <w:fldChar w:fldCharType="begin"/>
    </w:r>
    <w:r>
      <w:instrText xml:space="preserve"> PAGE   \* MERGEFORMAT </w:instrText>
    </w:r>
    <w:r>
      <w:fldChar w:fldCharType="separate"/>
    </w:r>
    <w:r w:rsidR="00680448">
      <w:rPr>
        <w:noProof/>
      </w:rPr>
      <w:t>35</w:t>
    </w:r>
    <w:r>
      <w:rPr>
        <w:noProof/>
      </w:rPr>
      <w:fldChar w:fldCharType="end"/>
    </w:r>
  </w:p>
  <w:p w:rsidR="00072B49" w:rsidRPr="00F52843" w:rsidRDefault="00072B49"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Pr="00546F9A" w:rsidRDefault="00072B49" w:rsidP="00072B49">
    <w:pPr>
      <w:pStyle w:val="Header"/>
      <w:bidi w:val="0"/>
    </w:pPr>
    <w:r w:rsidRPr="00BD60D0">
      <w:t>WIPO/GRTKF/IC/</w:t>
    </w:r>
    <w:r>
      <w:t>46</w:t>
    </w:r>
    <w:r w:rsidRPr="00BD60D0">
      <w:t>/</w:t>
    </w:r>
    <w:r w:rsidRPr="00546F9A">
      <w:t>INF/7</w:t>
    </w:r>
  </w:p>
  <w:p w:rsidR="00072B49" w:rsidRPr="00546F9A" w:rsidRDefault="00072B49" w:rsidP="002A62C3">
    <w:pPr>
      <w:pStyle w:val="Header"/>
      <w:bidi w:val="0"/>
    </w:pPr>
    <w:r w:rsidRPr="00546F9A">
      <w:t>ANNEX</w:t>
    </w:r>
  </w:p>
  <w:p w:rsidR="00072B49" w:rsidRPr="002A62C3" w:rsidRDefault="00072B49" w:rsidP="002A62C3">
    <w:pPr>
      <w:pStyle w:val="Header"/>
      <w:bidi w:val="0"/>
      <w:rPr>
        <w:rtl/>
        <w:lang w:val="fr-CH" w:bidi="ar-EG"/>
      </w:rPr>
    </w:pPr>
    <w:r>
      <w:rPr>
        <w:rFonts w:hint="cs"/>
        <w:rtl/>
        <w:lang w:val="fr-CH" w:bidi="ar-EG"/>
      </w:rPr>
      <w:t>المرفق</w:t>
    </w:r>
  </w:p>
  <w:p w:rsidR="00072B49" w:rsidRDefault="0007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11" w15:restartNumberingAfterBreak="0">
    <w:nsid w:val="1A6962C0"/>
    <w:multiLevelType w:val="hybridMultilevel"/>
    <w:tmpl w:val="7B6668F8"/>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E311B9E"/>
    <w:multiLevelType w:val="hybridMultilevel"/>
    <w:tmpl w:val="7D081E7C"/>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lvl>
    <w:lvl w:ilvl="6">
      <w:start w:val="1"/>
      <w:numFmt w:val="none"/>
      <w:lvlText w:val=""/>
      <w:lvlJc w:val="left"/>
      <w:pPr>
        <w:tabs>
          <w:tab w:val="num" w:pos="3969"/>
        </w:tabs>
        <w:ind w:left="3969" w:firstLine="0"/>
      </w:pPr>
    </w:lvl>
    <w:lvl w:ilvl="7">
      <w:start w:val="1"/>
      <w:numFmt w:val="none"/>
      <w:lvlText w:val=""/>
      <w:lvlJc w:val="left"/>
      <w:pPr>
        <w:tabs>
          <w:tab w:val="num" w:pos="4536"/>
        </w:tabs>
        <w:ind w:left="4536" w:firstLine="0"/>
      </w:pPr>
    </w:lvl>
    <w:lvl w:ilvl="8">
      <w:start w:val="1"/>
      <w:numFmt w:val="none"/>
      <w:lvlText w:val=""/>
      <w:lvlJc w:val="left"/>
      <w:pPr>
        <w:tabs>
          <w:tab w:val="num" w:pos="5103"/>
        </w:tabs>
        <w:ind w:left="5103" w:firstLine="0"/>
      </w:pPr>
    </w:lvl>
  </w:abstractNum>
  <w:abstractNum w:abstractNumId="17"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7B70023"/>
    <w:multiLevelType w:val="hybridMultilevel"/>
    <w:tmpl w:val="69823C6E"/>
    <w:lvl w:ilvl="0" w:tplc="CA1AC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9"/>
  </w:num>
  <w:num w:numId="3">
    <w:abstractNumId w:val="12"/>
  </w:num>
  <w:num w:numId="4">
    <w:abstractNumId w:val="15"/>
  </w:num>
  <w:num w:numId="5">
    <w:abstractNumId w:val="17"/>
  </w:num>
  <w:num w:numId="6">
    <w:abstractNumId w:val="8"/>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2B49"/>
    <w:rsid w:val="00075432"/>
    <w:rsid w:val="000968ED"/>
    <w:rsid w:val="00096CA1"/>
    <w:rsid w:val="000A36F0"/>
    <w:rsid w:val="000A3D97"/>
    <w:rsid w:val="000C1BD0"/>
    <w:rsid w:val="000F5E56"/>
    <w:rsid w:val="001240FA"/>
    <w:rsid w:val="00127BAD"/>
    <w:rsid w:val="001362EE"/>
    <w:rsid w:val="001406E1"/>
    <w:rsid w:val="00155D8A"/>
    <w:rsid w:val="00160172"/>
    <w:rsid w:val="001601E5"/>
    <w:rsid w:val="001647D5"/>
    <w:rsid w:val="001832A6"/>
    <w:rsid w:val="001940A0"/>
    <w:rsid w:val="0019592A"/>
    <w:rsid w:val="00196044"/>
    <w:rsid w:val="001A0750"/>
    <w:rsid w:val="001B68CC"/>
    <w:rsid w:val="001D4107"/>
    <w:rsid w:val="001F0DBC"/>
    <w:rsid w:val="001F42CA"/>
    <w:rsid w:val="00203D24"/>
    <w:rsid w:val="00210D5F"/>
    <w:rsid w:val="0021217E"/>
    <w:rsid w:val="00212EDF"/>
    <w:rsid w:val="002326AB"/>
    <w:rsid w:val="00243430"/>
    <w:rsid w:val="0024540F"/>
    <w:rsid w:val="0025026B"/>
    <w:rsid w:val="002634C4"/>
    <w:rsid w:val="002928D3"/>
    <w:rsid w:val="002937BA"/>
    <w:rsid w:val="002A62C3"/>
    <w:rsid w:val="002F1FE6"/>
    <w:rsid w:val="002F4E68"/>
    <w:rsid w:val="00310791"/>
    <w:rsid w:val="00312F7F"/>
    <w:rsid w:val="00360207"/>
    <w:rsid w:val="00361450"/>
    <w:rsid w:val="003673CF"/>
    <w:rsid w:val="003804EE"/>
    <w:rsid w:val="003845C1"/>
    <w:rsid w:val="003A6F89"/>
    <w:rsid w:val="003B355C"/>
    <w:rsid w:val="003B38C1"/>
    <w:rsid w:val="003B76A4"/>
    <w:rsid w:val="003C34E9"/>
    <w:rsid w:val="003C54AC"/>
    <w:rsid w:val="003C687A"/>
    <w:rsid w:val="003D5B8C"/>
    <w:rsid w:val="00423E3E"/>
    <w:rsid w:val="00427AF4"/>
    <w:rsid w:val="004647DA"/>
    <w:rsid w:val="00474062"/>
    <w:rsid w:val="00477D6B"/>
    <w:rsid w:val="00481008"/>
    <w:rsid w:val="004A642B"/>
    <w:rsid w:val="004E4527"/>
    <w:rsid w:val="004E5ECA"/>
    <w:rsid w:val="005019FF"/>
    <w:rsid w:val="00510F29"/>
    <w:rsid w:val="0053057A"/>
    <w:rsid w:val="00545BC0"/>
    <w:rsid w:val="00546F9A"/>
    <w:rsid w:val="00547552"/>
    <w:rsid w:val="00556076"/>
    <w:rsid w:val="00560A29"/>
    <w:rsid w:val="0056101C"/>
    <w:rsid w:val="00561435"/>
    <w:rsid w:val="00575FB0"/>
    <w:rsid w:val="0058726E"/>
    <w:rsid w:val="005875D1"/>
    <w:rsid w:val="005A400F"/>
    <w:rsid w:val="005A53BE"/>
    <w:rsid w:val="005C5411"/>
    <w:rsid w:val="005C6324"/>
    <w:rsid w:val="005C6649"/>
    <w:rsid w:val="005E469E"/>
    <w:rsid w:val="005E7B89"/>
    <w:rsid w:val="00605827"/>
    <w:rsid w:val="00613159"/>
    <w:rsid w:val="00615CB0"/>
    <w:rsid w:val="00640D38"/>
    <w:rsid w:val="00646050"/>
    <w:rsid w:val="00655D5F"/>
    <w:rsid w:val="00664F4E"/>
    <w:rsid w:val="006713CA"/>
    <w:rsid w:val="0067495A"/>
    <w:rsid w:val="00676C5C"/>
    <w:rsid w:val="00680448"/>
    <w:rsid w:val="006A4C55"/>
    <w:rsid w:val="006A729E"/>
    <w:rsid w:val="006A784B"/>
    <w:rsid w:val="006B5C12"/>
    <w:rsid w:val="006E2AE3"/>
    <w:rsid w:val="006E3BB4"/>
    <w:rsid w:val="00720E5B"/>
    <w:rsid w:val="00720EFD"/>
    <w:rsid w:val="00726E12"/>
    <w:rsid w:val="0073564F"/>
    <w:rsid w:val="007407CD"/>
    <w:rsid w:val="00764C2F"/>
    <w:rsid w:val="007854AF"/>
    <w:rsid w:val="00793A7C"/>
    <w:rsid w:val="007A398A"/>
    <w:rsid w:val="007A547D"/>
    <w:rsid w:val="007A5E49"/>
    <w:rsid w:val="007C1431"/>
    <w:rsid w:val="007C4902"/>
    <w:rsid w:val="007D1613"/>
    <w:rsid w:val="007E4C0E"/>
    <w:rsid w:val="007F2029"/>
    <w:rsid w:val="0080684F"/>
    <w:rsid w:val="00810574"/>
    <w:rsid w:val="008909D8"/>
    <w:rsid w:val="008A134B"/>
    <w:rsid w:val="008B2CC1"/>
    <w:rsid w:val="008B60B2"/>
    <w:rsid w:val="008F02BC"/>
    <w:rsid w:val="008F787E"/>
    <w:rsid w:val="0090731E"/>
    <w:rsid w:val="00916EE2"/>
    <w:rsid w:val="00966A22"/>
    <w:rsid w:val="0096722F"/>
    <w:rsid w:val="00980843"/>
    <w:rsid w:val="00987B75"/>
    <w:rsid w:val="009B0855"/>
    <w:rsid w:val="009C6280"/>
    <w:rsid w:val="009D6812"/>
    <w:rsid w:val="009E2791"/>
    <w:rsid w:val="009E3F6F"/>
    <w:rsid w:val="009F05BD"/>
    <w:rsid w:val="009F25BA"/>
    <w:rsid w:val="009F499F"/>
    <w:rsid w:val="00A009DB"/>
    <w:rsid w:val="00A021E1"/>
    <w:rsid w:val="00A02F0F"/>
    <w:rsid w:val="00A04A5C"/>
    <w:rsid w:val="00A37342"/>
    <w:rsid w:val="00A42C18"/>
    <w:rsid w:val="00A42DAF"/>
    <w:rsid w:val="00A45BD8"/>
    <w:rsid w:val="00A57799"/>
    <w:rsid w:val="00A70B97"/>
    <w:rsid w:val="00A869B7"/>
    <w:rsid w:val="00A90F0A"/>
    <w:rsid w:val="00A91F7C"/>
    <w:rsid w:val="00AA4217"/>
    <w:rsid w:val="00AC205C"/>
    <w:rsid w:val="00AC2B32"/>
    <w:rsid w:val="00AF0A6B"/>
    <w:rsid w:val="00B05A69"/>
    <w:rsid w:val="00B07ABA"/>
    <w:rsid w:val="00B13374"/>
    <w:rsid w:val="00B15C3A"/>
    <w:rsid w:val="00B268A1"/>
    <w:rsid w:val="00B34965"/>
    <w:rsid w:val="00B42CA9"/>
    <w:rsid w:val="00B51FF7"/>
    <w:rsid w:val="00B5633D"/>
    <w:rsid w:val="00B605C6"/>
    <w:rsid w:val="00B63652"/>
    <w:rsid w:val="00B75281"/>
    <w:rsid w:val="00B92B95"/>
    <w:rsid w:val="00B92F1F"/>
    <w:rsid w:val="00B93CF5"/>
    <w:rsid w:val="00B9734B"/>
    <w:rsid w:val="00BA30E2"/>
    <w:rsid w:val="00BD60D0"/>
    <w:rsid w:val="00BE4193"/>
    <w:rsid w:val="00BF0574"/>
    <w:rsid w:val="00C04F3B"/>
    <w:rsid w:val="00C11BFE"/>
    <w:rsid w:val="00C2646B"/>
    <w:rsid w:val="00C5068F"/>
    <w:rsid w:val="00C54E8D"/>
    <w:rsid w:val="00C86D74"/>
    <w:rsid w:val="00C87E7C"/>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B0636"/>
    <w:rsid w:val="00DD7B7F"/>
    <w:rsid w:val="00DF12E1"/>
    <w:rsid w:val="00E14FF6"/>
    <w:rsid w:val="00E15015"/>
    <w:rsid w:val="00E319DF"/>
    <w:rsid w:val="00E335FE"/>
    <w:rsid w:val="00E4597D"/>
    <w:rsid w:val="00E542D3"/>
    <w:rsid w:val="00E558DB"/>
    <w:rsid w:val="00E66CC5"/>
    <w:rsid w:val="00E7374D"/>
    <w:rsid w:val="00E94A9E"/>
    <w:rsid w:val="00E95EA0"/>
    <w:rsid w:val="00EA2633"/>
    <w:rsid w:val="00EA7D6E"/>
    <w:rsid w:val="00EB2F76"/>
    <w:rsid w:val="00EC4E49"/>
    <w:rsid w:val="00ED77FB"/>
    <w:rsid w:val="00EE066C"/>
    <w:rsid w:val="00EE277B"/>
    <w:rsid w:val="00EE45FA"/>
    <w:rsid w:val="00EE5E1D"/>
    <w:rsid w:val="00F043DE"/>
    <w:rsid w:val="00F4084F"/>
    <w:rsid w:val="00F52843"/>
    <w:rsid w:val="00F66152"/>
    <w:rsid w:val="00F73EC2"/>
    <w:rsid w:val="00F9165B"/>
    <w:rsid w:val="00FC1833"/>
    <w:rsid w:val="00FC482F"/>
    <w:rsid w:val="00FD58A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80898"/>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80684F"/>
    <w:pPr>
      <w:keepNext/>
      <w:spacing w:before="360" w:after="180"/>
      <w:outlineLvl w:val="1"/>
    </w:pPr>
    <w:rPr>
      <w:rFonts w:ascii="Calibri" w:hAnsi="Calibri"/>
      <w:bCs/>
      <w:iCs/>
      <w:caps/>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semiHidden/>
    <w:unhideWhenUsed/>
    <w:qFormat/>
    <w:rsid w:val="0080684F"/>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paragraph" w:customStyle="1" w:styleId="Decision">
    <w:name w:val="Decision"/>
    <w:basedOn w:val="ONUMA"/>
    <w:uiPriority w:val="1"/>
    <w:qFormat/>
    <w:rsid w:val="00196044"/>
    <w:pPr>
      <w:numPr>
        <w:numId w:val="5"/>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875D1"/>
    <w:rPr>
      <w:rFonts w:ascii="Arabic Typesetting" w:hAnsi="Arabic Typesetting" w:cs="Arabic Typesetting"/>
      <w:sz w:val="36"/>
      <w:szCs w:val="36"/>
      <w:vertAlign w:val="superscript"/>
    </w:rPr>
  </w:style>
  <w:style w:type="character" w:customStyle="1" w:styleId="FootnoteTextChar">
    <w:name w:val="Footnote Text Char"/>
    <w:aliases w:val="Footnote ak Char1"/>
    <w:basedOn w:val="DefaultParagraphFont"/>
    <w:link w:val="FootnoteText"/>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uiPriority w:val="99"/>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uiPriority w:val="1"/>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 w:type="character" w:customStyle="1" w:styleId="Heading5Char">
    <w:name w:val="Heading 5 Char"/>
    <w:basedOn w:val="DefaultParagraphFont"/>
    <w:link w:val="Heading5"/>
    <w:semiHidden/>
    <w:rsid w:val="0080684F"/>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80684F"/>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80684F"/>
    <w:rPr>
      <w:rFonts w:ascii="Calibri" w:eastAsia="SimSun" w:hAnsi="Calibri" w:cs="Calibri"/>
      <w:bCs/>
      <w:iCs/>
      <w:caps/>
      <w:sz w:val="22"/>
      <w:szCs w:val="28"/>
      <w:lang w:val="en-US" w:eastAsia="zh-CN"/>
    </w:rPr>
  </w:style>
  <w:style w:type="character" w:customStyle="1" w:styleId="Heading3Char">
    <w:name w:val="Heading 3 Char"/>
    <w:basedOn w:val="DefaultParagraphFont"/>
    <w:link w:val="Heading3"/>
    <w:rsid w:val="0080684F"/>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80684F"/>
    <w:rPr>
      <w:rFonts w:ascii="Arial" w:eastAsia="SimSun" w:hAnsi="Arial" w:cs="Calibri"/>
      <w:bCs/>
      <w:i/>
      <w:sz w:val="24"/>
      <w:szCs w:val="24"/>
      <w:lang w:val="en-US" w:eastAsia="zh-CN"/>
    </w:rPr>
  </w:style>
  <w:style w:type="paragraph" w:customStyle="1" w:styleId="msonormal0">
    <w:name w:val="msonormal"/>
    <w:basedOn w:val="Normal"/>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NormalWeb">
    <w:name w:val="Normal (Web)"/>
    <w:basedOn w:val="Normal"/>
    <w:semiHidden/>
    <w:unhideWhenUsed/>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unhideWhenUsed/>
    <w:rsid w:val="0080684F"/>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unhideWhenUsed/>
    <w:rsid w:val="0080684F"/>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unhideWhenUsed/>
    <w:rsid w:val="0080684F"/>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unhideWhenUsed/>
    <w:rsid w:val="0080684F"/>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unhideWhenUsed/>
    <w:rsid w:val="0080684F"/>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6">
    <w:name w:val="toc 6"/>
    <w:basedOn w:val="Normal"/>
    <w:next w:val="Normal"/>
    <w:autoRedefine/>
    <w:uiPriority w:val="39"/>
    <w:unhideWhenUsed/>
    <w:rsid w:val="0080684F"/>
    <w:pPr>
      <w:bidi w:val="0"/>
      <w:spacing w:after="100" w:line="25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80684F"/>
    <w:pPr>
      <w:bidi w:val="0"/>
      <w:spacing w:after="100" w:line="25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80684F"/>
    <w:pPr>
      <w:bidi w:val="0"/>
      <w:spacing w:after="100" w:line="25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80684F"/>
    <w:pPr>
      <w:bidi w:val="0"/>
      <w:spacing w:after="100" w:line="256" w:lineRule="auto"/>
      <w:ind w:left="1760"/>
    </w:pPr>
    <w:rPr>
      <w:rFonts w:asciiTheme="minorHAnsi" w:eastAsiaTheme="minorEastAsia" w:hAnsiTheme="minorHAnsi" w:cstheme="minorBidi"/>
      <w:lang w:eastAsia="en-US"/>
    </w:rPr>
  </w:style>
  <w:style w:type="character" w:customStyle="1" w:styleId="FootnoteTextChar1">
    <w:name w:val="Footnote Text Char1"/>
    <w:aliases w:val="Footnote ak Char"/>
    <w:basedOn w:val="DefaultParagraphFont"/>
    <w:semiHidden/>
    <w:rsid w:val="0080684F"/>
    <w:rPr>
      <w:rFonts w:ascii="Arabic Typesetting" w:hAnsi="Arabic Typesetting" w:cs="Arabic Typesetting"/>
      <w:lang w:val="en-US" w:eastAsia="en-US"/>
    </w:rPr>
  </w:style>
  <w:style w:type="character" w:customStyle="1" w:styleId="CommentTextChar">
    <w:name w:val="Comment Text Char"/>
    <w:basedOn w:val="DefaultParagraphFont"/>
    <w:link w:val="CommentText"/>
    <w:semiHidden/>
    <w:rsid w:val="0080684F"/>
    <w:rPr>
      <w:rFonts w:ascii="Arial" w:eastAsia="SimSun" w:hAnsi="Arial" w:cs="Calibri"/>
      <w:sz w:val="18"/>
      <w:szCs w:val="22"/>
      <w:lang w:val="en-US" w:eastAsia="zh-CN"/>
    </w:rPr>
  </w:style>
  <w:style w:type="character" w:customStyle="1" w:styleId="HeaderChar">
    <w:name w:val="Header Char"/>
    <w:basedOn w:val="DefaultParagraphFont"/>
    <w:link w:val="Header"/>
    <w:uiPriority w:val="99"/>
    <w:semiHidden/>
    <w:rsid w:val="0080684F"/>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80684F"/>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80684F"/>
    <w:rPr>
      <w:rFonts w:ascii="Arial" w:eastAsia="SimSun" w:hAnsi="Arial" w:cs="Calibri"/>
      <w:sz w:val="18"/>
      <w:szCs w:val="18"/>
      <w:lang w:val="en-US" w:eastAsia="zh-CN"/>
    </w:rPr>
  </w:style>
  <w:style w:type="paragraph" w:styleId="List">
    <w:name w:val="List"/>
    <w:basedOn w:val="Normal"/>
    <w:semiHidden/>
    <w:unhideWhenUsed/>
    <w:rsid w:val="0080684F"/>
    <w:pPr>
      <w:spacing w:before="200"/>
      <w:ind w:left="284" w:hanging="284"/>
    </w:pPr>
    <w:rPr>
      <w:rFonts w:ascii="Arabic Typesetting" w:eastAsia="Times New Roman" w:hAnsi="Arabic Typesetting" w:cs="Arabic Typesetting"/>
      <w:sz w:val="36"/>
      <w:szCs w:val="36"/>
      <w:lang w:eastAsia="en-US"/>
    </w:rPr>
  </w:style>
  <w:style w:type="paragraph" w:styleId="ListBullet">
    <w:name w:val="List Bullet"/>
    <w:basedOn w:val="Normal"/>
    <w:semiHidden/>
    <w:unhideWhenUsed/>
    <w:rsid w:val="0080684F"/>
    <w:pPr>
      <w:numPr>
        <w:numId w:val="6"/>
      </w:numPr>
      <w:spacing w:before="200"/>
      <w:ind w:left="1134" w:hanging="567"/>
    </w:pPr>
    <w:rPr>
      <w:rFonts w:ascii="Arabic Typesetting" w:eastAsia="Times New Roman" w:hAnsi="Arabic Typesetting" w:cs="Arabic Typesetting"/>
      <w:sz w:val="36"/>
      <w:szCs w:val="36"/>
      <w:lang w:eastAsia="en-US"/>
    </w:rPr>
  </w:style>
  <w:style w:type="paragraph" w:styleId="List2">
    <w:name w:val="List 2"/>
    <w:basedOn w:val="Normal"/>
    <w:semiHidden/>
    <w:unhideWhenUsed/>
    <w:rsid w:val="0080684F"/>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unhideWhenUsed/>
    <w:rsid w:val="0080684F"/>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unhideWhenUsed/>
    <w:rsid w:val="0080684F"/>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unhideWhenUsed/>
    <w:rsid w:val="0080684F"/>
    <w:pPr>
      <w:spacing w:before="200"/>
      <w:ind w:left="1701" w:hanging="567"/>
    </w:pPr>
    <w:rPr>
      <w:rFonts w:ascii="Arabic Typesetting" w:eastAsia="Times New Roman" w:hAnsi="Arabic Typesetting" w:cs="Arabic Typesetting"/>
      <w:sz w:val="36"/>
      <w:szCs w:val="36"/>
      <w:lang w:eastAsia="en-US"/>
    </w:rPr>
  </w:style>
  <w:style w:type="paragraph" w:styleId="ListBullet2">
    <w:name w:val="List Bullet 2"/>
    <w:basedOn w:val="Normal"/>
    <w:semiHidden/>
    <w:unhideWhenUsed/>
    <w:rsid w:val="0080684F"/>
    <w:pPr>
      <w:numPr>
        <w:numId w:val="7"/>
      </w:num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unhideWhenUsed/>
    <w:rsid w:val="0080684F"/>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unhideWhenUsed/>
    <w:rsid w:val="0080684F"/>
    <w:pPr>
      <w:numPr>
        <w:numId w:val="9"/>
      </w:numPr>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unhideWhenUsed/>
    <w:rsid w:val="0080684F"/>
    <w:pPr>
      <w:numPr>
        <w:numId w:val="10"/>
      </w:numPr>
      <w:spacing w:before="200"/>
      <w:ind w:left="3402" w:hanging="567"/>
    </w:pPr>
    <w:rPr>
      <w:rFonts w:ascii="Arabic Typesetting" w:eastAsia="Times New Roman" w:hAnsi="Arabic Typesetting" w:cs="Arabic Typesetting"/>
      <w:sz w:val="36"/>
      <w:szCs w:val="36"/>
      <w:lang w:eastAsia="en-US"/>
    </w:rPr>
  </w:style>
  <w:style w:type="paragraph" w:styleId="ListNumber2">
    <w:name w:val="List Number 2"/>
    <w:basedOn w:val="Normal"/>
    <w:semiHidden/>
    <w:unhideWhenUsed/>
    <w:rsid w:val="0080684F"/>
    <w:pPr>
      <w:numPr>
        <w:numId w:val="11"/>
      </w:numPr>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unhideWhenUsed/>
    <w:rsid w:val="0080684F"/>
    <w:pPr>
      <w:numPr>
        <w:numId w:val="12"/>
      </w:numPr>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unhideWhenUsed/>
    <w:rsid w:val="0080684F"/>
    <w:pPr>
      <w:numPr>
        <w:numId w:val="13"/>
      </w:numPr>
      <w:spacing w:before="200"/>
      <w:ind w:left="2834"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unhideWhenUsed/>
    <w:rsid w:val="0080684F"/>
    <w:pPr>
      <w:numPr>
        <w:numId w:val="14"/>
      </w:numPr>
      <w:spacing w:before="200"/>
      <w:ind w:left="3401" w:hanging="567"/>
    </w:pPr>
    <w:rPr>
      <w:rFonts w:ascii="Arabic Typesetting" w:eastAsia="Times New Roman" w:hAnsi="Arabic Typesetting" w:cs="Arabic Typesetting"/>
      <w:sz w:val="36"/>
      <w:szCs w:val="36"/>
      <w:lang w:eastAsia="en-US"/>
    </w:rPr>
  </w:style>
  <w:style w:type="character" w:customStyle="1" w:styleId="SignatureChar">
    <w:name w:val="Signature Char"/>
    <w:basedOn w:val="DefaultParagraphFont"/>
    <w:link w:val="Signature"/>
    <w:semiHidden/>
    <w:rsid w:val="0080684F"/>
    <w:rPr>
      <w:rFonts w:ascii="Arial" w:eastAsia="SimSun" w:hAnsi="Arial" w:cs="Calibri"/>
      <w:sz w:val="22"/>
      <w:szCs w:val="22"/>
      <w:lang w:val="en-US" w:eastAsia="zh-CN"/>
    </w:rPr>
  </w:style>
  <w:style w:type="paragraph" w:styleId="BodyTextIndent">
    <w:name w:val="Body Text Indent"/>
    <w:basedOn w:val="Normal"/>
    <w:link w:val="BodyTextIndentChar"/>
    <w:semiHidden/>
    <w:unhideWhenUsed/>
    <w:rsid w:val="0080684F"/>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80684F"/>
    <w:rPr>
      <w:rFonts w:ascii="Arabic Typesetting" w:hAnsi="Arabic Typesetting" w:cs="Arabic Typesetting"/>
      <w:sz w:val="36"/>
      <w:szCs w:val="36"/>
      <w:lang w:val="en-US" w:eastAsia="en-US"/>
    </w:rPr>
  </w:style>
  <w:style w:type="paragraph" w:styleId="ListContinue">
    <w:name w:val="List Continue"/>
    <w:basedOn w:val="Normal"/>
    <w:semiHidden/>
    <w:unhideWhenUsed/>
    <w:rsid w:val="0080684F"/>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unhideWhenUsed/>
    <w:rsid w:val="0080684F"/>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unhideWhenUsed/>
    <w:rsid w:val="0080684F"/>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unhideWhenUsed/>
    <w:rsid w:val="0080684F"/>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unhideWhenUsed/>
    <w:rsid w:val="0080684F"/>
    <w:pPr>
      <w:spacing w:after="120"/>
      <w:ind w:left="1415"/>
      <w:contextualSpacing/>
    </w:pPr>
    <w:rPr>
      <w:rFonts w:ascii="Arabic Typesetting" w:eastAsia="Times New Roman" w:hAnsi="Arabic Typesetting" w:cs="Arabic Typesetting"/>
      <w:sz w:val="36"/>
      <w:szCs w:val="36"/>
      <w:lang w:eastAsia="en-US"/>
    </w:rPr>
  </w:style>
  <w:style w:type="character" w:customStyle="1" w:styleId="SalutationChar">
    <w:name w:val="Salutation Char"/>
    <w:basedOn w:val="DefaultParagraphFont"/>
    <w:link w:val="Salutation"/>
    <w:semiHidden/>
    <w:rsid w:val="0080684F"/>
    <w:rPr>
      <w:rFonts w:ascii="Arial" w:eastAsia="SimSun" w:hAnsi="Arial" w:cs="Calibri"/>
      <w:sz w:val="22"/>
      <w:szCs w:val="22"/>
      <w:lang w:val="en-US" w:eastAsia="zh-CN"/>
    </w:rPr>
  </w:style>
  <w:style w:type="paragraph" w:styleId="BodyTextFirstIndent">
    <w:name w:val="Body Text First Indent"/>
    <w:basedOn w:val="BodyText"/>
    <w:link w:val="BodyTextFirstIndentChar"/>
    <w:unhideWhenUsed/>
    <w:rsid w:val="0080684F"/>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FirstIndentChar">
    <w:name w:val="Body Text First Indent Char"/>
    <w:basedOn w:val="BodyTextChar"/>
    <w:link w:val="BodyTextFirstIndent"/>
    <w:rsid w:val="0080684F"/>
    <w:rPr>
      <w:rFonts w:ascii="Arabic Typesetting" w:eastAsia="SimSun" w:hAnsi="Arabic Typesetting" w:cs="Arabic Typesetting"/>
      <w:sz w:val="36"/>
      <w:szCs w:val="36"/>
      <w:lang w:val="en-US" w:eastAsia="en-US" w:bidi="ar-EG"/>
    </w:rPr>
  </w:style>
  <w:style w:type="paragraph" w:styleId="BodyTextFirstIndent2">
    <w:name w:val="Body Text First Indent 2"/>
    <w:basedOn w:val="BodyTextIndent"/>
    <w:link w:val="BodyTextFirstIndent2Char"/>
    <w:semiHidden/>
    <w:unhideWhenUsed/>
    <w:rsid w:val="0080684F"/>
    <w:pPr>
      <w:spacing w:before="200" w:after="0"/>
      <w:ind w:left="567"/>
    </w:pPr>
  </w:style>
  <w:style w:type="character" w:customStyle="1" w:styleId="BodyTextFirstIndent2Char">
    <w:name w:val="Body Text First Indent 2 Char"/>
    <w:basedOn w:val="BodyTextIndentChar"/>
    <w:link w:val="BodyTextFirstIndent2"/>
    <w:semiHidden/>
    <w:rsid w:val="0080684F"/>
    <w:rPr>
      <w:rFonts w:ascii="Arabic Typesetting" w:hAnsi="Arabic Typesetting" w:cs="Arabic Typesetting"/>
      <w:sz w:val="36"/>
      <w:szCs w:val="36"/>
      <w:lang w:val="en-US" w:eastAsia="en-US"/>
    </w:rPr>
  </w:style>
  <w:style w:type="paragraph" w:styleId="TOCHeading">
    <w:name w:val="TOC Heading"/>
    <w:basedOn w:val="Heading1"/>
    <w:next w:val="Normal"/>
    <w:uiPriority w:val="39"/>
    <w:unhideWhenUsed/>
    <w:qFormat/>
    <w:rsid w:val="0080684F"/>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customStyle="1" w:styleId="indent1">
    <w:name w:val="indent &quot;1&quot;"/>
    <w:basedOn w:val="BodyText"/>
    <w:qFormat/>
    <w:rsid w:val="0080684F"/>
    <w:pPr>
      <w:numPr>
        <w:numId w:val="15"/>
      </w:numPr>
      <w:spacing w:before="200" w:after="0"/>
    </w:pPr>
    <w:rPr>
      <w:rFonts w:ascii="Arabic Typesetting" w:eastAsia="Times New Roman" w:hAnsi="Arabic Typesetting" w:cs="Arabic Typesetting"/>
      <w:sz w:val="36"/>
      <w:szCs w:val="36"/>
      <w:lang w:eastAsia="en-US" w:bidi="ar-EG"/>
    </w:rPr>
  </w:style>
  <w:style w:type="paragraph" w:customStyle="1" w:styleId="NormalParaAR">
    <w:name w:val="Normal_Para_AR"/>
    <w:rsid w:val="0080684F"/>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80684F"/>
    <w:pPr>
      <w:tabs>
        <w:tab w:val="num" w:pos="567"/>
      </w:tabs>
    </w:pPr>
  </w:style>
  <w:style w:type="paragraph" w:customStyle="1" w:styleId="DocumentLanguageAR">
    <w:name w:val="Document_Language_AR"/>
    <w:basedOn w:val="Normal"/>
    <w:next w:val="DocumentDateAR"/>
    <w:rsid w:val="0080684F"/>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CodeAR">
    <w:name w:val="Document_Code_AR"/>
    <w:basedOn w:val="Normal"/>
    <w:next w:val="DocumentLanguageAR"/>
    <w:rsid w:val="0080684F"/>
    <w:pPr>
      <w:bidi w:val="0"/>
      <w:jc w:val="right"/>
    </w:pPr>
    <w:rPr>
      <w:rFonts w:ascii="Arial Black" w:eastAsia="Times New Roman" w:hAnsi="Arial Black" w:cs="Arabic Typesetting"/>
      <w:b/>
      <w:bCs/>
      <w:sz w:val="16"/>
      <w:szCs w:val="16"/>
      <w:lang w:eastAsia="en-US"/>
    </w:rPr>
  </w:style>
  <w:style w:type="paragraph" w:customStyle="1" w:styleId="DocumentDateAR">
    <w:name w:val="Document_Date_AR"/>
    <w:basedOn w:val="Normal"/>
    <w:next w:val="NormalParaAR"/>
    <w:rsid w:val="0080684F"/>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80684F"/>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80684F"/>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80684F"/>
    <w:pPr>
      <w:bidi w:val="0"/>
      <w:spacing w:line="360" w:lineRule="exact"/>
    </w:pPr>
    <w:rPr>
      <w:rFonts w:ascii="Arabic Typesetting" w:eastAsia="Times New Roman" w:hAnsi="Arabic Typesetting" w:cs="Arabic Typesetting"/>
      <w:b/>
      <w:bCs/>
      <w:sz w:val="36"/>
      <w:szCs w:val="36"/>
      <w:lang w:eastAsia="en-US"/>
    </w:rPr>
  </w:style>
  <w:style w:type="paragraph" w:customStyle="1" w:styleId="PreparedbyAR">
    <w:name w:val="Prepared_by_AR"/>
    <w:basedOn w:val="Normal"/>
    <w:next w:val="NormalParaAR"/>
    <w:rsid w:val="0080684F"/>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ocumentTitleAR">
    <w:name w:val="Document_Title_AR"/>
    <w:basedOn w:val="Normal"/>
    <w:next w:val="PreparedbyAR"/>
    <w:rsid w:val="0080684F"/>
    <w:pPr>
      <w:bidi w:val="0"/>
      <w:spacing w:line="360" w:lineRule="exact"/>
    </w:pPr>
    <w:rPr>
      <w:rFonts w:ascii="Arial Black" w:eastAsia="Times New Roman" w:hAnsi="Arial Black" w:cs="PT Bold Heading"/>
      <w:sz w:val="26"/>
      <w:szCs w:val="26"/>
      <w:lang w:eastAsia="en-US"/>
    </w:rPr>
  </w:style>
  <w:style w:type="paragraph" w:customStyle="1" w:styleId="DecisionParaAR">
    <w:name w:val="Decision_Para_AR"/>
    <w:basedOn w:val="NumberedParaAR"/>
    <w:rsid w:val="0080684F"/>
    <w:pPr>
      <w:ind w:left="5534"/>
    </w:pPr>
    <w:rPr>
      <w:i/>
      <w:iCs/>
    </w:rPr>
  </w:style>
  <w:style w:type="paragraph" w:customStyle="1" w:styleId="EndofDocumentAR">
    <w:name w:val="End_of_Document_AR"/>
    <w:basedOn w:val="NormalParaAR"/>
    <w:next w:val="NormalParaAR"/>
    <w:rsid w:val="0080684F"/>
    <w:pPr>
      <w:ind w:left="5534"/>
    </w:pPr>
  </w:style>
  <w:style w:type="paragraph" w:customStyle="1" w:styleId="Heading1AR">
    <w:name w:val="Heading_1_AR"/>
    <w:basedOn w:val="NormalParaAR"/>
    <w:next w:val="NormalParaAR"/>
    <w:rsid w:val="0080684F"/>
    <w:pPr>
      <w:keepNext/>
      <w:spacing w:before="240" w:line="400" w:lineRule="exact"/>
    </w:pPr>
    <w:rPr>
      <w:bCs/>
      <w:sz w:val="40"/>
      <w:szCs w:val="40"/>
    </w:rPr>
  </w:style>
  <w:style w:type="paragraph" w:customStyle="1" w:styleId="Heading2AR">
    <w:name w:val="Heading_2_AR"/>
    <w:basedOn w:val="Heading1AR"/>
    <w:next w:val="NormalParaAR"/>
    <w:rsid w:val="0080684F"/>
    <w:rPr>
      <w:bCs w:val="0"/>
    </w:rPr>
  </w:style>
  <w:style w:type="paragraph" w:customStyle="1" w:styleId="Heading3AR">
    <w:name w:val="Heading_3_AR"/>
    <w:basedOn w:val="Heading2AR"/>
    <w:next w:val="NormalParaAR"/>
    <w:rsid w:val="0080684F"/>
    <w:pPr>
      <w:spacing w:before="120" w:line="360" w:lineRule="exact"/>
    </w:pPr>
    <w:rPr>
      <w:sz w:val="36"/>
      <w:szCs w:val="36"/>
      <w:u w:val="single"/>
    </w:rPr>
  </w:style>
  <w:style w:type="paragraph" w:customStyle="1" w:styleId="Heading4AR">
    <w:name w:val="Heading_4_AR"/>
    <w:basedOn w:val="Heading3AR"/>
    <w:next w:val="NormalParaAR"/>
    <w:rsid w:val="0080684F"/>
    <w:rPr>
      <w:iCs/>
      <w:u w:val="none"/>
    </w:rPr>
  </w:style>
  <w:style w:type="paragraph" w:customStyle="1" w:styleId="EndofDocument">
    <w:name w:val="End of Document"/>
    <w:basedOn w:val="Normal"/>
    <w:rsid w:val="0080684F"/>
    <w:pPr>
      <w:spacing w:after="120" w:line="340" w:lineRule="exact"/>
      <w:ind w:left="5534"/>
    </w:pPr>
    <w:rPr>
      <w:rFonts w:ascii="Arabic Typesetting" w:eastAsia="Times New Roman" w:hAnsi="Arabic Typesetting" w:cs="Arabic Typesetting"/>
      <w:sz w:val="34"/>
      <w:szCs w:val="34"/>
      <w:lang w:eastAsia="en-US"/>
    </w:rPr>
  </w:style>
  <w:style w:type="paragraph" w:customStyle="1" w:styleId="NormalAR">
    <w:name w:val="Normal AR"/>
    <w:basedOn w:val="Normal"/>
    <w:rsid w:val="0080684F"/>
    <w:pPr>
      <w:spacing w:after="120" w:line="340" w:lineRule="exact"/>
      <w:ind w:left="1021"/>
    </w:pPr>
    <w:rPr>
      <w:rFonts w:ascii="Arabic Typesetting" w:eastAsia="Times New Roman" w:hAnsi="Arabic Typesetting" w:cs="Arabic Typesetting"/>
      <w:sz w:val="34"/>
      <w:szCs w:val="34"/>
      <w:lang w:eastAsia="en-US" w:bidi="ar-EG"/>
    </w:rPr>
  </w:style>
  <w:style w:type="paragraph" w:customStyle="1" w:styleId="DecisionParagraphAR">
    <w:name w:val="Decision Paragraph AR"/>
    <w:basedOn w:val="NormalAR"/>
    <w:rsid w:val="0080684F"/>
    <w:pPr>
      <w:ind w:left="5534"/>
    </w:pPr>
    <w:rPr>
      <w:i/>
      <w:iCs/>
    </w:rPr>
  </w:style>
  <w:style w:type="paragraph" w:customStyle="1" w:styleId="SessionTitleAR">
    <w:name w:val="Session Title AR"/>
    <w:basedOn w:val="NormalAR"/>
    <w:next w:val="MeetingDatePlace"/>
    <w:rsid w:val="0080684F"/>
    <w:pPr>
      <w:spacing w:after="0"/>
    </w:pPr>
    <w:rPr>
      <w:rFonts w:ascii="Arial Black" w:hAnsi="Arial Black" w:cs="PT Bold Heading"/>
      <w:sz w:val="28"/>
      <w:szCs w:val="28"/>
      <w:lang w:bidi="ar-SA"/>
    </w:rPr>
  </w:style>
  <w:style w:type="paragraph" w:customStyle="1" w:styleId="MeetingTitleAR0">
    <w:name w:val="Meeting Title AR"/>
    <w:basedOn w:val="NormalAR"/>
    <w:next w:val="SessionTitleAR"/>
    <w:rsid w:val="0080684F"/>
    <w:pPr>
      <w:spacing w:after="360" w:line="360" w:lineRule="exact"/>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80684F"/>
    <w:pPr>
      <w:spacing w:after="0"/>
    </w:pPr>
    <w:rPr>
      <w:b/>
      <w:bCs/>
      <w:lang w:bidi="ar-SA"/>
    </w:rPr>
  </w:style>
  <w:style w:type="paragraph" w:customStyle="1" w:styleId="DocumentTitleAR0">
    <w:name w:val="Document Title AR"/>
    <w:basedOn w:val="NormalAR"/>
    <w:next w:val="preparedbyAR0"/>
    <w:rsid w:val="0080684F"/>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80684F"/>
    <w:pPr>
      <w:spacing w:after="480"/>
    </w:pPr>
    <w:rPr>
      <w:i/>
      <w:iCs/>
      <w:lang w:bidi="ar-SA"/>
    </w:rPr>
  </w:style>
  <w:style w:type="paragraph" w:customStyle="1" w:styleId="DocumentLanguageAR0">
    <w:name w:val="Document Language AR"/>
    <w:basedOn w:val="NormalAR"/>
    <w:next w:val="DocumentDateAR0"/>
    <w:rsid w:val="0080684F"/>
    <w:pPr>
      <w:spacing w:after="0" w:line="220" w:lineRule="exact"/>
      <w:jc w:val="right"/>
    </w:pPr>
    <w:rPr>
      <w:b/>
      <w:bCs/>
      <w:sz w:val="28"/>
      <w:szCs w:val="28"/>
      <w:lang w:bidi="ar-SA"/>
    </w:rPr>
  </w:style>
  <w:style w:type="paragraph" w:customStyle="1" w:styleId="DocumentCodeAR0">
    <w:name w:val="Document Code AR"/>
    <w:basedOn w:val="NormalAR"/>
    <w:next w:val="DocumentLanguageAR0"/>
    <w:rsid w:val="0080684F"/>
    <w:pPr>
      <w:spacing w:before="300" w:after="0" w:line="160" w:lineRule="exact"/>
      <w:jc w:val="right"/>
    </w:pPr>
    <w:rPr>
      <w:rFonts w:ascii="Arial Black" w:hAnsi="Arial Black" w:cs="Arial"/>
      <w:bCs/>
      <w:sz w:val="15"/>
      <w:szCs w:val="15"/>
      <w:lang w:bidi="ar-SA"/>
    </w:rPr>
  </w:style>
  <w:style w:type="paragraph" w:customStyle="1" w:styleId="DocumentDateAR0">
    <w:name w:val="Document Date AR"/>
    <w:basedOn w:val="DocumentLanguageAR0"/>
    <w:next w:val="MeetingTitleAR0"/>
    <w:rsid w:val="0080684F"/>
    <w:pPr>
      <w:spacing w:after="1680"/>
    </w:pPr>
  </w:style>
  <w:style w:type="paragraph" w:customStyle="1" w:styleId="AutomaticparagraphNoAR">
    <w:name w:val="Automatic paragraph No AR"/>
    <w:basedOn w:val="NormalAR"/>
    <w:rsid w:val="0080684F"/>
    <w:pPr>
      <w:ind w:left="1701" w:hanging="680"/>
    </w:pPr>
    <w:rPr>
      <w:lang w:bidi="ar-SA"/>
    </w:rPr>
  </w:style>
  <w:style w:type="paragraph" w:customStyle="1" w:styleId="language">
    <w:name w:val="language"/>
    <w:basedOn w:val="Normal"/>
    <w:next w:val="Normal"/>
    <w:autoRedefine/>
    <w:rsid w:val="0080684F"/>
    <w:pPr>
      <w:framePr w:w="266" w:h="363"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80684F"/>
    <w:pPr>
      <w:bidi w:val="0"/>
      <w:spacing w:after="160" w:line="240" w:lineRule="exact"/>
    </w:pPr>
    <w:rPr>
      <w:rFonts w:ascii="Verdana" w:eastAsia="PMingLiU" w:hAnsi="Verdana" w:cs="Times New Roman"/>
      <w:sz w:val="20"/>
      <w:szCs w:val="20"/>
      <w:lang w:eastAsia="en-US"/>
    </w:rPr>
  </w:style>
  <w:style w:type="character" w:customStyle="1" w:styleId="FootnoteRefAR">
    <w:name w:val="Footnote Ref AR"/>
    <w:rsid w:val="0080684F"/>
    <w:rPr>
      <w:rFonts w:ascii="Arabic Typesetting" w:hAnsi="Arabic Typesetting" w:cs="Arabic Typesetting" w:hint="default"/>
      <w:sz w:val="34"/>
      <w:szCs w:val="34"/>
      <w:vertAlign w:val="superscript"/>
    </w:rPr>
  </w:style>
  <w:style w:type="table" w:styleId="TableGrid">
    <w:name w:val="Table Grid"/>
    <w:basedOn w:val="TableNormal"/>
    <w:rsid w:val="0080684F"/>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0684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526">
      <w:bodyDiv w:val="1"/>
      <w:marLeft w:val="0"/>
      <w:marRight w:val="0"/>
      <w:marTop w:val="0"/>
      <w:marBottom w:val="0"/>
      <w:divBdr>
        <w:top w:val="none" w:sz="0" w:space="0" w:color="auto"/>
        <w:left w:val="none" w:sz="0" w:space="0" w:color="auto"/>
        <w:bottom w:val="none" w:sz="0" w:space="0" w:color="auto"/>
        <w:right w:val="none" w:sz="0" w:space="0" w:color="auto"/>
      </w:divBdr>
    </w:div>
    <w:div w:id="219095724">
      <w:bodyDiv w:val="1"/>
      <w:marLeft w:val="0"/>
      <w:marRight w:val="0"/>
      <w:marTop w:val="0"/>
      <w:marBottom w:val="0"/>
      <w:divBdr>
        <w:top w:val="none" w:sz="0" w:space="0" w:color="auto"/>
        <w:left w:val="none" w:sz="0" w:space="0" w:color="auto"/>
        <w:bottom w:val="none" w:sz="0" w:space="0" w:color="auto"/>
        <w:right w:val="none" w:sz="0" w:space="0" w:color="auto"/>
      </w:divBdr>
    </w:div>
    <w:div w:id="281154012">
      <w:bodyDiv w:val="1"/>
      <w:marLeft w:val="0"/>
      <w:marRight w:val="0"/>
      <w:marTop w:val="0"/>
      <w:marBottom w:val="0"/>
      <w:divBdr>
        <w:top w:val="none" w:sz="0" w:space="0" w:color="auto"/>
        <w:left w:val="none" w:sz="0" w:space="0" w:color="auto"/>
        <w:bottom w:val="none" w:sz="0" w:space="0" w:color="auto"/>
        <w:right w:val="none" w:sz="0" w:space="0" w:color="auto"/>
      </w:divBdr>
    </w:div>
    <w:div w:id="905257834">
      <w:bodyDiv w:val="1"/>
      <w:marLeft w:val="0"/>
      <w:marRight w:val="0"/>
      <w:marTop w:val="0"/>
      <w:marBottom w:val="0"/>
      <w:divBdr>
        <w:top w:val="none" w:sz="0" w:space="0" w:color="auto"/>
        <w:left w:val="none" w:sz="0" w:space="0" w:color="auto"/>
        <w:bottom w:val="none" w:sz="0" w:space="0" w:color="auto"/>
        <w:right w:val="none" w:sz="0" w:space="0" w:color="auto"/>
      </w:divBdr>
    </w:div>
    <w:div w:id="948004736">
      <w:bodyDiv w:val="1"/>
      <w:marLeft w:val="0"/>
      <w:marRight w:val="0"/>
      <w:marTop w:val="0"/>
      <w:marBottom w:val="0"/>
      <w:divBdr>
        <w:top w:val="none" w:sz="0" w:space="0" w:color="auto"/>
        <w:left w:val="none" w:sz="0" w:space="0" w:color="auto"/>
        <w:bottom w:val="none" w:sz="0" w:space="0" w:color="auto"/>
        <w:right w:val="none" w:sz="0" w:space="0" w:color="auto"/>
      </w:divBdr>
    </w:div>
    <w:div w:id="1373265181">
      <w:bodyDiv w:val="1"/>
      <w:marLeft w:val="0"/>
      <w:marRight w:val="0"/>
      <w:marTop w:val="0"/>
      <w:marBottom w:val="0"/>
      <w:divBdr>
        <w:top w:val="none" w:sz="0" w:space="0" w:color="auto"/>
        <w:left w:val="none" w:sz="0" w:space="0" w:color="auto"/>
        <w:bottom w:val="none" w:sz="0" w:space="0" w:color="auto"/>
        <w:right w:val="none" w:sz="0" w:space="0" w:color="auto"/>
      </w:divBdr>
    </w:div>
    <w:div w:id="1490487155">
      <w:bodyDiv w:val="1"/>
      <w:marLeft w:val="0"/>
      <w:marRight w:val="0"/>
      <w:marTop w:val="0"/>
      <w:marBottom w:val="0"/>
      <w:divBdr>
        <w:top w:val="none" w:sz="0" w:space="0" w:color="auto"/>
        <w:left w:val="none" w:sz="0" w:space="0" w:color="auto"/>
        <w:bottom w:val="none" w:sz="0" w:space="0" w:color="auto"/>
        <w:right w:val="none" w:sz="0" w:space="0" w:color="auto"/>
      </w:divBdr>
    </w:div>
    <w:div w:id="16836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tk/en/resources/pdf/overview_customary_law.pdf"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www.undp.org/content/undp/en/home/librarypage/environment-energy/local_development/undp-and-indigenous-peoples-a-policy-of-engagement.html" TargetMode="External"/><Relationship Id="rId5" Type="http://schemas.openxmlformats.org/officeDocument/2006/relationships/hyperlink" Target="http://wedocs.unep.org/handle/20.500.11822/7569" TargetMode="External"/><Relationship Id="rId4"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BCC4-2A3C-4B36-973F-C775D260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37</TotalTime>
  <Pages>1</Pages>
  <Words>18797</Words>
  <Characters>107146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125692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9</cp:revision>
  <cp:lastPrinted>2023-01-11T11:07:00Z</cp:lastPrinted>
  <dcterms:created xsi:type="dcterms:W3CDTF">2023-01-11T10:31:00Z</dcterms:created>
  <dcterms:modified xsi:type="dcterms:W3CDTF">2023-01-11T11:08:00Z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45090c37-e21b-4f64-9add-eb6104c45c0d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