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634349" w:rsidRPr="00634349" w:rsidTr="002D7389">
        <w:tc>
          <w:tcPr>
            <w:tcW w:w="4843" w:type="dxa"/>
            <w:tcBorders>
              <w:bottom w:val="single" w:sz="4" w:space="0" w:color="auto"/>
            </w:tcBorders>
          </w:tcPr>
          <w:p w:rsidR="00934F63" w:rsidRPr="00634349" w:rsidRDefault="00934F63" w:rsidP="002D7389">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934F63" w:rsidRPr="00634349" w:rsidRDefault="002D6DE5" w:rsidP="002D7389">
            <w:pPr>
              <w:bidi/>
              <w:spacing w:after="20"/>
              <w:rPr>
                <w:rFonts w:ascii="Arabic Typesetting" w:hAnsi="Arabic Typesetting" w:cs="Arabic Typesetting"/>
                <w:sz w:val="36"/>
                <w:szCs w:val="36"/>
                <w:rtl/>
              </w:rPr>
            </w:pPr>
            <w:r w:rsidRPr="00634349">
              <w:rPr>
                <w:noProof/>
              </w:rPr>
              <w:drawing>
                <wp:inline distT="0" distB="0" distL="0" distR="0" wp14:anchorId="2B6A2EA9" wp14:editId="238CC4E1">
                  <wp:extent cx="1327785" cy="1264285"/>
                  <wp:effectExtent l="0" t="0" r="5715" b="0"/>
                  <wp:docPr id="33"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785" cy="1264285"/>
                          </a:xfrm>
                          <a:prstGeom prst="rect">
                            <a:avLst/>
                          </a:prstGeom>
                          <a:noFill/>
                          <a:ln>
                            <a:noFill/>
                          </a:ln>
                        </pic:spPr>
                      </pic:pic>
                    </a:graphicData>
                  </a:graphic>
                </wp:inline>
              </w:drawing>
            </w:r>
          </w:p>
        </w:tc>
        <w:tc>
          <w:tcPr>
            <w:tcW w:w="505" w:type="dxa"/>
            <w:tcBorders>
              <w:bottom w:val="single" w:sz="4" w:space="0" w:color="auto"/>
            </w:tcBorders>
          </w:tcPr>
          <w:p w:rsidR="00934F63" w:rsidRPr="00634349" w:rsidRDefault="00934F63" w:rsidP="002D7389">
            <w:pPr>
              <w:rPr>
                <w:b/>
                <w:bCs/>
                <w:sz w:val="40"/>
                <w:szCs w:val="40"/>
              </w:rPr>
            </w:pPr>
            <w:r w:rsidRPr="00634349">
              <w:rPr>
                <w:b/>
                <w:bCs/>
                <w:sz w:val="40"/>
                <w:szCs w:val="40"/>
              </w:rPr>
              <w:t>A</w:t>
            </w:r>
          </w:p>
        </w:tc>
      </w:tr>
      <w:tr w:rsidR="00634349" w:rsidRPr="00634349" w:rsidTr="002D7389">
        <w:trPr>
          <w:trHeight w:val="333"/>
        </w:trPr>
        <w:tc>
          <w:tcPr>
            <w:tcW w:w="9571" w:type="dxa"/>
            <w:gridSpan w:val="3"/>
            <w:tcBorders>
              <w:top w:val="single" w:sz="4" w:space="0" w:color="auto"/>
            </w:tcBorders>
            <w:vAlign w:val="bottom"/>
          </w:tcPr>
          <w:p w:rsidR="00934F63" w:rsidRPr="00634349" w:rsidRDefault="00934F63" w:rsidP="00002747">
            <w:pPr>
              <w:pStyle w:val="DocumentCodeAR"/>
              <w:bidi/>
              <w:rPr>
                <w:rtl/>
                <w:lang w:val="fr-CH"/>
              </w:rPr>
            </w:pPr>
            <w:r w:rsidRPr="00634349">
              <w:t>WIPO/IPTK/GE</w:t>
            </w:r>
            <w:r w:rsidR="002D7389" w:rsidRPr="00634349">
              <w:t>/17</w:t>
            </w:r>
            <w:r w:rsidRPr="00634349">
              <w:t>/INF/</w:t>
            </w:r>
            <w:r w:rsidR="00002747">
              <w:t>2</w:t>
            </w:r>
          </w:p>
        </w:tc>
      </w:tr>
      <w:tr w:rsidR="00634349" w:rsidRPr="00634349" w:rsidTr="002D7389">
        <w:tc>
          <w:tcPr>
            <w:tcW w:w="9571" w:type="dxa"/>
            <w:gridSpan w:val="3"/>
          </w:tcPr>
          <w:p w:rsidR="00934F63" w:rsidRPr="00634349" w:rsidRDefault="00934F63" w:rsidP="00934F63">
            <w:pPr>
              <w:pStyle w:val="DocumentLanguageAR"/>
              <w:bidi/>
              <w:rPr>
                <w:rtl/>
              </w:rPr>
            </w:pPr>
            <w:r w:rsidRPr="00634349">
              <w:rPr>
                <w:rFonts w:hint="cs"/>
                <w:rtl/>
              </w:rPr>
              <w:t xml:space="preserve">الأصل: </w:t>
            </w:r>
            <w:proofErr w:type="gramStart"/>
            <w:r w:rsidRPr="00634349">
              <w:rPr>
                <w:rFonts w:hint="cs"/>
                <w:rtl/>
              </w:rPr>
              <w:t>بالإنكليزية</w:t>
            </w:r>
            <w:proofErr w:type="gramEnd"/>
          </w:p>
        </w:tc>
      </w:tr>
      <w:tr w:rsidR="00934F63" w:rsidRPr="00634349" w:rsidTr="002D7389">
        <w:tc>
          <w:tcPr>
            <w:tcW w:w="9571" w:type="dxa"/>
            <w:gridSpan w:val="3"/>
          </w:tcPr>
          <w:p w:rsidR="00934F63" w:rsidRPr="00634349" w:rsidRDefault="00934F63" w:rsidP="0022696F">
            <w:pPr>
              <w:pStyle w:val="DocumentDateAR"/>
              <w:bidi/>
              <w:rPr>
                <w:rtl/>
              </w:rPr>
            </w:pPr>
            <w:r w:rsidRPr="00634349">
              <w:rPr>
                <w:rFonts w:hint="cs"/>
                <w:rtl/>
              </w:rPr>
              <w:t xml:space="preserve">التاريخ: </w:t>
            </w:r>
            <w:r w:rsidR="0022696F">
              <w:rPr>
                <w:rFonts w:hint="cs"/>
                <w:rtl/>
              </w:rPr>
              <w:t xml:space="preserve">19 </w:t>
            </w:r>
            <w:proofErr w:type="gramStart"/>
            <w:r w:rsidR="0022696F">
              <w:rPr>
                <w:rFonts w:hint="cs"/>
                <w:rtl/>
              </w:rPr>
              <w:t>مايو</w:t>
            </w:r>
            <w:proofErr w:type="gramEnd"/>
            <w:r w:rsidRPr="00634349">
              <w:rPr>
                <w:rFonts w:hint="cs"/>
                <w:rtl/>
              </w:rPr>
              <w:t xml:space="preserve"> </w:t>
            </w:r>
            <w:r w:rsidR="002D7389" w:rsidRPr="00634349">
              <w:rPr>
                <w:rFonts w:hint="cs"/>
                <w:rtl/>
              </w:rPr>
              <w:t>2017</w:t>
            </w:r>
          </w:p>
        </w:tc>
      </w:tr>
    </w:tbl>
    <w:p w:rsidR="000F5E56" w:rsidRPr="00634349" w:rsidRDefault="000F5E56" w:rsidP="001667B6">
      <w:pPr>
        <w:bidi/>
        <w:spacing w:line="360" w:lineRule="exact"/>
        <w:rPr>
          <w:rFonts w:ascii="Arabic Typesetting" w:hAnsi="Arabic Typesetting" w:cs="Arabic Typesetting"/>
          <w:sz w:val="36"/>
          <w:szCs w:val="36"/>
        </w:rPr>
      </w:pPr>
    </w:p>
    <w:p w:rsidR="001667B6" w:rsidRPr="00634349" w:rsidRDefault="001667B6" w:rsidP="001667B6">
      <w:pPr>
        <w:bidi/>
        <w:spacing w:line="360" w:lineRule="exact"/>
        <w:rPr>
          <w:rFonts w:ascii="Arabic Typesetting" w:hAnsi="Arabic Typesetting" w:cs="Arabic Typesetting"/>
          <w:sz w:val="36"/>
          <w:szCs w:val="36"/>
          <w:rtl/>
        </w:rPr>
      </w:pPr>
    </w:p>
    <w:p w:rsidR="00F27305" w:rsidRPr="00634349" w:rsidRDefault="00F27305" w:rsidP="00F27305">
      <w:pPr>
        <w:bidi/>
        <w:spacing w:line="360" w:lineRule="exact"/>
        <w:rPr>
          <w:rFonts w:ascii="Arabic Typesetting" w:hAnsi="Arabic Typesetting" w:cs="Arabic Typesetting"/>
          <w:sz w:val="36"/>
          <w:szCs w:val="36"/>
          <w:rtl/>
        </w:rPr>
      </w:pPr>
    </w:p>
    <w:p w:rsidR="001667B6" w:rsidRPr="00634349" w:rsidRDefault="00934F63" w:rsidP="007F63D6">
      <w:pPr>
        <w:pStyle w:val="MeetingTitleAR"/>
        <w:bidi/>
        <w:rPr>
          <w:rtl/>
        </w:rPr>
      </w:pPr>
      <w:proofErr w:type="gramStart"/>
      <w:r w:rsidRPr="00634349">
        <w:rPr>
          <w:rFonts w:hint="cs"/>
          <w:rtl/>
        </w:rPr>
        <w:t>ندوة</w:t>
      </w:r>
      <w:proofErr w:type="gramEnd"/>
      <w:r w:rsidRPr="00634349">
        <w:rPr>
          <w:rFonts w:hint="cs"/>
          <w:rtl/>
        </w:rPr>
        <w:t xml:space="preserve"> عن الملكية الفكرية </w:t>
      </w:r>
      <w:r w:rsidR="007F63D6" w:rsidRPr="00634349">
        <w:rPr>
          <w:rtl/>
        </w:rPr>
        <w:t>وأشكال التعبير الثقافي التقليدي</w:t>
      </w:r>
    </w:p>
    <w:p w:rsidR="001667B6" w:rsidRPr="00634349" w:rsidRDefault="001667B6" w:rsidP="001667B6">
      <w:pPr>
        <w:bidi/>
        <w:spacing w:line="360" w:lineRule="exact"/>
        <w:rPr>
          <w:rFonts w:ascii="Arabic Typesetting" w:hAnsi="Arabic Typesetting" w:cs="Arabic Typesetting"/>
          <w:sz w:val="36"/>
          <w:szCs w:val="36"/>
          <w:rtl/>
        </w:rPr>
      </w:pPr>
    </w:p>
    <w:p w:rsidR="0028285A" w:rsidRPr="00634349" w:rsidRDefault="0028285A" w:rsidP="0028285A">
      <w:pPr>
        <w:bidi/>
        <w:spacing w:line="360" w:lineRule="exact"/>
        <w:rPr>
          <w:rFonts w:ascii="Arabic Typesetting" w:hAnsi="Arabic Typesetting" w:cs="Arabic Typesetting"/>
          <w:sz w:val="36"/>
          <w:szCs w:val="36"/>
          <w:rtl/>
        </w:rPr>
      </w:pPr>
    </w:p>
    <w:p w:rsidR="001667B6" w:rsidRPr="00634349" w:rsidRDefault="007F63D6" w:rsidP="0028285A">
      <w:pPr>
        <w:pStyle w:val="NormalParaAR"/>
        <w:spacing w:after="0" w:line="400" w:lineRule="exact"/>
        <w:rPr>
          <w:sz w:val="40"/>
          <w:szCs w:val="40"/>
          <w:rtl/>
        </w:rPr>
      </w:pPr>
      <w:r w:rsidRPr="00634349">
        <w:rPr>
          <w:rFonts w:hint="cs"/>
          <w:sz w:val="40"/>
          <w:szCs w:val="40"/>
          <w:rtl/>
        </w:rPr>
        <w:t>تنظم</w:t>
      </w:r>
      <w:r w:rsidR="00934F63" w:rsidRPr="00634349">
        <w:rPr>
          <w:rFonts w:hint="cs"/>
          <w:sz w:val="40"/>
          <w:szCs w:val="40"/>
          <w:rtl/>
        </w:rPr>
        <w:t>ها</w:t>
      </w:r>
    </w:p>
    <w:p w:rsidR="0028285A" w:rsidRPr="00634349" w:rsidRDefault="00934F63" w:rsidP="0028285A">
      <w:pPr>
        <w:pStyle w:val="NormalParaAR"/>
        <w:spacing w:line="400" w:lineRule="exact"/>
        <w:rPr>
          <w:sz w:val="40"/>
          <w:szCs w:val="40"/>
          <w:rtl/>
        </w:rPr>
      </w:pPr>
      <w:r w:rsidRPr="00634349">
        <w:rPr>
          <w:rFonts w:hint="cs"/>
          <w:sz w:val="40"/>
          <w:szCs w:val="40"/>
          <w:rtl/>
        </w:rPr>
        <w:t>المنظمة العالمية للملكية الفكرية</w:t>
      </w:r>
      <w:r w:rsidR="002A0AF2" w:rsidRPr="00634349">
        <w:rPr>
          <w:rFonts w:hint="cs"/>
          <w:sz w:val="40"/>
          <w:szCs w:val="40"/>
          <w:rtl/>
        </w:rPr>
        <w:t xml:space="preserve"> (الويبو)</w:t>
      </w:r>
    </w:p>
    <w:p w:rsidR="0028285A" w:rsidRPr="00634349" w:rsidRDefault="00934F63" w:rsidP="007F63D6">
      <w:pPr>
        <w:pStyle w:val="MeetingDatesAR"/>
        <w:bidi/>
        <w:spacing w:before="240" w:after="240"/>
        <w:rPr>
          <w:rtl/>
        </w:rPr>
      </w:pPr>
      <w:r w:rsidRPr="00634349">
        <w:rPr>
          <w:rFonts w:hint="cs"/>
          <w:rtl/>
        </w:rPr>
        <w:t>جنيف</w:t>
      </w:r>
      <w:r w:rsidR="0028285A" w:rsidRPr="00634349">
        <w:rPr>
          <w:rFonts w:hint="cs"/>
          <w:rtl/>
        </w:rPr>
        <w:t xml:space="preserve">، </w:t>
      </w:r>
      <w:r w:rsidR="007F63D6" w:rsidRPr="00634349">
        <w:rPr>
          <w:rFonts w:hint="cs"/>
          <w:rtl/>
        </w:rPr>
        <w:t>8</w:t>
      </w:r>
      <w:r w:rsidRPr="00634349">
        <w:rPr>
          <w:rFonts w:hint="cs"/>
          <w:rtl/>
        </w:rPr>
        <w:t xml:space="preserve"> </w:t>
      </w:r>
      <w:r w:rsidR="007F63D6" w:rsidRPr="00634349">
        <w:rPr>
          <w:rFonts w:hint="cs"/>
          <w:rtl/>
        </w:rPr>
        <w:t>و9</w:t>
      </w:r>
      <w:r w:rsidR="0028285A" w:rsidRPr="00634349">
        <w:rPr>
          <w:rFonts w:hint="cs"/>
          <w:rtl/>
        </w:rPr>
        <w:t xml:space="preserve"> </w:t>
      </w:r>
      <w:proofErr w:type="gramStart"/>
      <w:r w:rsidR="007F63D6" w:rsidRPr="00634349">
        <w:rPr>
          <w:rFonts w:hint="cs"/>
          <w:rtl/>
        </w:rPr>
        <w:t>يونيو</w:t>
      </w:r>
      <w:proofErr w:type="gramEnd"/>
      <w:r w:rsidR="007F63D6" w:rsidRPr="00634349">
        <w:rPr>
          <w:rFonts w:hint="cs"/>
          <w:rtl/>
        </w:rPr>
        <w:t xml:space="preserve"> 2017</w:t>
      </w:r>
    </w:p>
    <w:p w:rsidR="00D61541" w:rsidRPr="00634349" w:rsidRDefault="00002747" w:rsidP="0028285A">
      <w:pPr>
        <w:pStyle w:val="DocumentTitleAR"/>
        <w:bidi/>
        <w:spacing w:before="360"/>
        <w:rPr>
          <w:lang w:bidi="ar-EG"/>
        </w:rPr>
      </w:pPr>
      <w:proofErr w:type="gramStart"/>
      <w:r>
        <w:rPr>
          <w:rFonts w:hint="cs"/>
          <w:rtl/>
        </w:rPr>
        <w:t>مذكرة</w:t>
      </w:r>
      <w:proofErr w:type="gramEnd"/>
      <w:r>
        <w:rPr>
          <w:rFonts w:hint="cs"/>
          <w:rtl/>
        </w:rPr>
        <w:t xml:space="preserve"> إعلامية</w:t>
      </w:r>
    </w:p>
    <w:p w:rsidR="00D61541" w:rsidRPr="00634349" w:rsidRDefault="00D61541" w:rsidP="00FB7EC9">
      <w:pPr>
        <w:pStyle w:val="PreparedbyAR"/>
        <w:bidi/>
        <w:rPr>
          <w:rtl/>
        </w:rPr>
      </w:pPr>
      <w:r w:rsidRPr="00634349">
        <w:rPr>
          <w:rFonts w:hint="cs"/>
          <w:rtl/>
        </w:rPr>
        <w:t>من إعداد</w:t>
      </w:r>
      <w:r w:rsidR="00934F63" w:rsidRPr="00634349">
        <w:rPr>
          <w:rFonts w:hint="cs"/>
          <w:rtl/>
        </w:rPr>
        <w:t xml:space="preserve"> المكتب الدولي للويبو</w:t>
      </w:r>
    </w:p>
    <w:p w:rsidR="00BB522D" w:rsidRDefault="00BB522D" w:rsidP="00BB522D">
      <w:pPr>
        <w:bidi/>
        <w:rPr>
          <w:rFonts w:ascii="Arabic Typesetting" w:hAnsi="Arabic Typesetting" w:cs="Arabic Typesetting"/>
          <w:sz w:val="36"/>
          <w:szCs w:val="36"/>
          <w:rtl/>
        </w:rPr>
      </w:pPr>
      <w:r>
        <w:rPr>
          <w:rtl/>
        </w:rPr>
        <w:br w:type="page"/>
      </w:r>
    </w:p>
    <w:p w:rsidR="00BB522D" w:rsidRDefault="00BB522D" w:rsidP="00BB522D">
      <w:pPr>
        <w:pStyle w:val="NumberedParaAR"/>
        <w:rPr>
          <w:rtl/>
        </w:rPr>
      </w:pPr>
      <w:r>
        <w:rPr>
          <w:rtl/>
        </w:rPr>
        <w:lastRenderedPageBreak/>
        <w:t xml:space="preserve">إنّ الهدف العام </w:t>
      </w:r>
      <w:r>
        <w:rPr>
          <w:rFonts w:hint="cs"/>
          <w:rtl/>
        </w:rPr>
        <w:t>لندوة</w:t>
      </w:r>
      <w:r>
        <w:rPr>
          <w:rtl/>
        </w:rPr>
        <w:t xml:space="preserve"> الملكية الفكرية </w:t>
      </w:r>
      <w:r>
        <w:rPr>
          <w:rFonts w:hint="cs"/>
          <w:rtl/>
        </w:rPr>
        <w:t>وأشكال التعبير الثقافي التقليدي</w:t>
      </w:r>
      <w:r>
        <w:rPr>
          <w:rtl/>
        </w:rPr>
        <w:t xml:space="preserve"> ("الندوة")، على النحو المبيّن في ولاية اللجنة الحكومية الدولية المعنية بالملكية الفكرية والموارد الوراثية والمعارف التقليدية والفولكلور (لجنة المعارف التقليدية)، هو بناء "المعارف الإقليمية والمشتركة بين الأقاليم وتحقيق توافق" في الآراء بشأن [القضايا المتعلقة بالملكية الفكرية و</w:t>
      </w:r>
      <w:r>
        <w:rPr>
          <w:rFonts w:hint="cs"/>
          <w:rtl/>
        </w:rPr>
        <w:t>أشكال التعبير الثقافي التقليدي</w:t>
      </w:r>
      <w:r>
        <w:rPr>
          <w:rtl/>
        </w:rPr>
        <w:t>] "مع التركيز على القضايا العالقة".</w:t>
      </w:r>
    </w:p>
    <w:p w:rsidR="00BB522D" w:rsidRDefault="00BB522D" w:rsidP="00BB522D">
      <w:pPr>
        <w:pStyle w:val="NumberedParaAR"/>
      </w:pPr>
      <w:proofErr w:type="gramStart"/>
      <w:r>
        <w:rPr>
          <w:rtl/>
        </w:rPr>
        <w:t>وتقد</w:t>
      </w:r>
      <w:r>
        <w:rPr>
          <w:rFonts w:hint="cs"/>
          <w:rtl/>
        </w:rPr>
        <w:t>َّ</w:t>
      </w:r>
      <w:r>
        <w:rPr>
          <w:rtl/>
        </w:rPr>
        <w:t>م</w:t>
      </w:r>
      <w:proofErr w:type="gramEnd"/>
      <w:r>
        <w:rPr>
          <w:rtl/>
        </w:rPr>
        <w:t xml:space="preserve"> </w:t>
      </w:r>
      <w:r>
        <w:rPr>
          <w:rFonts w:hint="cs"/>
          <w:rtl/>
        </w:rPr>
        <w:t xml:space="preserve">في </w:t>
      </w:r>
      <w:r>
        <w:rPr>
          <w:rtl/>
        </w:rPr>
        <w:t>هذه المذكرة الإعلامية بعض المعلومات الأساسية عن كل مائدة مستديرة في الندوة وعن الكلمة الافتتاحية</w:t>
      </w:r>
      <w:r>
        <w:rPr>
          <w:rFonts w:hint="cs"/>
          <w:rtl/>
        </w:rPr>
        <w:t xml:space="preserve"> والكلمة الختامية</w:t>
      </w:r>
      <w:r>
        <w:rPr>
          <w:rtl/>
        </w:rPr>
        <w:t>.</w:t>
      </w:r>
    </w:p>
    <w:p w:rsidR="00BB522D" w:rsidRDefault="00BB522D" w:rsidP="00C361BC">
      <w:pPr>
        <w:pStyle w:val="NormalParaAR"/>
        <w:ind w:right="1985"/>
        <w:rPr>
          <w:b/>
          <w:bCs/>
          <w:rtl/>
        </w:rPr>
      </w:pPr>
      <w:proofErr w:type="gramStart"/>
      <w:r w:rsidRPr="00BB522D">
        <w:rPr>
          <w:rFonts w:hint="cs"/>
          <w:b/>
          <w:bCs/>
          <w:rtl/>
        </w:rPr>
        <w:t>الكلمة</w:t>
      </w:r>
      <w:proofErr w:type="gramEnd"/>
      <w:r w:rsidRPr="00BB522D">
        <w:rPr>
          <w:rFonts w:hint="cs"/>
          <w:b/>
          <w:bCs/>
          <w:rtl/>
        </w:rPr>
        <w:t xml:space="preserve"> الافتتاحية: </w:t>
      </w:r>
      <w:r w:rsidRPr="00BB522D">
        <w:rPr>
          <w:b/>
          <w:bCs/>
          <w:rtl/>
        </w:rPr>
        <w:t xml:space="preserve">الصكوك الدولية القائمة للملكية الفكرية وأشكال التعبير الثقافي التقليدي: </w:t>
      </w:r>
      <w:r w:rsidR="00C361BC">
        <w:rPr>
          <w:rFonts w:hint="cs"/>
          <w:b/>
          <w:bCs/>
          <w:rtl/>
        </w:rPr>
        <w:t>ما</w:t>
      </w:r>
      <w:r w:rsidR="00C361BC">
        <w:rPr>
          <w:rFonts w:hint="eastAsia"/>
          <w:b/>
          <w:bCs/>
          <w:rtl/>
        </w:rPr>
        <w:t> </w:t>
      </w:r>
      <w:r w:rsidR="00C361BC">
        <w:rPr>
          <w:rFonts w:hint="cs"/>
          <w:b/>
          <w:bCs/>
          <w:rtl/>
        </w:rPr>
        <w:t>هي</w:t>
      </w:r>
      <w:r w:rsidR="00C361BC">
        <w:rPr>
          <w:rFonts w:hint="eastAsia"/>
          <w:b/>
          <w:bCs/>
          <w:rtl/>
        </w:rPr>
        <w:t> </w:t>
      </w:r>
      <w:r w:rsidRPr="00BB522D">
        <w:rPr>
          <w:b/>
          <w:bCs/>
          <w:rtl/>
        </w:rPr>
        <w:t>الثغرات الموجودة، وتلك</w:t>
      </w:r>
      <w:r w:rsidR="00CD307D">
        <w:rPr>
          <w:rFonts w:hint="cs"/>
          <w:b/>
          <w:bCs/>
          <w:rtl/>
        </w:rPr>
        <w:t> </w:t>
      </w:r>
      <w:r w:rsidRPr="00BB522D">
        <w:rPr>
          <w:b/>
          <w:bCs/>
          <w:rtl/>
        </w:rPr>
        <w:t>التي</w:t>
      </w:r>
      <w:r w:rsidR="00CD307D">
        <w:rPr>
          <w:rFonts w:hint="cs"/>
          <w:b/>
          <w:bCs/>
          <w:rtl/>
        </w:rPr>
        <w:t> </w:t>
      </w:r>
      <w:r w:rsidRPr="00BB522D">
        <w:rPr>
          <w:b/>
          <w:bCs/>
          <w:rtl/>
        </w:rPr>
        <w:t>ينبغي سدّها إن وجدت؟</w:t>
      </w:r>
    </w:p>
    <w:p w:rsidR="00BB522D" w:rsidRDefault="00BB522D" w:rsidP="0004125E">
      <w:pPr>
        <w:pStyle w:val="NumberedParaAR"/>
      </w:pPr>
      <w:r>
        <w:rPr>
          <w:rFonts w:hint="cs"/>
          <w:rtl/>
        </w:rPr>
        <w:t xml:space="preserve">من المتوقع أن تُعرض في الكلمة الافتتاحية الأحكام والإمكانات المتاحة على الصعيد الدولي لحماية أشكال التعبير الثقافي التقليدي فضلاً عن الثغرات الموجودة وتلك التي ينبغي سدّها إن وجدت. </w:t>
      </w:r>
      <w:proofErr w:type="gramStart"/>
      <w:r>
        <w:rPr>
          <w:rFonts w:hint="cs"/>
          <w:rtl/>
        </w:rPr>
        <w:t>و</w:t>
      </w:r>
      <w:r w:rsidR="0004125E">
        <w:rPr>
          <w:rFonts w:hint="cs"/>
          <w:rtl/>
        </w:rPr>
        <w:t>م</w:t>
      </w:r>
      <w:r>
        <w:rPr>
          <w:rFonts w:hint="cs"/>
          <w:rtl/>
        </w:rPr>
        <w:t>ن</w:t>
      </w:r>
      <w:proofErr w:type="gramEnd"/>
      <w:r>
        <w:rPr>
          <w:rFonts w:hint="cs"/>
          <w:rtl/>
        </w:rPr>
        <w:t xml:space="preserve"> المتوقع</w:t>
      </w:r>
      <w:r w:rsidR="0004125E">
        <w:rPr>
          <w:rFonts w:hint="cs"/>
          <w:rtl/>
        </w:rPr>
        <w:t xml:space="preserve"> أيضا</w:t>
      </w:r>
      <w:r>
        <w:rPr>
          <w:rFonts w:hint="cs"/>
          <w:rtl/>
        </w:rPr>
        <w:t xml:space="preserve"> أن </w:t>
      </w:r>
      <w:r w:rsidR="00C361BC">
        <w:rPr>
          <w:rFonts w:hint="cs"/>
          <w:rtl/>
        </w:rPr>
        <w:t>يُ</w:t>
      </w:r>
      <w:r>
        <w:rPr>
          <w:rFonts w:hint="cs"/>
          <w:rtl/>
        </w:rPr>
        <w:t>ذ</w:t>
      </w:r>
      <w:r w:rsidR="00C361BC">
        <w:rPr>
          <w:rFonts w:hint="cs"/>
          <w:rtl/>
        </w:rPr>
        <w:t>كَّ</w:t>
      </w:r>
      <w:r>
        <w:rPr>
          <w:rFonts w:hint="cs"/>
          <w:rtl/>
        </w:rPr>
        <w:t xml:space="preserve">ر بالوثيقة </w:t>
      </w:r>
      <w:r>
        <w:t>WIPO/GRTKF/IC/13/4(b) Rev.</w:t>
      </w:r>
      <w:r>
        <w:rPr>
          <w:rFonts w:hint="cs"/>
          <w:rtl/>
          <w:lang w:bidi="ar-EG"/>
        </w:rPr>
        <w:t xml:space="preserve"> "</w:t>
      </w:r>
      <w:r w:rsidRPr="00BB522D">
        <w:rPr>
          <w:rtl/>
          <w:lang w:bidi="ar-EG"/>
        </w:rPr>
        <w:t>حماية أشكال التعبير الثقافي التقليدي: مشروع</w:t>
      </w:r>
      <w:r>
        <w:rPr>
          <w:rFonts w:hint="cs"/>
          <w:rtl/>
          <w:lang w:bidi="ar-EG"/>
        </w:rPr>
        <w:t> </w:t>
      </w:r>
      <w:r w:rsidRPr="00BB522D">
        <w:rPr>
          <w:rtl/>
          <w:lang w:bidi="ar-EG"/>
        </w:rPr>
        <w:t xml:space="preserve">تحليل </w:t>
      </w:r>
      <w:r>
        <w:rPr>
          <w:rFonts w:hint="cs"/>
          <w:rtl/>
          <w:lang w:bidi="ar-EG"/>
        </w:rPr>
        <w:t>ا</w:t>
      </w:r>
      <w:r w:rsidRPr="00BB522D">
        <w:rPr>
          <w:rtl/>
          <w:lang w:bidi="ar-EG"/>
        </w:rPr>
        <w:t>لثغرات</w:t>
      </w:r>
      <w:r>
        <w:rPr>
          <w:rFonts w:hint="cs"/>
          <w:rtl/>
          <w:lang w:bidi="ar-EG"/>
        </w:rPr>
        <w:t>" التي أتيحت خلال دورة اللجنة الثالثة عشرة في عام 2009.</w:t>
      </w:r>
    </w:p>
    <w:p w:rsidR="00BB522D" w:rsidRPr="00BB522D" w:rsidRDefault="00BB522D" w:rsidP="000A0710">
      <w:pPr>
        <w:pStyle w:val="NumberedParaAR"/>
        <w:rPr>
          <w:rtl/>
        </w:rPr>
      </w:pPr>
      <w:proofErr w:type="gramStart"/>
      <w:r>
        <w:rPr>
          <w:rFonts w:hint="cs"/>
          <w:rtl/>
        </w:rPr>
        <w:t>وفي</w:t>
      </w:r>
      <w:proofErr w:type="gramEnd"/>
      <w:r>
        <w:rPr>
          <w:rFonts w:hint="cs"/>
          <w:rtl/>
        </w:rPr>
        <w:t xml:space="preserve"> هذا السياق، تكون "الثغرة" هي ما لم يستجب له من الاحتياجات الاقتصادية أو الثقافية أو الاجتماعية. وقد يختلف مفهوم الثغرة باختلاف أصحاب المصلحة المشاركين في مفاوضات اللجنة. </w:t>
      </w:r>
      <w:proofErr w:type="gramStart"/>
      <w:r w:rsidR="000A0710">
        <w:rPr>
          <w:rFonts w:hint="cs"/>
          <w:rtl/>
        </w:rPr>
        <w:t>ويرجع</w:t>
      </w:r>
      <w:proofErr w:type="gramEnd"/>
      <w:r w:rsidR="000A0710">
        <w:rPr>
          <w:rFonts w:hint="cs"/>
          <w:rtl/>
        </w:rPr>
        <w:t xml:space="preserve"> إلى الدول الأعضاء، في نهاية المطاف، أن تبت في ماهية الثغرة وفي ضرورة الاستجابة لها. </w:t>
      </w:r>
      <w:proofErr w:type="gramStart"/>
      <w:r w:rsidR="000A0710">
        <w:rPr>
          <w:rFonts w:hint="cs"/>
          <w:rtl/>
        </w:rPr>
        <w:t>ويعني</w:t>
      </w:r>
      <w:proofErr w:type="gramEnd"/>
      <w:r w:rsidR="000A0710">
        <w:rPr>
          <w:rFonts w:hint="cs"/>
          <w:rtl/>
        </w:rPr>
        <w:t xml:space="preserve"> ذلك أنه لن يتعين سد كل الثغرات المحددة لما قد يكون لبعضها من مبررات سياسية</w:t>
      </w:r>
      <w:r w:rsidR="0004125E">
        <w:rPr>
          <w:rFonts w:hint="cs"/>
          <w:rtl/>
        </w:rPr>
        <w:t xml:space="preserve"> مشروعة</w:t>
      </w:r>
      <w:r w:rsidR="000A0710">
        <w:rPr>
          <w:rFonts w:hint="cs"/>
          <w:rtl/>
        </w:rPr>
        <w:t>.</w:t>
      </w:r>
    </w:p>
    <w:p w:rsidR="00BB522D" w:rsidRDefault="00BB522D" w:rsidP="00BB522D">
      <w:pPr>
        <w:pStyle w:val="NormalParaAR"/>
        <w:rPr>
          <w:b/>
          <w:bCs/>
          <w:rtl/>
        </w:rPr>
      </w:pPr>
      <w:proofErr w:type="gramStart"/>
      <w:r w:rsidRPr="00BB522D">
        <w:rPr>
          <w:b/>
          <w:bCs/>
          <w:rtl/>
        </w:rPr>
        <w:t>المائدة</w:t>
      </w:r>
      <w:proofErr w:type="gramEnd"/>
      <w:r w:rsidRPr="00BB522D">
        <w:rPr>
          <w:b/>
          <w:bCs/>
          <w:rtl/>
        </w:rPr>
        <w:t xml:space="preserve"> المستديرة 1: القضايا الرئيسية لسياسات الملكية الفكرية وأشكال التعبير الثقافي التقليدي: الجلسة الأولى</w:t>
      </w:r>
    </w:p>
    <w:p w:rsidR="00BB522D" w:rsidRDefault="000A0710" w:rsidP="0004125E">
      <w:pPr>
        <w:pStyle w:val="NumberedParaAR"/>
      </w:pPr>
      <w:proofErr w:type="gramStart"/>
      <w:r>
        <w:rPr>
          <w:rFonts w:hint="cs"/>
          <w:rtl/>
        </w:rPr>
        <w:t>ستكون</w:t>
      </w:r>
      <w:proofErr w:type="gramEnd"/>
      <w:r>
        <w:rPr>
          <w:rFonts w:hint="cs"/>
          <w:rtl/>
        </w:rPr>
        <w:t xml:space="preserve"> هذه المائدة المستديرة فرصة كي يحدد المتحدثون القضايا السياسية المتعلقة بحماية الملكية الفكرية وتحديدا أشكال التعبير الثقافي التقليدي لما لها من أهمية محورية. وقد ركزت اللجنة مفاوضاتها حتى الآن على بعض المواد الأساسية وبعض القضايا الجوهرية التي تشمل كما ورد في الولاية الحالية للجنة "</w:t>
      </w:r>
      <w:r w:rsidRPr="000A0710">
        <w:rPr>
          <w:rtl/>
        </w:rPr>
        <w:t>تعريف التملك غير المشروع والمستفيدين وموضوع الحماية وأهداف الحماية ونوع الحماية التي يحق توفيرها للمعارف التقليدية/أشكال التعبير الثقافي على الصعيد الدولي، بما في ذلك النظر في الاستثناءات والتقييدات والعلاقة بالملك العام"</w:t>
      </w:r>
      <w:r>
        <w:rPr>
          <w:rFonts w:hint="cs"/>
          <w:rtl/>
        </w:rPr>
        <w:t xml:space="preserve">. وتشمل القضايا السياسية الأخرى مثلا مسألة </w:t>
      </w:r>
      <w:r w:rsidRPr="000A0710">
        <w:rPr>
          <w:rtl/>
        </w:rPr>
        <w:t>العقوبات وسبل الانتصاف وإدارة الحقوق ومدة الحماية والإجراءات الشكلية والتدابير الانتقالية والصلة بالاتفاقات الدولية الأخرى والمعاملة</w:t>
      </w:r>
      <w:r w:rsidR="0004125E">
        <w:rPr>
          <w:rFonts w:hint="cs"/>
          <w:rtl/>
        </w:rPr>
        <w:t> </w:t>
      </w:r>
      <w:r w:rsidRPr="000A0710">
        <w:rPr>
          <w:rtl/>
        </w:rPr>
        <w:t>الوطنية والتعاون عبر الحدود</w:t>
      </w:r>
      <w:r>
        <w:rPr>
          <w:rFonts w:hint="cs"/>
          <w:rtl/>
        </w:rPr>
        <w:t>.</w:t>
      </w:r>
    </w:p>
    <w:p w:rsidR="000A0710" w:rsidRPr="00BB522D" w:rsidRDefault="000A0710" w:rsidP="000A0710">
      <w:pPr>
        <w:pStyle w:val="NumberedParaAR"/>
        <w:rPr>
          <w:rtl/>
        </w:rPr>
      </w:pPr>
      <w:r>
        <w:rPr>
          <w:rFonts w:hint="cs"/>
          <w:rtl/>
        </w:rPr>
        <w:t xml:space="preserve">ويذكَّر بأن اللجنة قد قررت، في دورتها الثالثة والثلاثين المعقودة في الفترة من 27 فبراير إلى 3 مارس 2017، </w:t>
      </w:r>
      <w:r w:rsidRPr="000A0710">
        <w:rPr>
          <w:rtl/>
        </w:rPr>
        <w:t>أن</w:t>
      </w:r>
      <w:r>
        <w:rPr>
          <w:rFonts w:hint="cs"/>
          <w:rtl/>
        </w:rPr>
        <w:t> </w:t>
      </w:r>
      <w:r w:rsidRPr="000A0710">
        <w:rPr>
          <w:rtl/>
        </w:rPr>
        <w:t>تحيل إلى دورتها الرابعة والثلاثين "قائمة إرشادية بالقضايا العالقة التي ينبغي معالجتها/حلّها في الدورة القادمة"</w:t>
      </w:r>
      <w:r>
        <w:rPr>
          <w:rFonts w:hint="cs"/>
          <w:rtl/>
        </w:rPr>
        <w:t>.</w:t>
      </w:r>
      <w:r w:rsidR="002D5659">
        <w:rPr>
          <w:rStyle w:val="FootnoteReference"/>
          <w:rtl/>
        </w:rPr>
        <w:footnoteReference w:id="1"/>
      </w:r>
    </w:p>
    <w:p w:rsidR="00BB522D" w:rsidRDefault="00BB522D" w:rsidP="00C361BC">
      <w:pPr>
        <w:pStyle w:val="NormalParaAR"/>
        <w:keepNext/>
        <w:rPr>
          <w:b/>
          <w:bCs/>
          <w:rtl/>
        </w:rPr>
      </w:pPr>
      <w:r w:rsidRPr="00BB522D">
        <w:rPr>
          <w:b/>
          <w:bCs/>
          <w:rtl/>
        </w:rPr>
        <w:lastRenderedPageBreak/>
        <w:t xml:space="preserve">المائدة المستديرة 2: حماية أشكال التعبير الثقافي التقليدي: التجارب العملية والمبادرات </w:t>
      </w:r>
      <w:proofErr w:type="gramStart"/>
      <w:r w:rsidRPr="00BB522D">
        <w:rPr>
          <w:b/>
          <w:bCs/>
          <w:rtl/>
        </w:rPr>
        <w:t>والمشاريع</w:t>
      </w:r>
      <w:proofErr w:type="gramEnd"/>
    </w:p>
    <w:p w:rsidR="00BB522D" w:rsidRPr="00BB522D" w:rsidRDefault="002D5659" w:rsidP="005E0EF2">
      <w:pPr>
        <w:pStyle w:val="NumberedParaAR"/>
        <w:keepLines/>
        <w:rPr>
          <w:rtl/>
        </w:rPr>
      </w:pPr>
      <w:r>
        <w:rPr>
          <w:rFonts w:hint="cs"/>
          <w:rtl/>
        </w:rPr>
        <w:t xml:space="preserve">ستكون هذه المائدة المستديرة فرصة كي يعرض المتحدثون تجاربهم والدروس المستفادة من استخدام الأدوات العملية والمبادرات والمشاريع الخاصة بحماية أشكال التعبير الثقافي التقليدي ولا سيما في سياق الأنظمة التقليدية للملكية الفكرية. </w:t>
      </w:r>
      <w:proofErr w:type="gramStart"/>
      <w:r>
        <w:rPr>
          <w:rFonts w:hint="cs"/>
          <w:rtl/>
        </w:rPr>
        <w:t>وقد</w:t>
      </w:r>
      <w:proofErr w:type="gramEnd"/>
      <w:r>
        <w:rPr>
          <w:rFonts w:hint="cs"/>
          <w:rtl/>
        </w:rPr>
        <w:t> يرجِّح أصحاب المصلحة استخدام تلك الأدوات العملية والمبادرات والمشاريع إلى جانب/عوضا عن رسم سياسات جديدة ووضع تدابير قانونية جديدة وتنفيذها. وقد تشمل مثلا قوائم جرد وفهارس وعقود ومنصات توسيم وترخيص وأنشطة</w:t>
      </w:r>
      <w:r w:rsidR="005E0EF2">
        <w:rPr>
          <w:rFonts w:hint="eastAsia"/>
          <w:rtl/>
        </w:rPr>
        <w:t> </w:t>
      </w:r>
      <w:r>
        <w:rPr>
          <w:rFonts w:hint="cs"/>
          <w:rtl/>
        </w:rPr>
        <w:t>توعية وتكوين كفاءات ومشاورات مع قاعدة المستخدمين فضلا عن استخدام حقوق الملكية الفكرية القائمة.</w:t>
      </w:r>
    </w:p>
    <w:p w:rsidR="00BB522D" w:rsidRDefault="00BB522D" w:rsidP="00BB522D">
      <w:pPr>
        <w:pStyle w:val="NormalParaAR"/>
        <w:rPr>
          <w:b/>
          <w:bCs/>
          <w:rtl/>
        </w:rPr>
      </w:pPr>
      <w:proofErr w:type="gramStart"/>
      <w:r w:rsidRPr="00BB522D">
        <w:rPr>
          <w:b/>
          <w:bCs/>
          <w:rtl/>
        </w:rPr>
        <w:t>المائدة</w:t>
      </w:r>
      <w:proofErr w:type="gramEnd"/>
      <w:r w:rsidRPr="00BB522D">
        <w:rPr>
          <w:b/>
          <w:bCs/>
          <w:rtl/>
        </w:rPr>
        <w:t xml:space="preserve"> المستديرة 3: القضايا الرئيسية لسياسات الملكية الفكرية وأشكال التعبير الثقافي التقليدي: الجلسة الثانية</w:t>
      </w:r>
    </w:p>
    <w:p w:rsidR="00BB522D" w:rsidRPr="00BB522D" w:rsidRDefault="002D5659" w:rsidP="005E0EF2">
      <w:pPr>
        <w:pStyle w:val="NumberedParaAR"/>
        <w:rPr>
          <w:rtl/>
        </w:rPr>
      </w:pPr>
      <w:r>
        <w:rPr>
          <w:rFonts w:hint="cs"/>
          <w:rtl/>
        </w:rPr>
        <w:t>ستكون هذه المائدة المستديرة متابعة ل</w:t>
      </w:r>
      <w:r w:rsidRPr="002D5659">
        <w:rPr>
          <w:rtl/>
        </w:rPr>
        <w:t>لمائدة المستديرة 1</w:t>
      </w:r>
      <w:r>
        <w:rPr>
          <w:rFonts w:hint="cs"/>
          <w:rtl/>
        </w:rPr>
        <w:t xml:space="preserve"> "</w:t>
      </w:r>
      <w:r w:rsidRPr="002D5659">
        <w:rPr>
          <w:rtl/>
        </w:rPr>
        <w:t xml:space="preserve">القضايا الرئيسية لسياسات الملكية الفكرية </w:t>
      </w:r>
      <w:proofErr w:type="gramStart"/>
      <w:r w:rsidRPr="002D5659">
        <w:rPr>
          <w:rtl/>
        </w:rPr>
        <w:t>وأشكال</w:t>
      </w:r>
      <w:proofErr w:type="gramEnd"/>
      <w:r w:rsidR="005E0EF2">
        <w:rPr>
          <w:rFonts w:hint="cs"/>
          <w:rtl/>
        </w:rPr>
        <w:t> </w:t>
      </w:r>
      <w:r w:rsidRPr="002D5659">
        <w:rPr>
          <w:rtl/>
        </w:rPr>
        <w:t>التعبير الثقافي التقليدي: الجلسة الأولى</w:t>
      </w:r>
      <w:r>
        <w:rPr>
          <w:rFonts w:hint="cs"/>
          <w:rtl/>
        </w:rPr>
        <w:t xml:space="preserve">". وعلى غرار المائدة المستديرة 1، سيُدعى المتحدثون إلى تحديد القضايا السياسية </w:t>
      </w:r>
      <w:r w:rsidR="00537449">
        <w:rPr>
          <w:rFonts w:hint="cs"/>
          <w:rtl/>
        </w:rPr>
        <w:t xml:space="preserve">الجوهرية </w:t>
      </w:r>
      <w:proofErr w:type="gramStart"/>
      <w:r w:rsidR="00537449">
        <w:rPr>
          <w:rFonts w:hint="cs"/>
          <w:rtl/>
        </w:rPr>
        <w:t>ومعالجتها</w:t>
      </w:r>
      <w:proofErr w:type="gramEnd"/>
      <w:r w:rsidR="00537449">
        <w:rPr>
          <w:rFonts w:hint="cs"/>
          <w:rtl/>
        </w:rPr>
        <w:t>.</w:t>
      </w:r>
    </w:p>
    <w:p w:rsidR="00BB522D" w:rsidRDefault="00BB522D" w:rsidP="00537449">
      <w:pPr>
        <w:pStyle w:val="NormalParaAR"/>
        <w:rPr>
          <w:b/>
          <w:bCs/>
          <w:rtl/>
        </w:rPr>
      </w:pPr>
      <w:r w:rsidRPr="00BB522D">
        <w:rPr>
          <w:b/>
          <w:bCs/>
          <w:rtl/>
        </w:rPr>
        <w:t>المائدة المستديرة 4: التطورات المعيارية الدولية السابقة في مجال الملكية الفكرية: الدروس المستفادة من التفاوض على صك</w:t>
      </w:r>
      <w:r w:rsidR="00537449">
        <w:rPr>
          <w:rFonts w:hint="cs"/>
          <w:b/>
          <w:bCs/>
          <w:rtl/>
        </w:rPr>
        <w:t> </w:t>
      </w:r>
      <w:r w:rsidRPr="00BB522D">
        <w:rPr>
          <w:b/>
          <w:bCs/>
          <w:rtl/>
        </w:rPr>
        <w:t>دولي بشأن أشكال التعبير الثقافي التقليدي؟</w:t>
      </w:r>
    </w:p>
    <w:p w:rsidR="00BB522D" w:rsidRDefault="00537449" w:rsidP="00537449">
      <w:pPr>
        <w:pStyle w:val="NumberedParaAR"/>
      </w:pPr>
      <w:r>
        <w:rPr>
          <w:rFonts w:hint="cs"/>
          <w:rtl/>
        </w:rPr>
        <w:t>اعتمد عدد من المحافل الدولية، بما في ذلك الويبو، صكوكا قانونية و/أو اضطلع بعمل معياري فيما يخص الملكية الفكرية و/أو الموارد الوراثية والمعارف التقليدية وأشكال التعبير الثقافي التقليدي.</w:t>
      </w:r>
    </w:p>
    <w:p w:rsidR="00537449" w:rsidRPr="00BB522D" w:rsidRDefault="00537449" w:rsidP="00421D32">
      <w:pPr>
        <w:pStyle w:val="NumberedParaAR"/>
        <w:rPr>
          <w:rtl/>
        </w:rPr>
      </w:pPr>
      <w:r>
        <w:rPr>
          <w:rFonts w:hint="cs"/>
          <w:rtl/>
        </w:rPr>
        <w:t>وستكون هذه المائدة المستديرة فرصة كي يعرض المتحدثون بعض المسارات التي أدت إلى اعتماد تلك الصكوك القانونية. وسيُدعى المتحدثون إلى عرض الدروس المستفادة من التفاوض على الصكوك القانونية الدولية السابقة والتي</w:t>
      </w:r>
      <w:r w:rsidR="00421D32">
        <w:rPr>
          <w:rFonts w:hint="eastAsia"/>
          <w:rtl/>
        </w:rPr>
        <w:t> </w:t>
      </w:r>
      <w:r>
        <w:rPr>
          <w:rFonts w:hint="cs"/>
          <w:rtl/>
        </w:rPr>
        <w:t>قد</w:t>
      </w:r>
      <w:r>
        <w:rPr>
          <w:rFonts w:hint="eastAsia"/>
          <w:rtl/>
        </w:rPr>
        <w:t> </w:t>
      </w:r>
      <w:r>
        <w:rPr>
          <w:rFonts w:hint="cs"/>
          <w:rtl/>
        </w:rPr>
        <w:t>تفيد المفاوضات الجارية للجنة.</w:t>
      </w:r>
    </w:p>
    <w:p w:rsidR="00BB522D" w:rsidRDefault="00BB522D" w:rsidP="00BB522D">
      <w:pPr>
        <w:pStyle w:val="NormalParaAR"/>
        <w:rPr>
          <w:b/>
          <w:bCs/>
          <w:rtl/>
        </w:rPr>
      </w:pPr>
      <w:proofErr w:type="gramStart"/>
      <w:r w:rsidRPr="00BB522D">
        <w:rPr>
          <w:rFonts w:hint="cs"/>
          <w:b/>
          <w:bCs/>
          <w:rtl/>
        </w:rPr>
        <w:t>ال</w:t>
      </w:r>
      <w:r w:rsidRPr="00BB522D">
        <w:rPr>
          <w:b/>
          <w:bCs/>
          <w:rtl/>
        </w:rPr>
        <w:t>كلمة</w:t>
      </w:r>
      <w:proofErr w:type="gramEnd"/>
      <w:r w:rsidRPr="00BB522D">
        <w:rPr>
          <w:b/>
          <w:bCs/>
          <w:rtl/>
        </w:rPr>
        <w:t xml:space="preserve"> </w:t>
      </w:r>
      <w:r w:rsidRPr="00BB522D">
        <w:rPr>
          <w:rFonts w:hint="cs"/>
          <w:b/>
          <w:bCs/>
          <w:rtl/>
        </w:rPr>
        <w:t>ال</w:t>
      </w:r>
      <w:r w:rsidRPr="00BB522D">
        <w:rPr>
          <w:b/>
          <w:bCs/>
          <w:rtl/>
        </w:rPr>
        <w:t>ختامية: تأملات في الخطوات المستقبلية</w:t>
      </w:r>
    </w:p>
    <w:p w:rsidR="00BB522D" w:rsidRPr="00BB522D" w:rsidRDefault="00CD307D" w:rsidP="00CD307D">
      <w:pPr>
        <w:pStyle w:val="NumberedParaAR"/>
        <w:rPr>
          <w:rtl/>
        </w:rPr>
      </w:pPr>
      <w:r>
        <w:rPr>
          <w:rFonts w:hint="cs"/>
          <w:rtl/>
        </w:rPr>
        <w:t xml:space="preserve">مع حلول نهاية ولاية اللجنة للثنائية 2016/17، سيذكَّر في الكلمة الختامية ببعض المجالات الرئيسية التي أحرزت فيها اللجنة تقدما منذ إنشائها ولا سيما خلال هذه الثنائية. </w:t>
      </w:r>
      <w:proofErr w:type="gramStart"/>
      <w:r>
        <w:rPr>
          <w:rFonts w:hint="cs"/>
          <w:rtl/>
        </w:rPr>
        <w:t>وسيعرض</w:t>
      </w:r>
      <w:proofErr w:type="gramEnd"/>
      <w:r>
        <w:rPr>
          <w:rFonts w:hint="cs"/>
          <w:rtl/>
        </w:rPr>
        <w:t xml:space="preserve"> المتحدث بعض الآراء الشخصية بشأن سبل المضي قدما وتوضيح بعض الخيارات أو السيناريوهات المختلفة التي يمكن للدول الأعضاء أن تنظر فيها.</w:t>
      </w:r>
    </w:p>
    <w:p w:rsidR="002D6DE5" w:rsidRPr="00634349" w:rsidRDefault="002D6DE5" w:rsidP="002D6DE5">
      <w:pPr>
        <w:pStyle w:val="EndofDocumentAR"/>
        <w:spacing w:before="480"/>
      </w:pPr>
      <w:r w:rsidRPr="00634349">
        <w:rPr>
          <w:rFonts w:hint="cs"/>
          <w:rtl/>
        </w:rPr>
        <w:t>[</w:t>
      </w:r>
      <w:proofErr w:type="gramStart"/>
      <w:r w:rsidRPr="00634349">
        <w:rPr>
          <w:rFonts w:hint="cs"/>
          <w:rtl/>
        </w:rPr>
        <w:t>نهاية</w:t>
      </w:r>
      <w:proofErr w:type="gramEnd"/>
      <w:r w:rsidRPr="00634349">
        <w:rPr>
          <w:rFonts w:hint="cs"/>
          <w:rtl/>
        </w:rPr>
        <w:t xml:space="preserve"> الوثيقة]</w:t>
      </w:r>
    </w:p>
    <w:sectPr w:rsidR="002D6DE5" w:rsidRPr="00634349"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822" w:rsidRDefault="00F90822">
      <w:r>
        <w:separator/>
      </w:r>
    </w:p>
  </w:endnote>
  <w:endnote w:type="continuationSeparator" w:id="0">
    <w:p w:rsidR="00F90822" w:rsidRDefault="00F9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822" w:rsidRDefault="00F90822" w:rsidP="009622BF">
      <w:pPr>
        <w:bidi/>
      </w:pPr>
      <w:bookmarkStart w:id="0" w:name="OLE_LINK1"/>
      <w:bookmarkStart w:id="1" w:name="OLE_LINK2"/>
      <w:r>
        <w:separator/>
      </w:r>
      <w:bookmarkEnd w:id="0"/>
      <w:bookmarkEnd w:id="1"/>
    </w:p>
  </w:footnote>
  <w:footnote w:type="continuationSeparator" w:id="0">
    <w:p w:rsidR="00F90822" w:rsidRDefault="00F90822" w:rsidP="009622BF">
      <w:pPr>
        <w:bidi/>
      </w:pPr>
      <w:r>
        <w:separator/>
      </w:r>
    </w:p>
  </w:footnote>
  <w:footnote w:id="1">
    <w:p w:rsidR="002D5659" w:rsidRDefault="002D5659" w:rsidP="002D5659">
      <w:pPr>
        <w:pStyle w:val="FootnoteText"/>
        <w:rPr>
          <w:rtl/>
          <w:lang w:bidi="ar-EG"/>
        </w:rPr>
      </w:pPr>
      <w:r>
        <w:rPr>
          <w:rStyle w:val="FootnoteReference"/>
        </w:rPr>
        <w:footnoteRef/>
      </w:r>
      <w:r>
        <w:rPr>
          <w:rFonts w:hint="cs"/>
          <w:rtl/>
        </w:rPr>
        <w:tab/>
        <w:t xml:space="preserve">انظر </w:t>
      </w:r>
      <w:proofErr w:type="gramStart"/>
      <w:r>
        <w:rPr>
          <w:rFonts w:hint="cs"/>
          <w:rtl/>
        </w:rPr>
        <w:t>الوثيقة</w:t>
      </w:r>
      <w:proofErr w:type="gramEnd"/>
      <w:r>
        <w:rPr>
          <w:rFonts w:hint="cs"/>
          <w:rtl/>
        </w:rPr>
        <w:t xml:space="preserve"> </w:t>
      </w:r>
      <w:r>
        <w:t>WIPO/GRTKF/IC/34/7</w:t>
      </w:r>
      <w:r>
        <w:rPr>
          <w:rFonts w:hint="cs"/>
          <w:rtl/>
          <w:lang w:bidi="ar-EG"/>
        </w:rPr>
        <w:t xml:space="preserve"> المتاحة على </w:t>
      </w:r>
      <w:hyperlink r:id="rId1" w:history="1">
        <w:r w:rsidRPr="006330EB">
          <w:rPr>
            <w:rStyle w:val="Hyperlink"/>
            <w:lang w:bidi="ar-EG"/>
          </w:rPr>
          <w:t>http://www.wipo.int/tk/en/igc/preparation/</w:t>
        </w:r>
      </w:hyperlink>
      <w:r w:rsidR="0004125E">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89" w:rsidRPr="007F63D6" w:rsidRDefault="002D7389" w:rsidP="00BB522D">
    <w:pPr>
      <w:rPr>
        <w:szCs w:val="22"/>
      </w:rPr>
    </w:pPr>
    <w:r w:rsidRPr="007F63D6">
      <w:rPr>
        <w:szCs w:val="22"/>
      </w:rPr>
      <w:t>WIPO</w:t>
    </w:r>
    <w:r w:rsidR="007F63D6" w:rsidRPr="007F63D6">
      <w:rPr>
        <w:szCs w:val="22"/>
      </w:rPr>
      <w:t>/IPTK/GE/</w:t>
    </w:r>
    <w:r w:rsidR="007D2229">
      <w:rPr>
        <w:szCs w:val="22"/>
      </w:rPr>
      <w:t>17</w:t>
    </w:r>
    <w:r w:rsidRPr="007F63D6">
      <w:rPr>
        <w:szCs w:val="22"/>
      </w:rPr>
      <w:t>/INF/</w:t>
    </w:r>
    <w:r w:rsidR="007D2229">
      <w:rPr>
        <w:szCs w:val="22"/>
      </w:rPr>
      <w:t>2</w:t>
    </w:r>
  </w:p>
  <w:p w:rsidR="002D7389" w:rsidRDefault="002D7389" w:rsidP="00D61541">
    <w:r>
      <w:fldChar w:fldCharType="begin"/>
    </w:r>
    <w:r>
      <w:instrText xml:space="preserve"> PAGE  \* MERGEFORMAT </w:instrText>
    </w:r>
    <w:r>
      <w:fldChar w:fldCharType="separate"/>
    </w:r>
    <w:r w:rsidR="00721B09">
      <w:rPr>
        <w:noProof/>
      </w:rPr>
      <w:t>3</w:t>
    </w:r>
    <w:r>
      <w:fldChar w:fldCharType="end"/>
    </w:r>
  </w:p>
  <w:p w:rsidR="002D7389" w:rsidRDefault="002D7389"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F63"/>
    <w:rsid w:val="00002747"/>
    <w:rsid w:val="00002CBE"/>
    <w:rsid w:val="00003232"/>
    <w:rsid w:val="000033DA"/>
    <w:rsid w:val="0000579F"/>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774A"/>
    <w:rsid w:val="00040637"/>
    <w:rsid w:val="00040688"/>
    <w:rsid w:val="0004070F"/>
    <w:rsid w:val="0004115B"/>
    <w:rsid w:val="0004125E"/>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0710"/>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1E14"/>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7D4"/>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307"/>
    <w:rsid w:val="00162777"/>
    <w:rsid w:val="00162836"/>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8F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092"/>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96F"/>
    <w:rsid w:val="00226B82"/>
    <w:rsid w:val="00227103"/>
    <w:rsid w:val="00230249"/>
    <w:rsid w:val="00230D5F"/>
    <w:rsid w:val="00231BE3"/>
    <w:rsid w:val="00232C51"/>
    <w:rsid w:val="00233414"/>
    <w:rsid w:val="00233D69"/>
    <w:rsid w:val="00234E82"/>
    <w:rsid w:val="00235B13"/>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85A"/>
    <w:rsid w:val="00286744"/>
    <w:rsid w:val="002909B9"/>
    <w:rsid w:val="00292CEE"/>
    <w:rsid w:val="00292D22"/>
    <w:rsid w:val="0029470D"/>
    <w:rsid w:val="00295AF7"/>
    <w:rsid w:val="00297B80"/>
    <w:rsid w:val="002A076C"/>
    <w:rsid w:val="002A0AF2"/>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659"/>
    <w:rsid w:val="002D5DDC"/>
    <w:rsid w:val="002D5F16"/>
    <w:rsid w:val="002D62F1"/>
    <w:rsid w:val="002D6DE5"/>
    <w:rsid w:val="002D6FD8"/>
    <w:rsid w:val="002D727B"/>
    <w:rsid w:val="002D7389"/>
    <w:rsid w:val="002D7EAD"/>
    <w:rsid w:val="002E0D6D"/>
    <w:rsid w:val="002E1169"/>
    <w:rsid w:val="002E121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2AD1"/>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C218D"/>
    <w:rsid w:val="003C3D89"/>
    <w:rsid w:val="003C3EE2"/>
    <w:rsid w:val="003C4224"/>
    <w:rsid w:val="003C426D"/>
    <w:rsid w:val="003C4877"/>
    <w:rsid w:val="003C4B42"/>
    <w:rsid w:val="003C4E91"/>
    <w:rsid w:val="003C68C0"/>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57E"/>
    <w:rsid w:val="003F24BF"/>
    <w:rsid w:val="003F4C37"/>
    <w:rsid w:val="003F67AE"/>
    <w:rsid w:val="003F6BBB"/>
    <w:rsid w:val="003F719F"/>
    <w:rsid w:val="0040033D"/>
    <w:rsid w:val="004007E1"/>
    <w:rsid w:val="00400B1F"/>
    <w:rsid w:val="004020F1"/>
    <w:rsid w:val="004032D2"/>
    <w:rsid w:val="00403C4F"/>
    <w:rsid w:val="00403FAB"/>
    <w:rsid w:val="004058B4"/>
    <w:rsid w:val="00405C45"/>
    <w:rsid w:val="004062EF"/>
    <w:rsid w:val="004062F0"/>
    <w:rsid w:val="00406CB5"/>
    <w:rsid w:val="00410B8F"/>
    <w:rsid w:val="00412057"/>
    <w:rsid w:val="004126C1"/>
    <w:rsid w:val="00413BA5"/>
    <w:rsid w:val="00413CAB"/>
    <w:rsid w:val="00414FD0"/>
    <w:rsid w:val="00417E93"/>
    <w:rsid w:val="00421D32"/>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449"/>
    <w:rsid w:val="005409EB"/>
    <w:rsid w:val="00540F30"/>
    <w:rsid w:val="00541DD2"/>
    <w:rsid w:val="00543A63"/>
    <w:rsid w:val="00543AB5"/>
    <w:rsid w:val="005446C2"/>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0EF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349"/>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F88"/>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586"/>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1B09"/>
    <w:rsid w:val="00723422"/>
    <w:rsid w:val="007260FE"/>
    <w:rsid w:val="00726DD6"/>
    <w:rsid w:val="00733416"/>
    <w:rsid w:val="0073377E"/>
    <w:rsid w:val="00733E05"/>
    <w:rsid w:val="00735C8A"/>
    <w:rsid w:val="00735FE2"/>
    <w:rsid w:val="0073719A"/>
    <w:rsid w:val="00737C62"/>
    <w:rsid w:val="00737C91"/>
    <w:rsid w:val="0074130E"/>
    <w:rsid w:val="0074367F"/>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5E46"/>
    <w:rsid w:val="00787917"/>
    <w:rsid w:val="00791489"/>
    <w:rsid w:val="00791683"/>
    <w:rsid w:val="00792F0C"/>
    <w:rsid w:val="00795460"/>
    <w:rsid w:val="007A0313"/>
    <w:rsid w:val="007A0A83"/>
    <w:rsid w:val="007A4297"/>
    <w:rsid w:val="007A4BB3"/>
    <w:rsid w:val="007A525F"/>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C4"/>
    <w:rsid w:val="007C25E9"/>
    <w:rsid w:val="007C2744"/>
    <w:rsid w:val="007C2F78"/>
    <w:rsid w:val="007C34C5"/>
    <w:rsid w:val="007C4079"/>
    <w:rsid w:val="007C4827"/>
    <w:rsid w:val="007C4A20"/>
    <w:rsid w:val="007D0B7F"/>
    <w:rsid w:val="007D1266"/>
    <w:rsid w:val="007D1B94"/>
    <w:rsid w:val="007D2229"/>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56BB"/>
    <w:rsid w:val="007F63CE"/>
    <w:rsid w:val="007F63D6"/>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63"/>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205C"/>
    <w:rsid w:val="009343F5"/>
    <w:rsid w:val="0093456A"/>
    <w:rsid w:val="009345AE"/>
    <w:rsid w:val="00934F63"/>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44D8"/>
    <w:rsid w:val="00A4582E"/>
    <w:rsid w:val="00A45BD2"/>
    <w:rsid w:val="00A45DFA"/>
    <w:rsid w:val="00A46A1E"/>
    <w:rsid w:val="00A50595"/>
    <w:rsid w:val="00A50A39"/>
    <w:rsid w:val="00A51DF1"/>
    <w:rsid w:val="00A52AFB"/>
    <w:rsid w:val="00A53077"/>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E6A"/>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22D"/>
    <w:rsid w:val="00BB5E2C"/>
    <w:rsid w:val="00BB7D9E"/>
    <w:rsid w:val="00BC16AC"/>
    <w:rsid w:val="00BC3AE8"/>
    <w:rsid w:val="00BC3AF4"/>
    <w:rsid w:val="00BC43A8"/>
    <w:rsid w:val="00BC5C6D"/>
    <w:rsid w:val="00BC7120"/>
    <w:rsid w:val="00BC76A3"/>
    <w:rsid w:val="00BD00D1"/>
    <w:rsid w:val="00BD07A2"/>
    <w:rsid w:val="00BD2603"/>
    <w:rsid w:val="00BD4EEC"/>
    <w:rsid w:val="00BD4F34"/>
    <w:rsid w:val="00BD537C"/>
    <w:rsid w:val="00BD60A8"/>
    <w:rsid w:val="00BD6F5B"/>
    <w:rsid w:val="00BD7662"/>
    <w:rsid w:val="00BE05ED"/>
    <w:rsid w:val="00BE350E"/>
    <w:rsid w:val="00BE3801"/>
    <w:rsid w:val="00BE38CF"/>
    <w:rsid w:val="00BE394B"/>
    <w:rsid w:val="00BE3CD8"/>
    <w:rsid w:val="00BE48A8"/>
    <w:rsid w:val="00BE528F"/>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E09"/>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1BC"/>
    <w:rsid w:val="00C36742"/>
    <w:rsid w:val="00C374AD"/>
    <w:rsid w:val="00C40DE4"/>
    <w:rsid w:val="00C40E63"/>
    <w:rsid w:val="00C41A06"/>
    <w:rsid w:val="00C4261B"/>
    <w:rsid w:val="00C42BFB"/>
    <w:rsid w:val="00C44DDC"/>
    <w:rsid w:val="00C5128B"/>
    <w:rsid w:val="00C51423"/>
    <w:rsid w:val="00C5235B"/>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07D"/>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201"/>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D007D6"/>
    <w:rsid w:val="00D014AE"/>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8F6"/>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1AC"/>
    <w:rsid w:val="00D912D5"/>
    <w:rsid w:val="00D91AAF"/>
    <w:rsid w:val="00D94564"/>
    <w:rsid w:val="00D9536E"/>
    <w:rsid w:val="00D96A06"/>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684"/>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6DA4"/>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382"/>
    <w:rsid w:val="00E53629"/>
    <w:rsid w:val="00E5372C"/>
    <w:rsid w:val="00E537A9"/>
    <w:rsid w:val="00E541BF"/>
    <w:rsid w:val="00E541C7"/>
    <w:rsid w:val="00E5480C"/>
    <w:rsid w:val="00E54AB7"/>
    <w:rsid w:val="00E55131"/>
    <w:rsid w:val="00E55F3E"/>
    <w:rsid w:val="00E56392"/>
    <w:rsid w:val="00E5712F"/>
    <w:rsid w:val="00E578E1"/>
    <w:rsid w:val="00E601DA"/>
    <w:rsid w:val="00E60547"/>
    <w:rsid w:val="00E609FF"/>
    <w:rsid w:val="00E61AA8"/>
    <w:rsid w:val="00E6247F"/>
    <w:rsid w:val="00E62E59"/>
    <w:rsid w:val="00E63E99"/>
    <w:rsid w:val="00E6454D"/>
    <w:rsid w:val="00E65301"/>
    <w:rsid w:val="00E6598A"/>
    <w:rsid w:val="00E667A7"/>
    <w:rsid w:val="00E679B3"/>
    <w:rsid w:val="00E70B2B"/>
    <w:rsid w:val="00E7190A"/>
    <w:rsid w:val="00E71E5C"/>
    <w:rsid w:val="00E7245E"/>
    <w:rsid w:val="00E73831"/>
    <w:rsid w:val="00E73B66"/>
    <w:rsid w:val="00E7453B"/>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541"/>
    <w:rsid w:val="00EC0725"/>
    <w:rsid w:val="00EC0889"/>
    <w:rsid w:val="00EC0C13"/>
    <w:rsid w:val="00EC148C"/>
    <w:rsid w:val="00EC2D7D"/>
    <w:rsid w:val="00EC36AD"/>
    <w:rsid w:val="00EC3BCF"/>
    <w:rsid w:val="00EC56B1"/>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8CB"/>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D38"/>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822"/>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8EB"/>
    <w:rsid w:val="00FB2BEF"/>
    <w:rsid w:val="00FB36CA"/>
    <w:rsid w:val="00FB72AC"/>
    <w:rsid w:val="00FB7706"/>
    <w:rsid w:val="00FB7BB0"/>
    <w:rsid w:val="00FB7EC9"/>
    <w:rsid w:val="00FB7F82"/>
    <w:rsid w:val="00FC0DAF"/>
    <w:rsid w:val="00FC11F5"/>
    <w:rsid w:val="00FC126D"/>
    <w:rsid w:val="00FC3387"/>
    <w:rsid w:val="00FC382F"/>
    <w:rsid w:val="00FC4236"/>
    <w:rsid w:val="00FC615D"/>
    <w:rsid w:val="00FD01CC"/>
    <w:rsid w:val="00FD08AF"/>
    <w:rsid w:val="00FD1E7A"/>
    <w:rsid w:val="00FD2182"/>
    <w:rsid w:val="00FD2672"/>
    <w:rsid w:val="00FD28F4"/>
    <w:rsid w:val="00FD2CE2"/>
    <w:rsid w:val="00FD4A1E"/>
    <w:rsid w:val="00FD66A9"/>
    <w:rsid w:val="00FD6712"/>
    <w:rsid w:val="00FD6853"/>
    <w:rsid w:val="00FD6E54"/>
    <w:rsid w:val="00FD7363"/>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13CAB"/>
    <w:rPr>
      <w:rFonts w:ascii="Tahoma" w:hAnsi="Tahoma" w:cs="Tahoma"/>
      <w:sz w:val="16"/>
      <w:szCs w:val="16"/>
    </w:rPr>
  </w:style>
  <w:style w:type="character" w:customStyle="1" w:styleId="BalloonTextChar">
    <w:name w:val="Balloon Text Char"/>
    <w:basedOn w:val="DefaultParagraphFont"/>
    <w:link w:val="BalloonText"/>
    <w:rsid w:val="00413CAB"/>
    <w:rPr>
      <w:rFonts w:ascii="Tahoma" w:hAnsi="Tahoma" w:cs="Tahoma"/>
      <w:sz w:val="16"/>
      <w:szCs w:val="16"/>
    </w:rPr>
  </w:style>
  <w:style w:type="character" w:styleId="Hyperlink">
    <w:name w:val="Hyperlink"/>
    <w:basedOn w:val="DefaultParagraphFont"/>
    <w:rsid w:val="002D5659"/>
    <w:rPr>
      <w:color w:val="0000FF" w:themeColor="hyperlink"/>
      <w:u w:val="single"/>
    </w:rPr>
  </w:style>
  <w:style w:type="character" w:styleId="FollowedHyperlink">
    <w:name w:val="FollowedHyperlink"/>
    <w:basedOn w:val="DefaultParagraphFont"/>
    <w:rsid w:val="000412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13CAB"/>
    <w:rPr>
      <w:rFonts w:ascii="Tahoma" w:hAnsi="Tahoma" w:cs="Tahoma"/>
      <w:sz w:val="16"/>
      <w:szCs w:val="16"/>
    </w:rPr>
  </w:style>
  <w:style w:type="character" w:customStyle="1" w:styleId="BalloonTextChar">
    <w:name w:val="Balloon Text Char"/>
    <w:basedOn w:val="DefaultParagraphFont"/>
    <w:link w:val="BalloonText"/>
    <w:rsid w:val="00413CAB"/>
    <w:rPr>
      <w:rFonts w:ascii="Tahoma" w:hAnsi="Tahoma" w:cs="Tahoma"/>
      <w:sz w:val="16"/>
      <w:szCs w:val="16"/>
    </w:rPr>
  </w:style>
  <w:style w:type="character" w:styleId="Hyperlink">
    <w:name w:val="Hyperlink"/>
    <w:basedOn w:val="DefaultParagraphFont"/>
    <w:rsid w:val="002D5659"/>
    <w:rPr>
      <w:color w:val="0000FF" w:themeColor="hyperlink"/>
      <w:u w:val="single"/>
    </w:rPr>
  </w:style>
  <w:style w:type="character" w:styleId="FollowedHyperlink">
    <w:name w:val="FollowedHyperlink"/>
    <w:basedOn w:val="DefaultParagraphFont"/>
    <w:rsid w:val="000412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tk/en/igc/prep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13A2-5836-4D2E-8A9C-7196BAA8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684</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WIPO/IPTK/GE/17/INF/2 (Arabic)</vt:lpstr>
    </vt:vector>
  </TitlesOfParts>
  <Company>WIPO</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WIPO/IPTK/GE/17/INF/2 (Arabic)</dc:title>
  <dc:creator>Ahmed Hassan</dc:creator>
  <cp:lastModifiedBy>YOUSSEF Randa</cp:lastModifiedBy>
  <cp:revision>6</cp:revision>
  <cp:lastPrinted>2017-06-01T07:08:00Z</cp:lastPrinted>
  <dcterms:created xsi:type="dcterms:W3CDTF">2017-05-31T12:27:00Z</dcterms:created>
  <dcterms:modified xsi:type="dcterms:W3CDTF">2017-06-01T07:09:00Z</dcterms:modified>
</cp:coreProperties>
</file>