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E76A8CE" w14:textId="77777777" w:rsidTr="00361450">
        <w:tc>
          <w:tcPr>
            <w:tcW w:w="4513" w:type="dxa"/>
            <w:tcBorders>
              <w:bottom w:val="single" w:sz="4" w:space="0" w:color="auto"/>
            </w:tcBorders>
            <w:tcMar>
              <w:bottom w:w="170" w:type="dxa"/>
            </w:tcMar>
          </w:tcPr>
          <w:p w14:paraId="39B47CD4" w14:textId="77777777" w:rsidR="00EC4E49" w:rsidRPr="008B2CC1" w:rsidRDefault="00EC4E49" w:rsidP="00916EE2"/>
        </w:tc>
        <w:tc>
          <w:tcPr>
            <w:tcW w:w="4337" w:type="dxa"/>
            <w:tcBorders>
              <w:bottom w:val="single" w:sz="4" w:space="0" w:color="auto"/>
            </w:tcBorders>
            <w:tcMar>
              <w:left w:w="0" w:type="dxa"/>
              <w:right w:w="0" w:type="dxa"/>
            </w:tcMar>
          </w:tcPr>
          <w:p w14:paraId="5C25AA2E" w14:textId="77777777" w:rsidR="00EC4E49" w:rsidRPr="008B2CC1" w:rsidRDefault="00A37342" w:rsidP="00916EE2">
            <w:r>
              <w:rPr>
                <w:noProof/>
                <w:lang w:eastAsia="en-US"/>
              </w:rPr>
              <w:drawing>
                <wp:inline distT="0" distB="0" distL="0" distR="0" wp14:anchorId="170C6C96" wp14:editId="52AE719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FE8665" w14:textId="77777777" w:rsidR="00EC4E49" w:rsidRPr="008B2CC1" w:rsidRDefault="00EC4E49" w:rsidP="00916EE2">
            <w:pPr>
              <w:jc w:val="right"/>
            </w:pPr>
            <w:r w:rsidRPr="00605827">
              <w:rPr>
                <w:b/>
                <w:sz w:val="40"/>
                <w:szCs w:val="40"/>
              </w:rPr>
              <w:t>E</w:t>
            </w:r>
          </w:p>
        </w:tc>
      </w:tr>
      <w:tr w:rsidR="008B2CC1" w:rsidRPr="001832A6" w14:paraId="180B562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936D80E" w14:textId="1FD7BCAF" w:rsidR="008B2CC1" w:rsidRPr="0090731E" w:rsidRDefault="007C48E8" w:rsidP="00916EE2">
            <w:pPr>
              <w:jc w:val="right"/>
              <w:rPr>
                <w:rFonts w:ascii="Arial Black" w:hAnsi="Arial Black"/>
                <w:caps/>
                <w:sz w:val="15"/>
              </w:rPr>
            </w:pPr>
            <w:bookmarkStart w:id="0" w:name="Code"/>
            <w:bookmarkEnd w:id="0"/>
            <w:r>
              <w:rPr>
                <w:rFonts w:ascii="Arial Black" w:hAnsi="Arial Black"/>
                <w:caps/>
                <w:sz w:val="15"/>
              </w:rPr>
              <w:t>WIPO/EXP/IPTK/GE/19</w:t>
            </w:r>
            <w:r w:rsidR="00610789">
              <w:rPr>
                <w:rFonts w:ascii="Arial Black" w:hAnsi="Arial Black"/>
                <w:caps/>
                <w:sz w:val="15"/>
              </w:rPr>
              <w:t>/2</w:t>
            </w:r>
          </w:p>
        </w:tc>
      </w:tr>
      <w:tr w:rsidR="008B2CC1" w:rsidRPr="001832A6" w14:paraId="3A5EE63E" w14:textId="77777777" w:rsidTr="00916EE2">
        <w:trPr>
          <w:trHeight w:hRule="exact" w:val="170"/>
        </w:trPr>
        <w:tc>
          <w:tcPr>
            <w:tcW w:w="9356" w:type="dxa"/>
            <w:gridSpan w:val="3"/>
            <w:noWrap/>
            <w:tcMar>
              <w:left w:w="0" w:type="dxa"/>
              <w:right w:w="0" w:type="dxa"/>
            </w:tcMar>
            <w:vAlign w:val="bottom"/>
          </w:tcPr>
          <w:p w14:paraId="05F59B99"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D4BD5">
              <w:rPr>
                <w:rFonts w:ascii="Arial Black" w:hAnsi="Arial Black"/>
                <w:caps/>
                <w:sz w:val="15"/>
              </w:rPr>
              <w:t>English</w:t>
            </w:r>
            <w:r w:rsidRPr="0090731E">
              <w:rPr>
                <w:rFonts w:ascii="Arial Black" w:hAnsi="Arial Black"/>
                <w:caps/>
                <w:sz w:val="15"/>
              </w:rPr>
              <w:t xml:space="preserve"> </w:t>
            </w:r>
          </w:p>
        </w:tc>
      </w:tr>
      <w:tr w:rsidR="008B2CC1" w:rsidRPr="001832A6" w14:paraId="39C2EBFA" w14:textId="77777777" w:rsidTr="00916EE2">
        <w:trPr>
          <w:trHeight w:hRule="exact" w:val="198"/>
        </w:trPr>
        <w:tc>
          <w:tcPr>
            <w:tcW w:w="9356" w:type="dxa"/>
            <w:gridSpan w:val="3"/>
            <w:tcMar>
              <w:left w:w="0" w:type="dxa"/>
              <w:right w:w="0" w:type="dxa"/>
            </w:tcMar>
            <w:vAlign w:val="bottom"/>
          </w:tcPr>
          <w:p w14:paraId="65B3B210" w14:textId="67D0C3FC" w:rsidR="008B2CC1" w:rsidRPr="0090731E" w:rsidRDefault="008B2CC1" w:rsidP="00C83170">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C83170">
              <w:rPr>
                <w:rFonts w:ascii="Arial Black" w:hAnsi="Arial Black"/>
                <w:caps/>
                <w:sz w:val="15"/>
              </w:rPr>
              <w:t>March 5</w:t>
            </w:r>
            <w:r w:rsidR="007C48E8">
              <w:rPr>
                <w:rFonts w:ascii="Arial Black" w:hAnsi="Arial Black"/>
                <w:caps/>
                <w:sz w:val="15"/>
              </w:rPr>
              <w:t>, 2019</w:t>
            </w:r>
            <w:r w:rsidRPr="0090731E">
              <w:rPr>
                <w:rFonts w:ascii="Arial Black" w:hAnsi="Arial Black"/>
                <w:caps/>
                <w:sz w:val="15"/>
              </w:rPr>
              <w:t xml:space="preserve"> </w:t>
            </w:r>
          </w:p>
        </w:tc>
      </w:tr>
    </w:tbl>
    <w:p w14:paraId="05E39956" w14:textId="77777777" w:rsidR="008B2CC1" w:rsidRPr="008B2CC1" w:rsidRDefault="008B2CC1" w:rsidP="008B2CC1"/>
    <w:p w14:paraId="077E1E9C" w14:textId="77777777" w:rsidR="008B2CC1" w:rsidRPr="008B2CC1" w:rsidRDefault="008B2CC1" w:rsidP="008B2CC1"/>
    <w:p w14:paraId="0C68FA27" w14:textId="77777777" w:rsidR="008B2CC1" w:rsidRPr="008B2CC1" w:rsidRDefault="008B2CC1" w:rsidP="008B2CC1"/>
    <w:p w14:paraId="3251557A" w14:textId="77777777" w:rsidR="008B2CC1" w:rsidRPr="008B2CC1" w:rsidRDefault="008B2CC1" w:rsidP="008B2CC1"/>
    <w:p w14:paraId="754902B5" w14:textId="77777777" w:rsidR="008B2CC1" w:rsidRPr="008B2CC1" w:rsidRDefault="008B2CC1" w:rsidP="008B2CC1"/>
    <w:p w14:paraId="0CF9CE59" w14:textId="77777777" w:rsidR="000D4BD5" w:rsidRPr="003845C1" w:rsidRDefault="000D4BD5" w:rsidP="000D4BD5">
      <w:pPr>
        <w:rPr>
          <w:b/>
          <w:sz w:val="28"/>
          <w:szCs w:val="28"/>
        </w:rPr>
      </w:pPr>
      <w:r w:rsidRPr="00EA2B1E">
        <w:rPr>
          <w:b/>
          <w:i/>
          <w:sz w:val="28"/>
          <w:szCs w:val="28"/>
        </w:rPr>
        <w:t>Ad Hoc</w:t>
      </w:r>
      <w:r>
        <w:rPr>
          <w:b/>
          <w:sz w:val="28"/>
          <w:szCs w:val="28"/>
        </w:rPr>
        <w:t xml:space="preserve"> Expert Group on Traditional Knowledge and Traditional Cultural Expressions</w:t>
      </w:r>
    </w:p>
    <w:p w14:paraId="666DD1B8" w14:textId="77777777" w:rsidR="000D4BD5" w:rsidRDefault="000D4BD5" w:rsidP="000D4BD5"/>
    <w:p w14:paraId="1E137230" w14:textId="77777777" w:rsidR="000D4BD5" w:rsidRDefault="000D4BD5" w:rsidP="000D4BD5"/>
    <w:p w14:paraId="6B1055F4" w14:textId="77777777" w:rsidR="000D4BD5" w:rsidRPr="003845C1" w:rsidRDefault="000D4BD5" w:rsidP="000D4BD5">
      <w:pPr>
        <w:rPr>
          <w:b/>
          <w:sz w:val="24"/>
          <w:szCs w:val="24"/>
        </w:rPr>
      </w:pPr>
      <w:r>
        <w:rPr>
          <w:b/>
          <w:sz w:val="24"/>
          <w:szCs w:val="24"/>
        </w:rPr>
        <w:t xml:space="preserve">Geneva, </w:t>
      </w:r>
      <w:r w:rsidR="007C48E8">
        <w:rPr>
          <w:b/>
          <w:sz w:val="24"/>
          <w:szCs w:val="24"/>
        </w:rPr>
        <w:t>March 17, 2019</w:t>
      </w:r>
    </w:p>
    <w:p w14:paraId="6CBE6C85" w14:textId="77777777" w:rsidR="000D4BD5" w:rsidRPr="008B2CC1" w:rsidRDefault="000D4BD5" w:rsidP="000D4BD5"/>
    <w:p w14:paraId="60562652" w14:textId="77777777" w:rsidR="000D4BD5" w:rsidRPr="008B2CC1" w:rsidRDefault="000D4BD5" w:rsidP="000D4BD5"/>
    <w:p w14:paraId="6409094E" w14:textId="77777777" w:rsidR="000D4BD5" w:rsidRPr="008B2CC1" w:rsidRDefault="000D4BD5" w:rsidP="000D4BD5"/>
    <w:p w14:paraId="49B6D64B" w14:textId="77777777" w:rsidR="000D4BD5" w:rsidRPr="003845C1" w:rsidRDefault="00610789" w:rsidP="000D4BD5">
      <w:pPr>
        <w:rPr>
          <w:caps/>
          <w:sz w:val="24"/>
        </w:rPr>
      </w:pPr>
      <w:bookmarkStart w:id="3" w:name="TitleOfDoc"/>
      <w:bookmarkEnd w:id="3"/>
      <w:r>
        <w:rPr>
          <w:caps/>
          <w:sz w:val="24"/>
        </w:rPr>
        <w:t>Substantive background Note</w:t>
      </w:r>
    </w:p>
    <w:p w14:paraId="0647D6BD" w14:textId="77777777" w:rsidR="000D4BD5" w:rsidRPr="008B2CC1" w:rsidRDefault="000D4BD5" w:rsidP="000D4BD5"/>
    <w:p w14:paraId="0D05BBD3" w14:textId="77777777" w:rsidR="000D4BD5" w:rsidRPr="008B2CC1" w:rsidRDefault="000D4BD5" w:rsidP="000D4BD5">
      <w:pPr>
        <w:rPr>
          <w:i/>
        </w:rPr>
      </w:pPr>
      <w:bookmarkStart w:id="4" w:name="Prepared"/>
      <w:bookmarkEnd w:id="4"/>
      <w:r>
        <w:rPr>
          <w:i/>
        </w:rPr>
        <w:t>Prepared by the International Bureau of WIPO</w:t>
      </w:r>
    </w:p>
    <w:p w14:paraId="300332BE" w14:textId="77777777" w:rsidR="000D4BD5" w:rsidRDefault="000D4BD5" w:rsidP="000D4BD5"/>
    <w:p w14:paraId="05BE797F" w14:textId="77777777" w:rsidR="000D4BD5" w:rsidRDefault="000D4BD5" w:rsidP="000D4BD5"/>
    <w:p w14:paraId="12162251" w14:textId="77777777" w:rsidR="000F5E56" w:rsidRDefault="000F5E56"/>
    <w:p w14:paraId="762F3ACA" w14:textId="77777777" w:rsidR="000D4BD5" w:rsidRDefault="000D4BD5">
      <w:r>
        <w:br w:type="page"/>
      </w:r>
    </w:p>
    <w:p w14:paraId="0CEF4E86" w14:textId="6388E496" w:rsidR="00610789" w:rsidRDefault="000D4BD5" w:rsidP="00610789">
      <w:pPr>
        <w:rPr>
          <w:szCs w:val="22"/>
        </w:rPr>
      </w:pPr>
      <w:r>
        <w:lastRenderedPageBreak/>
        <w:fldChar w:fldCharType="begin"/>
      </w:r>
      <w:r>
        <w:instrText xml:space="preserve"> AUTONUM  </w:instrText>
      </w:r>
      <w:r>
        <w:fldChar w:fldCharType="end"/>
      </w:r>
      <w:r>
        <w:tab/>
      </w:r>
      <w:r w:rsidR="00610789">
        <w:t xml:space="preserve">The overall objective of the </w:t>
      </w:r>
      <w:r w:rsidR="00610789" w:rsidRPr="00EA2B1E">
        <w:rPr>
          <w:i/>
        </w:rPr>
        <w:t>ad hoc</w:t>
      </w:r>
      <w:r w:rsidR="00610789">
        <w:t xml:space="preserve"> </w:t>
      </w:r>
      <w:r w:rsidR="001A233E">
        <w:t>E</w:t>
      </w:r>
      <w:r w:rsidR="00610789">
        <w:t xml:space="preserve">xpert </w:t>
      </w:r>
      <w:r w:rsidR="001A233E">
        <w:t>G</w:t>
      </w:r>
      <w:r w:rsidR="00610789">
        <w:t xml:space="preserve">roup on </w:t>
      </w:r>
      <w:r w:rsidR="00313FBF">
        <w:t>t</w:t>
      </w:r>
      <w:r w:rsidR="00FC01F4">
        <w:t xml:space="preserve">raditional </w:t>
      </w:r>
      <w:r w:rsidR="00313FBF">
        <w:t>k</w:t>
      </w:r>
      <w:r w:rsidR="00FC01F4">
        <w:t>no</w:t>
      </w:r>
      <w:r w:rsidR="00816953">
        <w:t xml:space="preserve">wledge and </w:t>
      </w:r>
      <w:r w:rsidR="00313FBF">
        <w:t>t</w:t>
      </w:r>
      <w:r w:rsidR="00816953">
        <w:t xml:space="preserve">raditional </w:t>
      </w:r>
      <w:r w:rsidR="00313FBF">
        <w:t>c</w:t>
      </w:r>
      <w:r w:rsidR="00816953">
        <w:t>ultural</w:t>
      </w:r>
      <w:r w:rsidR="00610789">
        <w:t xml:space="preserve"> </w:t>
      </w:r>
      <w:r w:rsidR="00313FBF">
        <w:t>e</w:t>
      </w:r>
      <w:r w:rsidR="000807DB">
        <w:t xml:space="preserve">xpressions </w:t>
      </w:r>
      <w:r w:rsidR="00610789">
        <w:t xml:space="preserve">is, as indicated in the </w:t>
      </w:r>
      <w:r w:rsidR="00610789" w:rsidRPr="00E90B6B">
        <w:rPr>
          <w:szCs w:val="22"/>
        </w:rPr>
        <w:t>mandate of the Intergovernmental Committee on Intellectual Property and Genetic Resources, Tradition</w:t>
      </w:r>
      <w:r w:rsidR="00610789">
        <w:rPr>
          <w:szCs w:val="22"/>
        </w:rPr>
        <w:t>al Knowledge and Folklore (“IGC”) and the Decisions of the Thirty-Seventh</w:t>
      </w:r>
      <w:r w:rsidR="007C48E8">
        <w:rPr>
          <w:szCs w:val="22"/>
        </w:rPr>
        <w:t xml:space="preserve"> Session of the IGC (“IGC 37”) </w:t>
      </w:r>
      <w:r w:rsidR="007C48E8" w:rsidRPr="008A0E1C">
        <w:rPr>
          <w:szCs w:val="22"/>
        </w:rPr>
        <w:t>and the Thirty-Eighth Session of the IGC (“IGC 38”)</w:t>
      </w:r>
      <w:r w:rsidR="00610789">
        <w:rPr>
          <w:szCs w:val="22"/>
        </w:rPr>
        <w:t xml:space="preserve">, to address specific legal, policy or technical issues.  The results of the work will be reported to and further addressed by the IGC. </w:t>
      </w:r>
    </w:p>
    <w:p w14:paraId="53A416F6" w14:textId="77777777" w:rsidR="00610789" w:rsidRDefault="00610789" w:rsidP="00610789">
      <w:pPr>
        <w:rPr>
          <w:szCs w:val="22"/>
        </w:rPr>
      </w:pPr>
    </w:p>
    <w:p w14:paraId="5911C29E" w14:textId="00FF2A80" w:rsidR="00610789" w:rsidRDefault="00610789" w:rsidP="00610789">
      <w:r>
        <w:fldChar w:fldCharType="begin"/>
      </w:r>
      <w:r>
        <w:instrText xml:space="preserve"> AUTONUM  </w:instrText>
      </w:r>
      <w:r>
        <w:fldChar w:fldCharType="end"/>
      </w:r>
      <w:r>
        <w:tab/>
        <w:t>In accordance with the Decisions taken at IGC</w:t>
      </w:r>
      <w:r w:rsidR="007C48E8">
        <w:t>s</w:t>
      </w:r>
      <w:r>
        <w:t xml:space="preserve"> 37</w:t>
      </w:r>
      <w:r w:rsidR="007C48E8">
        <w:t xml:space="preserve"> and 38</w:t>
      </w:r>
      <w:r>
        <w:t xml:space="preserve">, Member States, through the Regional Coordinators, were invited to suggest the specific issues to be considered by the </w:t>
      </w:r>
      <w:r w:rsidRPr="00064EE6">
        <w:rPr>
          <w:i/>
        </w:rPr>
        <w:t>ad hoc</w:t>
      </w:r>
      <w:r>
        <w:t xml:space="preserve"> </w:t>
      </w:r>
      <w:r w:rsidR="001A233E">
        <w:t>E</w:t>
      </w:r>
      <w:r>
        <w:t xml:space="preserve">xpert </w:t>
      </w:r>
      <w:r w:rsidR="001A233E">
        <w:t>G</w:t>
      </w:r>
      <w:r>
        <w:t xml:space="preserve">roup.  The IGC Chair and Vice-Chairs </w:t>
      </w:r>
      <w:r w:rsidR="00031920">
        <w:t xml:space="preserve">then </w:t>
      </w:r>
      <w:r>
        <w:t xml:space="preserve">identified </w:t>
      </w:r>
      <w:r w:rsidR="00031920">
        <w:t>a</w:t>
      </w:r>
      <w:r>
        <w:t xml:space="preserve"> list of issues from the suggestions made by Member States and provided </w:t>
      </w:r>
      <w:r w:rsidR="00BC4A9E">
        <w:t>it</w:t>
      </w:r>
      <w:r>
        <w:t xml:space="preserve"> to the Regional Coordinators for comments.  </w:t>
      </w:r>
      <w:r w:rsidR="003B1152">
        <w:t xml:space="preserve">On the </w:t>
      </w:r>
      <w:r w:rsidR="00572A09">
        <w:t xml:space="preserve">basis of the above, the Chair and the Vice-Chairs have identified the list as follows:  </w:t>
      </w:r>
    </w:p>
    <w:p w14:paraId="19640CC7" w14:textId="77777777" w:rsidR="00610789" w:rsidRDefault="00610789" w:rsidP="00610789"/>
    <w:p w14:paraId="2E4AFEEB" w14:textId="77777777" w:rsidR="007C48E8" w:rsidRDefault="001A233E" w:rsidP="00610789">
      <w:pPr>
        <w:rPr>
          <w:rFonts w:eastAsia="DengXian"/>
          <w:szCs w:val="22"/>
        </w:rPr>
      </w:pPr>
      <w:r>
        <w:rPr>
          <w:rFonts w:eastAsia="DengXian"/>
          <w:szCs w:val="22"/>
        </w:rPr>
        <w:t>“</w:t>
      </w:r>
      <w:r w:rsidR="007C48E8" w:rsidRPr="008A0E1C">
        <w:rPr>
          <w:rFonts w:eastAsia="DengXian"/>
          <w:szCs w:val="22"/>
        </w:rPr>
        <w:t>In relation to traditional knowledge and traditional cultural expressions</w:t>
      </w:r>
      <w:r w:rsidR="007C48E8">
        <w:rPr>
          <w:rFonts w:eastAsia="DengXian"/>
          <w:szCs w:val="22"/>
        </w:rPr>
        <w:t>,</w:t>
      </w:r>
    </w:p>
    <w:p w14:paraId="125A6B54" w14:textId="77777777" w:rsidR="007C48E8" w:rsidRPr="008A0E1C" w:rsidRDefault="007C48E8" w:rsidP="007C48E8">
      <w:pPr>
        <w:ind w:left="720"/>
        <w:contextualSpacing/>
        <w:rPr>
          <w:rFonts w:eastAsia="DengXian"/>
          <w:szCs w:val="22"/>
        </w:rPr>
      </w:pPr>
    </w:p>
    <w:p w14:paraId="31D42612" w14:textId="202F2827" w:rsidR="007C48E8" w:rsidRPr="008A0E1C" w:rsidRDefault="007C48E8" w:rsidP="007C48E8">
      <w:pPr>
        <w:numPr>
          <w:ilvl w:val="0"/>
          <w:numId w:val="25"/>
        </w:numPr>
        <w:ind w:left="720"/>
        <w:contextualSpacing/>
        <w:rPr>
          <w:rFonts w:eastAsia="DengXian"/>
          <w:szCs w:val="22"/>
        </w:rPr>
      </w:pPr>
      <w:r w:rsidRPr="008A0E1C">
        <w:rPr>
          <w:rFonts w:eastAsia="DengXian"/>
          <w:szCs w:val="22"/>
        </w:rPr>
        <w:t>Subject matter, including related definitions</w:t>
      </w:r>
      <w:r w:rsidR="00012180">
        <w:rPr>
          <w:rFonts w:eastAsia="DengXian"/>
          <w:szCs w:val="22"/>
        </w:rPr>
        <w:t>.</w:t>
      </w:r>
    </w:p>
    <w:p w14:paraId="32C54EFD" w14:textId="77777777" w:rsidR="007C48E8" w:rsidRPr="008A0E1C" w:rsidRDefault="007C48E8" w:rsidP="007C48E8">
      <w:pPr>
        <w:ind w:left="720"/>
        <w:contextualSpacing/>
        <w:rPr>
          <w:rFonts w:eastAsia="DengXian"/>
          <w:szCs w:val="22"/>
        </w:rPr>
      </w:pPr>
    </w:p>
    <w:p w14:paraId="56742091" w14:textId="11C410D9" w:rsidR="007C48E8" w:rsidRPr="008A0E1C" w:rsidRDefault="007C48E8" w:rsidP="007C48E8">
      <w:pPr>
        <w:numPr>
          <w:ilvl w:val="0"/>
          <w:numId w:val="25"/>
        </w:numPr>
        <w:ind w:left="720"/>
        <w:contextualSpacing/>
        <w:rPr>
          <w:rFonts w:eastAsia="DengXian"/>
          <w:szCs w:val="22"/>
        </w:rPr>
      </w:pPr>
      <w:r w:rsidRPr="008A0E1C">
        <w:rPr>
          <w:rFonts w:eastAsia="DengXian"/>
          <w:szCs w:val="22"/>
        </w:rPr>
        <w:t>Scope of protection</w:t>
      </w:r>
      <w:r w:rsidR="00276A9A">
        <w:rPr>
          <w:rFonts w:eastAsia="DengXian"/>
          <w:szCs w:val="22"/>
        </w:rPr>
        <w:t>:</w:t>
      </w:r>
    </w:p>
    <w:p w14:paraId="401240A7" w14:textId="2C5C08D7" w:rsidR="007C48E8" w:rsidRPr="008A0E1C" w:rsidRDefault="007C48E8" w:rsidP="007C48E8">
      <w:pPr>
        <w:numPr>
          <w:ilvl w:val="1"/>
          <w:numId w:val="25"/>
        </w:numPr>
        <w:ind w:left="1440"/>
        <w:contextualSpacing/>
        <w:rPr>
          <w:rFonts w:eastAsia="DengXian"/>
          <w:szCs w:val="22"/>
        </w:rPr>
      </w:pPr>
      <w:r w:rsidRPr="008A0E1C">
        <w:rPr>
          <w:rFonts w:eastAsia="DengXian"/>
          <w:szCs w:val="22"/>
        </w:rPr>
        <w:t xml:space="preserve">further consideration of </w:t>
      </w:r>
      <w:r w:rsidR="00276A9A">
        <w:rPr>
          <w:rFonts w:eastAsia="DengXian"/>
          <w:szCs w:val="22"/>
        </w:rPr>
        <w:t xml:space="preserve">a </w:t>
      </w:r>
      <w:r w:rsidRPr="008A0E1C">
        <w:rPr>
          <w:rFonts w:eastAsia="DengXian"/>
          <w:szCs w:val="22"/>
        </w:rPr>
        <w:t>possible “tiered approach” (differentiated protection)</w:t>
      </w:r>
    </w:p>
    <w:p w14:paraId="174728AD" w14:textId="77777777" w:rsidR="007C48E8" w:rsidRPr="008A0E1C" w:rsidRDefault="007C48E8" w:rsidP="007C48E8">
      <w:pPr>
        <w:numPr>
          <w:ilvl w:val="1"/>
          <w:numId w:val="25"/>
        </w:numPr>
        <w:ind w:left="1440"/>
        <w:contextualSpacing/>
        <w:rPr>
          <w:rFonts w:eastAsia="DengXian"/>
          <w:szCs w:val="22"/>
        </w:rPr>
      </w:pPr>
      <w:r w:rsidRPr="008A0E1C">
        <w:rPr>
          <w:rFonts w:eastAsia="DengXian"/>
          <w:szCs w:val="22"/>
        </w:rPr>
        <w:t>criteria for eligibility for protection</w:t>
      </w:r>
    </w:p>
    <w:p w14:paraId="1FF03ECE" w14:textId="014F7A0E" w:rsidR="007C48E8" w:rsidRPr="008A0E1C" w:rsidRDefault="007C48E8" w:rsidP="007C48E8">
      <w:pPr>
        <w:numPr>
          <w:ilvl w:val="1"/>
          <w:numId w:val="25"/>
        </w:numPr>
        <w:ind w:left="1440"/>
        <w:contextualSpacing/>
        <w:rPr>
          <w:rFonts w:eastAsia="DengXian"/>
          <w:szCs w:val="22"/>
        </w:rPr>
      </w:pPr>
      <w:r w:rsidRPr="008A0E1C">
        <w:rPr>
          <w:rFonts w:eastAsia="DengXian"/>
          <w:szCs w:val="22"/>
        </w:rPr>
        <w:t>related definitions</w:t>
      </w:r>
      <w:r w:rsidR="00AC7B78">
        <w:rPr>
          <w:rFonts w:eastAsia="DengXian"/>
          <w:szCs w:val="22"/>
        </w:rPr>
        <w:t>.”</w:t>
      </w:r>
      <w:r w:rsidRPr="008A0E1C">
        <w:rPr>
          <w:rFonts w:eastAsia="DengXian"/>
          <w:szCs w:val="22"/>
        </w:rPr>
        <w:t xml:space="preserve"> </w:t>
      </w:r>
      <w:r w:rsidR="00AC7B78">
        <w:rPr>
          <w:rFonts w:eastAsia="DengXian"/>
          <w:szCs w:val="22"/>
        </w:rPr>
        <w:br/>
      </w:r>
    </w:p>
    <w:p w14:paraId="13FB0229" w14:textId="580E3249" w:rsidR="000D4BD5" w:rsidRDefault="000E69A5" w:rsidP="000D4BD5">
      <w:r>
        <w:fldChar w:fldCharType="begin"/>
      </w:r>
      <w:r>
        <w:instrText xml:space="preserve"> AUTONUM  </w:instrText>
      </w:r>
      <w:r>
        <w:fldChar w:fldCharType="end"/>
      </w:r>
      <w:r>
        <w:tab/>
      </w:r>
      <w:r w:rsidR="00610789">
        <w:t xml:space="preserve">This Substantive Background Note provides some background information on the list of issues, and proposes some questions </w:t>
      </w:r>
      <w:r w:rsidR="00654696">
        <w:t xml:space="preserve">and a task </w:t>
      </w:r>
      <w:r w:rsidR="00610789">
        <w:t xml:space="preserve">for the </w:t>
      </w:r>
      <w:r w:rsidR="00610789" w:rsidRPr="00CB63A8">
        <w:rPr>
          <w:i/>
        </w:rPr>
        <w:t>ad hoc</w:t>
      </w:r>
      <w:r w:rsidR="00610789">
        <w:t xml:space="preserve"> </w:t>
      </w:r>
      <w:r w:rsidR="004C073A">
        <w:t>E</w:t>
      </w:r>
      <w:r w:rsidR="00610789">
        <w:t xml:space="preserve">xpert </w:t>
      </w:r>
      <w:r w:rsidR="004C073A">
        <w:t>G</w:t>
      </w:r>
      <w:r w:rsidR="00610789">
        <w:t xml:space="preserve">roup to consider.  </w:t>
      </w:r>
      <w:r w:rsidR="006D3C9F">
        <w:t>The Co-</w:t>
      </w:r>
      <w:r w:rsidR="00BC4A9E">
        <w:t>C</w:t>
      </w:r>
      <w:r w:rsidR="006D3C9F">
        <w:t>hairs of the</w:t>
      </w:r>
      <w:r w:rsidR="00313FBF">
        <w:t xml:space="preserve"> </w:t>
      </w:r>
      <w:r w:rsidR="00313FBF" w:rsidRPr="00313FBF">
        <w:rPr>
          <w:i/>
        </w:rPr>
        <w:t>ad hoc</w:t>
      </w:r>
      <w:r w:rsidR="00313FBF">
        <w:t xml:space="preserve"> Expert G</w:t>
      </w:r>
      <w:r w:rsidR="006D3C9F">
        <w:t xml:space="preserve">roup </w:t>
      </w:r>
      <w:r w:rsidR="00846707">
        <w:t xml:space="preserve">will </w:t>
      </w:r>
      <w:r w:rsidR="006D3C9F">
        <w:t xml:space="preserve">provide </w:t>
      </w:r>
      <w:r w:rsidR="00C605A3">
        <w:t xml:space="preserve">further </w:t>
      </w:r>
      <w:r w:rsidR="006D3C9F">
        <w:t xml:space="preserve">guidance on </w:t>
      </w:r>
      <w:r w:rsidR="00E80817">
        <w:t xml:space="preserve">how these issues and questions will be addressed during the </w:t>
      </w:r>
      <w:r w:rsidR="006D3C9F">
        <w:t xml:space="preserve">meeting. </w:t>
      </w:r>
      <w:r w:rsidR="00031920">
        <w:t xml:space="preserve"> </w:t>
      </w:r>
      <w:r w:rsidR="006D3C9F">
        <w:t xml:space="preserve">It is recalled that </w:t>
      </w:r>
      <w:r w:rsidR="006D3C9F">
        <w:rPr>
          <w:szCs w:val="22"/>
        </w:rPr>
        <w:t>traditional knowledge (“</w:t>
      </w:r>
      <w:r w:rsidR="006D3C9F" w:rsidRPr="004C6D67">
        <w:rPr>
          <w:szCs w:val="22"/>
        </w:rPr>
        <w:t>TK</w:t>
      </w:r>
      <w:r w:rsidR="006D3C9F">
        <w:rPr>
          <w:szCs w:val="22"/>
        </w:rPr>
        <w:t>”)</w:t>
      </w:r>
      <w:r w:rsidR="006D3C9F" w:rsidRPr="004C6D67">
        <w:rPr>
          <w:szCs w:val="22"/>
        </w:rPr>
        <w:t xml:space="preserve"> and</w:t>
      </w:r>
      <w:r w:rsidR="006D3C9F">
        <w:rPr>
          <w:szCs w:val="22"/>
        </w:rPr>
        <w:t xml:space="preserve"> traditional cultural expressions</w:t>
      </w:r>
      <w:r w:rsidR="006D3C9F" w:rsidRPr="004C6D67">
        <w:rPr>
          <w:szCs w:val="22"/>
        </w:rPr>
        <w:t xml:space="preserve"> </w:t>
      </w:r>
      <w:r w:rsidR="006D3C9F">
        <w:rPr>
          <w:szCs w:val="22"/>
        </w:rPr>
        <w:t>(“</w:t>
      </w:r>
      <w:r w:rsidR="006D3C9F" w:rsidRPr="004C6D67">
        <w:rPr>
          <w:szCs w:val="22"/>
        </w:rPr>
        <w:t>TCEs</w:t>
      </w:r>
      <w:r w:rsidR="006D3C9F">
        <w:rPr>
          <w:szCs w:val="22"/>
        </w:rPr>
        <w:t>”) wi</w:t>
      </w:r>
      <w:r w:rsidR="007C48E8">
        <w:rPr>
          <w:szCs w:val="22"/>
        </w:rPr>
        <w:t>ll also be addressed at IGCs 39 and 40</w:t>
      </w:r>
      <w:r w:rsidR="006D3C9F">
        <w:rPr>
          <w:szCs w:val="22"/>
        </w:rPr>
        <w:t xml:space="preserve">. </w:t>
      </w:r>
    </w:p>
    <w:p w14:paraId="1F8EA5C7" w14:textId="77777777" w:rsidR="000D4BD5" w:rsidRDefault="000D4BD5" w:rsidP="000D4BD5"/>
    <w:p w14:paraId="64A6C48E" w14:textId="77777777" w:rsidR="000D4BD5" w:rsidRPr="00D33D96" w:rsidRDefault="00CC0C14" w:rsidP="0001278A">
      <w:pPr>
        <w:rPr>
          <w:b/>
        </w:rPr>
      </w:pPr>
      <w:r>
        <w:rPr>
          <w:b/>
        </w:rPr>
        <w:t>Subject matter</w:t>
      </w:r>
    </w:p>
    <w:p w14:paraId="6CCF5E90" w14:textId="77777777" w:rsidR="000D4BD5" w:rsidRDefault="000D4BD5" w:rsidP="0001278A"/>
    <w:p w14:paraId="0C1B5DE2" w14:textId="46739CB2" w:rsidR="00024041" w:rsidRDefault="000D4BD5" w:rsidP="000D4BD5">
      <w:r>
        <w:fldChar w:fldCharType="begin"/>
      </w:r>
      <w:r>
        <w:instrText xml:space="preserve"> AUTONUM  </w:instrText>
      </w:r>
      <w:r>
        <w:fldChar w:fldCharType="end"/>
      </w:r>
      <w:r>
        <w:tab/>
      </w:r>
      <w:r w:rsidR="007B2BB5">
        <w:t xml:space="preserve">The first issue relating to subject matter which the </w:t>
      </w:r>
      <w:r w:rsidR="007B2BB5" w:rsidRPr="007B2BB5">
        <w:rPr>
          <w:i/>
        </w:rPr>
        <w:t>ad hoc</w:t>
      </w:r>
      <w:r w:rsidR="007B2BB5">
        <w:t xml:space="preserve"> </w:t>
      </w:r>
      <w:r w:rsidR="00881144">
        <w:t>E</w:t>
      </w:r>
      <w:r w:rsidR="007B2BB5">
        <w:t xml:space="preserve">xpert </w:t>
      </w:r>
      <w:r w:rsidR="00881144">
        <w:t>G</w:t>
      </w:r>
      <w:r w:rsidR="007B2BB5">
        <w:t xml:space="preserve">roup is invited to discuss is the approach to defining subject matter.  In a legal instrument, provisions on subject matter generally aim at delineating the </w:t>
      </w:r>
      <w:r w:rsidR="007B2BB5" w:rsidRPr="00881144">
        <w:rPr>
          <w:i/>
        </w:rPr>
        <w:t>protectable</w:t>
      </w:r>
      <w:r w:rsidR="007B2BB5">
        <w:t xml:space="preserve"> subject matter.  </w:t>
      </w:r>
    </w:p>
    <w:p w14:paraId="53811DE2" w14:textId="77777777" w:rsidR="00024041" w:rsidRDefault="00024041" w:rsidP="000D4BD5"/>
    <w:p w14:paraId="4DAAC99A" w14:textId="255DA29E" w:rsidR="00024041" w:rsidRDefault="0043778A" w:rsidP="000D4BD5">
      <w:r>
        <w:fldChar w:fldCharType="begin"/>
      </w:r>
      <w:r>
        <w:instrText xml:space="preserve"> AUTONUM  </w:instrText>
      </w:r>
      <w:r>
        <w:fldChar w:fldCharType="end"/>
      </w:r>
      <w:r>
        <w:tab/>
      </w:r>
      <w:r w:rsidR="007322A0">
        <w:t>In the context of their discussions on subject matter, experts are invited to note that:</w:t>
      </w:r>
    </w:p>
    <w:p w14:paraId="5C18C540" w14:textId="45F1C67F" w:rsidR="008B7F57" w:rsidRDefault="008B7F57" w:rsidP="000D4BD5"/>
    <w:p w14:paraId="4DF11380" w14:textId="7F6DF1D6" w:rsidR="008B7F57" w:rsidRDefault="008B7F57" w:rsidP="00AC7B78">
      <w:pPr>
        <w:pStyle w:val="ListParagraph"/>
        <w:numPr>
          <w:ilvl w:val="0"/>
          <w:numId w:val="33"/>
        </w:numPr>
      </w:pPr>
      <w:r>
        <w:t xml:space="preserve">Provisions on </w:t>
      </w:r>
      <w:r w:rsidR="00BC4A9E">
        <w:t xml:space="preserve">the </w:t>
      </w:r>
      <w:r>
        <w:t xml:space="preserve">subject matter of protection may include a definition or description of the subject matter itself, as well as substantive criteria which specify more precisely which TK/TCEs are protectable.  Indeed, the subject matter in general </w:t>
      </w:r>
      <w:r w:rsidR="0043778A">
        <w:t xml:space="preserve">may </w:t>
      </w:r>
      <w:r>
        <w:t>need to be distinguished from protectable subject matter;</w:t>
      </w:r>
    </w:p>
    <w:p w14:paraId="71B0055F" w14:textId="77777777" w:rsidR="008B7F57" w:rsidRDefault="008B7F57" w:rsidP="00415138">
      <w:pPr>
        <w:pStyle w:val="ListParagraph"/>
      </w:pPr>
    </w:p>
    <w:p w14:paraId="6A6BB87D" w14:textId="794914BB" w:rsidR="007B2BB5" w:rsidRDefault="007B2BB5" w:rsidP="00AC7B78">
      <w:pPr>
        <w:pStyle w:val="ListParagraph"/>
        <w:numPr>
          <w:ilvl w:val="0"/>
          <w:numId w:val="33"/>
        </w:numPr>
      </w:pPr>
      <w:r w:rsidRPr="00BA16E1">
        <w:t xml:space="preserve">International </w:t>
      </w:r>
      <w:r w:rsidR="00E778A2">
        <w:t>IP</w:t>
      </w:r>
      <w:r w:rsidRPr="00BA16E1">
        <w:t xml:space="preserve"> standards </w:t>
      </w:r>
      <w:r>
        <w:t>often</w:t>
      </w:r>
      <w:r w:rsidRPr="00BA16E1">
        <w:t xml:space="preserve"> defer to the national level for determinin</w:t>
      </w:r>
      <w:r>
        <w:t>g the precise</w:t>
      </w:r>
      <w:r w:rsidR="00DE4DCB">
        <w:t xml:space="preserve"> </w:t>
      </w:r>
      <w:r w:rsidR="0043778A">
        <w:t xml:space="preserve">delineation </w:t>
      </w:r>
      <w:r>
        <w:t>of protectable</w:t>
      </w:r>
      <w:r w:rsidRPr="00BA16E1">
        <w:t xml:space="preserve"> subject matter. </w:t>
      </w:r>
      <w:r>
        <w:t xml:space="preserve"> International instruments</w:t>
      </w:r>
      <w:r w:rsidRPr="00BA16E1">
        <w:t xml:space="preserve"> can range </w:t>
      </w:r>
      <w:r>
        <w:t xml:space="preserve">from providing </w:t>
      </w:r>
      <w:r w:rsidRPr="00BA16E1">
        <w:t xml:space="preserve">a </w:t>
      </w:r>
      <w:r>
        <w:t xml:space="preserve">general and broad </w:t>
      </w:r>
      <w:r w:rsidRPr="00BA16E1">
        <w:t xml:space="preserve">description of subject matter, </w:t>
      </w:r>
      <w:r>
        <w:t xml:space="preserve">to </w:t>
      </w:r>
      <w:r w:rsidRPr="00BA16E1">
        <w:t xml:space="preserve">a set of </w:t>
      </w:r>
      <w:r w:rsidRPr="00E163E8">
        <w:t xml:space="preserve">criteria </w:t>
      </w:r>
      <w:r>
        <w:t xml:space="preserve">the subject matter </w:t>
      </w:r>
      <w:r w:rsidRPr="00E163E8">
        <w:t xml:space="preserve">should </w:t>
      </w:r>
      <w:r>
        <w:t xml:space="preserve">satisfy </w:t>
      </w:r>
      <w:r w:rsidRPr="00E163E8">
        <w:t>to be eligible for protection</w:t>
      </w:r>
      <w:r w:rsidR="000E69A5">
        <w:t xml:space="preserve"> </w:t>
      </w:r>
      <w:r>
        <w:t>(in the IGC context, these are referred to as “eligibility criteria”)</w:t>
      </w:r>
      <w:r w:rsidRPr="00E163E8">
        <w:t xml:space="preserve">, </w:t>
      </w:r>
      <w:r>
        <w:t>to</w:t>
      </w:r>
      <w:r w:rsidRPr="00E163E8">
        <w:t xml:space="preserve"> no definition</w:t>
      </w:r>
      <w:r w:rsidRPr="00BA16E1">
        <w:t xml:space="preserve"> at all. </w:t>
      </w:r>
      <w:r>
        <w:t xml:space="preserve"> </w:t>
      </w:r>
    </w:p>
    <w:p w14:paraId="41918F1E" w14:textId="1FA5C132" w:rsidR="007B2BB5" w:rsidRDefault="007B2BB5" w:rsidP="000D4BD5"/>
    <w:p w14:paraId="34F15336" w14:textId="0B0918CE" w:rsidR="00554401" w:rsidRDefault="00554401" w:rsidP="000D4BD5"/>
    <w:p w14:paraId="77095540" w14:textId="509E995F" w:rsidR="00554401" w:rsidRDefault="00554401" w:rsidP="000D4BD5"/>
    <w:p w14:paraId="6F6EBD08" w14:textId="3BCE9C37" w:rsidR="00554401" w:rsidRDefault="00554401" w:rsidP="000D4BD5"/>
    <w:p w14:paraId="004BC15A" w14:textId="37733A22" w:rsidR="00554401" w:rsidRDefault="00554401" w:rsidP="000D4BD5"/>
    <w:p w14:paraId="5A8A07C9" w14:textId="77777777" w:rsidR="00554401" w:rsidRDefault="00554401" w:rsidP="000D4BD5"/>
    <w:p w14:paraId="082C4778" w14:textId="77777777" w:rsidR="00881144" w:rsidRDefault="00881144" w:rsidP="000D4BD5">
      <w:r>
        <w:lastRenderedPageBreak/>
        <w:fldChar w:fldCharType="begin"/>
      </w:r>
      <w:r>
        <w:instrText xml:space="preserve"> AUTONUM  </w:instrText>
      </w:r>
      <w:r>
        <w:fldChar w:fldCharType="end"/>
      </w:r>
      <w:r>
        <w:tab/>
        <w:t xml:space="preserve">Questions the </w:t>
      </w:r>
      <w:r w:rsidRPr="00B04684">
        <w:rPr>
          <w:i/>
        </w:rPr>
        <w:t>ad hoc</w:t>
      </w:r>
      <w:r>
        <w:t xml:space="preserve"> Expert Group is invited to discuss include:</w:t>
      </w:r>
      <w:r>
        <w:br/>
      </w:r>
    </w:p>
    <w:p w14:paraId="4ACB7CB4" w14:textId="2649871E" w:rsidR="00024041" w:rsidRDefault="005C0A74" w:rsidP="003321D2">
      <w:pPr>
        <w:pStyle w:val="ListParagraph"/>
        <w:numPr>
          <w:ilvl w:val="0"/>
          <w:numId w:val="28"/>
        </w:numPr>
      </w:pPr>
      <w:r>
        <w:t xml:space="preserve">Is </w:t>
      </w:r>
      <w:r w:rsidR="00313FBF">
        <w:t>it necessary for the instrument(</w:t>
      </w:r>
      <w:r>
        <w:t>s</w:t>
      </w:r>
      <w:r w:rsidR="00313FBF">
        <w:t>)</w:t>
      </w:r>
      <w:r>
        <w:t xml:space="preserve"> to define “subject matter”? </w:t>
      </w:r>
    </w:p>
    <w:p w14:paraId="48FBB433" w14:textId="77777777" w:rsidR="00024041" w:rsidRDefault="00024041" w:rsidP="00415138">
      <w:pPr>
        <w:pStyle w:val="ListParagraph"/>
      </w:pPr>
    </w:p>
    <w:p w14:paraId="339867AD" w14:textId="77777777" w:rsidR="00EA751D" w:rsidRDefault="002965AA" w:rsidP="003321D2">
      <w:pPr>
        <w:pStyle w:val="ListParagraph"/>
        <w:numPr>
          <w:ilvl w:val="0"/>
          <w:numId w:val="28"/>
        </w:numPr>
      </w:pPr>
      <w:r>
        <w:t xml:space="preserve">If </w:t>
      </w:r>
      <w:r w:rsidR="005C0A74">
        <w:t>so</w:t>
      </w:r>
      <w:r w:rsidR="00EA751D">
        <w:t>:</w:t>
      </w:r>
    </w:p>
    <w:p w14:paraId="78CE1CB4" w14:textId="77777777" w:rsidR="00EA751D" w:rsidRDefault="00EA751D" w:rsidP="00AC7B78">
      <w:pPr>
        <w:pStyle w:val="ListParagraph"/>
      </w:pPr>
    </w:p>
    <w:p w14:paraId="3877F37F" w14:textId="25523054" w:rsidR="00EA751D" w:rsidRDefault="00E31B7A" w:rsidP="00EA751D">
      <w:pPr>
        <w:pStyle w:val="ListParagraph"/>
        <w:numPr>
          <w:ilvl w:val="1"/>
          <w:numId w:val="28"/>
        </w:numPr>
      </w:pPr>
      <w:r>
        <w:t>S</w:t>
      </w:r>
      <w:r w:rsidR="005C0A74">
        <w:t>hould these definitions be in the Use of Terms articles, or in stand-alone articles?</w:t>
      </w:r>
      <w:r w:rsidR="00554401">
        <w:br/>
      </w:r>
    </w:p>
    <w:p w14:paraId="7A56A254" w14:textId="2FDE542F" w:rsidR="00227C6C" w:rsidRPr="00E31D9A" w:rsidRDefault="00E31B7A" w:rsidP="00AC7B78">
      <w:pPr>
        <w:pStyle w:val="ListParagraph"/>
        <w:numPr>
          <w:ilvl w:val="1"/>
          <w:numId w:val="28"/>
        </w:numPr>
      </w:pPr>
      <w:r>
        <w:t>W</w:t>
      </w:r>
      <w:r w:rsidR="00EA751D">
        <w:t>hat are the key qualifiers which define the subject matter</w:t>
      </w:r>
      <w:r w:rsidR="00276A9A">
        <w:t>, for</w:t>
      </w:r>
      <w:r w:rsidR="00EA751D">
        <w:t xml:space="preserve"> </w:t>
      </w:r>
      <w:r w:rsidR="00313FBF">
        <w:t>example,</w:t>
      </w:r>
      <w:r w:rsidR="00EA751D">
        <w:t xml:space="preserve"> </w:t>
      </w:r>
      <w:r w:rsidR="0037653F">
        <w:t>“</w:t>
      </w:r>
      <w:r w:rsidR="00EA751D">
        <w:t>created,</w:t>
      </w:r>
      <w:r w:rsidR="00227C6C">
        <w:t xml:space="preserve"> generated,</w:t>
      </w:r>
      <w:r w:rsidR="00EA751D">
        <w:t xml:space="preserve"> </w:t>
      </w:r>
      <w:r w:rsidR="00227C6C">
        <w:t xml:space="preserve">expressed, </w:t>
      </w:r>
      <w:r w:rsidR="00EA751D">
        <w:t>developed</w:t>
      </w:r>
      <w:r w:rsidR="00227C6C">
        <w:t xml:space="preserve"> and maintained</w:t>
      </w:r>
      <w:r w:rsidR="00EA751D">
        <w:t xml:space="preserve"> by indigenous </w:t>
      </w:r>
      <w:r w:rsidR="00227C6C">
        <w:t xml:space="preserve">and </w:t>
      </w:r>
      <w:r w:rsidR="00EA751D">
        <w:t>local communities</w:t>
      </w:r>
      <w:r w:rsidR="0037653F">
        <w:t>”</w:t>
      </w:r>
      <w:r w:rsidR="00EA751D">
        <w:t xml:space="preserve">, </w:t>
      </w:r>
      <w:r w:rsidR="0037653F">
        <w:t>“</w:t>
      </w:r>
      <w:r w:rsidR="00227C6C">
        <w:t xml:space="preserve">directly </w:t>
      </w:r>
      <w:r w:rsidR="00EA751D">
        <w:t xml:space="preserve">linked with or integral to the social/cultural </w:t>
      </w:r>
      <w:r w:rsidR="00227C6C">
        <w:t>identity/</w:t>
      </w:r>
      <w:r w:rsidR="00EA751D">
        <w:t>heritage of indigenous</w:t>
      </w:r>
      <w:r w:rsidR="00227C6C">
        <w:t xml:space="preserve"> and </w:t>
      </w:r>
      <w:r w:rsidR="00EA751D">
        <w:t>local communities</w:t>
      </w:r>
      <w:r w:rsidR="0037653F">
        <w:t>”</w:t>
      </w:r>
      <w:r w:rsidR="00EA751D">
        <w:t xml:space="preserve">, </w:t>
      </w:r>
      <w:r w:rsidR="0037653F">
        <w:t>“</w:t>
      </w:r>
      <w:r w:rsidR="00EA751D">
        <w:t xml:space="preserve">transmitted </w:t>
      </w:r>
      <w:r w:rsidR="00227C6C">
        <w:t xml:space="preserve">between or </w:t>
      </w:r>
      <w:r w:rsidR="00EA751D">
        <w:t>from generation to generation</w:t>
      </w:r>
      <w:r w:rsidR="0037653F">
        <w:t>”</w:t>
      </w:r>
      <w:r w:rsidR="00EA751D">
        <w:t xml:space="preserve">, </w:t>
      </w:r>
      <w:r w:rsidR="00313FBF">
        <w:t>and</w:t>
      </w:r>
      <w:r w:rsidR="0037653F">
        <w:t xml:space="preserve"> “</w:t>
      </w:r>
      <w:r w:rsidR="00EA751D">
        <w:t>may be dynamic and evolving</w:t>
      </w:r>
      <w:r w:rsidR="0037653F">
        <w:t>”</w:t>
      </w:r>
      <w:r w:rsidR="00FF38A8">
        <w:t>?</w:t>
      </w:r>
      <w:r w:rsidR="00554401">
        <w:br/>
      </w:r>
    </w:p>
    <w:p w14:paraId="25BE8AB5" w14:textId="7614CF77" w:rsidR="005C0A74" w:rsidRDefault="00E31B7A" w:rsidP="00AC7B78">
      <w:pPr>
        <w:pStyle w:val="ListParagraph"/>
        <w:numPr>
          <w:ilvl w:val="1"/>
          <w:numId w:val="28"/>
        </w:numPr>
      </w:pPr>
      <w:r>
        <w:t>W</w:t>
      </w:r>
      <w:r w:rsidR="00227C6C">
        <w:t xml:space="preserve">hat are the key qualifiers </w:t>
      </w:r>
      <w:r w:rsidR="00870735">
        <w:t xml:space="preserve">to describe </w:t>
      </w:r>
      <w:r w:rsidR="00227C6C">
        <w:t xml:space="preserve">TK and TCEs </w:t>
      </w:r>
      <w:r w:rsidR="00870735">
        <w:t xml:space="preserve">respectively, </w:t>
      </w:r>
      <w:r w:rsidR="00276A9A">
        <w:t xml:space="preserve">for </w:t>
      </w:r>
      <w:r w:rsidR="00313FBF">
        <w:t>example,</w:t>
      </w:r>
      <w:r w:rsidR="00227C6C">
        <w:t xml:space="preserve"> </w:t>
      </w:r>
      <w:r w:rsidR="0056607C">
        <w:t xml:space="preserve">TCEs </w:t>
      </w:r>
      <w:r w:rsidR="00870735">
        <w:t>“</w:t>
      </w:r>
      <w:r w:rsidR="0056607C" w:rsidRPr="00323641">
        <w:rPr>
          <w:szCs w:val="22"/>
        </w:rPr>
        <w:t>consist of any form of creative or spiritual</w:t>
      </w:r>
      <w:r w:rsidR="0056607C">
        <w:rPr>
          <w:szCs w:val="22"/>
        </w:rPr>
        <w:t>/</w:t>
      </w:r>
      <w:r w:rsidR="0056607C" w:rsidRPr="00323641">
        <w:rPr>
          <w:szCs w:val="22"/>
        </w:rPr>
        <w:t>artistic and literary expression, tangible or intangible, or a combination thereof, such as actions</w:t>
      </w:r>
      <w:r w:rsidR="0056607C" w:rsidRPr="00E31D9A">
        <w:rPr>
          <w:szCs w:val="22"/>
          <w:vertAlign w:val="superscript"/>
        </w:rPr>
        <w:footnoteReference w:id="2"/>
      </w:r>
      <w:r w:rsidR="0056607C" w:rsidRPr="00323641">
        <w:rPr>
          <w:szCs w:val="22"/>
        </w:rPr>
        <w:t>, materials</w:t>
      </w:r>
      <w:r w:rsidR="0056607C" w:rsidRPr="00E31D9A">
        <w:rPr>
          <w:szCs w:val="22"/>
          <w:vertAlign w:val="superscript"/>
        </w:rPr>
        <w:footnoteReference w:id="3"/>
      </w:r>
      <w:r w:rsidR="0056607C" w:rsidRPr="00323641">
        <w:rPr>
          <w:szCs w:val="22"/>
        </w:rPr>
        <w:t>, music and sound</w:t>
      </w:r>
      <w:r w:rsidR="0056607C" w:rsidRPr="00E31D9A">
        <w:rPr>
          <w:szCs w:val="22"/>
          <w:vertAlign w:val="superscript"/>
        </w:rPr>
        <w:footnoteReference w:id="4"/>
      </w:r>
      <w:r w:rsidR="0056607C" w:rsidRPr="00323641">
        <w:rPr>
          <w:szCs w:val="22"/>
        </w:rPr>
        <w:t>, or verbal forms</w:t>
      </w:r>
      <w:r w:rsidR="0056607C" w:rsidRPr="00E31D9A">
        <w:rPr>
          <w:szCs w:val="22"/>
          <w:vertAlign w:val="superscript"/>
        </w:rPr>
        <w:footnoteReference w:id="5"/>
      </w:r>
      <w:r w:rsidR="00870735">
        <w:rPr>
          <w:szCs w:val="22"/>
        </w:rPr>
        <w:t>”, and</w:t>
      </w:r>
      <w:r w:rsidR="0056607C">
        <w:rPr>
          <w:szCs w:val="22"/>
        </w:rPr>
        <w:t xml:space="preserve"> TK </w:t>
      </w:r>
      <w:r w:rsidR="00870735">
        <w:rPr>
          <w:szCs w:val="22"/>
        </w:rPr>
        <w:t>“</w:t>
      </w:r>
      <w:r w:rsidR="0056607C">
        <w:rPr>
          <w:szCs w:val="22"/>
        </w:rPr>
        <w:t>take</w:t>
      </w:r>
      <w:r w:rsidR="00870735">
        <w:rPr>
          <w:szCs w:val="22"/>
        </w:rPr>
        <w:t>s</w:t>
      </w:r>
      <w:r w:rsidR="0056607C">
        <w:rPr>
          <w:szCs w:val="22"/>
        </w:rPr>
        <w:t xml:space="preserve"> the form of know-how, skills, practices, teachings and learnings</w:t>
      </w:r>
      <w:r w:rsidR="00870735">
        <w:rPr>
          <w:szCs w:val="22"/>
        </w:rPr>
        <w:t>”?</w:t>
      </w:r>
      <w:r w:rsidR="00EA751D">
        <w:t xml:space="preserve"> </w:t>
      </w:r>
      <w:r w:rsidR="005C0A74">
        <w:br/>
      </w:r>
    </w:p>
    <w:p w14:paraId="43E7CCC2" w14:textId="7A3E1F1A" w:rsidR="0056607C" w:rsidRDefault="005C0A74" w:rsidP="009B2452">
      <w:pPr>
        <w:pStyle w:val="ListParagraph"/>
        <w:numPr>
          <w:ilvl w:val="0"/>
          <w:numId w:val="28"/>
        </w:numPr>
      </w:pPr>
      <w:r>
        <w:t>Should the instrument</w:t>
      </w:r>
      <w:r w:rsidR="00313FBF">
        <w:t>(</w:t>
      </w:r>
      <w:r w:rsidR="0043778A">
        <w:t>s</w:t>
      </w:r>
      <w:r w:rsidR="00313FBF">
        <w:t>)</w:t>
      </w:r>
      <w:r>
        <w:t xml:space="preserve"> distinguish between “subject matter” and “</w:t>
      </w:r>
      <w:r w:rsidRPr="00C42861">
        <w:rPr>
          <w:i/>
        </w:rPr>
        <w:t>protectable</w:t>
      </w:r>
      <w:r>
        <w:t xml:space="preserve"> subject matter</w:t>
      </w:r>
      <w:r w:rsidR="00313FBF">
        <w:t>”</w:t>
      </w:r>
      <w:r>
        <w:t xml:space="preserve">?  </w:t>
      </w:r>
      <w:r w:rsidR="00E84D66">
        <w:t>If so, how? (wh</w:t>
      </w:r>
      <w:r w:rsidR="00C42861">
        <w:t>ich</w:t>
      </w:r>
      <w:r w:rsidR="00E84D66">
        <w:t xml:space="preserve"> “eligibility criteria”?).  </w:t>
      </w:r>
      <w:r>
        <w:t>What should be left to national laws?</w:t>
      </w:r>
      <w:r w:rsidR="0056607C">
        <w:br/>
      </w:r>
    </w:p>
    <w:p w14:paraId="110AD975" w14:textId="5975FBCB" w:rsidR="0056607C" w:rsidRPr="0056607C" w:rsidRDefault="0056607C" w:rsidP="0056607C">
      <w:pPr>
        <w:pStyle w:val="ListParagraph"/>
        <w:numPr>
          <w:ilvl w:val="0"/>
          <w:numId w:val="28"/>
        </w:numPr>
        <w:rPr>
          <w:szCs w:val="22"/>
        </w:rPr>
      </w:pPr>
      <w:r>
        <w:rPr>
          <w:szCs w:val="22"/>
        </w:rPr>
        <w:t>In considering the ab</w:t>
      </w:r>
      <w:r w:rsidR="008D4377">
        <w:rPr>
          <w:szCs w:val="22"/>
        </w:rPr>
        <w:t>o</w:t>
      </w:r>
      <w:r>
        <w:rPr>
          <w:szCs w:val="22"/>
        </w:rPr>
        <w:t xml:space="preserve">ve questions it should be noted that a </w:t>
      </w:r>
      <w:r w:rsidRPr="0056607C">
        <w:rPr>
          <w:szCs w:val="22"/>
        </w:rPr>
        <w:t xml:space="preserve">number of approaches have been proposed in the working documents relating to TK and TCE to establish the relationship/interface between </w:t>
      </w:r>
      <w:r w:rsidR="00BC4A9E">
        <w:rPr>
          <w:szCs w:val="22"/>
        </w:rPr>
        <w:t xml:space="preserve">defining </w:t>
      </w:r>
      <w:r w:rsidRPr="0056607C">
        <w:rPr>
          <w:szCs w:val="22"/>
        </w:rPr>
        <w:t xml:space="preserve">the subject matter and </w:t>
      </w:r>
      <w:r w:rsidR="00BC4A9E">
        <w:rPr>
          <w:szCs w:val="22"/>
        </w:rPr>
        <w:t xml:space="preserve">determining the scope </w:t>
      </w:r>
      <w:r w:rsidRPr="0056607C">
        <w:rPr>
          <w:szCs w:val="22"/>
        </w:rPr>
        <w:t>of moral and</w:t>
      </w:r>
      <w:r w:rsidR="00BC4A9E">
        <w:rPr>
          <w:szCs w:val="22"/>
        </w:rPr>
        <w:t>/or</w:t>
      </w:r>
      <w:r w:rsidRPr="0056607C">
        <w:rPr>
          <w:szCs w:val="22"/>
        </w:rPr>
        <w:t xml:space="preserve"> economic rights relating to TK and TCE, including limitations to any </w:t>
      </w:r>
      <w:r w:rsidR="00BC4A9E">
        <w:rPr>
          <w:szCs w:val="22"/>
        </w:rPr>
        <w:t xml:space="preserve">such </w:t>
      </w:r>
      <w:r w:rsidRPr="0056607C">
        <w:rPr>
          <w:szCs w:val="22"/>
        </w:rPr>
        <w:t xml:space="preserve">rights. </w:t>
      </w:r>
      <w:r w:rsidR="00FF38A8">
        <w:rPr>
          <w:szCs w:val="22"/>
        </w:rPr>
        <w:t xml:space="preserve"> </w:t>
      </w:r>
      <w:r w:rsidRPr="0056607C">
        <w:rPr>
          <w:szCs w:val="22"/>
        </w:rPr>
        <w:t>These include:</w:t>
      </w:r>
      <w:r w:rsidR="00321FF0">
        <w:rPr>
          <w:szCs w:val="22"/>
        </w:rPr>
        <w:br/>
      </w:r>
    </w:p>
    <w:p w14:paraId="31F35AD7" w14:textId="67C822D4" w:rsidR="0056607C" w:rsidRDefault="00B77DA3" w:rsidP="00AC7B78">
      <w:pPr>
        <w:pStyle w:val="ListParagraph"/>
        <w:numPr>
          <w:ilvl w:val="1"/>
          <w:numId w:val="28"/>
        </w:numPr>
        <w:rPr>
          <w:szCs w:val="22"/>
        </w:rPr>
      </w:pPr>
      <w:r>
        <w:rPr>
          <w:szCs w:val="22"/>
        </w:rPr>
        <w:t>L</w:t>
      </w:r>
      <w:r w:rsidR="0056607C">
        <w:rPr>
          <w:szCs w:val="22"/>
        </w:rPr>
        <w:t>inking the eligibility criteria to the definition of TK and TCE</w:t>
      </w:r>
      <w:r w:rsidR="00321FF0">
        <w:rPr>
          <w:szCs w:val="22"/>
        </w:rPr>
        <w:t>s</w:t>
      </w:r>
      <w:r w:rsidR="0056607C">
        <w:rPr>
          <w:szCs w:val="22"/>
        </w:rPr>
        <w:t xml:space="preserve"> and differentiating the scope of protection within the </w:t>
      </w:r>
      <w:r w:rsidR="00321FF0">
        <w:rPr>
          <w:szCs w:val="22"/>
        </w:rPr>
        <w:t>draft a</w:t>
      </w:r>
      <w:r w:rsidR="0056607C">
        <w:rPr>
          <w:szCs w:val="22"/>
        </w:rPr>
        <w:t xml:space="preserve">rticles relating to </w:t>
      </w:r>
      <w:r w:rsidR="00321FF0">
        <w:rPr>
          <w:szCs w:val="22"/>
        </w:rPr>
        <w:t>“</w:t>
      </w:r>
      <w:r w:rsidR="0056607C">
        <w:rPr>
          <w:szCs w:val="22"/>
        </w:rPr>
        <w:t>Scope of Protection</w:t>
      </w:r>
      <w:r w:rsidR="00321FF0">
        <w:rPr>
          <w:szCs w:val="22"/>
        </w:rPr>
        <w:t>”</w:t>
      </w:r>
      <w:r w:rsidR="0056607C">
        <w:rPr>
          <w:szCs w:val="22"/>
        </w:rPr>
        <w:t xml:space="preserve"> based on the diffusion of that knowledge and </w:t>
      </w:r>
      <w:r w:rsidR="00321FF0">
        <w:rPr>
          <w:szCs w:val="22"/>
        </w:rPr>
        <w:t xml:space="preserve">cultural expressions and the </w:t>
      </w:r>
      <w:r w:rsidR="0056607C">
        <w:rPr>
          <w:szCs w:val="22"/>
        </w:rPr>
        <w:t xml:space="preserve">nature of </w:t>
      </w:r>
      <w:r w:rsidR="00321FF0">
        <w:rPr>
          <w:szCs w:val="22"/>
        </w:rPr>
        <w:t>their</w:t>
      </w:r>
      <w:r w:rsidR="0056607C">
        <w:rPr>
          <w:szCs w:val="22"/>
        </w:rPr>
        <w:t xml:space="preserve"> control and management within an identified indigenous or local community.</w:t>
      </w:r>
      <w:r w:rsidR="00321FF0">
        <w:rPr>
          <w:szCs w:val="22"/>
        </w:rPr>
        <w:br/>
      </w:r>
      <w:r w:rsidR="0056607C">
        <w:rPr>
          <w:szCs w:val="22"/>
        </w:rPr>
        <w:t xml:space="preserve"> </w:t>
      </w:r>
    </w:p>
    <w:p w14:paraId="020C3574" w14:textId="1E497BEE" w:rsidR="00554401" w:rsidRPr="00554401" w:rsidRDefault="00B77DA3" w:rsidP="00F33138">
      <w:pPr>
        <w:pStyle w:val="ListParagraph"/>
        <w:numPr>
          <w:ilvl w:val="1"/>
          <w:numId w:val="28"/>
        </w:numPr>
      </w:pPr>
      <w:r>
        <w:rPr>
          <w:szCs w:val="22"/>
        </w:rPr>
        <w:t>E</w:t>
      </w:r>
      <w:r w:rsidR="0056607C" w:rsidRPr="00554401">
        <w:rPr>
          <w:szCs w:val="22"/>
        </w:rPr>
        <w:t>stablishing a specific definition for protected TK and TCE</w:t>
      </w:r>
      <w:r w:rsidR="00321FF0" w:rsidRPr="00554401">
        <w:rPr>
          <w:szCs w:val="22"/>
        </w:rPr>
        <w:t>s</w:t>
      </w:r>
      <w:r w:rsidR="0056607C" w:rsidRPr="00554401">
        <w:rPr>
          <w:szCs w:val="22"/>
        </w:rPr>
        <w:t xml:space="preserve"> which incorporates criteria for protection.</w:t>
      </w:r>
      <w:r w:rsidR="00554401">
        <w:rPr>
          <w:szCs w:val="22"/>
        </w:rPr>
        <w:br/>
      </w:r>
    </w:p>
    <w:p w14:paraId="26FF82BC" w14:textId="24625E15" w:rsidR="00E84D66" w:rsidRDefault="00B77DA3" w:rsidP="00F33138">
      <w:pPr>
        <w:pStyle w:val="ListParagraph"/>
        <w:numPr>
          <w:ilvl w:val="1"/>
          <w:numId w:val="28"/>
        </w:numPr>
      </w:pPr>
      <w:r>
        <w:rPr>
          <w:szCs w:val="22"/>
        </w:rPr>
        <w:t>A</w:t>
      </w:r>
      <w:r w:rsidR="0056607C" w:rsidRPr="00554401">
        <w:rPr>
          <w:szCs w:val="22"/>
        </w:rPr>
        <w:t xml:space="preserve"> combination of the above approaches</w:t>
      </w:r>
      <w:r w:rsidR="00554401" w:rsidRPr="00554401">
        <w:rPr>
          <w:szCs w:val="22"/>
        </w:rPr>
        <w:t>.</w:t>
      </w:r>
      <w:r w:rsidR="00554401" w:rsidRPr="00554401">
        <w:rPr>
          <w:szCs w:val="22"/>
        </w:rPr>
        <w:br/>
      </w:r>
    </w:p>
    <w:p w14:paraId="33473AF8" w14:textId="77777777" w:rsidR="003321D2" w:rsidRDefault="003321D2" w:rsidP="003321D2">
      <w:pPr>
        <w:pStyle w:val="ListParagraph"/>
        <w:numPr>
          <w:ilvl w:val="0"/>
          <w:numId w:val="28"/>
        </w:numPr>
      </w:pPr>
      <w:r>
        <w:t>Is it necessary to define “traditional”? If so, how?</w:t>
      </w:r>
    </w:p>
    <w:p w14:paraId="4EADF94F" w14:textId="77777777" w:rsidR="003321D2" w:rsidRDefault="003321D2" w:rsidP="00E778A2"/>
    <w:p w14:paraId="034234E7" w14:textId="77777777" w:rsidR="00B314B5" w:rsidRPr="00AC7B78" w:rsidRDefault="003321D2" w:rsidP="003321D2">
      <w:pPr>
        <w:pStyle w:val="ListParagraph"/>
        <w:numPr>
          <w:ilvl w:val="0"/>
          <w:numId w:val="28"/>
        </w:numPr>
      </w:pPr>
      <w:r w:rsidRPr="000443E8">
        <w:t xml:space="preserve">Should the definition of protectable subject matter include a temporal component (such as that the TK or TCEs would have had to have existed for “not less than 50 years or a </w:t>
      </w:r>
      <w:r w:rsidRPr="000443E8">
        <w:lastRenderedPageBreak/>
        <w:t>period of five generations</w:t>
      </w:r>
      <w:r w:rsidRPr="00AC7B78">
        <w:t>”)?</w:t>
      </w:r>
      <w:r w:rsidR="00B314B5" w:rsidRPr="00AC7B78">
        <w:br/>
      </w:r>
    </w:p>
    <w:p w14:paraId="1DF4364C" w14:textId="5EC0B6C7" w:rsidR="003321D2" w:rsidRDefault="00B314B5" w:rsidP="003321D2">
      <w:pPr>
        <w:pStyle w:val="ListParagraph"/>
        <w:numPr>
          <w:ilvl w:val="0"/>
          <w:numId w:val="28"/>
        </w:numPr>
      </w:pPr>
      <w:r>
        <w:t>Are examples of TK and</w:t>
      </w:r>
      <w:r w:rsidR="008F6A04">
        <w:t>/or</w:t>
      </w:r>
      <w:r>
        <w:t xml:space="preserve"> TCEs needed in the instrument?</w:t>
      </w:r>
    </w:p>
    <w:p w14:paraId="3CD3B3D0" w14:textId="77777777" w:rsidR="000D4BD5" w:rsidRDefault="000D4BD5" w:rsidP="000D4BD5"/>
    <w:p w14:paraId="20A617DE" w14:textId="77777777" w:rsidR="00CE1AD8" w:rsidRPr="00816953" w:rsidRDefault="00E778A2" w:rsidP="00C81E70">
      <w:pPr>
        <w:rPr>
          <w:b/>
        </w:rPr>
      </w:pPr>
      <w:r>
        <w:rPr>
          <w:b/>
        </w:rPr>
        <w:t>Scope of protection</w:t>
      </w:r>
    </w:p>
    <w:p w14:paraId="1EEE694E" w14:textId="77777777" w:rsidR="00CC0A33" w:rsidRDefault="00CC0A33" w:rsidP="00CC0A33"/>
    <w:p w14:paraId="564B01A1" w14:textId="0424237E" w:rsidR="0085040B" w:rsidRDefault="00CC0A33" w:rsidP="00CC0A33">
      <w:r>
        <w:fldChar w:fldCharType="begin"/>
      </w:r>
      <w:r>
        <w:instrText xml:space="preserve"> AUTONUM  </w:instrText>
      </w:r>
      <w:r>
        <w:fldChar w:fldCharType="end"/>
      </w:r>
      <w:r>
        <w:tab/>
        <w:t xml:space="preserve">The scope of protection </w:t>
      </w:r>
      <w:r>
        <w:rPr>
          <w:szCs w:val="22"/>
        </w:rPr>
        <w:t xml:space="preserve">seeks to determine which specific acts </w:t>
      </w:r>
      <w:r w:rsidR="00351AC7">
        <w:rPr>
          <w:szCs w:val="22"/>
        </w:rPr>
        <w:t xml:space="preserve">or omissions </w:t>
      </w:r>
      <w:r>
        <w:rPr>
          <w:szCs w:val="22"/>
        </w:rPr>
        <w:t>in respect of protectable TK and/or TCEs ought to be prohibited or prevented</w:t>
      </w:r>
      <w:r w:rsidR="00351AC7">
        <w:rPr>
          <w:szCs w:val="22"/>
        </w:rPr>
        <w:t xml:space="preserve"> and/or which harms </w:t>
      </w:r>
      <w:r w:rsidR="00351AC7">
        <w:t>to TK and/or TCEs would IP-similar instruments on TK and TCEs seek to address?</w:t>
      </w:r>
    </w:p>
    <w:p w14:paraId="0E72D711" w14:textId="77777777" w:rsidR="00B77DA3" w:rsidRDefault="00B77DA3" w:rsidP="00CC0A33">
      <w:pPr>
        <w:rPr>
          <w:szCs w:val="22"/>
        </w:rPr>
      </w:pPr>
    </w:p>
    <w:p w14:paraId="3B4A9E04" w14:textId="10CA82A9" w:rsidR="00CC0A33" w:rsidRDefault="009B07AD" w:rsidP="00CC0A33">
      <w:pPr>
        <w:rPr>
          <w:szCs w:val="22"/>
        </w:rPr>
      </w:pPr>
      <w:r>
        <w:rPr>
          <w:szCs w:val="22"/>
        </w:rPr>
        <w:fldChar w:fldCharType="begin"/>
      </w:r>
      <w:r>
        <w:rPr>
          <w:szCs w:val="22"/>
        </w:rPr>
        <w:instrText xml:space="preserve"> AUTONUM  </w:instrText>
      </w:r>
      <w:r>
        <w:rPr>
          <w:szCs w:val="22"/>
        </w:rPr>
        <w:fldChar w:fldCharType="end"/>
      </w:r>
      <w:r>
        <w:rPr>
          <w:szCs w:val="22"/>
        </w:rPr>
        <w:tab/>
        <w:t>T</w:t>
      </w:r>
      <w:r w:rsidR="00CC0A33">
        <w:rPr>
          <w:szCs w:val="22"/>
        </w:rPr>
        <w:t xml:space="preserve">he </w:t>
      </w:r>
      <w:r w:rsidR="00CC0A33" w:rsidRPr="00D53171">
        <w:rPr>
          <w:i/>
          <w:szCs w:val="22"/>
        </w:rPr>
        <w:t>ad hoc</w:t>
      </w:r>
      <w:r w:rsidR="00CC0A33">
        <w:rPr>
          <w:szCs w:val="22"/>
        </w:rPr>
        <w:t xml:space="preserve"> </w:t>
      </w:r>
      <w:r w:rsidR="007111E2">
        <w:rPr>
          <w:szCs w:val="22"/>
        </w:rPr>
        <w:t>E</w:t>
      </w:r>
      <w:r w:rsidR="00CC0A33">
        <w:rPr>
          <w:szCs w:val="22"/>
        </w:rPr>
        <w:t xml:space="preserve">xpert </w:t>
      </w:r>
      <w:r w:rsidR="007111E2">
        <w:rPr>
          <w:szCs w:val="22"/>
        </w:rPr>
        <w:t>G</w:t>
      </w:r>
      <w:r w:rsidR="00CC0A33">
        <w:rPr>
          <w:szCs w:val="22"/>
        </w:rPr>
        <w:t>roup is invited to clarify:</w:t>
      </w:r>
      <w:r w:rsidR="007111E2">
        <w:rPr>
          <w:szCs w:val="22"/>
        </w:rPr>
        <w:br/>
      </w:r>
    </w:p>
    <w:p w14:paraId="389CE0A3" w14:textId="6F2830D5" w:rsidR="00CC0A33" w:rsidRDefault="00CC0A33" w:rsidP="00CC0A33">
      <w:pPr>
        <w:pStyle w:val="ListParagraph"/>
        <w:numPr>
          <w:ilvl w:val="0"/>
          <w:numId w:val="22"/>
        </w:numPr>
        <w:rPr>
          <w:szCs w:val="22"/>
        </w:rPr>
      </w:pPr>
      <w:r>
        <w:rPr>
          <w:szCs w:val="22"/>
        </w:rPr>
        <w:t>wh</w:t>
      </w:r>
      <w:r w:rsidR="00351AC7">
        <w:rPr>
          <w:szCs w:val="22"/>
        </w:rPr>
        <w:t>ich</w:t>
      </w:r>
      <w:r>
        <w:rPr>
          <w:szCs w:val="22"/>
        </w:rPr>
        <w:t xml:space="preserve"> is the appropriate approach:  a rights-based approach, a measures-based approach or a combination of the two</w:t>
      </w:r>
      <w:r w:rsidR="00303705">
        <w:rPr>
          <w:szCs w:val="22"/>
        </w:rPr>
        <w:t>?  I</w:t>
      </w:r>
      <w:r w:rsidR="00187B07">
        <w:rPr>
          <w:szCs w:val="22"/>
        </w:rPr>
        <w:t xml:space="preserve">n a </w:t>
      </w:r>
      <w:r w:rsidR="00187B07" w:rsidRPr="00303705">
        <w:rPr>
          <w:i/>
          <w:szCs w:val="22"/>
        </w:rPr>
        <w:t>rights-based approach</w:t>
      </w:r>
      <w:r w:rsidR="00351AC7">
        <w:rPr>
          <w:szCs w:val="22"/>
        </w:rPr>
        <w:t>,</w:t>
      </w:r>
      <w:r w:rsidR="00187B07">
        <w:rPr>
          <w:szCs w:val="22"/>
        </w:rPr>
        <w:t xml:space="preserve"> beneficiaries are granted rights which they can </w:t>
      </w:r>
      <w:r w:rsidR="00B77DA3">
        <w:rPr>
          <w:szCs w:val="22"/>
        </w:rPr>
        <w:t xml:space="preserve">directly </w:t>
      </w:r>
      <w:r w:rsidR="00187B07">
        <w:rPr>
          <w:szCs w:val="22"/>
        </w:rPr>
        <w:t xml:space="preserve">manage and enforce, and in a </w:t>
      </w:r>
      <w:r w:rsidR="00187B07" w:rsidRPr="00303705">
        <w:rPr>
          <w:i/>
          <w:szCs w:val="22"/>
        </w:rPr>
        <w:t>measures-based approach</w:t>
      </w:r>
      <w:r w:rsidR="00187B07">
        <w:rPr>
          <w:szCs w:val="22"/>
        </w:rPr>
        <w:t xml:space="preserve">, </w:t>
      </w:r>
      <w:r w:rsidR="00351AC7">
        <w:rPr>
          <w:szCs w:val="22"/>
        </w:rPr>
        <w:t>Member S</w:t>
      </w:r>
      <w:r w:rsidR="00187B07">
        <w:rPr>
          <w:szCs w:val="22"/>
        </w:rPr>
        <w:t xml:space="preserve">tates are enjoined to provide measures for the protection of TK and TCEs, which could include a wide range of legal and practical civil, administrative or criminal </w:t>
      </w:r>
      <w:r w:rsidR="00303705">
        <w:rPr>
          <w:szCs w:val="22"/>
        </w:rPr>
        <w:t>measures</w:t>
      </w:r>
      <w:r w:rsidR="00351AC7">
        <w:rPr>
          <w:szCs w:val="22"/>
        </w:rPr>
        <w:t>.  Both approaches are reflected in existing international IP instruments;</w:t>
      </w:r>
      <w:r w:rsidR="00415138">
        <w:rPr>
          <w:szCs w:val="22"/>
        </w:rPr>
        <w:t xml:space="preserve"> </w:t>
      </w:r>
      <w:r w:rsidR="00313FBF">
        <w:rPr>
          <w:szCs w:val="22"/>
        </w:rPr>
        <w:t xml:space="preserve"> </w:t>
      </w:r>
      <w:r>
        <w:rPr>
          <w:szCs w:val="22"/>
        </w:rPr>
        <w:t>and</w:t>
      </w:r>
      <w:r w:rsidR="00303705">
        <w:rPr>
          <w:szCs w:val="22"/>
        </w:rPr>
        <w:t>,</w:t>
      </w:r>
      <w:r w:rsidR="00303705">
        <w:rPr>
          <w:szCs w:val="22"/>
        </w:rPr>
        <w:br/>
      </w:r>
    </w:p>
    <w:p w14:paraId="7562973E" w14:textId="77777777" w:rsidR="00CC0A33" w:rsidRPr="00A05DB8" w:rsidRDefault="00CC0A33" w:rsidP="00CC0A33">
      <w:pPr>
        <w:pStyle w:val="ListParagraph"/>
        <w:numPr>
          <w:ilvl w:val="0"/>
          <w:numId w:val="22"/>
        </w:numPr>
        <w:rPr>
          <w:szCs w:val="22"/>
        </w:rPr>
      </w:pPr>
      <w:r>
        <w:rPr>
          <w:szCs w:val="22"/>
        </w:rPr>
        <w:t>the flexibility necessary to allow the scope of protection to be determined at the national level</w:t>
      </w:r>
      <w:r w:rsidRPr="00A05DB8">
        <w:rPr>
          <w:szCs w:val="22"/>
        </w:rPr>
        <w:t>.</w:t>
      </w:r>
    </w:p>
    <w:p w14:paraId="6251110B" w14:textId="77777777" w:rsidR="00CC0A33" w:rsidRDefault="00CC0A33" w:rsidP="00CC0A33"/>
    <w:p w14:paraId="47B08528" w14:textId="77777777" w:rsidR="00FC4540" w:rsidRDefault="00CC0A33" w:rsidP="00CC0A33">
      <w:r>
        <w:fldChar w:fldCharType="begin"/>
      </w:r>
      <w:r>
        <w:instrText xml:space="preserve"> AUTONUM  </w:instrText>
      </w:r>
      <w:r>
        <w:fldChar w:fldCharType="end"/>
      </w:r>
      <w:r>
        <w:tab/>
        <w:t xml:space="preserve">The IGC has discussed for several years a </w:t>
      </w:r>
      <w:r w:rsidRPr="00716D78">
        <w:t xml:space="preserve">so-called </w:t>
      </w:r>
      <w:r>
        <w:t>“</w:t>
      </w:r>
      <w:r w:rsidRPr="00716D78">
        <w:t>tiered approach</w:t>
      </w:r>
      <w:r>
        <w:t>” (also referred to as</w:t>
      </w:r>
      <w:r w:rsidRPr="00716D78">
        <w:t xml:space="preserve"> </w:t>
      </w:r>
      <w:r>
        <w:t>“</w:t>
      </w:r>
      <w:r w:rsidRPr="00716D78">
        <w:t>differentiated protection</w:t>
      </w:r>
      <w:r>
        <w:t>”)</w:t>
      </w:r>
      <w:r w:rsidRPr="00716D78">
        <w:t>, whereby different</w:t>
      </w:r>
      <w:r>
        <w:t xml:space="preserve"> kinds or levels of rights or measures would be available to rights holders depending on the nature and characteristics of the subject matter, the level of control retained by the beneficiaries and its degree of diffusion.</w:t>
      </w:r>
      <w:r w:rsidR="007C17CA">
        <w:t xml:space="preserve">  </w:t>
      </w:r>
    </w:p>
    <w:p w14:paraId="36AEDDE8" w14:textId="77777777" w:rsidR="00FC4540" w:rsidRDefault="00FC4540" w:rsidP="00CC0A33"/>
    <w:p w14:paraId="2357682F" w14:textId="77777777" w:rsidR="00024041" w:rsidRDefault="00FC4540" w:rsidP="00CC0A33">
      <w:r>
        <w:fldChar w:fldCharType="begin"/>
      </w:r>
      <w:r>
        <w:instrText xml:space="preserve"> AUTONUM  </w:instrText>
      </w:r>
      <w:r>
        <w:fldChar w:fldCharType="end"/>
      </w:r>
      <w:r>
        <w:tab/>
      </w:r>
      <w:r w:rsidR="009B07AD">
        <w:t xml:space="preserve">In this regard, </w:t>
      </w:r>
      <w:r>
        <w:t xml:space="preserve">and with a view to testing the practicality and legal implications of a “tiered approach”, </w:t>
      </w:r>
      <w:r w:rsidR="009B07AD">
        <w:t>t</w:t>
      </w:r>
      <w:r w:rsidR="00CC0A33">
        <w:t xml:space="preserve">he </w:t>
      </w:r>
      <w:r w:rsidR="00CC0A33" w:rsidRPr="00EA1441">
        <w:rPr>
          <w:i/>
        </w:rPr>
        <w:t>ad hoc</w:t>
      </w:r>
      <w:r w:rsidR="00CC0A33">
        <w:t xml:space="preserve"> </w:t>
      </w:r>
      <w:r w:rsidR="007C17CA">
        <w:t>E</w:t>
      </w:r>
      <w:r w:rsidR="00CC0A33">
        <w:t xml:space="preserve">xpert </w:t>
      </w:r>
      <w:r w:rsidR="007C17CA">
        <w:t>G</w:t>
      </w:r>
      <w:r w:rsidR="00CC0A33">
        <w:t>roup is invited to</w:t>
      </w:r>
      <w:r w:rsidR="00024041">
        <w:t>:</w:t>
      </w:r>
    </w:p>
    <w:p w14:paraId="0DDABFFD" w14:textId="77777777" w:rsidR="00024041" w:rsidRDefault="00024041" w:rsidP="00CC0A33"/>
    <w:p w14:paraId="1A7928EA" w14:textId="0058596F" w:rsidR="00A361CE" w:rsidRDefault="00A361CE" w:rsidP="00A361CE">
      <w:pPr>
        <w:pStyle w:val="ListParagraph"/>
        <w:numPr>
          <w:ilvl w:val="0"/>
          <w:numId w:val="31"/>
        </w:numPr>
      </w:pPr>
      <w:r>
        <w:t>design a draft framework</w:t>
      </w:r>
      <w:r w:rsidR="00313FBF">
        <w:t>(</w:t>
      </w:r>
      <w:r w:rsidR="00191D11">
        <w:t>s</w:t>
      </w:r>
      <w:r w:rsidR="00313FBF">
        <w:t>)</w:t>
      </w:r>
      <w:r>
        <w:t xml:space="preserve"> that would reflect a tiered approach to </w:t>
      </w:r>
      <w:r w:rsidR="008A58D1">
        <w:t xml:space="preserve">TK and TCEs.  The </w:t>
      </w:r>
      <w:r w:rsidR="00D34743">
        <w:t>framework</w:t>
      </w:r>
      <w:r w:rsidR="00313FBF">
        <w:t>(</w:t>
      </w:r>
      <w:r w:rsidR="00D34743">
        <w:t>s</w:t>
      </w:r>
      <w:r w:rsidR="00313FBF">
        <w:t>)</w:t>
      </w:r>
      <w:r w:rsidR="00D34743">
        <w:t xml:space="preserve"> </w:t>
      </w:r>
      <w:r>
        <w:t>could, for example, reflect economic, moral rights and/or rights to remuneration/compensation, and differentiate between different forms in which TK and TCEs may be found, such as secret, closely held and publicly available TK and TCEs.</w:t>
      </w:r>
    </w:p>
    <w:p w14:paraId="561BC3E8" w14:textId="77777777" w:rsidR="006F4E56" w:rsidRDefault="006F4E56" w:rsidP="006F4E56">
      <w:pPr>
        <w:pStyle w:val="ListParagraph"/>
      </w:pPr>
    </w:p>
    <w:p w14:paraId="02378276" w14:textId="77777777" w:rsidR="00E77050" w:rsidRPr="000411A6" w:rsidRDefault="00E77050" w:rsidP="00E77050">
      <w:pPr>
        <w:outlineLvl w:val="0"/>
        <w:rPr>
          <w:b/>
        </w:rPr>
      </w:pPr>
      <w:r w:rsidRPr="000411A6">
        <w:rPr>
          <w:b/>
        </w:rPr>
        <w:t xml:space="preserve">Useful resources </w:t>
      </w:r>
    </w:p>
    <w:p w14:paraId="2694A0EA" w14:textId="77777777" w:rsidR="00E77050" w:rsidRDefault="00E77050" w:rsidP="00E77050"/>
    <w:p w14:paraId="2EEE05C1" w14:textId="77777777" w:rsidR="00E77050" w:rsidRDefault="00E77050" w:rsidP="00E77050">
      <w:r>
        <w:fldChar w:fldCharType="begin"/>
      </w:r>
      <w:r>
        <w:instrText xml:space="preserve"> AUTONUM  </w:instrText>
      </w:r>
      <w:r>
        <w:fldChar w:fldCharType="end"/>
      </w:r>
      <w:r>
        <w:tab/>
        <w:t>T</w:t>
      </w:r>
      <w:r w:rsidRPr="00000A0A">
        <w:t xml:space="preserve">here are some useful resources available on the WIPO website which </w:t>
      </w:r>
      <w:r>
        <w:t xml:space="preserve">the </w:t>
      </w:r>
      <w:r w:rsidRPr="00E77050">
        <w:rPr>
          <w:i/>
        </w:rPr>
        <w:t>ad hoc</w:t>
      </w:r>
      <w:r>
        <w:t xml:space="preserve"> expert group </w:t>
      </w:r>
      <w:r w:rsidRPr="00000A0A">
        <w:t>may wish to use as reference materials</w:t>
      </w:r>
      <w:r>
        <w:t>, such as:</w:t>
      </w:r>
    </w:p>
    <w:p w14:paraId="7C5F984C" w14:textId="77777777" w:rsidR="00E77050" w:rsidRDefault="00E77050" w:rsidP="00E77050"/>
    <w:p w14:paraId="7A629DFB" w14:textId="3FD0B5BC" w:rsidR="00CE1AD8" w:rsidRPr="00BD16F8" w:rsidRDefault="00CE1AD8" w:rsidP="00313FBF">
      <w:pPr>
        <w:pStyle w:val="ListParagraph"/>
        <w:numPr>
          <w:ilvl w:val="0"/>
          <w:numId w:val="19"/>
        </w:numPr>
      </w:pPr>
      <w:r>
        <w:t>Chair’s Info</w:t>
      </w:r>
      <w:r w:rsidR="000F2E91">
        <w:t>rmation Note Prepared for IGC 39</w:t>
      </w:r>
      <w:r w:rsidR="00313FBF">
        <w:t xml:space="preserve">, </w:t>
      </w:r>
      <w:hyperlink r:id="rId9" w:history="1">
        <w:r w:rsidR="00BD16F8" w:rsidRPr="00BD16F8">
          <w:rPr>
            <w:rStyle w:val="Hyperlink"/>
            <w:color w:val="auto"/>
            <w:u w:val="none"/>
          </w:rPr>
          <w:t>https://www.wipo.int/meetings/en/doc_details.jsp?doc_id=429638</w:t>
        </w:r>
      </w:hyperlink>
      <w:r w:rsidR="000F2E91" w:rsidRPr="00BD16F8">
        <w:t>;</w:t>
      </w:r>
      <w:r w:rsidR="00BD16F8" w:rsidRPr="00BD16F8">
        <w:t xml:space="preserve"> </w:t>
      </w:r>
    </w:p>
    <w:p w14:paraId="3453A87C" w14:textId="77777777" w:rsidR="00CE1AD8" w:rsidRPr="00BD16F8" w:rsidRDefault="00CE1AD8" w:rsidP="00CE1AD8">
      <w:pPr>
        <w:pStyle w:val="ListParagraph"/>
      </w:pPr>
    </w:p>
    <w:p w14:paraId="08737218" w14:textId="776627A4" w:rsidR="00E77050" w:rsidRPr="00BD16F8" w:rsidRDefault="000F2E91" w:rsidP="000F2E91">
      <w:pPr>
        <w:pStyle w:val="ListParagraph"/>
        <w:numPr>
          <w:ilvl w:val="0"/>
          <w:numId w:val="19"/>
        </w:numPr>
      </w:pPr>
      <w:r w:rsidRPr="00BD16F8">
        <w:t>WIPO/GRTKF/IC/39</w:t>
      </w:r>
      <w:r w:rsidR="00E77050" w:rsidRPr="00BD16F8">
        <w:t>/6, The Protection of Traditional Knowledge:  Updated Draft Gap Analysis,</w:t>
      </w:r>
      <w:r w:rsidRPr="00BD16F8">
        <w:t xml:space="preserve"> </w:t>
      </w:r>
      <w:hyperlink r:id="rId10" w:history="1">
        <w:r w:rsidR="00BD16F8" w:rsidRPr="00BD16F8">
          <w:rPr>
            <w:rStyle w:val="Hyperlink"/>
            <w:color w:val="auto"/>
            <w:u w:val="none"/>
          </w:rPr>
          <w:t>https://www.wipo.int/meetings/en/doc_details.jsp?doc_id=426449</w:t>
        </w:r>
      </w:hyperlink>
      <w:r w:rsidR="00E77050" w:rsidRPr="00BD16F8">
        <w:t>;</w:t>
      </w:r>
      <w:r w:rsidR="00BD16F8" w:rsidRPr="00BD16F8">
        <w:t xml:space="preserve"> </w:t>
      </w:r>
    </w:p>
    <w:p w14:paraId="4FECBC6A" w14:textId="77777777" w:rsidR="00E77050" w:rsidRPr="00BD16F8" w:rsidRDefault="00E77050" w:rsidP="00E77050">
      <w:pPr>
        <w:pStyle w:val="ListParagraph"/>
      </w:pPr>
    </w:p>
    <w:p w14:paraId="4805031A" w14:textId="289BA9E5" w:rsidR="00E77050" w:rsidRPr="00BD16F8" w:rsidRDefault="000F2E91" w:rsidP="000F2E91">
      <w:pPr>
        <w:pStyle w:val="ListParagraph"/>
        <w:numPr>
          <w:ilvl w:val="0"/>
          <w:numId w:val="19"/>
        </w:numPr>
      </w:pPr>
      <w:r w:rsidRPr="00BD16F8">
        <w:t>WIPO/GRTKF/IC/39</w:t>
      </w:r>
      <w:r w:rsidR="00E77050" w:rsidRPr="00BD16F8">
        <w:t>/7, The Protection of Traditional Cultural Expressions:  Updated Draft Gap Analysis,</w:t>
      </w:r>
      <w:r w:rsidRPr="00BD16F8">
        <w:t xml:space="preserve"> </w:t>
      </w:r>
      <w:hyperlink r:id="rId11" w:history="1">
        <w:r w:rsidR="00BD16F8" w:rsidRPr="00BD16F8">
          <w:rPr>
            <w:rStyle w:val="Hyperlink"/>
            <w:color w:val="auto"/>
            <w:u w:val="none"/>
          </w:rPr>
          <w:t>https://www.wipo.int/meetings/en/doc_details.jsp?doc_id=426450</w:t>
        </w:r>
      </w:hyperlink>
      <w:r w:rsidR="00E77050" w:rsidRPr="00BD16F8">
        <w:t>;</w:t>
      </w:r>
      <w:r w:rsidR="00BD16F8" w:rsidRPr="00BD16F8">
        <w:t xml:space="preserve"> </w:t>
      </w:r>
    </w:p>
    <w:p w14:paraId="0354D910" w14:textId="77777777" w:rsidR="00E77050" w:rsidRPr="00BD16F8" w:rsidRDefault="00E77050" w:rsidP="00E77050">
      <w:pPr>
        <w:pStyle w:val="ListParagraph"/>
      </w:pPr>
    </w:p>
    <w:p w14:paraId="6917DB67" w14:textId="560E53AF" w:rsidR="00E77050" w:rsidRPr="00BD16F8" w:rsidRDefault="00E77050" w:rsidP="00E77050">
      <w:pPr>
        <w:pStyle w:val="ListParagraph"/>
        <w:numPr>
          <w:ilvl w:val="0"/>
          <w:numId w:val="19"/>
        </w:numPr>
      </w:pPr>
      <w:r w:rsidRPr="00BD16F8">
        <w:t xml:space="preserve">WIPO/GRTKF/IC/17/INF/8, Note on the Meanings of the Term “Public Domain” in the Intellectual Property System with Special Reference to the Protection of Traditional Knowledge and Traditional Cultural Expressions/Expressions of Folklore, </w:t>
      </w:r>
      <w:hyperlink r:id="rId12" w:history="1">
        <w:r w:rsidR="00BD16F8" w:rsidRPr="00BD16F8">
          <w:rPr>
            <w:rStyle w:val="Hyperlink"/>
            <w:color w:val="auto"/>
            <w:u w:val="none"/>
          </w:rPr>
          <w:t>https://www.wipo.int/meetings/en/doc_details.jsp?doc_id=149213</w:t>
        </w:r>
      </w:hyperlink>
      <w:r w:rsidRPr="00BD16F8">
        <w:t>;</w:t>
      </w:r>
      <w:r w:rsidR="00BD16F8" w:rsidRPr="00BD16F8">
        <w:t xml:space="preserve"> </w:t>
      </w:r>
    </w:p>
    <w:p w14:paraId="5348FF25" w14:textId="77777777" w:rsidR="00E77050" w:rsidRDefault="00E77050" w:rsidP="00E77050">
      <w:pPr>
        <w:pStyle w:val="ListParagraph"/>
      </w:pPr>
    </w:p>
    <w:p w14:paraId="32712188" w14:textId="185E81E0" w:rsidR="00E77050" w:rsidRPr="00BD16F8" w:rsidRDefault="00E77050" w:rsidP="00E77050">
      <w:pPr>
        <w:pStyle w:val="ListParagraph"/>
        <w:numPr>
          <w:ilvl w:val="0"/>
          <w:numId w:val="19"/>
        </w:numPr>
      </w:pPr>
      <w:r>
        <w:t xml:space="preserve">WIPO/GRTKF/IC/17/INF/9, List and Brief Technical Explanation of Various Forms in </w:t>
      </w:r>
      <w:r w:rsidRPr="00BD16F8">
        <w:t xml:space="preserve">Which Traditional Knowledge May Be Found, </w:t>
      </w:r>
      <w:hyperlink r:id="rId13" w:history="1">
        <w:r w:rsidR="00BD16F8" w:rsidRPr="00BD16F8">
          <w:rPr>
            <w:rStyle w:val="Hyperlink"/>
            <w:color w:val="auto"/>
            <w:u w:val="none"/>
          </w:rPr>
          <w:t>https://www.wipo.int/meetings/en/doc_details.jsp?doc_id=147152</w:t>
        </w:r>
      </w:hyperlink>
      <w:r w:rsidRPr="00BD16F8">
        <w:t>;</w:t>
      </w:r>
      <w:r w:rsidR="00BD16F8" w:rsidRPr="00BD16F8">
        <w:t xml:space="preserve"> </w:t>
      </w:r>
    </w:p>
    <w:p w14:paraId="3920383F" w14:textId="77777777" w:rsidR="00E77050" w:rsidRPr="00BD16F8" w:rsidRDefault="00E77050" w:rsidP="00E77050">
      <w:pPr>
        <w:pStyle w:val="ListParagraph"/>
      </w:pPr>
    </w:p>
    <w:p w14:paraId="241A9A90" w14:textId="1186E3BD" w:rsidR="00E77050" w:rsidRPr="00BD16F8" w:rsidRDefault="00E77050" w:rsidP="00E77050">
      <w:pPr>
        <w:pStyle w:val="ListParagraph"/>
        <w:numPr>
          <w:ilvl w:val="0"/>
          <w:numId w:val="19"/>
        </w:numPr>
      </w:pPr>
      <w:r w:rsidRPr="00BD16F8">
        <w:t xml:space="preserve">Regional, National, Local and Community Experiences, </w:t>
      </w:r>
      <w:hyperlink r:id="rId14" w:history="1">
        <w:r w:rsidR="00BD16F8" w:rsidRPr="00BD16F8">
          <w:rPr>
            <w:rStyle w:val="Hyperlink"/>
            <w:color w:val="auto"/>
            <w:u w:val="none"/>
          </w:rPr>
          <w:t>https://www.wipo.int/tk/en/resources/tk_experiences.html</w:t>
        </w:r>
      </w:hyperlink>
      <w:r w:rsidRPr="00BD16F8">
        <w:t>;</w:t>
      </w:r>
      <w:r w:rsidR="00BD16F8" w:rsidRPr="00BD16F8">
        <w:t xml:space="preserve"> </w:t>
      </w:r>
    </w:p>
    <w:p w14:paraId="2BA83957" w14:textId="77777777" w:rsidR="00E77050" w:rsidRPr="00BD16F8" w:rsidRDefault="00E77050" w:rsidP="00E77050"/>
    <w:p w14:paraId="6FAC8CD4" w14:textId="73495995" w:rsidR="00E77050" w:rsidRPr="00BD16F8" w:rsidRDefault="00E77050" w:rsidP="00E77050">
      <w:pPr>
        <w:pStyle w:val="ListParagraph"/>
        <w:numPr>
          <w:ilvl w:val="0"/>
          <w:numId w:val="19"/>
        </w:numPr>
      </w:pPr>
      <w:r w:rsidRPr="00BD16F8">
        <w:t xml:space="preserve">Lectures and presentations on the selected topics, </w:t>
      </w:r>
      <w:hyperlink r:id="rId15" w:history="1">
        <w:r w:rsidR="00BD16F8" w:rsidRPr="00BD16F8">
          <w:rPr>
            <w:rStyle w:val="Hyperlink"/>
            <w:color w:val="auto"/>
            <w:u w:val="none"/>
          </w:rPr>
          <w:t>https://www.wipo.int/tk/en/resources/tk_experiences.html#4</w:t>
        </w:r>
      </w:hyperlink>
      <w:r w:rsidRPr="00BD16F8">
        <w:t>.</w:t>
      </w:r>
      <w:r w:rsidR="00BD16F8" w:rsidRPr="00BD16F8">
        <w:t xml:space="preserve"> </w:t>
      </w:r>
    </w:p>
    <w:p w14:paraId="49A39322" w14:textId="77777777" w:rsidR="00E77050" w:rsidRDefault="00E77050" w:rsidP="00E77050"/>
    <w:p w14:paraId="23504B68" w14:textId="77777777" w:rsidR="00816717" w:rsidRDefault="00816717" w:rsidP="000D4BD5"/>
    <w:p w14:paraId="5A699644" w14:textId="77777777" w:rsidR="000D4BD5" w:rsidRDefault="000D4BD5" w:rsidP="000D4BD5">
      <w:pPr>
        <w:ind w:left="5760"/>
      </w:pPr>
      <w:r>
        <w:t>[End of document]</w:t>
      </w:r>
    </w:p>
    <w:sectPr w:rsidR="000D4BD5" w:rsidSect="000D4BD5">
      <w:headerReference w:type="default" r:id="rId16"/>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1791A" w16cid:durableId="2019030B"/>
  <w16cid:commentId w16cid:paraId="7690DF21" w16cid:durableId="201901A7"/>
  <w16cid:commentId w16cid:paraId="41603091" w16cid:durableId="20190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7FC2F" w14:textId="77777777" w:rsidR="0092213D" w:rsidRDefault="0092213D">
      <w:r>
        <w:separator/>
      </w:r>
    </w:p>
  </w:endnote>
  <w:endnote w:type="continuationSeparator" w:id="0">
    <w:p w14:paraId="4E87E698" w14:textId="77777777" w:rsidR="0092213D" w:rsidRDefault="0092213D" w:rsidP="003B38C1">
      <w:r>
        <w:separator/>
      </w:r>
    </w:p>
    <w:p w14:paraId="4EA64370" w14:textId="77777777" w:rsidR="0092213D" w:rsidRPr="003B38C1" w:rsidRDefault="0092213D" w:rsidP="003B38C1">
      <w:pPr>
        <w:spacing w:after="60"/>
        <w:rPr>
          <w:sz w:val="17"/>
        </w:rPr>
      </w:pPr>
      <w:r>
        <w:rPr>
          <w:sz w:val="17"/>
        </w:rPr>
        <w:t>[Endnote continued from previous page]</w:t>
      </w:r>
    </w:p>
  </w:endnote>
  <w:endnote w:type="continuationNotice" w:id="1">
    <w:p w14:paraId="590F14E9" w14:textId="77777777" w:rsidR="0092213D" w:rsidRPr="003B38C1" w:rsidRDefault="009221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5068" w14:textId="77777777" w:rsidR="0092213D" w:rsidRDefault="0092213D">
      <w:r>
        <w:separator/>
      </w:r>
    </w:p>
  </w:footnote>
  <w:footnote w:type="continuationSeparator" w:id="0">
    <w:p w14:paraId="313F3FB7" w14:textId="77777777" w:rsidR="0092213D" w:rsidRDefault="0092213D" w:rsidP="008B60B2">
      <w:r>
        <w:separator/>
      </w:r>
    </w:p>
    <w:p w14:paraId="627C2426" w14:textId="77777777" w:rsidR="0092213D" w:rsidRPr="00ED77FB" w:rsidRDefault="0092213D" w:rsidP="008B60B2">
      <w:pPr>
        <w:spacing w:after="60"/>
        <w:rPr>
          <w:sz w:val="17"/>
          <w:szCs w:val="17"/>
        </w:rPr>
      </w:pPr>
      <w:r w:rsidRPr="00ED77FB">
        <w:rPr>
          <w:sz w:val="17"/>
          <w:szCs w:val="17"/>
        </w:rPr>
        <w:t>[Footnote continued from previous page]</w:t>
      </w:r>
    </w:p>
  </w:footnote>
  <w:footnote w:type="continuationNotice" w:id="1">
    <w:p w14:paraId="0905FDCE" w14:textId="77777777" w:rsidR="0092213D" w:rsidRPr="00ED77FB" w:rsidRDefault="0092213D" w:rsidP="008B60B2">
      <w:pPr>
        <w:spacing w:before="60"/>
        <w:jc w:val="right"/>
        <w:rPr>
          <w:sz w:val="17"/>
          <w:szCs w:val="17"/>
        </w:rPr>
      </w:pPr>
      <w:r w:rsidRPr="00ED77FB">
        <w:rPr>
          <w:sz w:val="17"/>
          <w:szCs w:val="17"/>
        </w:rPr>
        <w:t>[Footnote continued on next page]</w:t>
      </w:r>
    </w:p>
  </w:footnote>
  <w:footnote w:id="2">
    <w:p w14:paraId="7EBF8A73" w14:textId="0502660E" w:rsidR="0056607C" w:rsidRDefault="0056607C" w:rsidP="0056607C">
      <w:pPr>
        <w:pStyle w:val="FootnoteText"/>
        <w:spacing w:before="2"/>
      </w:pPr>
      <w:r>
        <w:rPr>
          <w:rStyle w:val="FootnoteReference"/>
        </w:rPr>
        <w:footnoteRef/>
      </w:r>
      <w:r w:rsidR="00313FBF">
        <w:t xml:space="preserve"> </w:t>
      </w:r>
      <w:r>
        <w:t>Such as dance, works of mas, plays, ceremonies, rituals, rituals in sacred places and peregrinations, games and traditional sports/sports and traditional games, puppet performances, and other performa</w:t>
      </w:r>
      <w:r w:rsidR="00313FBF">
        <w:t>nces, whether fixed or unfixed.</w:t>
      </w:r>
      <w:r>
        <w:t xml:space="preserve"> </w:t>
      </w:r>
    </w:p>
  </w:footnote>
  <w:footnote w:id="3">
    <w:p w14:paraId="152F69AC" w14:textId="52266FAB" w:rsidR="0056607C" w:rsidRDefault="0056607C" w:rsidP="0056607C">
      <w:pPr>
        <w:pStyle w:val="FootnoteText"/>
        <w:spacing w:before="2"/>
      </w:pPr>
      <w:r>
        <w:rPr>
          <w:rStyle w:val="FootnoteReference"/>
        </w:rPr>
        <w:footnoteRef/>
      </w:r>
      <w:r w:rsidR="00313FBF">
        <w:t xml:space="preserve"> </w:t>
      </w:r>
      <w:r>
        <w:t>Such as material expressions of art, handicrafts, ceremonial masks or dress, handmade carpets, architecture, and tangible spir</w:t>
      </w:r>
      <w:r w:rsidR="00313FBF">
        <w:t>itual forms, and sacred places.</w:t>
      </w:r>
      <w:r>
        <w:t xml:space="preserve"> </w:t>
      </w:r>
    </w:p>
  </w:footnote>
  <w:footnote w:id="4">
    <w:p w14:paraId="56F5A3C1" w14:textId="67076280" w:rsidR="0056607C" w:rsidRDefault="0056607C" w:rsidP="0056607C">
      <w:pPr>
        <w:pStyle w:val="FootnoteText"/>
        <w:spacing w:before="2"/>
      </w:pPr>
      <w:r>
        <w:rPr>
          <w:rStyle w:val="FootnoteReference"/>
        </w:rPr>
        <w:footnoteRef/>
      </w:r>
      <w:r w:rsidR="00313FBF">
        <w:t xml:space="preserve"> </w:t>
      </w:r>
      <w:r>
        <w:t>Such as songs, rhythms, and instrumental music, the songs which</w:t>
      </w:r>
      <w:r w:rsidR="00313FBF">
        <w:t xml:space="preserve"> are the expression of rituals.</w:t>
      </w:r>
      <w:r>
        <w:t xml:space="preserve"> </w:t>
      </w:r>
    </w:p>
  </w:footnote>
  <w:footnote w:id="5">
    <w:p w14:paraId="28980CC4" w14:textId="0FBC736F" w:rsidR="0056607C" w:rsidRDefault="0056607C" w:rsidP="0056607C">
      <w:pPr>
        <w:pStyle w:val="FootnoteText"/>
        <w:spacing w:before="2"/>
      </w:pPr>
      <w:r>
        <w:rPr>
          <w:rStyle w:val="FootnoteReference"/>
        </w:rPr>
        <w:footnoteRef/>
      </w:r>
      <w:r w:rsidR="00313FBF">
        <w:t xml:space="preserve"> </w:t>
      </w:r>
      <w:r>
        <w:t xml:space="preserve">Such as stories, epics, legends, popular stories, poetry, riddles and other narratives; </w:t>
      </w:r>
      <w:r w:rsidR="00BD16F8">
        <w:t xml:space="preserve"> </w:t>
      </w:r>
      <w:bookmarkStart w:id="5" w:name="_GoBack"/>
      <w:bookmarkEnd w:id="5"/>
      <w:r>
        <w:t>wo</w:t>
      </w:r>
      <w:r w:rsidR="00313FBF">
        <w:t>rds, signs, names and symbols.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AC97" w14:textId="77777777" w:rsidR="00EC4E49" w:rsidRPr="00750AD4" w:rsidRDefault="000D4BD5" w:rsidP="00477D6B">
    <w:pPr>
      <w:jc w:val="right"/>
      <w:rPr>
        <w:lang w:val="fr-CH"/>
      </w:rPr>
    </w:pPr>
    <w:bookmarkStart w:id="6" w:name="Code2"/>
    <w:bookmarkEnd w:id="6"/>
    <w:r w:rsidRPr="00750AD4">
      <w:rPr>
        <w:lang w:val="fr-CH"/>
      </w:rPr>
      <w:t>W</w:t>
    </w:r>
    <w:r w:rsidR="007C48E8">
      <w:rPr>
        <w:lang w:val="fr-CH"/>
      </w:rPr>
      <w:t>IPO/EXP/IPTK/GE/19</w:t>
    </w:r>
    <w:r w:rsidR="00610789" w:rsidRPr="00750AD4">
      <w:rPr>
        <w:lang w:val="fr-CH"/>
      </w:rPr>
      <w:t>/2</w:t>
    </w:r>
  </w:p>
  <w:p w14:paraId="301BE683" w14:textId="61C9E38B" w:rsidR="00EC4E49" w:rsidRPr="00750AD4" w:rsidRDefault="00EC4E49" w:rsidP="00477D6B">
    <w:pPr>
      <w:jc w:val="right"/>
      <w:rPr>
        <w:lang w:val="fr-CH"/>
      </w:rPr>
    </w:pPr>
    <w:r w:rsidRPr="00750AD4">
      <w:rPr>
        <w:lang w:val="fr-CH"/>
      </w:rPr>
      <w:t xml:space="preserve">page </w:t>
    </w:r>
    <w:r>
      <w:fldChar w:fldCharType="begin"/>
    </w:r>
    <w:r w:rsidRPr="00750AD4">
      <w:rPr>
        <w:lang w:val="fr-CH"/>
      </w:rPr>
      <w:instrText xml:space="preserve"> PAGE  \* MERGEFORMAT </w:instrText>
    </w:r>
    <w:r>
      <w:fldChar w:fldCharType="separate"/>
    </w:r>
    <w:r w:rsidR="00BD16F8">
      <w:rPr>
        <w:noProof/>
        <w:lang w:val="fr-CH"/>
      </w:rPr>
      <w:t>2</w:t>
    </w:r>
    <w:r>
      <w:fldChar w:fldCharType="end"/>
    </w:r>
  </w:p>
  <w:p w14:paraId="3966F845" w14:textId="77777777" w:rsidR="00EC4E49" w:rsidRPr="00750AD4" w:rsidRDefault="00EC4E49" w:rsidP="00477D6B">
    <w:pPr>
      <w:jc w:val="right"/>
      <w:rPr>
        <w:lang w:val="fr-CH"/>
      </w:rPr>
    </w:pPr>
  </w:p>
  <w:p w14:paraId="3E4F5040" w14:textId="77777777" w:rsidR="008A134B" w:rsidRPr="00750AD4" w:rsidRDefault="008A134B"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0F0E9C"/>
    <w:multiLevelType w:val="hybridMultilevel"/>
    <w:tmpl w:val="34F4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430170"/>
    <w:multiLevelType w:val="hybridMultilevel"/>
    <w:tmpl w:val="CB68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044BF"/>
    <w:multiLevelType w:val="hybridMultilevel"/>
    <w:tmpl w:val="B59A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57071B"/>
    <w:multiLevelType w:val="hybridMultilevel"/>
    <w:tmpl w:val="B2F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404D3"/>
    <w:multiLevelType w:val="hybridMultilevel"/>
    <w:tmpl w:val="79B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7C86"/>
    <w:multiLevelType w:val="hybridMultilevel"/>
    <w:tmpl w:val="E46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730247"/>
    <w:multiLevelType w:val="hybridMultilevel"/>
    <w:tmpl w:val="10AE60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4410B"/>
    <w:multiLevelType w:val="hybridMultilevel"/>
    <w:tmpl w:val="1840C9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0E0D81"/>
    <w:multiLevelType w:val="hybridMultilevel"/>
    <w:tmpl w:val="6B4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A39B1"/>
    <w:multiLevelType w:val="hybridMultilevel"/>
    <w:tmpl w:val="E32C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235D38"/>
    <w:multiLevelType w:val="hybridMultilevel"/>
    <w:tmpl w:val="E26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3404D"/>
    <w:multiLevelType w:val="hybridMultilevel"/>
    <w:tmpl w:val="F73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127EF"/>
    <w:multiLevelType w:val="hybridMultilevel"/>
    <w:tmpl w:val="828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32C52"/>
    <w:multiLevelType w:val="hybridMultilevel"/>
    <w:tmpl w:val="23C8386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6EC25B6"/>
    <w:multiLevelType w:val="hybridMultilevel"/>
    <w:tmpl w:val="D74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A5D86"/>
    <w:multiLevelType w:val="hybridMultilevel"/>
    <w:tmpl w:val="1E389E36"/>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666A3"/>
    <w:multiLevelType w:val="hybridMultilevel"/>
    <w:tmpl w:val="BE9048EA"/>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04EAA"/>
    <w:multiLevelType w:val="hybridMultilevel"/>
    <w:tmpl w:val="F49A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0"/>
  </w:num>
  <w:num w:numId="4">
    <w:abstractNumId w:val="23"/>
  </w:num>
  <w:num w:numId="5">
    <w:abstractNumId w:val="2"/>
  </w:num>
  <w:num w:numId="6">
    <w:abstractNumId w:val="7"/>
  </w:num>
  <w:num w:numId="7">
    <w:abstractNumId w:val="19"/>
  </w:num>
  <w:num w:numId="8">
    <w:abstractNumId w:val="13"/>
  </w:num>
  <w:num w:numId="9">
    <w:abstractNumId w:val="15"/>
  </w:num>
  <w:num w:numId="10">
    <w:abstractNumId w:val="16"/>
  </w:num>
  <w:num w:numId="11">
    <w:abstractNumId w:val="11"/>
  </w:num>
  <w:num w:numId="12">
    <w:abstractNumId w:val="21"/>
  </w:num>
  <w:num w:numId="13">
    <w:abstractNumId w:val="24"/>
  </w:num>
  <w:num w:numId="14">
    <w:abstractNumId w:val="25"/>
  </w:num>
  <w:num w:numId="15">
    <w:abstractNumId w:val="30"/>
  </w:num>
  <w:num w:numId="16">
    <w:abstractNumId w:val="10"/>
  </w:num>
  <w:num w:numId="17">
    <w:abstractNumId w:val="26"/>
  </w:num>
  <w:num w:numId="18">
    <w:abstractNumId w:val="14"/>
  </w:num>
  <w:num w:numId="19">
    <w:abstractNumId w:val="5"/>
  </w:num>
  <w:num w:numId="20">
    <w:abstractNumId w:val="9"/>
  </w:num>
  <w:num w:numId="21">
    <w:abstractNumId w:val="3"/>
  </w:num>
  <w:num w:numId="22">
    <w:abstractNumId w:val="8"/>
  </w:num>
  <w:num w:numId="23">
    <w:abstractNumId w:val="28"/>
  </w:num>
  <w:num w:numId="24">
    <w:abstractNumId w:val="17"/>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1"/>
  </w:num>
  <w:num w:numId="27">
    <w:abstractNumId w:val="22"/>
  </w:num>
  <w:num w:numId="28">
    <w:abstractNumId w:val="4"/>
  </w:num>
  <w:num w:numId="29">
    <w:abstractNumId w:val="20"/>
  </w:num>
  <w:num w:numId="30">
    <w:abstractNumId w:val="29"/>
  </w:num>
  <w:num w:numId="31">
    <w:abstractNumId w:val="12"/>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D5"/>
    <w:rsid w:val="00003BD6"/>
    <w:rsid w:val="00012180"/>
    <w:rsid w:val="0001278A"/>
    <w:rsid w:val="00024041"/>
    <w:rsid w:val="00031920"/>
    <w:rsid w:val="00033185"/>
    <w:rsid w:val="00036321"/>
    <w:rsid w:val="000411A6"/>
    <w:rsid w:val="00043CAA"/>
    <w:rsid w:val="000443E8"/>
    <w:rsid w:val="00075432"/>
    <w:rsid w:val="000807DB"/>
    <w:rsid w:val="000831C9"/>
    <w:rsid w:val="00084F25"/>
    <w:rsid w:val="00092261"/>
    <w:rsid w:val="000968ED"/>
    <w:rsid w:val="000A3302"/>
    <w:rsid w:val="000A6A46"/>
    <w:rsid w:val="000B290B"/>
    <w:rsid w:val="000D4BD5"/>
    <w:rsid w:val="000E2B93"/>
    <w:rsid w:val="000E69A5"/>
    <w:rsid w:val="000F2E91"/>
    <w:rsid w:val="000F33DB"/>
    <w:rsid w:val="000F5E56"/>
    <w:rsid w:val="001362EE"/>
    <w:rsid w:val="00150D56"/>
    <w:rsid w:val="001647D5"/>
    <w:rsid w:val="00166A92"/>
    <w:rsid w:val="00181199"/>
    <w:rsid w:val="0018292F"/>
    <w:rsid w:val="001832A6"/>
    <w:rsid w:val="00187B07"/>
    <w:rsid w:val="00187F6C"/>
    <w:rsid w:val="00191D11"/>
    <w:rsid w:val="001A233E"/>
    <w:rsid w:val="001D088E"/>
    <w:rsid w:val="001F084E"/>
    <w:rsid w:val="0021217E"/>
    <w:rsid w:val="00227C6C"/>
    <w:rsid w:val="00233C45"/>
    <w:rsid w:val="00256D87"/>
    <w:rsid w:val="002623D6"/>
    <w:rsid w:val="002634C4"/>
    <w:rsid w:val="00275B90"/>
    <w:rsid w:val="00276A9A"/>
    <w:rsid w:val="002921B8"/>
    <w:rsid w:val="002928D3"/>
    <w:rsid w:val="0029357E"/>
    <w:rsid w:val="002965AA"/>
    <w:rsid w:val="002B6D96"/>
    <w:rsid w:val="002C20A7"/>
    <w:rsid w:val="002D4CCC"/>
    <w:rsid w:val="002E3707"/>
    <w:rsid w:val="002F1FE6"/>
    <w:rsid w:val="002F4E68"/>
    <w:rsid w:val="002F7062"/>
    <w:rsid w:val="00303705"/>
    <w:rsid w:val="00312F7F"/>
    <w:rsid w:val="00313FBF"/>
    <w:rsid w:val="00321FF0"/>
    <w:rsid w:val="003321D2"/>
    <w:rsid w:val="00340AE9"/>
    <w:rsid w:val="00351AC7"/>
    <w:rsid w:val="00361450"/>
    <w:rsid w:val="003673CF"/>
    <w:rsid w:val="0037092D"/>
    <w:rsid w:val="0037653F"/>
    <w:rsid w:val="003845C1"/>
    <w:rsid w:val="003A1EF3"/>
    <w:rsid w:val="003A6F89"/>
    <w:rsid w:val="003B1152"/>
    <w:rsid w:val="003B27D2"/>
    <w:rsid w:val="003B38C1"/>
    <w:rsid w:val="003C397C"/>
    <w:rsid w:val="003D12FC"/>
    <w:rsid w:val="003E1F8F"/>
    <w:rsid w:val="003E3795"/>
    <w:rsid w:val="003F5634"/>
    <w:rsid w:val="004018A1"/>
    <w:rsid w:val="0040282C"/>
    <w:rsid w:val="00403511"/>
    <w:rsid w:val="00412E3A"/>
    <w:rsid w:val="00415138"/>
    <w:rsid w:val="004151EA"/>
    <w:rsid w:val="00415F38"/>
    <w:rsid w:val="00423E3E"/>
    <w:rsid w:val="00427AF4"/>
    <w:rsid w:val="0043177A"/>
    <w:rsid w:val="0043778A"/>
    <w:rsid w:val="00441DB4"/>
    <w:rsid w:val="004426F1"/>
    <w:rsid w:val="0046251E"/>
    <w:rsid w:val="004647DA"/>
    <w:rsid w:val="00474062"/>
    <w:rsid w:val="00477D6B"/>
    <w:rsid w:val="004B350D"/>
    <w:rsid w:val="004B3998"/>
    <w:rsid w:val="004C073A"/>
    <w:rsid w:val="004D2A4A"/>
    <w:rsid w:val="004F668B"/>
    <w:rsid w:val="005019FF"/>
    <w:rsid w:val="00516C2D"/>
    <w:rsid w:val="00517798"/>
    <w:rsid w:val="00520061"/>
    <w:rsid w:val="00521E04"/>
    <w:rsid w:val="00527CDC"/>
    <w:rsid w:val="00530376"/>
    <w:rsid w:val="0053057A"/>
    <w:rsid w:val="005428E7"/>
    <w:rsid w:val="00554401"/>
    <w:rsid w:val="00560A29"/>
    <w:rsid w:val="00562D1E"/>
    <w:rsid w:val="0056607C"/>
    <w:rsid w:val="00572A09"/>
    <w:rsid w:val="005C0A74"/>
    <w:rsid w:val="005C4023"/>
    <w:rsid w:val="005C6649"/>
    <w:rsid w:val="005C7230"/>
    <w:rsid w:val="005E07C0"/>
    <w:rsid w:val="005E4EC6"/>
    <w:rsid w:val="00601A98"/>
    <w:rsid w:val="0060323A"/>
    <w:rsid w:val="00604D1B"/>
    <w:rsid w:val="00605827"/>
    <w:rsid w:val="006068B5"/>
    <w:rsid w:val="00610789"/>
    <w:rsid w:val="00616520"/>
    <w:rsid w:val="0062027D"/>
    <w:rsid w:val="00623AE8"/>
    <w:rsid w:val="00646050"/>
    <w:rsid w:val="00654696"/>
    <w:rsid w:val="006713CA"/>
    <w:rsid w:val="00676C5C"/>
    <w:rsid w:val="00683816"/>
    <w:rsid w:val="00685F65"/>
    <w:rsid w:val="006D3C9F"/>
    <w:rsid w:val="006E279F"/>
    <w:rsid w:val="006F4E56"/>
    <w:rsid w:val="00704117"/>
    <w:rsid w:val="007043EE"/>
    <w:rsid w:val="007111E2"/>
    <w:rsid w:val="007301FA"/>
    <w:rsid w:val="007322A0"/>
    <w:rsid w:val="007435C7"/>
    <w:rsid w:val="00750AD4"/>
    <w:rsid w:val="00774DAD"/>
    <w:rsid w:val="007767BE"/>
    <w:rsid w:val="0079184B"/>
    <w:rsid w:val="007A1575"/>
    <w:rsid w:val="007B2BB5"/>
    <w:rsid w:val="007B44F7"/>
    <w:rsid w:val="007C17CA"/>
    <w:rsid w:val="007C4728"/>
    <w:rsid w:val="007C48E8"/>
    <w:rsid w:val="007D1613"/>
    <w:rsid w:val="007E46A9"/>
    <w:rsid w:val="007E4C0E"/>
    <w:rsid w:val="007E71EB"/>
    <w:rsid w:val="00816717"/>
    <w:rsid w:val="00816953"/>
    <w:rsid w:val="00830727"/>
    <w:rsid w:val="00834069"/>
    <w:rsid w:val="00844C5C"/>
    <w:rsid w:val="00846707"/>
    <w:rsid w:val="008467DB"/>
    <w:rsid w:val="00847939"/>
    <w:rsid w:val="0085040B"/>
    <w:rsid w:val="00853630"/>
    <w:rsid w:val="00856425"/>
    <w:rsid w:val="00870735"/>
    <w:rsid w:val="00881144"/>
    <w:rsid w:val="008864E4"/>
    <w:rsid w:val="00891976"/>
    <w:rsid w:val="008A134B"/>
    <w:rsid w:val="008A58D1"/>
    <w:rsid w:val="008B2CC1"/>
    <w:rsid w:val="008B4576"/>
    <w:rsid w:val="008B60B2"/>
    <w:rsid w:val="008B7F57"/>
    <w:rsid w:val="008C10CF"/>
    <w:rsid w:val="008D0D4B"/>
    <w:rsid w:val="008D4377"/>
    <w:rsid w:val="008F0024"/>
    <w:rsid w:val="008F6A04"/>
    <w:rsid w:val="0090731E"/>
    <w:rsid w:val="009153FF"/>
    <w:rsid w:val="00916EE2"/>
    <w:rsid w:val="0092213D"/>
    <w:rsid w:val="00950A4C"/>
    <w:rsid w:val="00951AC5"/>
    <w:rsid w:val="00966A22"/>
    <w:rsid w:val="0096722F"/>
    <w:rsid w:val="00967756"/>
    <w:rsid w:val="00980286"/>
    <w:rsid w:val="00980803"/>
    <w:rsid w:val="00980843"/>
    <w:rsid w:val="0099414F"/>
    <w:rsid w:val="009A0B04"/>
    <w:rsid w:val="009B07AD"/>
    <w:rsid w:val="009C2752"/>
    <w:rsid w:val="009C3880"/>
    <w:rsid w:val="009C3F61"/>
    <w:rsid w:val="009E2791"/>
    <w:rsid w:val="009E3F6F"/>
    <w:rsid w:val="009F499F"/>
    <w:rsid w:val="009F7789"/>
    <w:rsid w:val="00A05DB8"/>
    <w:rsid w:val="00A22486"/>
    <w:rsid w:val="00A2390D"/>
    <w:rsid w:val="00A25932"/>
    <w:rsid w:val="00A361CE"/>
    <w:rsid w:val="00A37342"/>
    <w:rsid w:val="00A42DAF"/>
    <w:rsid w:val="00A45BD8"/>
    <w:rsid w:val="00A67FE6"/>
    <w:rsid w:val="00A73D7E"/>
    <w:rsid w:val="00A74AE9"/>
    <w:rsid w:val="00A869B7"/>
    <w:rsid w:val="00AC205C"/>
    <w:rsid w:val="00AC7B78"/>
    <w:rsid w:val="00AD0DB2"/>
    <w:rsid w:val="00AE5D78"/>
    <w:rsid w:val="00AF0A6B"/>
    <w:rsid w:val="00AF1ED6"/>
    <w:rsid w:val="00B05A69"/>
    <w:rsid w:val="00B112D7"/>
    <w:rsid w:val="00B314B5"/>
    <w:rsid w:val="00B727F0"/>
    <w:rsid w:val="00B77005"/>
    <w:rsid w:val="00B77DA3"/>
    <w:rsid w:val="00B9734B"/>
    <w:rsid w:val="00BA16E1"/>
    <w:rsid w:val="00BA30E2"/>
    <w:rsid w:val="00BB11BB"/>
    <w:rsid w:val="00BC1B79"/>
    <w:rsid w:val="00BC4A9E"/>
    <w:rsid w:val="00BC5E16"/>
    <w:rsid w:val="00BD16F8"/>
    <w:rsid w:val="00BD6FAC"/>
    <w:rsid w:val="00BE1072"/>
    <w:rsid w:val="00BE6183"/>
    <w:rsid w:val="00BF6A83"/>
    <w:rsid w:val="00C11090"/>
    <w:rsid w:val="00C11BFE"/>
    <w:rsid w:val="00C23E36"/>
    <w:rsid w:val="00C278C5"/>
    <w:rsid w:val="00C40E7F"/>
    <w:rsid w:val="00C42861"/>
    <w:rsid w:val="00C5068F"/>
    <w:rsid w:val="00C57CEF"/>
    <w:rsid w:val="00C605A3"/>
    <w:rsid w:val="00C7190A"/>
    <w:rsid w:val="00C7365D"/>
    <w:rsid w:val="00C81E70"/>
    <w:rsid w:val="00C83170"/>
    <w:rsid w:val="00C838AA"/>
    <w:rsid w:val="00C86D74"/>
    <w:rsid w:val="00C94728"/>
    <w:rsid w:val="00C9666C"/>
    <w:rsid w:val="00CC0A33"/>
    <w:rsid w:val="00CC0C14"/>
    <w:rsid w:val="00CC5FF5"/>
    <w:rsid w:val="00CD04F1"/>
    <w:rsid w:val="00CE1AD8"/>
    <w:rsid w:val="00CE66EF"/>
    <w:rsid w:val="00CF1E16"/>
    <w:rsid w:val="00D00F50"/>
    <w:rsid w:val="00D05554"/>
    <w:rsid w:val="00D1181D"/>
    <w:rsid w:val="00D32AD3"/>
    <w:rsid w:val="00D33CEC"/>
    <w:rsid w:val="00D34743"/>
    <w:rsid w:val="00D4330B"/>
    <w:rsid w:val="00D45252"/>
    <w:rsid w:val="00D53171"/>
    <w:rsid w:val="00D61185"/>
    <w:rsid w:val="00D66B9B"/>
    <w:rsid w:val="00D715AE"/>
    <w:rsid w:val="00D71B4D"/>
    <w:rsid w:val="00D80FF7"/>
    <w:rsid w:val="00D93D55"/>
    <w:rsid w:val="00DC5D23"/>
    <w:rsid w:val="00DE079F"/>
    <w:rsid w:val="00DE1A0A"/>
    <w:rsid w:val="00DE45DC"/>
    <w:rsid w:val="00DE4DCB"/>
    <w:rsid w:val="00DF7C36"/>
    <w:rsid w:val="00E02CE2"/>
    <w:rsid w:val="00E1184A"/>
    <w:rsid w:val="00E15015"/>
    <w:rsid w:val="00E163E8"/>
    <w:rsid w:val="00E16C10"/>
    <w:rsid w:val="00E21EA7"/>
    <w:rsid w:val="00E31B7A"/>
    <w:rsid w:val="00E335FE"/>
    <w:rsid w:val="00E408B2"/>
    <w:rsid w:val="00E50C3E"/>
    <w:rsid w:val="00E53211"/>
    <w:rsid w:val="00E57D3D"/>
    <w:rsid w:val="00E65079"/>
    <w:rsid w:val="00E723B6"/>
    <w:rsid w:val="00E759FB"/>
    <w:rsid w:val="00E75D08"/>
    <w:rsid w:val="00E77050"/>
    <w:rsid w:val="00E778A2"/>
    <w:rsid w:val="00E80817"/>
    <w:rsid w:val="00E82D9F"/>
    <w:rsid w:val="00E82F37"/>
    <w:rsid w:val="00E84D66"/>
    <w:rsid w:val="00E94608"/>
    <w:rsid w:val="00EA1198"/>
    <w:rsid w:val="00EA1441"/>
    <w:rsid w:val="00EA751D"/>
    <w:rsid w:val="00EA7D6E"/>
    <w:rsid w:val="00EC4815"/>
    <w:rsid w:val="00EC4E49"/>
    <w:rsid w:val="00EC7882"/>
    <w:rsid w:val="00ED77FB"/>
    <w:rsid w:val="00EE45FA"/>
    <w:rsid w:val="00EE4A26"/>
    <w:rsid w:val="00EF1964"/>
    <w:rsid w:val="00EF442A"/>
    <w:rsid w:val="00F0685A"/>
    <w:rsid w:val="00F23CBA"/>
    <w:rsid w:val="00F54D37"/>
    <w:rsid w:val="00F66152"/>
    <w:rsid w:val="00F83C2E"/>
    <w:rsid w:val="00FA6B85"/>
    <w:rsid w:val="00FC01F4"/>
    <w:rsid w:val="00FC4540"/>
    <w:rsid w:val="00FE22FF"/>
    <w:rsid w:val="00FE60B6"/>
    <w:rsid w:val="00FF38A8"/>
    <w:rsid w:val="00FF529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F69E6A"/>
  <w15:docId w15:val="{4F2F2A6B-A54B-417B-B708-119D663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7939"/>
    <w:rPr>
      <w:rFonts w:ascii="Segoe UI" w:hAnsi="Segoe UI" w:cs="Segoe UI"/>
      <w:sz w:val="18"/>
      <w:szCs w:val="18"/>
    </w:rPr>
  </w:style>
  <w:style w:type="character" w:customStyle="1" w:styleId="BalloonTextChar">
    <w:name w:val="Balloon Text Char"/>
    <w:basedOn w:val="DefaultParagraphFont"/>
    <w:link w:val="BalloonText"/>
    <w:semiHidden/>
    <w:rsid w:val="00847939"/>
    <w:rPr>
      <w:rFonts w:ascii="Segoe UI" w:eastAsia="SimSun" w:hAnsi="Segoe UI" w:cs="Segoe UI"/>
      <w:sz w:val="18"/>
      <w:szCs w:val="18"/>
      <w:lang w:val="en-US" w:eastAsia="zh-CN"/>
    </w:rPr>
  </w:style>
  <w:style w:type="character" w:styleId="Hyperlink">
    <w:name w:val="Hyperlink"/>
    <w:basedOn w:val="DefaultParagraphFont"/>
    <w:unhideWhenUsed/>
    <w:rsid w:val="00E77050"/>
    <w:rPr>
      <w:color w:val="0000FF" w:themeColor="hyperlink"/>
      <w:u w:val="single"/>
    </w:rPr>
  </w:style>
  <w:style w:type="character" w:customStyle="1" w:styleId="CommentTextChar">
    <w:name w:val="Comment Text Char"/>
    <w:basedOn w:val="DefaultParagraphFont"/>
    <w:link w:val="CommentText"/>
    <w:uiPriority w:val="99"/>
    <w:semiHidden/>
    <w:rsid w:val="0001278A"/>
    <w:rPr>
      <w:rFonts w:ascii="Arial" w:eastAsia="SimSun" w:hAnsi="Arial" w:cs="Arial"/>
      <w:sz w:val="18"/>
      <w:lang w:val="en-US" w:eastAsia="zh-CN"/>
    </w:rPr>
  </w:style>
  <w:style w:type="character" w:styleId="CommentReference">
    <w:name w:val="annotation reference"/>
    <w:basedOn w:val="DefaultParagraphFont"/>
    <w:semiHidden/>
    <w:unhideWhenUsed/>
    <w:rsid w:val="007111E2"/>
    <w:rPr>
      <w:sz w:val="16"/>
      <w:szCs w:val="16"/>
    </w:rPr>
  </w:style>
  <w:style w:type="paragraph" w:styleId="CommentSubject">
    <w:name w:val="annotation subject"/>
    <w:basedOn w:val="CommentText"/>
    <w:next w:val="CommentText"/>
    <w:link w:val="CommentSubjectChar"/>
    <w:semiHidden/>
    <w:unhideWhenUsed/>
    <w:rsid w:val="007111E2"/>
    <w:rPr>
      <w:b/>
      <w:bCs/>
      <w:sz w:val="20"/>
    </w:rPr>
  </w:style>
  <w:style w:type="character" w:customStyle="1" w:styleId="CommentSubjectChar">
    <w:name w:val="Comment Subject Char"/>
    <w:basedOn w:val="CommentTextChar"/>
    <w:link w:val="CommentSubject"/>
    <w:semiHidden/>
    <w:rsid w:val="007111E2"/>
    <w:rPr>
      <w:rFonts w:ascii="Arial" w:eastAsia="SimSun" w:hAnsi="Arial" w:cs="Arial"/>
      <w:b/>
      <w:bCs/>
      <w:sz w:val="18"/>
      <w:lang w:val="en-US" w:eastAsia="zh-CN"/>
    </w:rPr>
  </w:style>
  <w:style w:type="paragraph" w:styleId="Revision">
    <w:name w:val="Revision"/>
    <w:hidden/>
    <w:uiPriority w:val="99"/>
    <w:semiHidden/>
    <w:rsid w:val="0062027D"/>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685F65"/>
    <w:rPr>
      <w:vertAlign w:val="superscript"/>
    </w:rPr>
  </w:style>
  <w:style w:type="character" w:customStyle="1" w:styleId="FootnoteTextChar">
    <w:name w:val="Footnote Text Char"/>
    <w:basedOn w:val="DefaultParagraphFont"/>
    <w:link w:val="FootnoteText"/>
    <w:rsid w:val="00227C6C"/>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9060">
      <w:bodyDiv w:val="1"/>
      <w:marLeft w:val="0"/>
      <w:marRight w:val="0"/>
      <w:marTop w:val="0"/>
      <w:marBottom w:val="0"/>
      <w:divBdr>
        <w:top w:val="none" w:sz="0" w:space="0" w:color="auto"/>
        <w:left w:val="none" w:sz="0" w:space="0" w:color="auto"/>
        <w:bottom w:val="none" w:sz="0" w:space="0" w:color="auto"/>
        <w:right w:val="none" w:sz="0" w:space="0" w:color="auto"/>
      </w:divBdr>
    </w:div>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 w:id="1955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1471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1492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26450" TargetMode="External"/><Relationship Id="rId5" Type="http://schemas.openxmlformats.org/officeDocument/2006/relationships/webSettings" Target="webSettings.xml"/><Relationship Id="rId15" Type="http://schemas.openxmlformats.org/officeDocument/2006/relationships/hyperlink" Target="https://www.wipo.int/tk/en/resources/tk_experiences.html#4" TargetMode="External"/><Relationship Id="rId10" Type="http://schemas.openxmlformats.org/officeDocument/2006/relationships/hyperlink" Target="https://www.wipo.int/meetings/en/doc_details.jsp?doc_id=426449"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wipo.int/meetings/en/doc_details.jsp?doc_id=429638" TargetMode="External"/><Relationship Id="rId14" Type="http://schemas.openxmlformats.org/officeDocument/2006/relationships/hyperlink" Target="https://www.wipo.int/tk/en/resources/tk_experie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E8E9-6BA0-4E18-8A1B-DC836A66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Goss</dc:creator>
  <cp:lastModifiedBy>MORENO PALESTINI Maria Del Pilar</cp:lastModifiedBy>
  <cp:revision>5</cp:revision>
  <cp:lastPrinted>2019-02-19T08:47:00Z</cp:lastPrinted>
  <dcterms:created xsi:type="dcterms:W3CDTF">2019-03-06T07:11:00Z</dcterms:created>
  <dcterms:modified xsi:type="dcterms:W3CDTF">2019-03-06T13:25:00Z</dcterms:modified>
</cp:coreProperties>
</file>