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37426F"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104.4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633306">
            <w:pPr>
              <w:jc w:val="right"/>
              <w:rPr>
                <w:rFonts w:ascii="Arial Black" w:hAnsi="Arial Black"/>
                <w:caps/>
                <w:sz w:val="15"/>
              </w:rPr>
            </w:pPr>
            <w:bookmarkStart w:id="0" w:name="Code"/>
            <w:bookmarkEnd w:id="0"/>
            <w:r>
              <w:rPr>
                <w:rFonts w:ascii="Arial Black" w:hAnsi="Arial Black"/>
                <w:caps/>
                <w:sz w:val="15"/>
              </w:rPr>
              <w:t>WIPO/GRTKF/IC/</w:t>
            </w:r>
            <w:r w:rsidR="002B50B4">
              <w:rPr>
                <w:rFonts w:ascii="Arial Black" w:hAnsi="Arial Black"/>
                <w:caps/>
                <w:sz w:val="15"/>
              </w:rPr>
              <w:t>30</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1F49E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F49E1">
              <w:rPr>
                <w:rFonts w:ascii="Arial Black" w:hAnsi="Arial Black"/>
                <w:caps/>
                <w:sz w:val="15"/>
              </w:rPr>
              <w:t>March</w:t>
            </w:r>
            <w:r w:rsidR="002B50B4">
              <w:rPr>
                <w:rFonts w:ascii="Arial Black" w:hAnsi="Arial Black"/>
                <w:caps/>
                <w:sz w:val="15"/>
              </w:rPr>
              <w:t xml:space="preserve"> </w:t>
            </w:r>
            <w:r w:rsidR="007B6CB0">
              <w:rPr>
                <w:rFonts w:ascii="Arial Black" w:hAnsi="Arial Black"/>
                <w:caps/>
                <w:sz w:val="15"/>
              </w:rPr>
              <w:t>3</w:t>
            </w:r>
            <w:r w:rsidR="00A63943">
              <w:rPr>
                <w:rFonts w:ascii="Arial Black" w:hAnsi="Arial Black"/>
                <w:caps/>
                <w:sz w:val="15"/>
              </w:rPr>
              <w:t>, 201</w:t>
            </w:r>
            <w:r w:rsidR="00F606D8">
              <w:rPr>
                <w:rFonts w:ascii="Arial Black" w:hAnsi="Arial Black"/>
                <w:caps/>
                <w:sz w:val="15"/>
              </w:rPr>
              <w:t>6</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A63943" w:rsidRPr="00A63943" w:rsidRDefault="002B50B4" w:rsidP="00A63943">
      <w:pPr>
        <w:rPr>
          <w:b/>
          <w:sz w:val="24"/>
          <w:szCs w:val="24"/>
        </w:rPr>
      </w:pPr>
      <w:r>
        <w:rPr>
          <w:b/>
          <w:sz w:val="24"/>
          <w:szCs w:val="24"/>
        </w:rPr>
        <w:t>Thirtieth</w:t>
      </w:r>
      <w:r w:rsidRPr="00A63943">
        <w:rPr>
          <w:b/>
          <w:sz w:val="24"/>
          <w:szCs w:val="24"/>
        </w:rPr>
        <w:t xml:space="preserve"> Session</w:t>
      </w:r>
    </w:p>
    <w:p w:rsidR="008B2CC1" w:rsidRPr="008B2CC1" w:rsidRDefault="00A63943" w:rsidP="00A63943">
      <w:r w:rsidRPr="00A63943">
        <w:rPr>
          <w:b/>
          <w:sz w:val="24"/>
          <w:szCs w:val="24"/>
        </w:rPr>
        <w:t xml:space="preserve">Geneva, </w:t>
      </w:r>
      <w:r w:rsidR="002B50B4">
        <w:rPr>
          <w:b/>
          <w:sz w:val="24"/>
          <w:szCs w:val="24"/>
        </w:rPr>
        <w:t>May 30 to June 3, 2016</w:t>
      </w:r>
    </w:p>
    <w:p w:rsidR="008B2CC1" w:rsidRPr="008B2CC1" w:rsidRDefault="008B2CC1" w:rsidP="00D40928"/>
    <w:p w:rsidR="008B2CC1" w:rsidRPr="008B2CC1" w:rsidRDefault="008B2CC1" w:rsidP="00D40928"/>
    <w:p w:rsidR="008B2CC1" w:rsidRPr="00931A24" w:rsidRDefault="00931A24" w:rsidP="00D40928">
      <w:pPr>
        <w:rPr>
          <w:caps/>
          <w:sz w:val="24"/>
        </w:rPr>
      </w:pPr>
      <w:bookmarkStart w:id="3" w:name="TitleOfDoc"/>
      <w:bookmarkEnd w:id="3"/>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4" w:name="Prepared"/>
      <w:bookmarkEnd w:id="4"/>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lang w:eastAsia="en-US"/>
        </w:rPr>
      </w:pPr>
    </w:p>
    <w:p w:rsidR="00F12D49" w:rsidRPr="00F05DC0" w:rsidRDefault="001329AF" w:rsidP="002247F0">
      <w:pPr>
        <w:contextualSpacing/>
        <w:rPr>
          <w:szCs w:val="22"/>
        </w:rPr>
      </w:pPr>
      <w:r>
        <w:rPr>
          <w:szCs w:val="22"/>
          <w:lang w:eastAsia="en-US"/>
        </w:rPr>
        <w:t>2</w:t>
      </w:r>
      <w:r w:rsidR="00931A24" w:rsidRPr="00F05DC0">
        <w:rPr>
          <w:szCs w:val="22"/>
          <w:lang w:eastAsia="en-US"/>
        </w:rPr>
        <w:t>.</w:t>
      </w:r>
      <w:r w:rsidR="00931A24" w:rsidRPr="00F05DC0">
        <w:rPr>
          <w:szCs w:val="22"/>
          <w:lang w:eastAsia="en-US"/>
        </w:rPr>
        <w:tab/>
      </w:r>
      <w:r w:rsidR="00045C15">
        <w:rPr>
          <w:szCs w:val="22"/>
        </w:rPr>
        <w:t>G</w:t>
      </w:r>
      <w:r w:rsidR="00931A24" w:rsidRPr="00F05DC0">
        <w:rPr>
          <w:szCs w:val="22"/>
        </w:rPr>
        <w:t>iven that some terms contained in the</w:t>
      </w:r>
      <w:r w:rsidR="00045C15">
        <w:rPr>
          <w:szCs w:val="22"/>
        </w:rPr>
        <w:t>se</w:t>
      </w:r>
      <w:r w:rsidR="00931A24" w:rsidRPr="00F05DC0">
        <w:rPr>
          <w:szCs w:val="22"/>
        </w:rPr>
        <w:t xml:space="preserve"> glossaries </w:t>
      </w:r>
      <w:r w:rsidR="00045C15">
        <w:rPr>
          <w:szCs w:val="22"/>
        </w:rPr>
        <w:t>were</w:t>
      </w:r>
      <w:r w:rsidR="00045C15" w:rsidRPr="00F05DC0">
        <w:rPr>
          <w:szCs w:val="22"/>
        </w:rPr>
        <w:t xml:space="preserve"> </w:t>
      </w:r>
      <w:r w:rsidR="00931A24" w:rsidRPr="00F05DC0">
        <w:rPr>
          <w:szCs w:val="22"/>
        </w:rPr>
        <w:t>related to all three themes, the Secretariat consolidated the three glossaries into one</w:t>
      </w:r>
      <w:r w:rsidR="00045C15">
        <w:rPr>
          <w:szCs w:val="22"/>
        </w:rPr>
        <w:t xml:space="preserve"> and made it available for the IGC sessions as an information document. </w:t>
      </w:r>
      <w:r w:rsidR="00AF72C7">
        <w:rPr>
          <w:szCs w:val="22"/>
        </w:rPr>
        <w:t xml:space="preserve"> </w:t>
      </w:r>
      <w:r w:rsidR="00143933">
        <w:rPr>
          <w:rFonts w:hint="eastAsia"/>
          <w:szCs w:val="22"/>
        </w:rPr>
        <w:t xml:space="preserve">The </w:t>
      </w:r>
      <w:r w:rsidR="00045C15">
        <w:rPr>
          <w:szCs w:val="22"/>
        </w:rPr>
        <w:t xml:space="preserve">consolidated </w:t>
      </w:r>
      <w:r w:rsidR="00143933">
        <w:rPr>
          <w:rFonts w:hint="eastAsia"/>
          <w:szCs w:val="22"/>
        </w:rPr>
        <w:t xml:space="preserve">glossary </w:t>
      </w:r>
      <w:r w:rsidR="00143933" w:rsidRPr="00F05DC0">
        <w:rPr>
          <w:szCs w:val="22"/>
          <w:lang w:eastAsia="en-US"/>
        </w:rPr>
        <w:t>is contained in the Annex to the present document</w:t>
      </w:r>
      <w:r w:rsidR="00143933">
        <w:rPr>
          <w:szCs w:val="22"/>
          <w:lang w:eastAsia="en-US"/>
        </w:rPr>
        <w:t>.</w:t>
      </w:r>
    </w:p>
    <w:p w:rsidR="00931A24" w:rsidRPr="00F05DC0" w:rsidRDefault="00931A24" w:rsidP="00931A24">
      <w:pPr>
        <w:rPr>
          <w:szCs w:val="22"/>
          <w:lang w:eastAsia="en-US"/>
        </w:rPr>
      </w:pPr>
    </w:p>
    <w:p w:rsidR="00931A24" w:rsidRPr="00F05DC0" w:rsidRDefault="001329AF" w:rsidP="00931A24">
      <w:pPr>
        <w:rPr>
          <w:szCs w:val="22"/>
        </w:rPr>
      </w:pPr>
      <w:r>
        <w:rPr>
          <w:szCs w:val="22"/>
          <w:lang w:eastAsia="en-US"/>
        </w:rPr>
        <w:t>3</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w:t>
      </w:r>
      <w:r w:rsidR="00931A24" w:rsidRPr="00F05DC0">
        <w:rPr>
          <w:szCs w:val="22"/>
        </w:rPr>
        <w:lastRenderedPageBreak/>
        <w:t xml:space="preserve">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1329AF" w:rsidP="00F85B40">
      <w:pPr>
        <w:contextualSpacing/>
        <w:rPr>
          <w:szCs w:val="22"/>
        </w:rPr>
      </w:pPr>
      <w:r>
        <w:rPr>
          <w:szCs w:val="22"/>
        </w:rPr>
        <w:t>4</w:t>
      </w:r>
      <w:r w:rsidR="00931A24" w:rsidRPr="00F05DC0">
        <w:rPr>
          <w:szCs w:val="22"/>
        </w:rPr>
        <w:t>.</w:t>
      </w:r>
      <w:r w:rsidR="00931A24" w:rsidRPr="00F05DC0">
        <w:rPr>
          <w:szCs w:val="22"/>
        </w:rPr>
        <w:tab/>
        <w:t xml:space="preserve">The selection of key terms is based on the terms used most frequently in the draft </w:t>
      </w:r>
      <w:r w:rsidR="007B6CB0">
        <w:rPr>
          <w:szCs w:val="22"/>
        </w:rPr>
        <w:t>IGC texts</w:t>
      </w:r>
      <w:r w:rsidR="00931A24" w:rsidRPr="00F05DC0">
        <w:rPr>
          <w:szCs w:val="22"/>
        </w:rPr>
        <w:t xml:space="preserve">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the selection of terms or their proposed definitions are necessarily agreed upon by participants in the IGC.  This is an information document and the IGC is </w:t>
      </w:r>
      <w:bookmarkStart w:id="5" w:name="_GoBack"/>
      <w:bookmarkEnd w:id="5"/>
      <w:r w:rsidR="00931A24" w:rsidRPr="00F05DC0">
        <w:rPr>
          <w:szCs w:val="22"/>
        </w:rPr>
        <w:t xml:space="preserve">not requested to endorse or adopt either the selection of terms or their proposed definitions. </w:t>
      </w:r>
    </w:p>
    <w:p w:rsidR="00F85B40" w:rsidRDefault="00F85B40" w:rsidP="00F85B40">
      <w:pPr>
        <w:contextualSpacing/>
        <w:rPr>
          <w:szCs w:val="22"/>
        </w:rPr>
      </w:pPr>
    </w:p>
    <w:p w:rsidR="00931A24" w:rsidRPr="00F05DC0" w:rsidRDefault="002262B6" w:rsidP="00931A24">
      <w:pPr>
        <w:pStyle w:val="DecisionInvitingPara"/>
        <w:ind w:left="5533"/>
        <w:rPr>
          <w:rFonts w:cs="Arial"/>
          <w:sz w:val="22"/>
          <w:szCs w:val="22"/>
        </w:rPr>
      </w:pPr>
      <w:r w:rsidRPr="002262B6">
        <w:rPr>
          <w:rFonts w:cs="Arial"/>
          <w:sz w:val="22"/>
          <w:szCs w:val="22"/>
        </w:rPr>
        <w:t>5</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lastRenderedPageBreak/>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(1992) prescribes “the fa</w:t>
      </w:r>
      <w:r w:rsidR="007C611B">
        <w:rPr>
          <w:snapToGrid w:val="0"/>
          <w:sz w:val="22"/>
          <w:szCs w:val="22"/>
        </w:rPr>
        <w:t>ir and equitable sharing of the </w:t>
      </w:r>
      <w:r w:rsidRPr="00F05DC0">
        <w:rPr>
          <w:snapToGrid w:val="0"/>
          <w:sz w:val="22"/>
          <w:szCs w:val="22"/>
        </w:rPr>
        <w:t xml:space="preserve">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3"/>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4"/>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5"/>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w:t>
      </w:r>
      <w:r w:rsidRPr="00F05DC0">
        <w:rPr>
          <w:szCs w:val="22"/>
        </w:rPr>
        <w:lastRenderedPageBreak/>
        <w:t>arrangements and other alterations of their works.  Black’s Law Dictionary</w:t>
      </w:r>
      <w:r w:rsidRPr="00F05DC0">
        <w:rPr>
          <w:rStyle w:val="FootnoteReference"/>
          <w:szCs w:val="22"/>
        </w:rPr>
        <w:footnoteReference w:id="6"/>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7"/>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8"/>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lastRenderedPageBreak/>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9"/>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lastRenderedPageBreak/>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w:t>
      </w:r>
      <w:proofErr w:type="spellStart"/>
      <w:r w:rsidR="00F81B09">
        <w:rPr>
          <w:rStyle w:val="Strong"/>
          <w:b w:val="0"/>
          <w:bCs w:val="0"/>
          <w:iCs/>
          <w:szCs w:val="22"/>
        </w:rPr>
        <w:t>nanobiotechnology</w:t>
      </w:r>
      <w:proofErr w:type="spellEnd"/>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4"/>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931A24" w:rsidRPr="00F05DC0" w:rsidRDefault="00931A24" w:rsidP="00F81B09">
      <w:pPr>
        <w:tabs>
          <w:tab w:val="num" w:pos="1440"/>
        </w:tabs>
        <w:spacing w:line="260" w:lineRule="atLeast"/>
        <w:rPr>
          <w:bCs/>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r w:rsidR="007C611B">
        <w:rPr>
          <w:i/>
          <w:szCs w:val="22"/>
        </w:rPr>
        <w:br/>
      </w:r>
      <w:r w:rsidR="00F81B09" w:rsidRPr="00F81B09">
        <w:rPr>
          <w:i/>
          <w:szCs w:val="22"/>
        </w:rPr>
        <w:t>the Benefits Arising out of their Utilization</w:t>
      </w:r>
      <w:r w:rsidR="00F81B09"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  The Guidelines are voluntary in nature and are addressed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benefit-sharing.</w:t>
      </w:r>
      <w:r w:rsidRPr="00F05DC0">
        <w:rPr>
          <w:rStyle w:val="FootnoteReference"/>
          <w:szCs w:val="22"/>
        </w:rPr>
        <w:footnoteReference w:id="16"/>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7"/>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8"/>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9"/>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sidR="007C611B">
        <w:rPr>
          <w:sz w:val="22"/>
          <w:szCs w:val="22"/>
        </w:rPr>
        <w:br/>
      </w:r>
      <w:r w:rsidRPr="007E3B38">
        <w:rPr>
          <w:sz w:val="22"/>
          <w:szCs w:val="22"/>
        </w:rPr>
        <w:t>e.g. Ayurveda disclosed in ancient Sanskrit scriptures</w:t>
      </w:r>
      <w:r w:rsidRPr="007E3B38">
        <w:rPr>
          <w:sz w:val="22"/>
          <w:szCs w:val="22"/>
          <w:vertAlign w:val="superscript"/>
        </w:rPr>
        <w:footnoteReference w:id="20"/>
      </w:r>
      <w:r w:rsidRPr="007E3B38">
        <w:rPr>
          <w:sz w:val="22"/>
          <w:szCs w:val="22"/>
        </w:rPr>
        <w:t xml:space="preserve"> or Traditional Chinese Medicine (TCM) disclosed in ancient Chinese medical texts</w:t>
      </w:r>
      <w:r w:rsidRPr="007E3B38">
        <w:rPr>
          <w:sz w:val="22"/>
          <w:szCs w:val="22"/>
          <w:vertAlign w:val="superscript"/>
        </w:rPr>
        <w:footnoteReference w:id="21"/>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is codified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sidR="007C611B">
        <w:rPr>
          <w:sz w:val="22"/>
          <w:szCs w:val="22"/>
        </w:rPr>
        <w:t>bb</w:t>
      </w:r>
      <w:proofErr w:type="spellEnd"/>
      <w:r w:rsidR="007C611B">
        <w:rPr>
          <w:sz w:val="22"/>
          <w:szCs w:val="22"/>
        </w:rPr>
        <w:t xml:space="preserve"> tradition, as codified in 13 </w:t>
      </w:r>
      <w:r w:rsidRPr="007E3B38">
        <w:rPr>
          <w:sz w:val="22"/>
          <w:szCs w:val="22"/>
        </w:rPr>
        <w:t>authoritative books.</w:t>
      </w:r>
      <w:r w:rsidRPr="007E3B38">
        <w:rPr>
          <w:sz w:val="22"/>
          <w:szCs w:val="22"/>
          <w:vertAlign w:val="superscript"/>
        </w:rPr>
        <w:footnoteReference w:id="22"/>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3"/>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4"/>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5"/>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6"/>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7"/>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007C611B">
        <w:rPr>
          <w:sz w:val="22"/>
          <w:szCs w:val="22"/>
        </w:rPr>
        <w:t xml:space="preserve"> (1972), the </w:t>
      </w:r>
      <w:r w:rsidRPr="007E3B38">
        <w:rPr>
          <w:sz w:val="22"/>
          <w:szCs w:val="22"/>
        </w:rPr>
        <w:t xml:space="preserve">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7C611B" w:rsidP="00F81B09">
      <w:pPr>
        <w:pStyle w:val="FootnoteText"/>
        <w:spacing w:line="260" w:lineRule="atLeast"/>
        <w:ind w:left="567"/>
        <w:rPr>
          <w:i/>
          <w:sz w:val="22"/>
          <w:szCs w:val="22"/>
        </w:rPr>
      </w:pPr>
      <w:r>
        <w:rPr>
          <w:i/>
          <w:sz w:val="22"/>
          <w:szCs w:val="22"/>
        </w:rPr>
        <w:t xml:space="preserve">(b)  </w:t>
      </w:r>
      <w:r w:rsidR="00931A24" w:rsidRPr="007E3B38">
        <w:rPr>
          <w:i/>
          <w:sz w:val="22"/>
          <w:szCs w:val="22"/>
        </w:rPr>
        <w:t>groups of building</w:t>
      </w:r>
      <w:r w:rsidR="006F4289">
        <w:rPr>
          <w:i/>
          <w:sz w:val="22"/>
          <w:szCs w:val="22"/>
        </w:rPr>
        <w:t>s</w:t>
      </w:r>
      <w:r w:rsidR="00931A24"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w:t>
      </w:r>
      <w:r w:rsidR="007C611B">
        <w:rPr>
          <w:i/>
          <w:sz w:val="22"/>
          <w:szCs w:val="22"/>
        </w:rPr>
        <w:t xml:space="preserve"> </w:t>
      </w:r>
      <w:r w:rsidRPr="007E3B38">
        <w:rPr>
          <w:i/>
          <w:sz w:val="22"/>
          <w:szCs w:val="22"/>
        </w:rPr>
        <w:t xml:space="preserve">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8"/>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29"/>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w:t>
      </w:r>
      <w:r w:rsidRPr="007E3B38">
        <w:rPr>
          <w:snapToGrid w:val="0"/>
          <w:sz w:val="22"/>
          <w:szCs w:val="22"/>
        </w:rPr>
        <w:lastRenderedPageBreak/>
        <w:t xml:space="preserve">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w:t>
      </w:r>
      <w:proofErr w:type="spellStart"/>
      <w:r w:rsidRPr="007E3B38">
        <w:rPr>
          <w:sz w:val="22"/>
          <w:szCs w:val="22"/>
        </w:rPr>
        <w:t>o</w:t>
      </w:r>
      <w:r w:rsidRPr="007E3B38">
        <w:rPr>
          <w:sz w:val="22"/>
          <w:szCs w:val="22"/>
          <w:lang w:val="en"/>
        </w:rPr>
        <w:t>ne</w:t>
      </w:r>
      <w:proofErr w:type="spellEnd"/>
      <w:r w:rsidRPr="007E3B38">
        <w:rPr>
          <w:sz w:val="22"/>
          <w:szCs w:val="22"/>
          <w:lang w:val="en"/>
        </w:rPr>
        <w:t xml:space="preserv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0"/>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1"/>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2"/>
      </w:r>
      <w:r w:rsidRPr="007E3B38">
        <w:rPr>
          <w:sz w:val="22"/>
          <w:szCs w:val="22"/>
          <w:lang w:val="en"/>
        </w:rPr>
        <w:t xml:space="preserve">  </w:t>
      </w:r>
      <w:r w:rsidRPr="007E3B38">
        <w:rPr>
          <w:sz w:val="22"/>
          <w:szCs w:val="22"/>
        </w:rPr>
        <w:t xml:space="preserve">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w:t>
      </w:r>
      <w:r w:rsidRPr="007E3B38">
        <w:rPr>
          <w:sz w:val="22"/>
          <w:szCs w:val="22"/>
        </w:rPr>
        <w:lastRenderedPageBreak/>
        <w:t>Customary law is not static, but dynamic; its rules change from time to time to reflect changing social and economic conditions.</w:t>
      </w:r>
      <w:r w:rsidRPr="007E3B38">
        <w:rPr>
          <w:rStyle w:val="FootnoteReference"/>
          <w:sz w:val="22"/>
          <w:szCs w:val="22"/>
        </w:rPr>
        <w:footnoteReference w:id="33"/>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4"/>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5"/>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6"/>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w:t>
      </w:r>
      <w:r w:rsidRPr="007E3B38">
        <w:rPr>
          <w:sz w:val="22"/>
          <w:szCs w:val="22"/>
        </w:rPr>
        <w:lastRenderedPageBreak/>
        <w:t>such without prejudice to the copyright in the preexisting works.</w:t>
      </w:r>
      <w:r w:rsidRPr="007E3B38">
        <w:rPr>
          <w:rStyle w:val="FootnoteReference"/>
          <w:sz w:val="22"/>
          <w:szCs w:val="22"/>
        </w:rPr>
        <w:footnoteReference w:id="37"/>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8"/>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39"/>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0"/>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1"/>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2"/>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3"/>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4"/>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5"/>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6"/>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7"/>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A1610E" w:rsidRDefault="00931A24" w:rsidP="00A1610E">
      <w:pPr>
        <w:numPr>
          <w:ilvl w:val="0"/>
          <w:numId w:val="16"/>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610E" w:rsidRDefault="00A1610E" w:rsidP="00A1610E">
      <w:pPr>
        <w:spacing w:line="260" w:lineRule="exact"/>
        <w:ind w:left="1287"/>
        <w:rPr>
          <w:szCs w:val="22"/>
        </w:rPr>
      </w:pPr>
    </w:p>
    <w:p w:rsidR="00A1610E" w:rsidRDefault="00931A24" w:rsidP="00A1610E">
      <w:pPr>
        <w:numPr>
          <w:ilvl w:val="0"/>
          <w:numId w:val="16"/>
        </w:numPr>
        <w:spacing w:line="260" w:lineRule="exact"/>
        <w:rPr>
          <w:szCs w:val="22"/>
        </w:rPr>
      </w:pPr>
      <w:r w:rsidRPr="00A1610E">
        <w:rPr>
          <w:szCs w:val="22"/>
        </w:rPr>
        <w:t xml:space="preserve">to disclose the actual source of the genetic resources/traditional knowledge </w:t>
      </w:r>
      <w:r w:rsidR="00A1610E">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sidR="00A1610E">
        <w:rPr>
          <w:szCs w:val="22"/>
        </w:rPr>
        <w:t xml:space="preserve"> </w:t>
      </w:r>
    </w:p>
    <w:p w:rsidR="00A1610E" w:rsidRDefault="00A1610E" w:rsidP="00A1610E">
      <w:pPr>
        <w:pStyle w:val="ListParagraph"/>
        <w:rPr>
          <w:szCs w:val="22"/>
        </w:rPr>
      </w:pPr>
    </w:p>
    <w:p w:rsidR="00931A24" w:rsidRPr="00A1610E" w:rsidRDefault="00931A24" w:rsidP="00A1610E">
      <w:pPr>
        <w:numPr>
          <w:ilvl w:val="0"/>
          <w:numId w:val="16"/>
        </w:numPr>
        <w:spacing w:line="260" w:lineRule="exact"/>
        <w:rPr>
          <w:szCs w:val="22"/>
        </w:rPr>
      </w:pPr>
      <w:r w:rsidRPr="00A1610E">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w:t>
      </w:r>
      <w:r w:rsidRPr="00A1610E">
        <w:rPr>
          <w:szCs w:val="22"/>
        </w:rPr>
        <w:lastRenderedPageBreak/>
        <w:t>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0"/>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1"/>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2"/>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3"/>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4"/>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5"/>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6"/>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lastRenderedPageBreak/>
        <w:t>Documentation is especially important because it is often the way people beyond the traditional circle get access to traditional knowledge.</w:t>
      </w:r>
      <w:r w:rsidRPr="007E3B38">
        <w:rPr>
          <w:sz w:val="22"/>
          <w:szCs w:val="22"/>
          <w:vertAlign w:val="superscript"/>
        </w:rPr>
        <w:footnoteReference w:id="57"/>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8"/>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59"/>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0"/>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1"/>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2"/>
      </w:r>
    </w:p>
    <w:p w:rsidR="00931A24" w:rsidRDefault="00931A24"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A1610E" w:rsidRDefault="00A1610E"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lastRenderedPageBreak/>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3"/>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sidR="00A1610E">
        <w:rPr>
          <w:szCs w:val="22"/>
        </w:rPr>
        <w:br/>
      </w:r>
      <w:r w:rsidRPr="007E3B38">
        <w:rPr>
          <w:szCs w:val="22"/>
        </w:rPr>
        <w:t>(see 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4"/>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w:t>
      </w:r>
      <w:r w:rsidRPr="007E3B38">
        <w:rPr>
          <w:szCs w:val="22"/>
        </w:rPr>
        <w:lastRenderedPageBreak/>
        <w:t xml:space="preserve">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5"/>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6"/>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7"/>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8"/>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w:t>
      </w:r>
      <w:r w:rsidRPr="007E3B38">
        <w:rPr>
          <w:szCs w:val="22"/>
        </w:rPr>
        <w:lastRenderedPageBreak/>
        <w:t xml:space="preserve">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9"/>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0"/>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1"/>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2"/>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931A24" w:rsidRDefault="00931A24"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Default="00A740AB" w:rsidP="00931A24">
      <w:pPr>
        <w:spacing w:line="260" w:lineRule="atLeast"/>
        <w:rPr>
          <w:snapToGrid w:val="0"/>
          <w:szCs w:val="22"/>
        </w:rPr>
      </w:pPr>
    </w:p>
    <w:p w:rsidR="00A740AB" w:rsidRPr="007E3B38" w:rsidRDefault="00A740AB"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lastRenderedPageBreak/>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Code of Conduct for Plant Germplasm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 xml:space="preserve">he heritage of indigenous peoples includes all moveable cultural property as defined by the relevant conventions of UNESCO; </w:t>
      </w:r>
      <w:r w:rsidR="00A740AB">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w:t>
      </w:r>
      <w:r w:rsidRPr="007E3B38">
        <w:rPr>
          <w:szCs w:val="22"/>
        </w:rPr>
        <w:lastRenderedPageBreak/>
        <w:t>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3"/>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4"/>
      </w:r>
      <w:r w:rsidRPr="007E3B38">
        <w:rPr>
          <w:szCs w:val="22"/>
        </w:rPr>
        <w:t xml:space="preserve"> </w:t>
      </w:r>
      <w:r w:rsidR="00814E7C">
        <w:rPr>
          <w:szCs w:val="22"/>
        </w:rPr>
        <w:t xml:space="preserve"> </w:t>
      </w:r>
      <w:r w:rsidRPr="007E3B38">
        <w:rPr>
          <w:szCs w:val="22"/>
          <w:lang w:val="en"/>
        </w:rPr>
        <w:t xml:space="preserve">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5"/>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004809">
        <w:rPr>
          <w:szCs w:val="22"/>
        </w:rPr>
        <w:t>icular, as appropriate:  … (c) </w:t>
      </w:r>
      <w:r w:rsidR="00451286">
        <w:rPr>
          <w:szCs w:val="22"/>
        </w:rPr>
        <w:t>[p]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6"/>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r>
      <w:r w:rsidRPr="007E3B38">
        <w:rPr>
          <w:szCs w:val="22"/>
        </w:rPr>
        <w:lastRenderedPageBreak/>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7"/>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8"/>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004809">
      <w:pPr>
        <w:pStyle w:val="Default"/>
        <w:numPr>
          <w:ilvl w:val="0"/>
          <w:numId w:val="7"/>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004809">
      <w:pPr>
        <w:pStyle w:val="Default"/>
        <w:numPr>
          <w:ilvl w:val="0"/>
          <w:numId w:val="7"/>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79"/>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lastRenderedPageBreak/>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0"/>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1"/>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2"/>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xml:space="preserve">[...] Aboriginal Peoples of </w:t>
      </w:r>
      <w:smartTag w:uri="urn:schemas-microsoft-com:office:smarttags" w:element="country-region">
        <w:r w:rsidRPr="007E3B38">
          <w:rPr>
            <w:i/>
            <w:szCs w:val="22"/>
          </w:rPr>
          <w:t>Canada</w:t>
        </w:r>
      </w:smartTag>
      <w:r w:rsidRPr="007E3B38">
        <w:rPr>
          <w:i/>
          <w:szCs w:val="22"/>
        </w:rPr>
        <w:t xml:space="preserve"> includes the Indian, Inuit and Métis peoples of </w:t>
      </w:r>
      <w:smartTag w:uri="urn:schemas-microsoft-com:office:smarttags" w:element="place">
        <w:smartTag w:uri="urn:schemas-microsoft-com:office:smarttags" w:element="country-region">
          <w:r w:rsidRPr="007E3B38">
            <w:rPr>
              <w:i/>
              <w:szCs w:val="22"/>
            </w:rPr>
            <w:t>Canada</w:t>
          </w:r>
        </w:smartTag>
      </w:smartTag>
      <w:r w:rsidRPr="007E3B38">
        <w:rPr>
          <w:i/>
          <w:szCs w:val="22"/>
        </w:rPr>
        <w:t>.</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3"/>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4"/>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931A24" w:rsidRPr="007E3B38" w:rsidRDefault="00931A24" w:rsidP="00931A24">
      <w:pPr>
        <w:spacing w:line="260" w:lineRule="atLeast"/>
        <w:rPr>
          <w:b/>
          <w:szCs w:val="22"/>
          <w:lang w:val="en-GB"/>
        </w:rPr>
      </w:pPr>
      <w:r w:rsidRPr="007E3B38">
        <w:rPr>
          <w:b/>
          <w:szCs w:val="22"/>
          <w:lang w:val="en-GB"/>
        </w:rPr>
        <w:lastRenderedPageBreak/>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5"/>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6"/>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7"/>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8"/>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89"/>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0"/>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1"/>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2"/>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004934AB">
        <w:rPr>
          <w:szCs w:val="22"/>
        </w:rPr>
        <w:br/>
      </w:r>
      <w:r w:rsidRPr="007E3B38">
        <w:rPr>
          <w:szCs w:val="22"/>
        </w:rPr>
        <w:lastRenderedPageBreak/>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sidR="004934AB">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sidR="004934AB">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sidR="004934AB">
        <w:rPr>
          <w:szCs w:val="22"/>
          <w:lang w:val="en"/>
        </w:rPr>
        <w:t xml:space="preserve"> </w:t>
      </w:r>
      <w:r w:rsidRPr="007E3B38">
        <w:rPr>
          <w:szCs w:val="22"/>
          <w:lang w:val="en"/>
        </w:rPr>
        <w:t>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4"/>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5"/>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6"/>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7"/>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8"/>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99"/>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0"/>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101"/>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3"/>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4"/>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5"/>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6"/>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 xml:space="preserve">A minority is a group which is numerically inferior to the rest of the population of a State and in a </w:t>
      </w:r>
      <w:proofErr w:type="spellStart"/>
      <w:r w:rsidRPr="007E3B38">
        <w:rPr>
          <w:iCs/>
          <w:szCs w:val="22"/>
        </w:rPr>
        <w:t>non dominant</w:t>
      </w:r>
      <w:proofErr w:type="spellEnd"/>
      <w:r w:rsidRPr="007E3B38">
        <w:rPr>
          <w:iCs/>
          <w:szCs w:val="22"/>
        </w:rPr>
        <w:t xml:space="preserve">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7"/>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8"/>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In the field of intellectual property, Black’s Law Dictionary defines “misappropriation” as “the common-law tort of using the </w:t>
      </w:r>
      <w:proofErr w:type="spellStart"/>
      <w:r w:rsidRPr="007E3B38">
        <w:rPr>
          <w:szCs w:val="22"/>
        </w:rPr>
        <w:t>noncopyrightable</w:t>
      </w:r>
      <w:proofErr w:type="spellEnd"/>
      <w:r w:rsidRPr="007E3B38">
        <w:rPr>
          <w:szCs w:val="22"/>
        </w:rPr>
        <w:t xml:space="preserve"> information or ideas that an organization collects and disseminates for a profit to compete unfairly against that organization, or copying a work whose creator has not yet claimed or been granted exclusive rights in the work. […] The elements of misappropriation are:  (1)</w:t>
      </w:r>
      <w:r w:rsidR="004934AB">
        <w:rPr>
          <w:szCs w:val="22"/>
        </w:rPr>
        <w:t xml:space="preserve"> </w:t>
      </w:r>
      <w:r w:rsidRPr="007E3B38">
        <w:rPr>
          <w:szCs w:val="22"/>
        </w:rPr>
        <w:t xml:space="preserve"> the plaintiff must have invested time, money, or effort to extract the information, (2) </w:t>
      </w:r>
      <w:r w:rsidR="004934AB">
        <w:rPr>
          <w:szCs w:val="22"/>
        </w:rPr>
        <w:t xml:space="preserve"> </w:t>
      </w:r>
      <w:r w:rsidRPr="007E3B38">
        <w:rPr>
          <w:szCs w:val="22"/>
        </w:rPr>
        <w:t xml:space="preserve">the defendant must have taken the information with no similar investment, and (3) </w:t>
      </w:r>
      <w:r w:rsidR="004934AB">
        <w:rPr>
          <w:szCs w:val="22"/>
        </w:rPr>
        <w:t xml:space="preserve"> </w:t>
      </w:r>
      <w:r w:rsidRPr="007E3B38">
        <w:rPr>
          <w:szCs w:val="22"/>
        </w:rPr>
        <w:t>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sidR="004934AB">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sidR="004934AB">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w:t>
      </w:r>
      <w:r w:rsidR="004934AB">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11"/>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lastRenderedPageBreak/>
        <w:t>Misuse</w:t>
      </w:r>
      <w:r w:rsidRPr="00AF287D">
        <w:rPr>
          <w:rStyle w:val="FootnoteReference"/>
          <w:szCs w:val="22"/>
        </w:rPr>
        <w:footnoteReference w:id="112"/>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w:t>
      </w:r>
      <w:proofErr w:type="spellStart"/>
      <w:r w:rsidRPr="007E3B38">
        <w:rPr>
          <w:szCs w:val="22"/>
        </w:rPr>
        <w:t>nonpatented</w:t>
      </w:r>
      <w:proofErr w:type="spellEnd"/>
      <w:r w:rsidRPr="007E3B38">
        <w:rPr>
          <w:szCs w:val="22"/>
        </w:rPr>
        <w:t xml:space="preserve">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3"/>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4"/>
      </w:r>
      <w:r w:rsidRPr="007E3B38">
        <w:rPr>
          <w:szCs w:val="22"/>
          <w:lang w:val="en-GB"/>
        </w:rPr>
        <w:t xml:space="preserve">  </w:t>
      </w:r>
      <w:r w:rsidRPr="007E3B38">
        <w:rPr>
          <w:szCs w:val="22"/>
        </w:rPr>
        <w:t xml:space="preserve">The </w:t>
      </w:r>
      <w:r w:rsidRPr="00793EDE">
        <w:rPr>
          <w:rStyle w:val="Strong"/>
          <w:b w:val="0"/>
          <w:i/>
          <w:szCs w:val="22"/>
        </w:rPr>
        <w:t xml:space="preserve">Bonn Guidelines on Access to Genetic Resources </w:t>
      </w:r>
      <w:r w:rsidRPr="00793EDE">
        <w:rPr>
          <w:rStyle w:val="Strong"/>
          <w:b w:val="0"/>
          <w:i/>
          <w:szCs w:val="22"/>
        </w:rPr>
        <w:lastRenderedPageBreak/>
        <w:t>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5"/>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6"/>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7"/>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006D2D46">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 xml:space="preserve">states that “[…] patents shall be available for any inventions, whether products or processes, in all fields of technology, provided that they are new, involve an inventive step and are capable of industrial application.  […] patents shall be </w:t>
      </w:r>
      <w:r w:rsidRPr="007E3B38">
        <w:rPr>
          <w:szCs w:val="22"/>
        </w:rPr>
        <w:lastRenderedPageBreak/>
        <w:t>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 xml:space="preserve">n all cases of research, treatment or diagnosis affecting an individual’s genome the potential risks and benefits should be assessed </w:t>
      </w:r>
      <w:r w:rsidRPr="007E3B38">
        <w:rPr>
          <w:rStyle w:val="longdesc"/>
          <w:szCs w:val="22"/>
        </w:rPr>
        <w:lastRenderedPageBreak/>
        <w:t>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3"/>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 xml:space="preserve">“[t]he width of this definition should be noted.  There are no restrictions whatever as to the geographical location where, or the language or manner in which the relevant information was made available to the public; also no age limit is </w:t>
      </w:r>
      <w:r w:rsidRPr="007E3B38">
        <w:rPr>
          <w:iCs/>
          <w:szCs w:val="22"/>
        </w:rPr>
        <w:lastRenderedPageBreak/>
        <w:t>stipulated for the documents or other sources of the information.  However certain specific exclusions exist (see IV, 8).</w:t>
      </w:r>
      <w:r w:rsidRPr="007E3B38">
        <w:rPr>
          <w:szCs w:val="22"/>
        </w:rPr>
        <w:t>”</w:t>
      </w:r>
      <w:r w:rsidRPr="007E3B38">
        <w:rPr>
          <w:rStyle w:val="FootnoteReference"/>
          <w:szCs w:val="22"/>
        </w:rPr>
        <w:footnoteReference w:id="125"/>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sidR="00F902F6">
        <w:rPr>
          <w:lang w:eastAsia="en-US" w:bidi="th-TH"/>
        </w:rPr>
        <w:t xml:space="preserve"> </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sidR="00F902F6">
        <w:rPr>
          <w:lang w:eastAsia="en-US" w:bidi="th-TH"/>
        </w:rPr>
        <w:t xml:space="preserve"> </w:t>
      </w:r>
      <w:r w:rsidRPr="007E3B38">
        <w:rPr>
          <w:lang w:eastAsia="en-US" w:bidi="th-TH"/>
        </w:rPr>
        <w:t xml:space="preserve">inventions that were publicly worked in Japan or a foreign country, prior to the filing of the patent application; or  (iii) </w:t>
      </w:r>
      <w:r w:rsidR="00F902F6">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6"/>
      </w:r>
      <w:r w:rsidR="00F902F6">
        <w:rPr>
          <w:szCs w:val="22"/>
        </w:rPr>
        <w:t xml:space="preserve">  Two </w:t>
      </w:r>
      <w:r w:rsidRPr="007E3B38">
        <w:rPr>
          <w:szCs w:val="22"/>
        </w:rPr>
        <w:t>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7"/>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8"/>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9"/>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lastRenderedPageBreak/>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0"/>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1"/>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2"/>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3"/>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6"/>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7"/>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w:t>
      </w:r>
      <w:r w:rsidR="00F902F6">
        <w:rPr>
          <w:szCs w:val="22"/>
        </w:rPr>
        <w:t>t but rather are based upon pre-</w:t>
      </w:r>
      <w:r w:rsidRPr="007E3B38">
        <w:rPr>
          <w:szCs w:val="22"/>
        </w:rPr>
        <w:t xml:space="preserv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w:t>
      </w:r>
      <w:r w:rsidRPr="007E3B38">
        <w:rPr>
          <w:szCs w:val="22"/>
        </w:rPr>
        <w:lastRenderedPageBreak/>
        <w:t>valid when carrying out searches related to novelty and inventiveness.  A third function that these registers may have is to facilitate benefit–sharing between users and providers.</w:t>
      </w:r>
      <w:r w:rsidRPr="007E3B38">
        <w:rPr>
          <w:rStyle w:val="FootnoteReference"/>
          <w:szCs w:val="22"/>
        </w:rPr>
        <w:footnoteReference w:id="13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w:t>
      </w:r>
      <w:r w:rsidR="00F902F6">
        <w:rPr>
          <w:szCs w:val="22"/>
        </w:rPr>
        <w:t xml:space="preserve"> </w:t>
      </w:r>
      <w:r w:rsidRPr="007E3B38">
        <w:rPr>
          <w:szCs w:val="22"/>
        </w:rPr>
        <w:t xml:space="preserve"> to preserve and safeguard the collective knowledge of indigenous peoples and their rights therein;  (b) </w:t>
      </w:r>
      <w:r w:rsidR="00F902F6">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40"/>
      </w:r>
      <w:r w:rsidRPr="007E3B38">
        <w:rPr>
          <w:szCs w:val="22"/>
        </w:rPr>
        <w:t xml:space="preserve">  Article 15 also provides that “[t]he collective knowledge of indigenous peoples may be entered in three types of register:  (a) </w:t>
      </w:r>
      <w:r w:rsidR="00F902F6">
        <w:rPr>
          <w:szCs w:val="22"/>
        </w:rPr>
        <w:t xml:space="preserve"> </w:t>
      </w:r>
      <w:r w:rsidRPr="007E3B38">
        <w:rPr>
          <w:szCs w:val="22"/>
        </w:rPr>
        <w:t>Public National Register of Collective Knowledge of Indigenous Peoples;  (b)</w:t>
      </w:r>
      <w:r w:rsidR="00F902F6">
        <w:rPr>
          <w:szCs w:val="22"/>
        </w:rPr>
        <w:t xml:space="preserve"> </w:t>
      </w:r>
      <w:r w:rsidRPr="007E3B38">
        <w:rPr>
          <w:szCs w:val="22"/>
        </w:rPr>
        <w:t xml:space="preserve"> Confidential National Register of Collective Knowledge of Indigenous Peoples;  (c) </w:t>
      </w:r>
      <w:r w:rsidR="00F902F6">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1"/>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2"/>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3"/>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lastRenderedPageBreak/>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4"/>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5"/>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6"/>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7"/>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8"/>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49"/>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0"/>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1"/>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2"/>
      </w:r>
      <w:r w:rsidRPr="007E3B38">
        <w:rPr>
          <w:iCs/>
          <w:szCs w:val="22"/>
        </w:rPr>
        <w:t xml:space="preserve"> indigenous and local communities</w:t>
      </w:r>
      <w:r w:rsidRPr="007E3B38">
        <w:rPr>
          <w:rStyle w:val="FootnoteReference"/>
          <w:iCs/>
          <w:szCs w:val="22"/>
        </w:rPr>
        <w:footnoteReference w:id="153"/>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4"/>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 xml:space="preserve">Panama Law No. 20 of </w:t>
      </w:r>
      <w:r w:rsidR="00F902F6">
        <w:rPr>
          <w:i/>
          <w:szCs w:val="22"/>
        </w:rPr>
        <w:br/>
      </w:r>
      <w:r w:rsidRPr="00813660">
        <w:rPr>
          <w:i/>
          <w:szCs w:val="22"/>
        </w:rPr>
        <w:t xml:space="preserve">26 June 2000 on the Special Intellectual Property Regime with Respect to the Collective Rights </w:t>
      </w:r>
      <w:r w:rsidRPr="00813660">
        <w:rPr>
          <w:i/>
          <w:szCs w:val="22"/>
        </w:rPr>
        <w:lastRenderedPageBreak/>
        <w:t>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proofErr w:type="spellStart"/>
      <w:r w:rsidRPr="007E3B38">
        <w:rPr>
          <w:b/>
          <w:szCs w:val="22"/>
        </w:rPr>
        <w:t>Swakopmund</w:t>
      </w:r>
      <w:proofErr w:type="spellEnd"/>
      <w:r w:rsidRPr="007E3B38">
        <w:rPr>
          <w:b/>
          <w:szCs w:val="22"/>
        </w:rPr>
        <w:t xml:space="preserve">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proofErr w:type="spellStart"/>
      <w:smartTag w:uri="urn:schemas-microsoft-com:office:smarttags" w:element="place">
        <w:smartTag w:uri="urn:schemas-microsoft-com:office:smarttags" w:element="City">
          <w:r w:rsidRPr="007E3B38">
            <w:rPr>
              <w:szCs w:val="22"/>
            </w:rPr>
            <w:t>Swakopmund</w:t>
          </w:r>
        </w:smartTag>
        <w:proofErr w:type="spellEnd"/>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5"/>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6"/>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7"/>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8"/>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w:t>
      </w:r>
      <w:r w:rsidRPr="007E3B38">
        <w:rPr>
          <w:szCs w:val="22"/>
        </w:rPr>
        <w:lastRenderedPageBreak/>
        <w:t xml:space="preserve">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1"/>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2"/>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 xml:space="preserve">Further, TEK is an </w:t>
      </w:r>
      <w:r w:rsidRPr="007E3B38">
        <w:rPr>
          <w:szCs w:val="22"/>
        </w:rPr>
        <w:lastRenderedPageBreak/>
        <w:t>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4"/>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and is being implemented at CSIR.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5"/>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6"/>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8"/>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69"/>
      </w:r>
      <w:r w:rsidRPr="007E3B38">
        <w:rPr>
          <w:szCs w:val="22"/>
        </w:rPr>
        <w:t xml:space="preserve">  The TKRC has been developed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0"/>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1"/>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2"/>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lastRenderedPageBreak/>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3"/>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4"/>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5"/>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6"/>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7"/>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lastRenderedPageBreak/>
        <w:t>The Convention has several objectives set out in Article 1, namely (a)</w:t>
      </w:r>
      <w:r w:rsidR="001A5A5F">
        <w:rPr>
          <w:szCs w:val="22"/>
        </w:rPr>
        <w:t xml:space="preserve"> </w:t>
      </w:r>
      <w:r w:rsidRPr="007E3B38">
        <w:rPr>
          <w:szCs w:val="22"/>
        </w:rPr>
        <w:t xml:space="preserve"> to protect and promote the diversity of cultural expressions; </w:t>
      </w:r>
      <w:r w:rsidR="0079064A">
        <w:rPr>
          <w:szCs w:val="22"/>
        </w:rPr>
        <w:t xml:space="preserve"> </w:t>
      </w:r>
      <w:r w:rsidRPr="007E3B38">
        <w:rPr>
          <w:szCs w:val="22"/>
        </w:rPr>
        <w:t>(b)</w:t>
      </w:r>
      <w:r w:rsidR="001A5A5F">
        <w:rPr>
          <w:szCs w:val="22"/>
        </w:rPr>
        <w:t xml:space="preserve"> </w:t>
      </w:r>
      <w:r w:rsidRPr="007E3B38">
        <w:rPr>
          <w:szCs w:val="22"/>
        </w:rPr>
        <w:t xml:space="preserve"> to create the conditions for cultures to flourish and to freely interact in a mutually beneficial manner; </w:t>
      </w:r>
      <w:r w:rsidR="0079064A">
        <w:rPr>
          <w:szCs w:val="22"/>
        </w:rPr>
        <w:t xml:space="preserve"> </w:t>
      </w:r>
      <w:r w:rsidRPr="007E3B38">
        <w:rPr>
          <w:szCs w:val="22"/>
        </w:rPr>
        <w:t>(c)</w:t>
      </w:r>
      <w:r w:rsidR="001A5A5F">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sidR="0079064A">
        <w:rPr>
          <w:szCs w:val="22"/>
        </w:rPr>
        <w:t xml:space="preserve"> </w:t>
      </w:r>
      <w:r w:rsidRPr="007E3B38">
        <w:rPr>
          <w:szCs w:val="22"/>
        </w:rPr>
        <w:t>(d)</w:t>
      </w:r>
      <w:r w:rsidR="001A5A5F">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sidR="0079064A">
        <w:rPr>
          <w:szCs w:val="22"/>
        </w:rPr>
        <w:t xml:space="preserve"> </w:t>
      </w:r>
      <w:r w:rsidRPr="007E3B38">
        <w:rPr>
          <w:szCs w:val="22"/>
        </w:rPr>
        <w:t>(e)</w:t>
      </w:r>
      <w:r w:rsidR="001A5A5F">
        <w:rPr>
          <w:szCs w:val="22"/>
        </w:rPr>
        <w:t xml:space="preserve"> </w:t>
      </w:r>
      <w:r w:rsidRPr="007E3B38">
        <w:rPr>
          <w:szCs w:val="22"/>
        </w:rPr>
        <w:t xml:space="preserv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w:t>
      </w:r>
      <w:r w:rsidR="001A5A5F">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 xml:space="preserve">(g) </w:t>
      </w:r>
      <w:r w:rsidR="001A5A5F">
        <w:rPr>
          <w:szCs w:val="22"/>
        </w:rPr>
        <w:t xml:space="preserve"> </w:t>
      </w:r>
      <w:r w:rsidRPr="007E3B38">
        <w:rPr>
          <w:szCs w:val="22"/>
        </w:rPr>
        <w:t>to give recognition to the distinctive nature of cultural activities, goods and services as vehicles of identity, values and meaning;</w:t>
      </w:r>
      <w:r w:rsidR="0079064A">
        <w:rPr>
          <w:szCs w:val="22"/>
        </w:rPr>
        <w:t xml:space="preserve"> </w:t>
      </w:r>
      <w:r w:rsidRPr="007E3B38">
        <w:rPr>
          <w:szCs w:val="22"/>
        </w:rPr>
        <w:t xml:space="preserve"> (h)</w:t>
      </w:r>
      <w:r w:rsidR="001A5A5F">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 xml:space="preserve">[and] </w:t>
      </w:r>
      <w:r w:rsidR="001A5A5F">
        <w:rPr>
          <w:szCs w:val="22"/>
        </w:rPr>
        <w:t xml:space="preserve"> </w:t>
      </w:r>
      <w:r w:rsidRPr="007E3B38">
        <w:rPr>
          <w:szCs w:val="22"/>
        </w:rPr>
        <w:t>(</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sidR="001A5A5F">
        <w:rPr>
          <w:szCs w:val="22"/>
        </w:rPr>
        <w:t xml:space="preserve"> </w:t>
      </w:r>
      <w:r w:rsidRPr="007E3B38">
        <w:rPr>
          <w:szCs w:val="22"/>
        </w:rPr>
        <w:t>all acts of such a nature as to create confusion by any means whatever with the establishment, the goods, or the industrial or commercial activities, of a competitor;  (ii)</w:t>
      </w:r>
      <w:r w:rsidR="001A5A5F">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sidR="001A5A5F">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w:t>
      </w:r>
      <w:r w:rsidRPr="007E3B38">
        <w:rPr>
          <w:bCs/>
          <w:szCs w:val="22"/>
        </w:rPr>
        <w:lastRenderedPageBreak/>
        <w:t>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8"/>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w:t>
      </w:r>
      <w:r w:rsidR="00226719">
        <w:rPr>
          <w:szCs w:val="22"/>
        </w:rPr>
        <w:lastRenderedPageBreak/>
        <w:t xml:space="preserve">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6"/>
      <w:headerReference w:type="firs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7C" w:rsidRDefault="00550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7C" w:rsidRDefault="00550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7C" w:rsidRDefault="00550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 w:id="2">
    <w:p w:rsidR="007C611B" w:rsidRPr="00420EF9" w:rsidRDefault="007C611B" w:rsidP="008113D4">
      <w:pPr>
        <w:pStyle w:val="FootnoteText"/>
        <w:ind w:left="540" w:hanging="540"/>
        <w:rPr>
          <w:rStyle w:val="FooterChar"/>
          <w:sz w:val="18"/>
          <w:szCs w:val="18"/>
        </w:rPr>
      </w:pPr>
      <w:r w:rsidRPr="00420EF9">
        <w:rPr>
          <w:rStyle w:val="FootnoteReference"/>
          <w:szCs w:val="18"/>
        </w:rPr>
        <w:footnoteRef/>
      </w:r>
      <w:r>
        <w:rPr>
          <w:szCs w:val="18"/>
        </w:rPr>
        <w:t xml:space="preserve"> </w:t>
      </w:r>
      <w:r>
        <w:rPr>
          <w:szCs w:val="18"/>
        </w:rPr>
        <w:tab/>
      </w:r>
      <w:proofErr w:type="gramStart"/>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Report of the Seventeenth Session of the Committee (WIPO/GRTKF/IC/17/12)</w:t>
      </w:r>
      <w:r>
        <w:rPr>
          <w:rStyle w:val="FooterChar"/>
          <w:sz w:val="18"/>
        </w:rPr>
        <w:t>.</w:t>
      </w:r>
      <w:proofErr w:type="gramEnd"/>
      <w:r>
        <w:rPr>
          <w:rStyle w:val="FooterChar"/>
          <w:sz w:val="18"/>
        </w:rPr>
        <w:t xml:space="preserve"> </w:t>
      </w:r>
    </w:p>
  </w:footnote>
  <w:footnote w:id="3">
    <w:p w:rsidR="007C611B" w:rsidRPr="00A94A92" w:rsidRDefault="007C611B"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4">
    <w:p w:rsidR="007C611B" w:rsidRPr="00420EF9" w:rsidRDefault="007C611B"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Bonn Guidelines on Access to Genetic Resources and Fair and Equitable Sharing of the Benefits Arising out of their utilization, para. 23.</w:t>
      </w:r>
    </w:p>
  </w:footnote>
  <w:footnote w:id="5">
    <w:p w:rsidR="007C611B" w:rsidRPr="00420EF9" w:rsidRDefault="007C611B"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6">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7">
    <w:p w:rsidR="007C611B" w:rsidRPr="00420EF9" w:rsidRDefault="007C611B"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8">
    <w:p w:rsidR="007C611B" w:rsidRPr="00420EF9" w:rsidRDefault="007C611B"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9">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0">
    <w:p w:rsidR="007C611B" w:rsidRPr="00420EF9" w:rsidRDefault="007C611B"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1">
    <w:p w:rsidR="007C611B" w:rsidRPr="00420EF9" w:rsidRDefault="007C611B"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2">
    <w:p w:rsidR="007C611B" w:rsidRPr="00420EF9" w:rsidRDefault="007C611B"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para. 16</w:t>
      </w:r>
      <w:r>
        <w:rPr>
          <w:szCs w:val="18"/>
        </w:rPr>
        <w:t>.</w:t>
      </w:r>
    </w:p>
  </w:footnote>
  <w:footnote w:id="13">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4">
    <w:p w:rsidR="007C611B" w:rsidRPr="00966E9B"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5">
    <w:p w:rsidR="007C611B" w:rsidRPr="00420EF9" w:rsidRDefault="007C611B"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6">
    <w:p w:rsidR="007C611B" w:rsidRPr="00420EF9" w:rsidRDefault="007C611B"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7">
    <w:p w:rsidR="007C611B" w:rsidRPr="00420EF9" w:rsidRDefault="007C611B"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8">
    <w:p w:rsidR="007C611B" w:rsidRPr="00420EF9"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19">
    <w:p w:rsidR="007C611B" w:rsidRDefault="007C611B"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7C611B" w:rsidRPr="00420EF9" w:rsidRDefault="007C611B" w:rsidP="000B42B0">
      <w:pPr>
        <w:pStyle w:val="FootnoteText"/>
        <w:ind w:left="1117" w:hanging="550"/>
        <w:rPr>
          <w:szCs w:val="18"/>
        </w:rPr>
      </w:pPr>
      <w:r w:rsidRPr="00930CA3">
        <w:rPr>
          <w:szCs w:val="18"/>
          <w:lang w:val="es-ES"/>
        </w:rPr>
        <w:t xml:space="preserve">(WIPO/GRTKF/IC/17/INF/9), para. </w:t>
      </w:r>
      <w:proofErr w:type="gramStart"/>
      <w:r w:rsidRPr="00420EF9">
        <w:rPr>
          <w:szCs w:val="18"/>
        </w:rPr>
        <w:t>16 of Annex</w:t>
      </w:r>
      <w:r>
        <w:rPr>
          <w:szCs w:val="18"/>
        </w:rPr>
        <w:t>.</w:t>
      </w:r>
      <w:proofErr w:type="gramEnd"/>
    </w:p>
  </w:footnote>
  <w:footnote w:id="20">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r w:rsidRPr="00420EF9">
        <w:rPr>
          <w:i/>
          <w:szCs w:val="18"/>
        </w:rPr>
        <w:t>Rigveda</w:t>
      </w:r>
      <w:r w:rsidRPr="00420EF9">
        <w:rPr>
          <w:szCs w:val="18"/>
        </w:rPr>
        <w:t xml:space="preserve"> and the </w:t>
      </w:r>
      <w:r w:rsidRPr="00420EF9">
        <w:rPr>
          <w:i/>
          <w:szCs w:val="18"/>
        </w:rPr>
        <w:t>Atharvaveda</w:t>
      </w:r>
      <w:r>
        <w:rPr>
          <w:i/>
          <w:szCs w:val="18"/>
        </w:rPr>
        <w:t>.</w:t>
      </w:r>
    </w:p>
  </w:footnote>
  <w:footnote w:id="21">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2">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 xml:space="preserve">ifies the authoritative books of the </w:t>
      </w:r>
      <w:proofErr w:type="spellStart"/>
      <w:r w:rsidRPr="00420EF9">
        <w:rPr>
          <w:szCs w:val="18"/>
        </w:rPr>
        <w:t>Ayurvedi</w:t>
      </w:r>
      <w:smartTag w:uri="urn:schemas-microsoft-com:office:smarttags" w:element="PersonName">
        <w:r w:rsidRPr="00420EF9">
          <w:rPr>
            <w:szCs w:val="18"/>
          </w:rPr>
          <w:t>c</w:t>
        </w:r>
      </w:smartTag>
      <w:proofErr w:type="spellEnd"/>
      <w:smartTag w:uri="urn:schemas-microsoft-com:office:smarttags" w:element="PersonName">
        <w:r w:rsidRPr="00420EF9">
          <w:rPr>
            <w:szCs w:val="18"/>
          </w:rPr>
          <w:t>,</w:t>
        </w:r>
      </w:smartTag>
      <w:r w:rsidRPr="00420EF9">
        <w:rPr>
          <w:szCs w:val="18"/>
        </w:rPr>
        <w:t xml:space="preserve"> Siddha and Unani </w:t>
      </w:r>
      <w:proofErr w:type="spellStart"/>
      <w:r w:rsidRPr="00420EF9">
        <w:rPr>
          <w:szCs w:val="18"/>
        </w:rPr>
        <w:t>Tibb</w:t>
      </w:r>
      <w:proofErr w:type="spellEnd"/>
      <w:r w:rsidRPr="00420EF9">
        <w:rPr>
          <w:szCs w:val="18"/>
        </w:rPr>
        <w:t xml:space="preserve">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para. 8.  Also see Karin Timmermans and </w:t>
      </w:r>
      <w:proofErr w:type="spellStart"/>
      <w:r w:rsidRPr="00420EF9">
        <w:rPr>
          <w:szCs w:val="18"/>
        </w:rPr>
        <w:t>Togi</w:t>
      </w:r>
      <w:proofErr w:type="spellEnd"/>
      <w:r w:rsidRPr="00420EF9">
        <w:rPr>
          <w:szCs w:val="18"/>
        </w:rPr>
        <w:t xml:space="preserve"> </w:t>
      </w:r>
      <w:proofErr w:type="spellStart"/>
      <w:r w:rsidRPr="00420EF9">
        <w:rPr>
          <w:szCs w:val="18"/>
        </w:rPr>
        <w:t>Hutadjulu</w:t>
      </w:r>
      <w:proofErr w:type="spellEnd"/>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3">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Intervention of the Delegation of Canada, Report of the Second Session (WIPO/GRTKF/IC/2/16), para.</w:t>
      </w:r>
      <w:proofErr w:type="gramEnd"/>
      <w:r w:rsidRPr="00420EF9">
        <w:rPr>
          <w:szCs w:val="18"/>
        </w:rPr>
        <w:t xml:space="preserve"> 131</w:t>
      </w:r>
      <w:r>
        <w:rPr>
          <w:szCs w:val="18"/>
        </w:rPr>
        <w:t>.</w:t>
      </w:r>
    </w:p>
  </w:footnote>
  <w:footnote w:id="24">
    <w:p w:rsidR="007C611B" w:rsidRPr="00D41EAD" w:rsidRDefault="007C611B"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5">
    <w:p w:rsidR="007C611B" w:rsidRPr="00420EF9" w:rsidRDefault="007C611B"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6">
    <w:p w:rsidR="007C611B" w:rsidRPr="00BD225A" w:rsidRDefault="007C611B"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Convention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Promotion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Diversity</w:t>
      </w:r>
      <w:proofErr w:type="spellEnd"/>
      <w:r w:rsidRPr="00BD225A">
        <w:rPr>
          <w:rStyle w:val="FootnoteReference"/>
          <w:szCs w:val="18"/>
          <w:vertAlign w:val="baseline"/>
          <w:lang w:val="es-ES_tradnl"/>
        </w:rPr>
        <w:t xml:space="preserve"> of Cultural </w:t>
      </w:r>
      <w:proofErr w:type="spellStart"/>
      <w:r w:rsidRPr="00BD225A">
        <w:rPr>
          <w:rStyle w:val="FootnoteReference"/>
          <w:szCs w:val="18"/>
          <w:vertAlign w:val="baseline"/>
          <w:lang w:val="es-ES_tradnl"/>
        </w:rPr>
        <w:t>Expressions</w:t>
      </w:r>
      <w:proofErr w:type="spellEnd"/>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7">
    <w:p w:rsidR="007C611B" w:rsidRPr="00BD225A" w:rsidRDefault="007C611B"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w:t>
      </w:r>
      <w:proofErr w:type="spellStart"/>
      <w:r w:rsidRPr="00BD225A">
        <w:rPr>
          <w:rStyle w:val="FootnoteReference"/>
          <w:szCs w:val="18"/>
          <w:vertAlign w:val="baseline"/>
          <w:lang w:val="es-ES"/>
        </w:rPr>
        <w:t>Convention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Promotion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Diversity</w:t>
      </w:r>
      <w:proofErr w:type="spellEnd"/>
      <w:r w:rsidRPr="00BD225A">
        <w:rPr>
          <w:rStyle w:val="FootnoteReference"/>
          <w:szCs w:val="18"/>
          <w:vertAlign w:val="baseline"/>
          <w:lang w:val="es-ES"/>
        </w:rPr>
        <w:t xml:space="preserve"> of Cultural </w:t>
      </w:r>
      <w:proofErr w:type="spellStart"/>
      <w:r w:rsidRPr="00BD225A">
        <w:rPr>
          <w:rStyle w:val="FootnoteReference"/>
          <w:szCs w:val="18"/>
          <w:vertAlign w:val="baseline"/>
          <w:lang w:val="es-ES"/>
        </w:rPr>
        <w:t>Expressions</w:t>
      </w:r>
      <w:proofErr w:type="spellEnd"/>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8">
    <w:p w:rsidR="007C611B" w:rsidRPr="0002073E" w:rsidRDefault="007C611B"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29">
    <w:p w:rsidR="007C611B" w:rsidRPr="00420EF9" w:rsidRDefault="007C611B"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30">
    <w:p w:rsidR="007C611B" w:rsidRPr="00420EF9" w:rsidRDefault="007C611B"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Model Provisions for National Laws on the Protection of Expressions of Folklore against Illicit Exploitation and Other Prejudicial Actions, 1982, Part III, para.</w:t>
      </w:r>
      <w:proofErr w:type="gramEnd"/>
      <w:r w:rsidRPr="00420EF9">
        <w:rPr>
          <w:rStyle w:val="FootnoteTextChar"/>
          <w:sz w:val="18"/>
          <w:szCs w:val="18"/>
        </w:rPr>
        <w:t xml:space="preserve"> 42.</w:t>
      </w:r>
    </w:p>
  </w:footnote>
  <w:footnote w:id="31">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2">
    <w:p w:rsidR="007C611B" w:rsidRPr="00420EF9" w:rsidRDefault="007C611B"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r>
      <w:proofErr w:type="gramStart"/>
      <w:r w:rsidRPr="00420EF9">
        <w:rPr>
          <w:szCs w:val="18"/>
        </w:rPr>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w:t>
      </w:r>
      <w:proofErr w:type="gramEnd"/>
      <w:r w:rsidRPr="00420EF9">
        <w:rPr>
          <w:szCs w:val="18"/>
        </w:rPr>
        <w:t xml:space="preserve"> </w:t>
      </w:r>
    </w:p>
  </w:footnote>
  <w:footnote w:id="33">
    <w:p w:rsidR="007C611B" w:rsidRPr="00420EF9" w:rsidRDefault="007C611B"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 xml:space="preserve">Paul </w:t>
      </w:r>
      <w:proofErr w:type="spellStart"/>
      <w:r w:rsidRPr="00420EF9">
        <w:rPr>
          <w:szCs w:val="18"/>
        </w:rPr>
        <w:t>Kuruk</w:t>
      </w:r>
      <w:proofErr w:type="spellEnd"/>
      <w:r w:rsidRPr="00420EF9">
        <w:rPr>
          <w:szCs w:val="18"/>
        </w:rPr>
        <w:t>,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 xml:space="preserve">p. 6, quoting, in part, Paris, 15 June 1982, Gazette du </w:t>
      </w:r>
      <w:proofErr w:type="spellStart"/>
      <w:r w:rsidRPr="00420EF9">
        <w:rPr>
          <w:szCs w:val="18"/>
        </w:rPr>
        <w:t>Palais</w:t>
      </w:r>
      <w:proofErr w:type="spellEnd"/>
      <w:r w:rsidRPr="00420EF9">
        <w:rPr>
          <w:szCs w:val="18"/>
        </w:rPr>
        <w:t xml:space="preserve">, 1982.2, Summary, p. 378, or Paris, 25 April 1978, Gazette du </w:t>
      </w:r>
      <w:proofErr w:type="spellStart"/>
      <w:r w:rsidRPr="00420EF9">
        <w:rPr>
          <w:szCs w:val="18"/>
        </w:rPr>
        <w:t>Palais</w:t>
      </w:r>
      <w:proofErr w:type="spellEnd"/>
      <w:r w:rsidRPr="00420EF9">
        <w:rPr>
          <w:szCs w:val="18"/>
        </w:rPr>
        <w:t>, 1978.2, p. 448.</w:t>
      </w:r>
    </w:p>
  </w:footnote>
  <w:footnote w:id="34">
    <w:p w:rsidR="007C611B" w:rsidRPr="00420EF9" w:rsidRDefault="007C611B"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5">
    <w:p w:rsidR="007C611B" w:rsidRPr="00420EF9" w:rsidRDefault="007C611B"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para.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6">
    <w:p w:rsidR="007C611B" w:rsidRPr="00420EF9" w:rsidRDefault="007C611B"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7">
    <w:p w:rsidR="007C611B" w:rsidRPr="00BD225A" w:rsidRDefault="007C611B"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8">
    <w:p w:rsidR="007C611B" w:rsidRPr="00420EF9" w:rsidRDefault="007C611B"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39">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0">
    <w:p w:rsidR="007C611B" w:rsidRPr="00BD225A" w:rsidRDefault="007C611B"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1">
    <w:p w:rsidR="007C611B" w:rsidRPr="00BD225A" w:rsidRDefault="007C611B"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2">
    <w:p w:rsidR="007C611B" w:rsidRPr="00BD225A" w:rsidRDefault="007C611B"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3">
    <w:p w:rsidR="007C611B" w:rsidRPr="00420EF9" w:rsidRDefault="007C611B"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 of Annex.</w:t>
      </w:r>
      <w:proofErr w:type="gramEnd"/>
      <w:r w:rsidRPr="00420EF9">
        <w:rPr>
          <w:szCs w:val="18"/>
        </w:rPr>
        <w:t xml:space="preserve"> </w:t>
      </w:r>
    </w:p>
  </w:footnote>
  <w:footnote w:id="44">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5">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6">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See document WIPO/GA/32/8, Annex, p. 32</w:t>
      </w:r>
      <w:r>
        <w:rPr>
          <w:szCs w:val="18"/>
        </w:rPr>
        <w:t>.</w:t>
      </w:r>
      <w:proofErr w:type="gramEnd"/>
    </w:p>
  </w:footnote>
  <w:footnote w:id="47">
    <w:p w:rsidR="007C611B" w:rsidRPr="00BD225A"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8">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49">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0">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1">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2">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WIPO/GRTKF/IC/17/10, p. 2 of the Annex</w:t>
      </w:r>
      <w:r>
        <w:rPr>
          <w:szCs w:val="18"/>
        </w:rPr>
        <w:t>.</w:t>
      </w:r>
      <w:proofErr w:type="gramEnd"/>
    </w:p>
  </w:footnote>
  <w:footnote w:id="53">
    <w:p w:rsidR="007C611B" w:rsidRPr="009A0842" w:rsidRDefault="007C611B"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4">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55">
    <w:p w:rsidR="007C611B" w:rsidRPr="00420EF9" w:rsidRDefault="007C611B"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6">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Summary and Introduction to the Toolkit for Managing Intellectual Property when Documenting Traditional Knowledge and Genetic Resources, document WIPO/GRTKF/IC/5/5.</w:t>
      </w:r>
      <w:proofErr w:type="gramEnd"/>
    </w:p>
  </w:footnote>
  <w:footnote w:id="57">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8">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59">
    <w:p w:rsidR="007C611B" w:rsidRPr="00BD225A" w:rsidRDefault="007C611B"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w:t>
      </w:r>
      <w:proofErr w:type="spellStart"/>
      <w:r w:rsidRPr="00BD225A">
        <w:rPr>
          <w:bCs/>
          <w:szCs w:val="18"/>
        </w:rPr>
        <w:t>Sirinelli</w:t>
      </w:r>
      <w:proofErr w:type="spellEnd"/>
      <w:smartTag w:uri="urn:schemas-microsoft-com:office:smarttags" w:element="PersonName">
        <w:r w:rsidRPr="00BD225A">
          <w:rPr>
            <w:bCs/>
            <w:szCs w:val="18"/>
          </w:rPr>
          <w:t>,</w:t>
        </w:r>
      </w:smartTag>
      <w:r w:rsidRPr="00BD225A">
        <w:rPr>
          <w:bCs/>
          <w:szCs w:val="18"/>
        </w:rPr>
        <w:t xml:space="preserve"> </w:t>
      </w:r>
    </w:p>
    <w:p w:rsidR="007C611B" w:rsidRPr="00BD225A" w:rsidRDefault="007C611B"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1999</w:t>
      </w:r>
      <w:proofErr w:type="gramStart"/>
      <w:r w:rsidRPr="00BD225A">
        <w:rPr>
          <w:bCs/>
          <w:szCs w:val="18"/>
        </w:rPr>
        <w:t xml:space="preserve">, </w:t>
      </w:r>
      <w:proofErr w:type="gramEnd"/>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0">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1">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proofErr w:type="spellStart"/>
      <w:r w:rsidRPr="00BD225A">
        <w:rPr>
          <w:rStyle w:val="FootnoteReference"/>
          <w:szCs w:val="18"/>
          <w:vertAlign w:val="baseline"/>
          <w:lang w:val="es-ES_tradnl"/>
        </w:rPr>
        <w:t>Model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Provisions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for</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National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Laws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Expressions</w:t>
      </w:r>
      <w:proofErr w:type="spellEnd"/>
      <w:r w:rsidRPr="00BD225A">
        <w:rPr>
          <w:rStyle w:val="FootnoteReference"/>
          <w:szCs w:val="18"/>
          <w:vertAlign w:val="baseline"/>
          <w:lang w:val="es-ES_tradnl"/>
        </w:rPr>
        <w:t xml:space="preserve"> of Folklore </w:t>
      </w:r>
      <w:proofErr w:type="spellStart"/>
      <w:r w:rsidRPr="00BD225A">
        <w:rPr>
          <w:rStyle w:val="FootnoteReference"/>
          <w:szCs w:val="18"/>
          <w:vertAlign w:val="baseline"/>
          <w:lang w:val="es-ES_tradnl"/>
        </w:rPr>
        <w:t>against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Illicit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Exploitation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Other</w:t>
      </w:r>
      <w:proofErr w:type="spellEnd"/>
      <w:r w:rsidRPr="00BD225A">
        <w:rPr>
          <w:rStyle w:val="FootnoteReference"/>
          <w:szCs w:val="18"/>
          <w:vertAlign w:val="baseline"/>
          <w:lang w:val="es-ES_tradnl"/>
        </w:rPr>
        <w:t xml:space="preserve"> Prejudicial </w:t>
      </w:r>
      <w:proofErr w:type="spellStart"/>
      <w:r w:rsidRPr="00BD225A">
        <w:rPr>
          <w:rStyle w:val="FootnoteReference"/>
          <w:szCs w:val="18"/>
          <w:vertAlign w:val="baseline"/>
          <w:lang w:val="es-ES_tradnl"/>
        </w:rPr>
        <w:t>Actions</w:t>
      </w:r>
      <w:proofErr w:type="spellEnd"/>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2">
    <w:p w:rsidR="007C611B" w:rsidRPr="00BD225A" w:rsidRDefault="007C611B"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r w:rsidRPr="00BD225A">
        <w:rPr>
          <w:i/>
          <w:szCs w:val="18"/>
          <w:lang w:val="es-ES"/>
        </w:rPr>
        <w:t xml:space="preserve">, </w:t>
      </w:r>
      <w:r w:rsidRPr="00BD225A">
        <w:rPr>
          <w:szCs w:val="18"/>
          <w:lang w:val="es-ES"/>
        </w:rPr>
        <w:t>para. 37.</w:t>
      </w:r>
    </w:p>
  </w:footnote>
  <w:footnote w:id="63">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proofErr w:type="gramStart"/>
      <w:r w:rsidRPr="00BD225A">
        <w:rPr>
          <w:szCs w:val="18"/>
          <w:lang w:val="es-ES"/>
        </w:rPr>
        <w:t xml:space="preserve">ion </w:t>
      </w:r>
      <w:proofErr w:type="gramEnd"/>
      <w:r w:rsidRPr="00BD225A">
        <w:rPr>
          <w:rStyle w:val="FootnoteReference"/>
          <w:szCs w:val="18"/>
          <w:vertAlign w:val="baseline"/>
          <w:lang w:val="es-ES"/>
        </w:rPr>
        <w:t>2</w:t>
      </w:r>
      <w:r w:rsidRPr="00BD225A">
        <w:rPr>
          <w:szCs w:val="18"/>
          <w:lang w:val="es-ES"/>
        </w:rPr>
        <w:t>.</w:t>
      </w:r>
    </w:p>
  </w:footnote>
  <w:footnote w:id="64">
    <w:p w:rsidR="007C611B" w:rsidRPr="00BD225A" w:rsidRDefault="007C611B"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szCs w:val="18"/>
          <w:lang w:val="es-ES"/>
        </w:rPr>
        <w:t>, p. 289.</w:t>
      </w:r>
    </w:p>
  </w:footnote>
  <w:footnote w:id="65">
    <w:p w:rsidR="007C611B" w:rsidRPr="00BD225A" w:rsidRDefault="007C611B"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 xml:space="preserve">WIPO </w:t>
      </w:r>
      <w:proofErr w:type="spellStart"/>
      <w:r w:rsidRPr="00BD225A">
        <w:rPr>
          <w:rStyle w:val="FootnoteReference"/>
          <w:szCs w:val="18"/>
          <w:vertAlign w:val="baseline"/>
          <w:lang w:val="es-ES"/>
        </w:rPr>
        <w:t>Guide</w:t>
      </w:r>
      <w:proofErr w:type="spellEnd"/>
      <w:r w:rsidRPr="00BD225A">
        <w:rPr>
          <w:rStyle w:val="FootnoteReference"/>
          <w:szCs w:val="18"/>
          <w:vertAlign w:val="baseline"/>
          <w:lang w:val="es-ES"/>
        </w:rPr>
        <w:t xml:space="preserve"> to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rStyle w:val="FootnoteReference"/>
          <w:szCs w:val="18"/>
          <w:vertAlign w:val="baseline"/>
          <w:lang w:val="nl-NL"/>
        </w:rPr>
        <w:t>, p. 290</w:t>
      </w:r>
      <w:r w:rsidRPr="00BD225A">
        <w:rPr>
          <w:szCs w:val="18"/>
          <w:lang w:val="nl-NL"/>
        </w:rPr>
        <w:t>.</w:t>
      </w:r>
    </w:p>
  </w:footnote>
  <w:footnote w:id="66">
    <w:p w:rsidR="007C611B" w:rsidRPr="00BD225A" w:rsidRDefault="007C611B"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7">
    <w:p w:rsidR="007C611B" w:rsidRPr="00420EF9" w:rsidRDefault="007C611B"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 xml:space="preserve">Terri </w:t>
        </w:r>
        <w:proofErr w:type="spellStart"/>
        <w:r w:rsidRPr="00420EF9">
          <w:rPr>
            <w:szCs w:val="18"/>
          </w:rPr>
          <w:t>Janke</w:t>
        </w:r>
      </w:smartTag>
      <w:proofErr w:type="spellEnd"/>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8">
    <w:p w:rsidR="007C611B" w:rsidRPr="00420EF9" w:rsidRDefault="007C611B"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 para.</w:t>
      </w:r>
      <w:proofErr w:type="gramEnd"/>
      <w:r w:rsidRPr="00420EF9">
        <w:rPr>
          <w:szCs w:val="18"/>
        </w:rPr>
        <w:t xml:space="preserve"> 50.</w:t>
      </w:r>
    </w:p>
  </w:footnote>
  <w:footnote w:id="69">
    <w:p w:rsidR="007C611B" w:rsidRPr="00772BA5"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Part I, para. 5</w:t>
      </w:r>
      <w:r w:rsidRPr="00772BA5">
        <w:rPr>
          <w:szCs w:val="18"/>
        </w:rPr>
        <w:t>-7.</w:t>
      </w:r>
      <w:proofErr w:type="gramEnd"/>
    </w:p>
  </w:footnote>
  <w:footnote w:id="70">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1">
    <w:p w:rsidR="007C611B" w:rsidRPr="00BD225A" w:rsidRDefault="007C611B"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2">
    <w:p w:rsidR="007C611B" w:rsidRPr="00420EF9" w:rsidRDefault="007C611B"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3">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w:t>
      </w:r>
      <w:proofErr w:type="spellStart"/>
      <w:r w:rsidRPr="00420EF9">
        <w:rPr>
          <w:szCs w:val="18"/>
        </w:rPr>
        <w:t>Yozo</w:t>
      </w:r>
      <w:proofErr w:type="spellEnd"/>
      <w:r w:rsidRPr="00420EF9">
        <w:rPr>
          <w:szCs w:val="18"/>
        </w:rPr>
        <w:t xml:space="preserve"> Yokota and the Saami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4">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 xml:space="preserve">retariat of the Permanent Forum on Indigenous Issues for the Expert Workshop on the </w:t>
      </w:r>
      <w:proofErr w:type="spellStart"/>
      <w:r w:rsidRPr="00420EF9">
        <w:rPr>
          <w:szCs w:val="18"/>
        </w:rPr>
        <w:t>Dissaggregation</w:t>
      </w:r>
      <w:proofErr w:type="spellEnd"/>
      <w:r w:rsidRPr="00420EF9">
        <w:rPr>
          <w:szCs w:val="18"/>
        </w:rPr>
        <w:t xml:space="preserve">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5">
    <w:p w:rsidR="007C611B" w:rsidRPr="00420EF9" w:rsidRDefault="007C611B"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6">
    <w:p w:rsidR="007C611B" w:rsidRPr="00420EF9" w:rsidRDefault="007C611B"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para. </w:t>
      </w:r>
      <w:proofErr w:type="gramStart"/>
      <w:r w:rsidRPr="00420EF9">
        <w:rPr>
          <w:szCs w:val="18"/>
        </w:rPr>
        <w:t>41 of Annex.</w:t>
      </w:r>
      <w:proofErr w:type="gramEnd"/>
    </w:p>
  </w:footnote>
  <w:footnote w:id="77">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8">
    <w:p w:rsidR="007C611B" w:rsidRPr="00C82BBD"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79">
    <w:p w:rsidR="007C611B" w:rsidRPr="00BD225A" w:rsidRDefault="007C611B"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w:t>
      </w:r>
      <w:proofErr w:type="spellStart"/>
      <w:r w:rsidRPr="00BD225A">
        <w:rPr>
          <w:rStyle w:val="FootnoteReference"/>
          <w:szCs w:val="18"/>
          <w:vertAlign w:val="baseline"/>
        </w:rPr>
        <w:t>Henriksen</w:t>
      </w:r>
      <w:proofErr w:type="spellEnd"/>
      <w:r w:rsidRPr="00BD225A">
        <w:rPr>
          <w:rStyle w:val="FootnoteReference"/>
          <w:szCs w:val="18"/>
          <w:vertAlign w:val="baseline"/>
        </w:rPr>
        <w:t>: Key Principles in Implementing ILO Convention No. 169, 2008.</w:t>
      </w:r>
      <w:r w:rsidRPr="00BD225A">
        <w:rPr>
          <w:szCs w:val="18"/>
        </w:rPr>
        <w:t xml:space="preserve"> </w:t>
      </w:r>
    </w:p>
  </w:footnote>
  <w:footnote w:id="80">
    <w:p w:rsidR="007C611B" w:rsidRPr="00420EF9" w:rsidRDefault="007C611B"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 xml:space="preserve">International </w:t>
      </w:r>
      <w:proofErr w:type="spellStart"/>
      <w:r w:rsidRPr="00BD225A">
        <w:rPr>
          <w:rStyle w:val="FootnoteReference"/>
          <w:szCs w:val="18"/>
          <w:vertAlign w:val="baseline"/>
        </w:rPr>
        <w:t>Labour</w:t>
      </w:r>
      <w:proofErr w:type="spellEnd"/>
      <w:r w:rsidRPr="00BD225A">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1">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420EF9">
        <w:rPr>
          <w:iCs/>
          <w:szCs w:val="18"/>
          <w:lang w:val="en-GB"/>
        </w:rPr>
        <w:t>http://www.ifad.org/english/indigenous/documents/ip_policy_e.pdf</w:t>
      </w:r>
      <w:r>
        <w:rPr>
          <w:iCs/>
          <w:szCs w:val="18"/>
          <w:lang w:val="en-GB"/>
        </w:rPr>
        <w:t>.</w:t>
      </w:r>
      <w:proofErr w:type="gramEnd"/>
    </w:p>
  </w:footnote>
  <w:footnote w:id="82">
    <w:p w:rsidR="007C611B" w:rsidRPr="00420EF9" w:rsidRDefault="007C611B"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772BA5">
        <w:rPr>
          <w:iCs/>
          <w:szCs w:val="18"/>
          <w:lang w:val="en-GB"/>
        </w:rPr>
        <w:t>http://www.hreoc.gov.au/social_justice/conference/engaging_communities/unpan021101.pdf</w:t>
      </w:r>
      <w:r>
        <w:rPr>
          <w:iCs/>
          <w:szCs w:val="18"/>
          <w:lang w:val="en-GB"/>
        </w:rPr>
        <w:t>.</w:t>
      </w:r>
      <w:proofErr w:type="gramEnd"/>
    </w:p>
  </w:footnote>
  <w:footnote w:id="83">
    <w:p w:rsidR="007C611B" w:rsidRPr="00420EF9" w:rsidRDefault="007C611B"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4">
    <w:p w:rsidR="007C611B" w:rsidRPr="009A2EAC" w:rsidRDefault="007C611B"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5">
    <w:p w:rsidR="007C611B" w:rsidRPr="009A2EAC"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 xml:space="preserve">Sam </w:t>
      </w:r>
      <w:proofErr w:type="spellStart"/>
      <w:r w:rsidRPr="009A2EAC">
        <w:rPr>
          <w:rStyle w:val="FootnoteReference"/>
          <w:szCs w:val="18"/>
          <w:vertAlign w:val="baseline"/>
        </w:rPr>
        <w:t>Ricketson</w:t>
      </w:r>
      <w:proofErr w:type="spellEnd"/>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6">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para. 133. </w:t>
      </w:r>
    </w:p>
  </w:footnote>
  <w:footnote w:id="87">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8">
    <w:p w:rsidR="007C611B" w:rsidRPr="00420EF9" w:rsidRDefault="007C611B"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89">
    <w:p w:rsidR="007C611B" w:rsidRPr="00420EF9" w:rsidRDefault="007C611B"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0">
    <w:p w:rsidR="007C611B" w:rsidRPr="00BD225A" w:rsidRDefault="007C611B"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1">
    <w:p w:rsidR="007C611B" w:rsidRPr="00420EF9" w:rsidRDefault="007C611B"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92">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3">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94">
    <w:p w:rsidR="007C611B" w:rsidRPr="004C606B"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5">
    <w:p w:rsidR="007C611B" w:rsidRPr="004C606B" w:rsidRDefault="007C611B"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6">
    <w:p w:rsidR="007C611B" w:rsidRPr="004C606B" w:rsidRDefault="007C611B"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 xml:space="preserve">study prepared by Pierre </w:t>
      </w:r>
      <w:proofErr w:type="spellStart"/>
      <w:r w:rsidRPr="004C606B">
        <w:rPr>
          <w:bCs/>
          <w:szCs w:val="18"/>
        </w:rPr>
        <w:t>Sirinelli</w:t>
      </w:r>
      <w:proofErr w:type="spellEnd"/>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7">
    <w:p w:rsidR="007C611B" w:rsidRPr="004C606B" w:rsidRDefault="007C611B"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8">
    <w:p w:rsidR="007C611B" w:rsidRPr="004C606B"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99">
    <w:p w:rsidR="007C611B" w:rsidRPr="00BD225A" w:rsidRDefault="007C611B"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0">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1">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2">
    <w:p w:rsidR="007C611B" w:rsidRPr="00420EF9" w:rsidRDefault="007C611B"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3">
    <w:p w:rsidR="007C611B" w:rsidRPr="00420EF9" w:rsidRDefault="007C611B"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4">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5">
    <w:p w:rsidR="007C611B" w:rsidRPr="00420EF9" w:rsidRDefault="007C611B"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6">
    <w:p w:rsidR="007C611B" w:rsidRPr="00420EF9" w:rsidRDefault="007C611B"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7">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8">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09">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0">
    <w:p w:rsidR="007C611B" w:rsidRPr="00BD225A" w:rsidRDefault="007C611B"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1">
    <w:p w:rsidR="007C611B" w:rsidRPr="00420EF9" w:rsidRDefault="007C611B"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2">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3">
    <w:p w:rsidR="007C611B" w:rsidRPr="00BD225A" w:rsidRDefault="007C611B"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4">
    <w:p w:rsidR="007C611B" w:rsidRPr="00420EF9" w:rsidRDefault="007C611B"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para. 32</w:t>
      </w:r>
    </w:p>
  </w:footnote>
  <w:footnote w:id="115">
    <w:p w:rsidR="007C611B" w:rsidRPr="00BD225A" w:rsidRDefault="007C611B"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Daniel Gervais,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6">
    <w:p w:rsidR="007C611B" w:rsidRPr="00BD225A" w:rsidRDefault="007C611B"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7">
    <w:p w:rsidR="007C611B" w:rsidRPr="00420EF9" w:rsidRDefault="007C611B"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8">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19">
    <w:p w:rsidR="007C611B" w:rsidRPr="00420EF9" w:rsidRDefault="007C611B"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20">
    <w:p w:rsidR="007C611B" w:rsidRPr="00420EF9" w:rsidRDefault="007C611B"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316BB8">
      <w:pPr>
        <w:pStyle w:val="FootnoteText"/>
        <w:ind w:left="550"/>
        <w:rPr>
          <w:szCs w:val="18"/>
        </w:rPr>
      </w:pPr>
      <w:proofErr w:type="gramStart"/>
      <w:r w:rsidRPr="00420EF9">
        <w:rPr>
          <w:szCs w:val="18"/>
        </w:rPr>
        <w:t>para</w:t>
      </w:r>
      <w:proofErr w:type="gramEnd"/>
      <w:r w:rsidRPr="00420EF9">
        <w:rPr>
          <w:szCs w:val="18"/>
        </w:rPr>
        <w:t>. 37.</w:t>
      </w:r>
    </w:p>
  </w:footnote>
  <w:footnote w:id="121">
    <w:p w:rsidR="007C611B" w:rsidRPr="00BD225A" w:rsidRDefault="007C611B"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2">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3">
    <w:p w:rsidR="007C611B" w:rsidRPr="00BD225A" w:rsidRDefault="007C611B"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w:t>
      </w:r>
      <w:proofErr w:type="spellStart"/>
      <w:r w:rsidRPr="00BD225A">
        <w:rPr>
          <w:rStyle w:val="FootnoteReference"/>
          <w:szCs w:val="18"/>
          <w:vertAlign w:val="baseline"/>
        </w:rPr>
        <w:t>Xanthaki</w:t>
      </w:r>
      <w:proofErr w:type="spellEnd"/>
      <w:r w:rsidRPr="00BD225A">
        <w:rPr>
          <w:rStyle w:val="FootnoteReference"/>
          <w:szCs w:val="18"/>
          <w:vertAlign w:val="baseline"/>
        </w:rPr>
        <w:t xml:space="preserve">,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4">
    <w:p w:rsidR="007C611B" w:rsidRPr="00420EF9" w:rsidRDefault="007C611B"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5">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para 5.1</w:t>
      </w:r>
      <w:r>
        <w:rPr>
          <w:szCs w:val="18"/>
        </w:rPr>
        <w:t>.</w:t>
      </w:r>
    </w:p>
  </w:footnote>
  <w:footnote w:id="12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7C611B" w:rsidRPr="00420EF9" w:rsidRDefault="007C611B" w:rsidP="00CF0EF8">
      <w:pPr>
        <w:pStyle w:val="FootnoteText"/>
        <w:ind w:left="499"/>
        <w:rPr>
          <w:szCs w:val="18"/>
          <w:lang w:val="es-ES"/>
        </w:rPr>
      </w:pPr>
      <w:r w:rsidRPr="00420EF9">
        <w:rPr>
          <w:szCs w:val="18"/>
          <w:lang w:val="es-ES"/>
        </w:rPr>
        <w:t>para. 20.</w:t>
      </w:r>
    </w:p>
  </w:footnote>
  <w:footnote w:id="127">
    <w:p w:rsidR="007C611B" w:rsidRPr="00420EF9" w:rsidRDefault="007C611B"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2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para.</w:t>
      </w:r>
      <w:proofErr w:type="gramEnd"/>
      <w:r w:rsidRPr="00420EF9">
        <w:rPr>
          <w:szCs w:val="18"/>
        </w:rPr>
        <w:t xml:space="preserve"> 28.</w:t>
      </w:r>
    </w:p>
  </w:footnote>
  <w:footnote w:id="130">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1">
    <w:p w:rsidR="007C611B" w:rsidRPr="00420EF9" w:rsidRDefault="007C611B"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6">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7">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8">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39">
    <w:p w:rsidR="007C611B" w:rsidRPr="00CF0EF8" w:rsidRDefault="007C611B"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7C611B" w:rsidRPr="00420EF9" w:rsidRDefault="007C611B"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1">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2">
    <w:p w:rsidR="007C611B" w:rsidRPr="004E73B1" w:rsidRDefault="007C611B"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 xml:space="preserve">Sam </w:t>
      </w:r>
      <w:proofErr w:type="spellStart"/>
      <w:r w:rsidRPr="004E73B1">
        <w:rPr>
          <w:rStyle w:val="FootnoteReference"/>
          <w:szCs w:val="18"/>
          <w:vertAlign w:val="baseline"/>
        </w:rPr>
        <w:t>Ricketson</w:t>
      </w:r>
      <w:proofErr w:type="spellEnd"/>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3">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Daniel J. Gervais,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4">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5">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6">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7C611B" w:rsidRPr="00420EF9" w:rsidRDefault="007C611B" w:rsidP="00CF0EF8">
      <w:pPr>
        <w:pStyle w:val="FootnoteText"/>
        <w:ind w:left="499"/>
        <w:rPr>
          <w:szCs w:val="18"/>
        </w:rPr>
      </w:pPr>
      <w:r w:rsidRPr="00420EF9">
        <w:rPr>
          <w:szCs w:val="18"/>
        </w:rPr>
        <w:t>p. 23 of Annex I, pages 11 and 16 of Annex II</w:t>
      </w:r>
      <w:r>
        <w:rPr>
          <w:szCs w:val="18"/>
        </w:rPr>
        <w:t>.</w:t>
      </w:r>
    </w:p>
  </w:footnote>
  <w:footnote w:id="149">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0">
    <w:p w:rsidR="007C611B" w:rsidRPr="004E73B1" w:rsidRDefault="007C611B"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2">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3">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4">
    <w:p w:rsidR="007C611B" w:rsidRPr="00420EF9" w:rsidRDefault="007C611B"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5">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6">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7">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Nino </w:t>
      </w:r>
      <w:proofErr w:type="spellStart"/>
      <w:r w:rsidRPr="00420EF9">
        <w:rPr>
          <w:szCs w:val="18"/>
        </w:rPr>
        <w:t>Pires</w:t>
      </w:r>
      <w:proofErr w:type="spellEnd"/>
      <w:r w:rsidRPr="00420EF9">
        <w:rPr>
          <w:szCs w:val="18"/>
        </w:rPr>
        <w:t xml:space="preserve"> de </w:t>
      </w:r>
      <w:proofErr w:type="spellStart"/>
      <w:r w:rsidRPr="00420EF9">
        <w:rPr>
          <w:szCs w:val="18"/>
        </w:rPr>
        <w:t>Carvalho</w:t>
      </w:r>
      <w:proofErr w:type="spellEnd"/>
      <w:r w:rsidRPr="00420EF9">
        <w:rPr>
          <w:szCs w:val="18"/>
        </w:rPr>
        <w:t>,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8">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Protection of Traditional Cultural Expressions,</w:t>
      </w:r>
      <w:r w:rsidR="00F902F6">
        <w:rPr>
          <w:szCs w:val="18"/>
        </w:rPr>
        <w:t xml:space="preserve"> WIPO/GRTKF/IC/5/3, </w:t>
      </w:r>
      <w:proofErr w:type="gramStart"/>
      <w:r w:rsidR="00F902F6">
        <w:rPr>
          <w:szCs w:val="18"/>
        </w:rPr>
        <w:t>para</w:t>
      </w:r>
      <w:proofErr w:type="gramEnd"/>
      <w:r w:rsidR="00F902F6">
        <w:rPr>
          <w:szCs w:val="18"/>
        </w:rPr>
        <w:t>. </w:t>
      </w:r>
      <w:r w:rsidRPr="00420EF9">
        <w:rPr>
          <w:szCs w:val="18"/>
        </w:rPr>
        <w:t>53</w:t>
      </w:r>
      <w:r>
        <w:rPr>
          <w:szCs w:val="18"/>
        </w:rPr>
        <w:t>.</w:t>
      </w:r>
    </w:p>
  </w:footnote>
  <w:footnote w:id="159">
    <w:p w:rsidR="007C611B" w:rsidRPr="004E73B1" w:rsidRDefault="007C611B"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0">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Elements of a Sui Generis System for the Protection of Traditional Knowledge (WIPO/GRTKF/IC/4/8), para.</w:t>
      </w:r>
      <w:proofErr w:type="gramEnd"/>
      <w:r w:rsidRPr="00420EF9">
        <w:rPr>
          <w:szCs w:val="18"/>
        </w:rPr>
        <w:t xml:space="preserve"> 27</w:t>
      </w:r>
      <w:r>
        <w:rPr>
          <w:szCs w:val="18"/>
        </w:rPr>
        <w:t>.</w:t>
      </w:r>
    </w:p>
  </w:footnote>
  <w:footnote w:id="161">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gramStart"/>
      <w:r w:rsidRPr="00420EF9">
        <w:rPr>
          <w:szCs w:val="18"/>
        </w:rPr>
        <w:t>para</w:t>
      </w:r>
      <w:proofErr w:type="gramEnd"/>
      <w:r w:rsidRPr="00420EF9">
        <w:rPr>
          <w:szCs w:val="18"/>
        </w:rPr>
        <w:t>. 54</w:t>
      </w:r>
      <w:r>
        <w:rPr>
          <w:szCs w:val="18"/>
        </w:rPr>
        <w:t>.</w:t>
      </w:r>
    </w:p>
  </w:footnote>
  <w:footnote w:id="162">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3">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spellStart"/>
      <w:r w:rsidRPr="00420EF9">
        <w:rPr>
          <w:szCs w:val="18"/>
        </w:rPr>
        <w:t>Fikret</w:t>
      </w:r>
      <w:proofErr w:type="spellEnd"/>
      <w:r w:rsidRPr="00420EF9">
        <w:rPr>
          <w:szCs w:val="18"/>
        </w:rPr>
        <w:t xml:space="preserve"> </w:t>
      </w:r>
      <w:proofErr w:type="spellStart"/>
      <w:r w:rsidRPr="00420EF9">
        <w:rPr>
          <w:szCs w:val="18"/>
        </w:rPr>
        <w:t>Berkes</w:t>
      </w:r>
      <w:proofErr w:type="spellEnd"/>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4">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5">
    <w:p w:rsidR="007C611B" w:rsidRPr="00420EF9" w:rsidRDefault="007C611B"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6">
    <w:p w:rsidR="007C611B" w:rsidRPr="00420EF9" w:rsidRDefault="007C611B"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7">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8">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proofErr w:type="gramStart"/>
      <w:r>
        <w:rPr>
          <w:szCs w:val="18"/>
        </w:rPr>
        <w:t>,</w:t>
      </w:r>
      <w:r w:rsidRPr="00420EF9">
        <w:rPr>
          <w:szCs w:val="18"/>
        </w:rPr>
        <w:t>paras</w:t>
      </w:r>
      <w:proofErr w:type="gramEnd"/>
      <w:r w:rsidRPr="00420EF9">
        <w:rPr>
          <w:szCs w:val="18"/>
        </w:rPr>
        <w:t xml:space="preserve">. </w:t>
      </w:r>
      <w:proofErr w:type="gramStart"/>
      <w:r w:rsidRPr="00420EF9">
        <w:rPr>
          <w:szCs w:val="18"/>
        </w:rPr>
        <w:t>43 and 44 of Annex</w:t>
      </w:r>
      <w:r>
        <w:rPr>
          <w:szCs w:val="18"/>
        </w:rPr>
        <w:t>.</w:t>
      </w:r>
      <w:proofErr w:type="gramEnd"/>
    </w:p>
  </w:footnote>
  <w:footnote w:id="169">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0">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1">
    <w:p w:rsidR="007C611B" w:rsidRPr="00420EF9" w:rsidRDefault="007C611B"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2">
    <w:p w:rsidR="007C611B" w:rsidRPr="00420EF9" w:rsidRDefault="007C611B"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3">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4">
    <w:p w:rsidR="007C611B" w:rsidRPr="00420EF9" w:rsidRDefault="007C611B"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5">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6">
    <w:p w:rsidR="007C611B" w:rsidRPr="00420EF9" w:rsidRDefault="007C611B"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gramStart"/>
      <w:r w:rsidRPr="00420EF9">
        <w:rPr>
          <w:szCs w:val="18"/>
        </w:rPr>
        <w:t>para</w:t>
      </w:r>
      <w:proofErr w:type="gramEnd"/>
      <w:r w:rsidRPr="00420EF9">
        <w:rPr>
          <w:szCs w:val="18"/>
        </w:rPr>
        <w:t>. 57</w:t>
      </w:r>
      <w:r>
        <w:rPr>
          <w:szCs w:val="18"/>
        </w:rPr>
        <w:t>.</w:t>
      </w:r>
    </w:p>
  </w:footnote>
  <w:footnote w:id="177">
    <w:p w:rsidR="007C611B" w:rsidRPr="004E73B1" w:rsidRDefault="007C611B"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Daniel Gervais,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8">
    <w:p w:rsidR="007C611B" w:rsidRPr="00D352A1" w:rsidRDefault="007C611B"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Intellectual Property Organization Traditional</w:t>
      </w:r>
      <w:r w:rsidRPr="00420EF9">
        <w:rPr>
          <w:szCs w:val="18"/>
        </w:rPr>
        <w:t xml:space="preserve"> Knowledge</w:t>
      </w:r>
      <w:r>
        <w:rPr>
          <w:szCs w:val="18"/>
        </w:rPr>
        <w:t xml:space="preserve"> Documentation Toolkit – Consultation Draft is available at:  </w:t>
      </w:r>
      <w:hyperlink r:id="rId2" w:history="1">
        <w:r w:rsidRPr="00E13FAB">
          <w:rPr>
            <w:rStyle w:val="Hyperlink"/>
            <w:color w:val="auto"/>
            <w:szCs w:val="18"/>
            <w:u w:val="none"/>
          </w:rPr>
          <w:t>http://www.wipo.int/tk/en/resources/tkdocumentation.html</w:t>
        </w:r>
      </w:hyperlink>
      <w:r>
        <w:rPr>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7C" w:rsidRDefault="00550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B64E92">
    <w:pPr>
      <w:pStyle w:val="Header"/>
      <w:jc w:val="right"/>
    </w:pPr>
    <w:r>
      <w:t>WIPO/GRTKF/IC/</w:t>
    </w:r>
    <w:r w:rsidR="002B50B4">
      <w:t>30</w:t>
    </w:r>
    <w:r>
      <w:t>/INF/7</w:t>
    </w:r>
  </w:p>
  <w:p w:rsidR="007C611B" w:rsidRDefault="007C611B"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37426F">
      <w:rPr>
        <w:rStyle w:val="PageNumber"/>
        <w:noProof/>
      </w:rPr>
      <w:t>2</w:t>
    </w:r>
    <w:r>
      <w:rPr>
        <w:rStyle w:val="PageNumber"/>
      </w:rPr>
      <w:fldChar w:fldCharType="end"/>
    </w:r>
  </w:p>
  <w:p w:rsidR="007C611B" w:rsidRDefault="007C611B"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87C" w:rsidRDefault="005508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2B50B4">
      <w:t>30</w:t>
    </w:r>
    <w:r>
      <w:t>/INF/7</w:t>
    </w:r>
  </w:p>
  <w:p w:rsidR="007C611B" w:rsidRDefault="007C611B"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37426F">
      <w:rPr>
        <w:rStyle w:val="PageNumber"/>
        <w:noProof/>
      </w:rPr>
      <w:t>46</w:t>
    </w:r>
    <w:r>
      <w:rPr>
        <w:rStyle w:val="PageNumber"/>
      </w:rPr>
      <w:fldChar w:fldCharType="end"/>
    </w:r>
  </w:p>
  <w:p w:rsidR="007C611B" w:rsidRDefault="007C611B" w:rsidP="0074301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Default="007C611B" w:rsidP="00A610A6">
    <w:pPr>
      <w:pStyle w:val="Header"/>
      <w:jc w:val="right"/>
    </w:pPr>
    <w:r>
      <w:t>WIPO/GRTKF/IC/</w:t>
    </w:r>
    <w:r w:rsidR="002B50B4">
      <w:t>30</w:t>
    </w:r>
    <w:r>
      <w:t>/INF/7</w:t>
    </w:r>
  </w:p>
  <w:p w:rsidR="007C611B" w:rsidRDefault="007C611B" w:rsidP="006B30AB">
    <w:pPr>
      <w:pStyle w:val="Header"/>
      <w:jc w:val="right"/>
    </w:pPr>
    <w:r>
      <w:t>ANNEX</w:t>
    </w:r>
  </w:p>
  <w:p w:rsidR="007C611B" w:rsidRDefault="007C611B"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9"/>
  </w:num>
  <w:num w:numId="6">
    <w:abstractNumId w:val="7"/>
  </w:num>
  <w:num w:numId="7">
    <w:abstractNumId w:val="13"/>
  </w:num>
  <w:num w:numId="8">
    <w:abstractNumId w:val="6"/>
  </w:num>
  <w:num w:numId="9">
    <w:abstractNumId w:val="0"/>
  </w:num>
  <w:num w:numId="10">
    <w:abstractNumId w:val="2"/>
  </w:num>
  <w:num w:numId="11">
    <w:abstractNumId w:val="12"/>
  </w:num>
  <w:num w:numId="12">
    <w:abstractNumId w:val="8"/>
  </w:num>
  <w:num w:numId="13">
    <w:abstractNumId w:val="14"/>
  </w:num>
  <w:num w:numId="14">
    <w:abstractNumId w:val="15"/>
  </w:num>
  <w:num w:numId="15">
    <w:abstractNumId w:val="11"/>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3DFC"/>
    <w:rsid w:val="00124610"/>
    <w:rsid w:val="001329AF"/>
    <w:rsid w:val="001362EE"/>
    <w:rsid w:val="00143933"/>
    <w:rsid w:val="0014403B"/>
    <w:rsid w:val="00145714"/>
    <w:rsid w:val="0014576C"/>
    <w:rsid w:val="00146A19"/>
    <w:rsid w:val="00155F25"/>
    <w:rsid w:val="001718B7"/>
    <w:rsid w:val="00174ABB"/>
    <w:rsid w:val="001801D6"/>
    <w:rsid w:val="001832A6"/>
    <w:rsid w:val="001851D8"/>
    <w:rsid w:val="0018544D"/>
    <w:rsid w:val="00191B2F"/>
    <w:rsid w:val="001A5A5F"/>
    <w:rsid w:val="001B24F5"/>
    <w:rsid w:val="001B6E41"/>
    <w:rsid w:val="001D6663"/>
    <w:rsid w:val="001D7245"/>
    <w:rsid w:val="001E13A9"/>
    <w:rsid w:val="001E39EE"/>
    <w:rsid w:val="001E737D"/>
    <w:rsid w:val="001F49E1"/>
    <w:rsid w:val="001F4A49"/>
    <w:rsid w:val="001F57D0"/>
    <w:rsid w:val="001F622B"/>
    <w:rsid w:val="001F779A"/>
    <w:rsid w:val="0020191A"/>
    <w:rsid w:val="0021693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087C"/>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C227F"/>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tk/en/resources/tkdocumentation.html" TargetMode="External"/><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1B53-307C-402F-8F89-A9104E26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20809</Words>
  <Characters>122598</Characters>
  <Application>Microsoft Office Word</Application>
  <DocSecurity>0</DocSecurity>
  <Lines>1021</Lines>
  <Paragraphs>286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143121</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4</cp:revision>
  <cp:lastPrinted>2016-03-03T14:25:00Z</cp:lastPrinted>
  <dcterms:created xsi:type="dcterms:W3CDTF">2016-03-03T13:19:00Z</dcterms:created>
  <dcterms:modified xsi:type="dcterms:W3CDTF">2016-03-03T14:25:00Z</dcterms:modified>
</cp:coreProperties>
</file>