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F762B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5F762B">
              <w:rPr>
                <w:rFonts w:ascii="Arial Black" w:hAnsi="Arial Black"/>
                <w:caps/>
                <w:sz w:val="15"/>
              </w:rPr>
              <w:t>WIPO/GRTKF/IC/34/7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5F762B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859BC">
              <w:rPr>
                <w:rFonts w:ascii="Arial Black" w:hAnsi="Arial Black"/>
                <w:caps/>
                <w:sz w:val="15"/>
              </w:rPr>
              <w:t>March 14</w:t>
            </w:r>
            <w:r w:rsidR="005F762B">
              <w:rPr>
                <w:rFonts w:ascii="Arial Black" w:hAnsi="Arial Black"/>
                <w:caps/>
                <w:sz w:val="15"/>
              </w:rPr>
              <w:t>, 2017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5F762B" w:rsidP="003845C1">
      <w:r w:rsidRPr="0055376C">
        <w:rPr>
          <w:b/>
          <w:sz w:val="28"/>
          <w:szCs w:val="28"/>
        </w:rPr>
        <w:t>Intergovernmental Committee on Intellectual</w:t>
      </w:r>
      <w:r>
        <w:rPr>
          <w:b/>
          <w:sz w:val="28"/>
          <w:szCs w:val="28"/>
        </w:rPr>
        <w:t xml:space="preserve"> Property and Genetic Resources, </w:t>
      </w:r>
      <w:r w:rsidRPr="0055376C">
        <w:rPr>
          <w:b/>
          <w:sz w:val="28"/>
          <w:szCs w:val="28"/>
        </w:rPr>
        <w:t>Traditional Knowledge and Folklore</w:t>
      </w:r>
    </w:p>
    <w:p w:rsidR="003845C1" w:rsidRDefault="003845C1" w:rsidP="003845C1"/>
    <w:p w:rsidR="005F762B" w:rsidRPr="003845C1" w:rsidRDefault="005F762B" w:rsidP="005F76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Thirty-Fourth </w:t>
      </w:r>
      <w:proofErr w:type="gramStart"/>
      <w:r>
        <w:rPr>
          <w:b/>
          <w:sz w:val="24"/>
          <w:szCs w:val="24"/>
        </w:rPr>
        <w:t>Session</w:t>
      </w:r>
      <w:proofErr w:type="gramEnd"/>
    </w:p>
    <w:p w:rsidR="005F762B" w:rsidRPr="003845C1" w:rsidRDefault="005F762B" w:rsidP="005F762B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June 12 to 16, 2017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F762B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Indicative list of outstanding/pending issues to be </w:t>
      </w:r>
      <w:proofErr w:type="gramStart"/>
      <w:r>
        <w:rPr>
          <w:caps/>
          <w:sz w:val="24"/>
        </w:rPr>
        <w:t>tackled/solved</w:t>
      </w:r>
      <w:proofErr w:type="gramEnd"/>
    </w:p>
    <w:p w:rsidR="008B2CC1" w:rsidRPr="008B2CC1" w:rsidRDefault="008B2CC1" w:rsidP="008B2CC1"/>
    <w:p w:rsidR="008B2CC1" w:rsidRPr="008B2CC1" w:rsidRDefault="005F762B" w:rsidP="008B2CC1">
      <w:pPr>
        <w:rPr>
          <w:i/>
        </w:rPr>
      </w:pPr>
      <w:bookmarkStart w:id="5" w:name="Prepared"/>
      <w:bookmarkEnd w:id="5"/>
      <w:r>
        <w:rPr>
          <w:i/>
        </w:rPr>
        <w:t xml:space="preserve">Document prepared by the Secretariat </w:t>
      </w:r>
    </w:p>
    <w:p w:rsidR="00AC205C" w:rsidRDefault="00AC205C"/>
    <w:p w:rsidR="005F762B" w:rsidRDefault="005F762B"/>
    <w:p w:rsidR="005F762B" w:rsidRDefault="005F762B"/>
    <w:p w:rsidR="005F762B" w:rsidRDefault="005F762B"/>
    <w:p w:rsidR="005F762B" w:rsidRDefault="005F762B"/>
    <w:p w:rsidR="005F762B" w:rsidRDefault="005F762B">
      <w:pPr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>
        <w:rPr>
          <w:szCs w:val="22"/>
        </w:rPr>
        <w:t xml:space="preserve">At its Thirty-Third Session, held from February 27 to March 3, 2017, the </w:t>
      </w:r>
      <w:r w:rsidRPr="00012DA6">
        <w:rPr>
          <w:szCs w:val="22"/>
        </w:rPr>
        <w:t>WIPO Intergovernmental Committee on Intellectual Property and Genetic Resources, Traditional Knowledge and Folklore (</w:t>
      </w:r>
      <w:r>
        <w:rPr>
          <w:szCs w:val="22"/>
        </w:rPr>
        <w:t>“</w:t>
      </w:r>
      <w:r w:rsidRPr="00012DA6">
        <w:rPr>
          <w:szCs w:val="22"/>
        </w:rPr>
        <w:t xml:space="preserve">the </w:t>
      </w:r>
      <w:r>
        <w:rPr>
          <w:szCs w:val="22"/>
        </w:rPr>
        <w:t>Committee”) decided to transmit to its Thirty-Fourth Session an “Indicative List of Outstanding/Pending Issues to be Tackled/Solved at the Next Session”</w:t>
      </w:r>
      <w:r w:rsidRPr="00B86E49">
        <w:rPr>
          <w:szCs w:val="22"/>
        </w:rPr>
        <w:t xml:space="preserve"> </w:t>
      </w:r>
      <w:r>
        <w:rPr>
          <w:szCs w:val="22"/>
        </w:rPr>
        <w:br/>
        <w:t>(“the List”), which was annexed to the Decisions of the Thirty-Third Session of the Committee.</w:t>
      </w:r>
    </w:p>
    <w:p w:rsidR="005F762B" w:rsidRDefault="005F762B">
      <w:pPr>
        <w:rPr>
          <w:szCs w:val="22"/>
        </w:rPr>
      </w:pPr>
    </w:p>
    <w:p w:rsidR="005F762B" w:rsidRDefault="005F762B">
      <w:pPr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>
        <w:rPr>
          <w:szCs w:val="22"/>
        </w:rPr>
        <w:t>Pursuant to the decision above, the List is annexed to the present document.</w:t>
      </w:r>
    </w:p>
    <w:p w:rsidR="005F762B" w:rsidRDefault="005F762B">
      <w:pPr>
        <w:rPr>
          <w:szCs w:val="22"/>
        </w:rPr>
      </w:pPr>
    </w:p>
    <w:p w:rsidR="005F762B" w:rsidRPr="00196D1F" w:rsidRDefault="005F762B" w:rsidP="005F762B">
      <w:pPr>
        <w:pStyle w:val="ONUME"/>
        <w:numPr>
          <w:ilvl w:val="0"/>
          <w:numId w:val="0"/>
        </w:numPr>
        <w:ind w:left="5580"/>
        <w:rPr>
          <w:szCs w:val="22"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  <w:t xml:space="preserve">The Committee is invited to take note of the List contained in the Annex. </w:t>
      </w:r>
    </w:p>
    <w:p w:rsidR="005F762B" w:rsidRDefault="005F762B"/>
    <w:p w:rsidR="008B5183" w:rsidRDefault="008B5183" w:rsidP="005F762B">
      <w:pPr>
        <w:ind w:left="5013" w:firstLine="567"/>
        <w:sectPr w:rsidR="008B5183" w:rsidSect="005F762B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[Annex follows]</w:t>
      </w:r>
    </w:p>
    <w:p w:rsidR="002928D3" w:rsidRDefault="002928D3"/>
    <w:p w:rsidR="00BF05FE" w:rsidRDefault="00BF05FE"/>
    <w:p w:rsidR="00BF05FE" w:rsidRDefault="00BF05FE" w:rsidP="00BF05FE">
      <w:pPr>
        <w:tabs>
          <w:tab w:val="left" w:pos="1710"/>
        </w:tabs>
        <w:jc w:val="center"/>
        <w:rPr>
          <w:b/>
          <w:color w:val="000000"/>
          <w:szCs w:val="22"/>
        </w:rPr>
      </w:pPr>
      <w:r w:rsidRPr="00FE6C6B">
        <w:rPr>
          <w:b/>
          <w:color w:val="000000"/>
          <w:szCs w:val="22"/>
        </w:rPr>
        <w:t>ANNEX</w:t>
      </w:r>
    </w:p>
    <w:p w:rsidR="00BF05FE" w:rsidRPr="00FE6C6B" w:rsidRDefault="00BF05FE" w:rsidP="00BF05FE">
      <w:pPr>
        <w:tabs>
          <w:tab w:val="left" w:pos="1710"/>
        </w:tabs>
        <w:jc w:val="center"/>
        <w:rPr>
          <w:b/>
          <w:color w:val="000000"/>
          <w:szCs w:val="22"/>
        </w:rPr>
      </w:pPr>
    </w:p>
    <w:p w:rsidR="00BF05FE" w:rsidRDefault="00BF05FE" w:rsidP="00BF05FE">
      <w:pPr>
        <w:tabs>
          <w:tab w:val="left" w:pos="1710"/>
        </w:tabs>
        <w:jc w:val="center"/>
        <w:rPr>
          <w:b/>
          <w:color w:val="000000"/>
          <w:szCs w:val="22"/>
          <w:lang w:val="en-GB"/>
        </w:rPr>
      </w:pPr>
      <w:r w:rsidRPr="00FE6C6B">
        <w:rPr>
          <w:b/>
          <w:color w:val="000000"/>
          <w:szCs w:val="22"/>
          <w:lang w:val="en-GB"/>
        </w:rPr>
        <w:t>Indicative List of Outstanding/Pending Issues</w:t>
      </w:r>
    </w:p>
    <w:p w:rsidR="00BF05FE" w:rsidRPr="00FE6C6B" w:rsidRDefault="00BF05FE" w:rsidP="00BF05FE">
      <w:pPr>
        <w:tabs>
          <w:tab w:val="left" w:pos="1710"/>
        </w:tabs>
        <w:jc w:val="center"/>
        <w:rPr>
          <w:b/>
          <w:color w:val="000000"/>
          <w:szCs w:val="22"/>
          <w:lang w:val="en-GB"/>
        </w:rPr>
      </w:pPr>
      <w:proofErr w:type="gramStart"/>
      <w:r w:rsidRPr="00FE6C6B">
        <w:rPr>
          <w:b/>
          <w:color w:val="000000"/>
          <w:szCs w:val="22"/>
          <w:lang w:val="en-GB"/>
        </w:rPr>
        <w:t>to</w:t>
      </w:r>
      <w:proofErr w:type="gramEnd"/>
      <w:r w:rsidRPr="00FE6C6B">
        <w:rPr>
          <w:b/>
          <w:color w:val="000000"/>
          <w:szCs w:val="22"/>
          <w:lang w:val="en-GB"/>
        </w:rPr>
        <w:t xml:space="preserve"> be Tackled/Solved</w:t>
      </w:r>
      <w:r>
        <w:rPr>
          <w:b/>
          <w:color w:val="000000"/>
          <w:szCs w:val="22"/>
          <w:lang w:val="en-GB"/>
        </w:rPr>
        <w:t xml:space="preserve"> at the Next Session</w:t>
      </w:r>
    </w:p>
    <w:p w:rsidR="00BF05FE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>Policy objectives</w:t>
      </w:r>
    </w:p>
    <w:p w:rsidR="00BF05FE" w:rsidRPr="00D012AD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ind w:left="360"/>
        <w:rPr>
          <w:szCs w:val="22"/>
        </w:rPr>
      </w:pPr>
      <w:r w:rsidRPr="00D012AD">
        <w:rPr>
          <w:szCs w:val="22"/>
        </w:rPr>
        <w:t>The use of the terms “misappropriation” and/or “[misuse]</w:t>
      </w:r>
      <w:proofErr w:type="gramStart"/>
      <w:r w:rsidRPr="00D012AD">
        <w:rPr>
          <w:szCs w:val="22"/>
        </w:rPr>
        <w:t>/[</w:t>
      </w:r>
      <w:proofErr w:type="gramEnd"/>
      <w:r w:rsidRPr="00D012AD">
        <w:rPr>
          <w:szCs w:val="22"/>
        </w:rPr>
        <w:t>unlawful appropriation]”.</w:t>
      </w:r>
    </w:p>
    <w:p w:rsidR="00BF05FE" w:rsidRPr="00D012AD" w:rsidRDefault="00BF05FE" w:rsidP="00BF05FE">
      <w:pPr>
        <w:ind w:left="360"/>
        <w:rPr>
          <w:szCs w:val="22"/>
        </w:rPr>
      </w:pPr>
    </w:p>
    <w:p w:rsidR="00BF05FE" w:rsidRPr="00D012AD" w:rsidRDefault="00BF05FE" w:rsidP="00BF05FE">
      <w:pPr>
        <w:ind w:left="360"/>
        <w:rPr>
          <w:szCs w:val="22"/>
        </w:rPr>
      </w:pPr>
      <w:proofErr w:type="gramStart"/>
      <w:r w:rsidRPr="00D012AD">
        <w:rPr>
          <w:szCs w:val="22"/>
        </w:rPr>
        <w:t>The recognition of rights already acquired by third parties.</w:t>
      </w:r>
      <w:proofErr w:type="gramEnd"/>
    </w:p>
    <w:p w:rsidR="00BF05FE" w:rsidRPr="00D012AD" w:rsidRDefault="00BF05FE" w:rsidP="00BF05FE">
      <w:pPr>
        <w:rPr>
          <w:szCs w:val="22"/>
        </w:rPr>
      </w:pPr>
    </w:p>
    <w:p w:rsidR="00BF05FE" w:rsidRDefault="00BF05FE" w:rsidP="00BF05FE">
      <w:pPr>
        <w:numPr>
          <w:ilvl w:val="0"/>
          <w:numId w:val="8"/>
        </w:numPr>
        <w:rPr>
          <w:b/>
          <w:szCs w:val="22"/>
        </w:rPr>
      </w:pPr>
      <w:r>
        <w:rPr>
          <w:b/>
          <w:szCs w:val="22"/>
        </w:rPr>
        <w:t>Subject matter</w:t>
      </w:r>
    </w:p>
    <w:p w:rsidR="00BF05FE" w:rsidRDefault="00BF05FE" w:rsidP="00BF05FE">
      <w:pPr>
        <w:ind w:left="360"/>
        <w:rPr>
          <w:szCs w:val="22"/>
        </w:rPr>
      </w:pPr>
    </w:p>
    <w:p w:rsidR="00BF05FE" w:rsidRPr="009B6C8C" w:rsidRDefault="00BF05FE" w:rsidP="00BF05FE">
      <w:pPr>
        <w:ind w:left="360"/>
        <w:rPr>
          <w:szCs w:val="22"/>
        </w:rPr>
      </w:pPr>
      <w:r w:rsidRPr="009B6C8C">
        <w:rPr>
          <w:szCs w:val="22"/>
        </w:rPr>
        <w:t xml:space="preserve">If and where to include criteria for eligibility. </w:t>
      </w:r>
    </w:p>
    <w:p w:rsidR="00BF05FE" w:rsidRPr="009B6C8C" w:rsidRDefault="00BF05FE" w:rsidP="00BF05FE">
      <w:pPr>
        <w:ind w:left="360"/>
        <w:rPr>
          <w:szCs w:val="22"/>
        </w:rPr>
      </w:pPr>
    </w:p>
    <w:p w:rsidR="00BF05FE" w:rsidRPr="009B6C8C" w:rsidRDefault="00BF05FE" w:rsidP="00BF05FE">
      <w:pPr>
        <w:ind w:left="360"/>
        <w:rPr>
          <w:szCs w:val="22"/>
        </w:rPr>
      </w:pPr>
      <w:proofErr w:type="gramStart"/>
      <w:r w:rsidRPr="009B6C8C">
        <w:rPr>
          <w:szCs w:val="22"/>
        </w:rPr>
        <w:t>The reference to a time period that the TCEs would need to have been used for in order to be protectable.</w:t>
      </w:r>
      <w:proofErr w:type="gramEnd"/>
    </w:p>
    <w:p w:rsidR="00BF05FE" w:rsidRPr="00D012AD" w:rsidRDefault="00BF05FE" w:rsidP="00BF05FE">
      <w:pPr>
        <w:ind w:left="360"/>
        <w:rPr>
          <w:szCs w:val="22"/>
        </w:rPr>
      </w:pPr>
    </w:p>
    <w:p w:rsidR="00BF05FE" w:rsidRPr="00DC5048" w:rsidRDefault="00BF05FE" w:rsidP="00BF05FE">
      <w:pPr>
        <w:numPr>
          <w:ilvl w:val="0"/>
          <w:numId w:val="8"/>
        </w:numPr>
        <w:contextualSpacing/>
        <w:rPr>
          <w:b/>
        </w:rPr>
      </w:pPr>
      <w:r w:rsidRPr="00DC5048">
        <w:rPr>
          <w:b/>
        </w:rPr>
        <w:t xml:space="preserve">Scope of protection </w:t>
      </w:r>
    </w:p>
    <w:p w:rsidR="00BF05FE" w:rsidRDefault="00BF05FE" w:rsidP="00BF05FE">
      <w:pPr>
        <w:tabs>
          <w:tab w:val="left" w:pos="1275"/>
        </w:tabs>
      </w:pPr>
      <w:r>
        <w:tab/>
      </w:r>
    </w:p>
    <w:p w:rsidR="00BF05FE" w:rsidRDefault="00BF05FE" w:rsidP="00BF05FE">
      <w:pPr>
        <w:ind w:left="360"/>
      </w:pPr>
      <w:proofErr w:type="gramStart"/>
      <w:r w:rsidRPr="005B50AC">
        <w:t>“Rights-based” and/or “measures-based” approaches.</w:t>
      </w:r>
      <w:proofErr w:type="gramEnd"/>
      <w:r w:rsidRPr="005B50AC">
        <w:t xml:space="preserve"> </w:t>
      </w:r>
    </w:p>
    <w:p w:rsidR="00BF05FE" w:rsidRDefault="00BF05FE" w:rsidP="00BF05FE">
      <w:pPr>
        <w:ind w:left="360"/>
      </w:pPr>
    </w:p>
    <w:p w:rsidR="00BF05FE" w:rsidRDefault="00BF05FE" w:rsidP="00BF05FE">
      <w:pPr>
        <w:ind w:left="360"/>
      </w:pPr>
      <w:r w:rsidRPr="005B50AC">
        <w:t>Whether a “tiered approach” is feasible, and, if so, how it would be formulated.</w:t>
      </w:r>
    </w:p>
    <w:p w:rsidR="00BF05FE" w:rsidRPr="00A227BB" w:rsidRDefault="00BF05FE" w:rsidP="00BF05FE">
      <w:pPr>
        <w:rPr>
          <w:highlight w:val="yellow"/>
        </w:rPr>
      </w:pPr>
    </w:p>
    <w:p w:rsidR="00BF05FE" w:rsidRDefault="00BF05FE" w:rsidP="00BF05FE">
      <w:pPr>
        <w:ind w:left="360"/>
      </w:pPr>
      <w:proofErr w:type="gramStart"/>
      <w:r>
        <w:t>Economic and/or moral rights, as well as other rights.</w:t>
      </w:r>
      <w:proofErr w:type="gramEnd"/>
    </w:p>
    <w:p w:rsidR="00BF05FE" w:rsidRDefault="00BF05FE" w:rsidP="00BF05FE">
      <w:pPr>
        <w:ind w:left="360"/>
      </w:pPr>
    </w:p>
    <w:p w:rsidR="00BF05FE" w:rsidRDefault="00BF05FE" w:rsidP="00BF05FE">
      <w:pPr>
        <w:numPr>
          <w:ilvl w:val="0"/>
          <w:numId w:val="8"/>
        </w:numPr>
        <w:contextualSpacing/>
        <w:rPr>
          <w:b/>
        </w:rPr>
      </w:pPr>
      <w:r w:rsidRPr="00DC5048">
        <w:rPr>
          <w:b/>
        </w:rPr>
        <w:t>Beneficiaries</w:t>
      </w:r>
    </w:p>
    <w:p w:rsidR="00BF05FE" w:rsidRDefault="00BF05FE" w:rsidP="00BF05FE">
      <w:pPr>
        <w:ind w:left="360"/>
      </w:pPr>
    </w:p>
    <w:p w:rsidR="00BF05FE" w:rsidRDefault="00BF05FE" w:rsidP="00BF05FE">
      <w:pPr>
        <w:ind w:left="360"/>
      </w:pPr>
      <w:proofErr w:type="gramStart"/>
      <w:r>
        <w:t>Whether to include beneficiaries other than indigenous peoples and local communities.</w:t>
      </w:r>
      <w:proofErr w:type="gramEnd"/>
    </w:p>
    <w:p w:rsidR="00BF05FE" w:rsidRPr="00FE5DB0" w:rsidRDefault="00BF05FE" w:rsidP="00BF05FE">
      <w:pPr>
        <w:ind w:left="360"/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>Use and meanings of certain terms and concepts</w:t>
      </w:r>
    </w:p>
    <w:p w:rsidR="00BF05FE" w:rsidRPr="00D012AD" w:rsidRDefault="00BF05FE" w:rsidP="00BF05FE">
      <w:pPr>
        <w:rPr>
          <w:szCs w:val="22"/>
        </w:rPr>
      </w:pPr>
    </w:p>
    <w:p w:rsidR="00BF05FE" w:rsidRPr="00D012AD" w:rsidRDefault="00BF05FE" w:rsidP="00BF05FE">
      <w:pPr>
        <w:ind w:left="360"/>
        <w:rPr>
          <w:szCs w:val="22"/>
        </w:rPr>
      </w:pPr>
      <w:proofErr w:type="gramStart"/>
      <w:r w:rsidRPr="00D012AD">
        <w:rPr>
          <w:szCs w:val="22"/>
        </w:rPr>
        <w:t>References to “protection” and “protected” traditional cultural expressions and relationship with eligibility criteria/scope of protection.</w:t>
      </w:r>
      <w:proofErr w:type="gramEnd"/>
    </w:p>
    <w:p w:rsidR="00BF05FE" w:rsidRPr="00D012AD" w:rsidRDefault="00BF05FE" w:rsidP="00BF05FE">
      <w:pPr>
        <w:ind w:left="360"/>
        <w:rPr>
          <w:szCs w:val="22"/>
        </w:rPr>
      </w:pPr>
    </w:p>
    <w:p w:rsidR="00BF05FE" w:rsidRPr="00D012AD" w:rsidRDefault="00BF05FE" w:rsidP="00BF05FE">
      <w:pPr>
        <w:ind w:left="360"/>
        <w:rPr>
          <w:szCs w:val="22"/>
        </w:rPr>
      </w:pPr>
      <w:proofErr w:type="gramStart"/>
      <w:r w:rsidRPr="00D012AD">
        <w:rPr>
          <w:szCs w:val="22"/>
        </w:rPr>
        <w:t>Reference to “safeguarding” of traditional cultural expressions.</w:t>
      </w:r>
      <w:proofErr w:type="gramEnd"/>
    </w:p>
    <w:p w:rsidR="00BF05FE" w:rsidRPr="00D012AD" w:rsidRDefault="00BF05FE" w:rsidP="00BF05FE">
      <w:pPr>
        <w:ind w:left="360"/>
        <w:rPr>
          <w:szCs w:val="22"/>
        </w:rPr>
      </w:pPr>
    </w:p>
    <w:p w:rsidR="00BF05FE" w:rsidRPr="00D012AD" w:rsidRDefault="00BF05FE" w:rsidP="00BF05FE">
      <w:pPr>
        <w:ind w:left="360"/>
        <w:rPr>
          <w:szCs w:val="22"/>
        </w:rPr>
      </w:pPr>
      <w:proofErr w:type="gramStart"/>
      <w:r w:rsidRPr="00D012AD">
        <w:rPr>
          <w:szCs w:val="22"/>
        </w:rPr>
        <w:t>Terms to denote nature of the harm for which protection may be sought, such as “misappropriation”.</w:t>
      </w:r>
      <w:proofErr w:type="gramEnd"/>
    </w:p>
    <w:p w:rsidR="00BF05FE" w:rsidRPr="00D012AD" w:rsidRDefault="00BF05FE" w:rsidP="00BF05FE">
      <w:pPr>
        <w:ind w:left="360"/>
        <w:rPr>
          <w:szCs w:val="22"/>
        </w:rPr>
      </w:pPr>
    </w:p>
    <w:p w:rsidR="00BF05FE" w:rsidRPr="00D012AD" w:rsidRDefault="00BF05FE" w:rsidP="00BF05FE">
      <w:pPr>
        <w:ind w:left="360"/>
        <w:rPr>
          <w:szCs w:val="22"/>
        </w:rPr>
      </w:pPr>
      <w:proofErr w:type="gramStart"/>
      <w:r w:rsidRPr="00D012AD">
        <w:rPr>
          <w:szCs w:val="22"/>
        </w:rPr>
        <w:t>Terms describing or relevant to the quality or extent of diffusion of the traditional cultural expressions, such as “public domain”, “publicly available”, “secret” or “sacred”.</w:t>
      </w:r>
      <w:proofErr w:type="gramEnd"/>
    </w:p>
    <w:p w:rsidR="00BF05FE" w:rsidRPr="00D012AD" w:rsidRDefault="00BF05FE" w:rsidP="00BF05FE">
      <w:pPr>
        <w:ind w:left="360"/>
        <w:rPr>
          <w:szCs w:val="22"/>
        </w:rPr>
      </w:pPr>
    </w:p>
    <w:p w:rsidR="00BF05FE" w:rsidRDefault="00BF05FE" w:rsidP="00BF05FE">
      <w:pPr>
        <w:ind w:left="360"/>
        <w:rPr>
          <w:szCs w:val="22"/>
        </w:rPr>
      </w:pPr>
      <w:proofErr w:type="gramStart"/>
      <w:r w:rsidRPr="00D012AD">
        <w:rPr>
          <w:szCs w:val="22"/>
        </w:rPr>
        <w:t>Terms relevant to beneficiaries, such as “Indigenous peoples”.</w:t>
      </w:r>
      <w:proofErr w:type="gramEnd"/>
      <w:r w:rsidRPr="00D012AD">
        <w:rPr>
          <w:szCs w:val="22"/>
        </w:rPr>
        <w:t xml:space="preserve"> </w:t>
      </w:r>
    </w:p>
    <w:p w:rsidR="00BF05FE" w:rsidRPr="00D012AD" w:rsidRDefault="00BF05FE" w:rsidP="00BF05FE">
      <w:pPr>
        <w:ind w:left="360"/>
        <w:rPr>
          <w:szCs w:val="22"/>
        </w:rPr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>Administration of rights/interests</w:t>
      </w:r>
    </w:p>
    <w:p w:rsidR="00BF05FE" w:rsidRPr="00D012AD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ind w:left="360"/>
        <w:rPr>
          <w:szCs w:val="22"/>
        </w:rPr>
      </w:pPr>
      <w:proofErr w:type="gramStart"/>
      <w:r w:rsidRPr="00D012AD">
        <w:rPr>
          <w:szCs w:val="22"/>
        </w:rPr>
        <w:t>Role and nature of a “competent authority or authorities”.</w:t>
      </w:r>
      <w:proofErr w:type="gramEnd"/>
    </w:p>
    <w:p w:rsidR="00BF05FE" w:rsidRPr="00D012AD" w:rsidRDefault="00BF05FE" w:rsidP="00BF05FE">
      <w:pPr>
        <w:rPr>
          <w:szCs w:val="22"/>
        </w:rPr>
      </w:pPr>
    </w:p>
    <w:p w:rsidR="00BF05FE" w:rsidRPr="00D012AD" w:rsidRDefault="00BF05FE" w:rsidP="00BF05FE">
      <w:pPr>
        <w:rPr>
          <w:b/>
          <w:szCs w:val="22"/>
        </w:rPr>
      </w:pPr>
      <w:r w:rsidRPr="00D012AD">
        <w:rPr>
          <w:b/>
          <w:szCs w:val="22"/>
        </w:rPr>
        <w:br w:type="page"/>
      </w: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lastRenderedPageBreak/>
        <w:t xml:space="preserve">Exceptions and limitations </w:t>
      </w:r>
    </w:p>
    <w:p w:rsidR="00BF05FE" w:rsidRPr="00D012AD" w:rsidRDefault="00BF05FE" w:rsidP="00BF05FE">
      <w:pPr>
        <w:rPr>
          <w:szCs w:val="22"/>
        </w:rPr>
      </w:pPr>
    </w:p>
    <w:p w:rsidR="00BF05FE" w:rsidRPr="00D012AD" w:rsidRDefault="00BF05FE" w:rsidP="00BF05FE">
      <w:pPr>
        <w:ind w:left="360"/>
        <w:rPr>
          <w:szCs w:val="22"/>
        </w:rPr>
      </w:pPr>
      <w:proofErr w:type="gramStart"/>
      <w:r w:rsidRPr="00D012AD">
        <w:rPr>
          <w:szCs w:val="22"/>
        </w:rPr>
        <w:t>Whether the determination of exceptions and limitations should be made at the national level, or whether to provide a set of general and/or specific exceptions.</w:t>
      </w:r>
      <w:proofErr w:type="gramEnd"/>
    </w:p>
    <w:p w:rsidR="00BF05FE" w:rsidRPr="00D012AD" w:rsidRDefault="00BF05FE" w:rsidP="00BF05FE">
      <w:pPr>
        <w:rPr>
          <w:szCs w:val="22"/>
        </w:rPr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 xml:space="preserve">Relationship with the public domain </w:t>
      </w:r>
    </w:p>
    <w:p w:rsidR="00BF05FE" w:rsidRPr="00D012AD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>Sanctions, remedies and exercise of rights/interests</w:t>
      </w:r>
    </w:p>
    <w:p w:rsidR="00BF05FE" w:rsidRPr="00D012AD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>Term of protection/safeguarding</w:t>
      </w:r>
    </w:p>
    <w:p w:rsidR="00BF05FE" w:rsidRPr="00D012AD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>Formalities</w:t>
      </w:r>
    </w:p>
    <w:p w:rsidR="00BF05FE" w:rsidRPr="00D012AD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 xml:space="preserve">Transitional measures </w:t>
      </w:r>
    </w:p>
    <w:p w:rsidR="00BF05FE" w:rsidRPr="00D012AD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 xml:space="preserve">Relationship with other international agreements </w:t>
      </w:r>
    </w:p>
    <w:p w:rsidR="00BF05FE" w:rsidRPr="00D012AD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 xml:space="preserve">National treatment </w:t>
      </w:r>
    </w:p>
    <w:p w:rsidR="00BF05FE" w:rsidRPr="00D012AD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 xml:space="preserve">Transboundary cooperation </w:t>
      </w:r>
    </w:p>
    <w:p w:rsidR="00BF05FE" w:rsidRPr="00D012AD" w:rsidRDefault="00BF05FE" w:rsidP="00BF05FE">
      <w:pPr>
        <w:rPr>
          <w:b/>
          <w:szCs w:val="22"/>
        </w:rPr>
      </w:pPr>
    </w:p>
    <w:p w:rsidR="00BF05FE" w:rsidRDefault="00BF05FE" w:rsidP="00BF05FE">
      <w:pPr>
        <w:numPr>
          <w:ilvl w:val="0"/>
          <w:numId w:val="8"/>
        </w:numPr>
        <w:rPr>
          <w:b/>
          <w:szCs w:val="22"/>
        </w:rPr>
      </w:pPr>
      <w:r w:rsidRPr="00D012AD">
        <w:rPr>
          <w:b/>
          <w:szCs w:val="22"/>
        </w:rPr>
        <w:t xml:space="preserve">Capacity building and awareness raising </w:t>
      </w:r>
    </w:p>
    <w:p w:rsidR="00BF05FE" w:rsidRDefault="00BF05FE" w:rsidP="00BF05FE">
      <w:pPr>
        <w:rPr>
          <w:b/>
          <w:szCs w:val="22"/>
        </w:rPr>
      </w:pPr>
    </w:p>
    <w:p w:rsidR="00BF05FE" w:rsidRPr="00D012AD" w:rsidRDefault="00BF05FE" w:rsidP="00BF05FE">
      <w:pPr>
        <w:numPr>
          <w:ilvl w:val="0"/>
          <w:numId w:val="8"/>
        </w:numPr>
        <w:rPr>
          <w:b/>
          <w:szCs w:val="22"/>
        </w:rPr>
      </w:pPr>
      <w:r>
        <w:rPr>
          <w:b/>
          <w:szCs w:val="22"/>
        </w:rPr>
        <w:t>Principles/preamble/introduction</w:t>
      </w:r>
    </w:p>
    <w:p w:rsidR="00BF05FE" w:rsidRDefault="00BF05FE" w:rsidP="00BF05FE">
      <w:pPr>
        <w:spacing w:after="120" w:line="260" w:lineRule="atLeast"/>
        <w:rPr>
          <w:szCs w:val="22"/>
        </w:rPr>
      </w:pPr>
    </w:p>
    <w:p w:rsidR="00BF05FE" w:rsidRPr="00C64FAD" w:rsidRDefault="00BF05FE" w:rsidP="00BF05FE">
      <w:pPr>
        <w:tabs>
          <w:tab w:val="left" w:pos="1710"/>
        </w:tabs>
        <w:rPr>
          <w:color w:val="000000"/>
          <w:szCs w:val="22"/>
          <w:lang w:val="en-GB"/>
        </w:rPr>
      </w:pPr>
    </w:p>
    <w:p w:rsidR="00BF05FE" w:rsidRPr="00B87FAD" w:rsidRDefault="00BF05FE" w:rsidP="00BF05FE">
      <w:pPr>
        <w:spacing w:after="120" w:line="260" w:lineRule="atLeast"/>
        <w:rPr>
          <w:iCs/>
          <w:szCs w:val="22"/>
        </w:rPr>
      </w:pPr>
    </w:p>
    <w:p w:rsidR="00BF05FE" w:rsidRDefault="00BF05FE" w:rsidP="00142F19">
      <w:pPr>
        <w:ind w:left="5670"/>
      </w:pPr>
      <w:r w:rsidRPr="004F6DF5">
        <w:rPr>
          <w:iCs/>
          <w:szCs w:val="22"/>
        </w:rPr>
        <w:t xml:space="preserve">[End of </w:t>
      </w:r>
      <w:r>
        <w:rPr>
          <w:iCs/>
          <w:szCs w:val="22"/>
        </w:rPr>
        <w:t xml:space="preserve">Annex and of </w:t>
      </w:r>
      <w:r w:rsidRPr="004F6DF5">
        <w:rPr>
          <w:iCs/>
          <w:szCs w:val="22"/>
        </w:rPr>
        <w:t>document]</w:t>
      </w:r>
    </w:p>
    <w:sectPr w:rsidR="00BF05FE" w:rsidSect="005F762B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5C3" w:rsidRDefault="001A15C3">
      <w:r>
        <w:separator/>
      </w:r>
    </w:p>
  </w:endnote>
  <w:endnote w:type="continuationSeparator" w:id="0">
    <w:p w:rsidR="001A15C3" w:rsidRDefault="001A15C3" w:rsidP="003B38C1">
      <w:r>
        <w:separator/>
      </w:r>
    </w:p>
    <w:p w:rsidR="001A15C3" w:rsidRPr="003B38C1" w:rsidRDefault="001A15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A15C3" w:rsidRPr="003B38C1" w:rsidRDefault="001A15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5C3" w:rsidRDefault="001A15C3">
      <w:r>
        <w:separator/>
      </w:r>
    </w:p>
  </w:footnote>
  <w:footnote w:type="continuationSeparator" w:id="0">
    <w:p w:rsidR="001A15C3" w:rsidRDefault="001A15C3" w:rsidP="008B60B2">
      <w:r>
        <w:separator/>
      </w:r>
    </w:p>
    <w:p w:rsidR="001A15C3" w:rsidRPr="00ED77FB" w:rsidRDefault="001A15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A15C3" w:rsidRPr="00ED77FB" w:rsidRDefault="001A15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F762B" w:rsidP="00477D6B">
    <w:pPr>
      <w:jc w:val="right"/>
    </w:pPr>
    <w:bookmarkStart w:id="6" w:name="Code2"/>
    <w:bookmarkEnd w:id="6"/>
    <w:r>
      <w:t>WIPO/GRTKF/IC/34/7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C2B92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83" w:rsidRDefault="008B5183" w:rsidP="008B518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83" w:rsidRDefault="008B5183" w:rsidP="00477D6B">
    <w:pPr>
      <w:jc w:val="right"/>
    </w:pPr>
    <w:r>
      <w:t>WIPO/GRTKF/IC/34/7</w:t>
    </w:r>
  </w:p>
  <w:p w:rsidR="008B5183" w:rsidRDefault="008B5183" w:rsidP="00477D6B">
    <w:pPr>
      <w:jc w:val="right"/>
    </w:pPr>
    <w:r>
      <w:t>Annex, page 2</w:t>
    </w:r>
  </w:p>
  <w:p w:rsidR="008B5183" w:rsidRDefault="008B5183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83" w:rsidRDefault="008B5183" w:rsidP="008B5183">
    <w:pPr>
      <w:pStyle w:val="Header"/>
      <w:jc w:val="right"/>
    </w:pPr>
    <w:r>
      <w:t>WIPO/GRTKF/IC/34/7</w:t>
    </w:r>
  </w:p>
  <w:p w:rsidR="008B5183" w:rsidRDefault="008B5183" w:rsidP="008B5183">
    <w:pPr>
      <w:pStyle w:val="Header"/>
      <w:jc w:val="right"/>
    </w:pPr>
    <w:r>
      <w:t>ANNEX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D11C28"/>
    <w:multiLevelType w:val="multilevel"/>
    <w:tmpl w:val="CCEAE0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2B"/>
    <w:rsid w:val="00043CAA"/>
    <w:rsid w:val="00071AA9"/>
    <w:rsid w:val="00075432"/>
    <w:rsid w:val="000968ED"/>
    <w:rsid w:val="000F5E56"/>
    <w:rsid w:val="001362EE"/>
    <w:rsid w:val="00142F19"/>
    <w:rsid w:val="001832A6"/>
    <w:rsid w:val="001A15C3"/>
    <w:rsid w:val="002634C4"/>
    <w:rsid w:val="002859BC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5F762B"/>
    <w:rsid w:val="00605827"/>
    <w:rsid w:val="00646050"/>
    <w:rsid w:val="006713CA"/>
    <w:rsid w:val="00676C5C"/>
    <w:rsid w:val="007D1613"/>
    <w:rsid w:val="008B2CC1"/>
    <w:rsid w:val="008B5183"/>
    <w:rsid w:val="008B60B2"/>
    <w:rsid w:val="0090731E"/>
    <w:rsid w:val="00916EE2"/>
    <w:rsid w:val="00952194"/>
    <w:rsid w:val="00966A22"/>
    <w:rsid w:val="0096722F"/>
    <w:rsid w:val="00980843"/>
    <w:rsid w:val="009C2B92"/>
    <w:rsid w:val="009E2791"/>
    <w:rsid w:val="009E3F6F"/>
    <w:rsid w:val="009F499F"/>
    <w:rsid w:val="00A36E02"/>
    <w:rsid w:val="00A42DAF"/>
    <w:rsid w:val="00A45BD8"/>
    <w:rsid w:val="00A869B7"/>
    <w:rsid w:val="00AC205C"/>
    <w:rsid w:val="00AF0A6B"/>
    <w:rsid w:val="00B05A69"/>
    <w:rsid w:val="00B9734B"/>
    <w:rsid w:val="00BF05FE"/>
    <w:rsid w:val="00C11BFE"/>
    <w:rsid w:val="00D45252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F05F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BF05F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F05F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BF05F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16</TotalTime>
  <Pages>3</Pages>
  <Words>416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MORENO PALESTINI Maria Del Pilar</cp:lastModifiedBy>
  <cp:revision>7</cp:revision>
  <cp:lastPrinted>2017-03-15T10:14:00Z</cp:lastPrinted>
  <dcterms:created xsi:type="dcterms:W3CDTF">2017-03-13T09:43:00Z</dcterms:created>
  <dcterms:modified xsi:type="dcterms:W3CDTF">2017-03-15T10:15:00Z</dcterms:modified>
</cp:coreProperties>
</file>