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892D" w14:textId="6968428B" w:rsidR="004A29DC" w:rsidRPr="00837D06" w:rsidRDefault="004A29DC" w:rsidP="004A29DC">
      <w:pPr>
        <w:rPr>
          <w:rFonts w:ascii="Arial" w:hAnsi="Arial" w:cs="Arial"/>
          <w:b/>
          <w:i/>
          <w:sz w:val="22"/>
          <w:szCs w:val="22"/>
        </w:rPr>
      </w:pPr>
    </w:p>
    <w:p w14:paraId="749A45F8" w14:textId="77777777" w:rsidR="00107038" w:rsidRPr="00837D06" w:rsidRDefault="00107038" w:rsidP="00107038">
      <w:pPr>
        <w:ind w:left="-360"/>
        <w:jc w:val="center"/>
        <w:rPr>
          <w:rFonts w:ascii="Arial" w:hAnsi="Arial" w:cs="Arial"/>
          <w:b/>
          <w:sz w:val="22"/>
          <w:szCs w:val="22"/>
        </w:rPr>
      </w:pPr>
      <w:r w:rsidRPr="00837D06">
        <w:rPr>
          <w:rFonts w:ascii="Arial" w:hAnsi="Arial" w:cs="Arial"/>
          <w:b/>
          <w:sz w:val="22"/>
          <w:szCs w:val="22"/>
        </w:rPr>
        <w:t>Information Note</w:t>
      </w:r>
      <w:r w:rsidRPr="00837D06">
        <w:rPr>
          <w:rStyle w:val="FootnoteReference"/>
          <w:rFonts w:ascii="Arial" w:hAnsi="Arial" w:cs="Arial"/>
          <w:b/>
          <w:sz w:val="22"/>
          <w:szCs w:val="22"/>
        </w:rPr>
        <w:footnoteReference w:id="1"/>
      </w:r>
    </w:p>
    <w:p w14:paraId="5D7B341A" w14:textId="77777777" w:rsidR="00107038" w:rsidRPr="00837D06" w:rsidRDefault="00107038" w:rsidP="00107038">
      <w:pPr>
        <w:ind w:left="-360"/>
        <w:jc w:val="center"/>
        <w:rPr>
          <w:rFonts w:ascii="Arial" w:hAnsi="Arial" w:cs="Arial"/>
          <w:b/>
          <w:sz w:val="22"/>
          <w:szCs w:val="22"/>
        </w:rPr>
      </w:pPr>
    </w:p>
    <w:p w14:paraId="5A8AB0C5" w14:textId="4DD564C8" w:rsidR="00107038" w:rsidRPr="00837D06" w:rsidRDefault="00107038" w:rsidP="00107038">
      <w:pPr>
        <w:ind w:left="-360"/>
        <w:jc w:val="center"/>
        <w:rPr>
          <w:rFonts w:ascii="Arial" w:hAnsi="Arial" w:cs="Arial"/>
          <w:b/>
          <w:sz w:val="22"/>
          <w:szCs w:val="22"/>
        </w:rPr>
      </w:pPr>
      <w:r w:rsidRPr="00837D06">
        <w:rPr>
          <w:rFonts w:ascii="Arial" w:hAnsi="Arial" w:cs="Arial"/>
          <w:b/>
          <w:sz w:val="22"/>
          <w:szCs w:val="22"/>
        </w:rPr>
        <w:t>for IGC 4</w:t>
      </w:r>
      <w:r w:rsidR="00390DA7">
        <w:rPr>
          <w:rFonts w:ascii="Arial" w:hAnsi="Arial" w:cs="Arial"/>
          <w:b/>
          <w:sz w:val="22"/>
          <w:szCs w:val="22"/>
        </w:rPr>
        <w:t>2</w:t>
      </w:r>
      <w:r w:rsidRPr="00837D06">
        <w:rPr>
          <w:rFonts w:ascii="Arial" w:hAnsi="Arial" w:cs="Arial"/>
          <w:b/>
          <w:sz w:val="22"/>
          <w:szCs w:val="22"/>
        </w:rPr>
        <w:t xml:space="preserve"> - Genetic Resources</w:t>
      </w:r>
    </w:p>
    <w:p w14:paraId="15AC61EA" w14:textId="77777777" w:rsidR="00107038" w:rsidRPr="00837D06" w:rsidRDefault="00107038" w:rsidP="00107038">
      <w:pPr>
        <w:ind w:left="-360"/>
        <w:jc w:val="center"/>
        <w:rPr>
          <w:rFonts w:ascii="Arial" w:hAnsi="Arial" w:cs="Arial"/>
          <w:sz w:val="22"/>
          <w:szCs w:val="22"/>
        </w:rPr>
      </w:pPr>
    </w:p>
    <w:p w14:paraId="11351A83" w14:textId="76C604DB" w:rsidR="00107038" w:rsidRPr="003C1EFC" w:rsidRDefault="00107038" w:rsidP="00107038">
      <w:pPr>
        <w:ind w:left="-360"/>
        <w:jc w:val="center"/>
        <w:rPr>
          <w:rFonts w:ascii="Arial" w:hAnsi="Arial" w:cs="Arial"/>
          <w:sz w:val="22"/>
          <w:szCs w:val="22"/>
        </w:rPr>
      </w:pPr>
      <w:r w:rsidRPr="00837D06">
        <w:rPr>
          <w:rFonts w:ascii="Arial" w:hAnsi="Arial" w:cs="Arial"/>
          <w:sz w:val="22"/>
          <w:szCs w:val="22"/>
        </w:rPr>
        <w:t>Prepared by Mr. Ian Goss, the IGC Chair</w:t>
      </w:r>
      <w:r w:rsidR="003C1EFC" w:rsidRPr="003C1EFC">
        <w:rPr>
          <w:rFonts w:ascii="Arial" w:hAnsi="Arial" w:cs="Arial"/>
          <w:sz w:val="22"/>
          <w:szCs w:val="22"/>
        </w:rPr>
        <w:t>-designate</w:t>
      </w:r>
    </w:p>
    <w:p w14:paraId="3D46D886" w14:textId="77777777" w:rsidR="00107038" w:rsidRPr="00837D06" w:rsidRDefault="00107038" w:rsidP="00107038">
      <w:pPr>
        <w:ind w:left="-360"/>
        <w:jc w:val="center"/>
        <w:rPr>
          <w:rFonts w:ascii="Arial" w:hAnsi="Arial" w:cs="Arial"/>
          <w:sz w:val="22"/>
          <w:szCs w:val="22"/>
        </w:rPr>
      </w:pPr>
    </w:p>
    <w:p w14:paraId="61ED6AB7" w14:textId="77777777" w:rsidR="00107038" w:rsidRPr="00837D06" w:rsidRDefault="00107038" w:rsidP="00107038">
      <w:pPr>
        <w:rPr>
          <w:rFonts w:ascii="Arial" w:hAnsi="Arial" w:cs="Arial"/>
          <w:sz w:val="22"/>
          <w:szCs w:val="22"/>
        </w:rPr>
      </w:pPr>
    </w:p>
    <w:p w14:paraId="6C23C6BE" w14:textId="77777777" w:rsidR="00107038" w:rsidRPr="00837D06" w:rsidRDefault="00107038" w:rsidP="00107038">
      <w:pPr>
        <w:rPr>
          <w:rFonts w:ascii="Arial" w:hAnsi="Arial" w:cs="Arial"/>
          <w:b/>
          <w:sz w:val="22"/>
          <w:szCs w:val="22"/>
          <w:u w:val="single"/>
        </w:rPr>
      </w:pPr>
      <w:r w:rsidRPr="00837D06">
        <w:rPr>
          <w:rFonts w:ascii="Arial" w:hAnsi="Arial" w:cs="Arial"/>
          <w:b/>
          <w:sz w:val="22"/>
          <w:szCs w:val="22"/>
          <w:u w:val="single"/>
        </w:rPr>
        <w:t>Introduction</w:t>
      </w:r>
    </w:p>
    <w:p w14:paraId="0CAF3D1C" w14:textId="77777777" w:rsidR="004A29DC" w:rsidRPr="00837D06" w:rsidRDefault="004A29DC" w:rsidP="004A29DC">
      <w:pPr>
        <w:rPr>
          <w:rFonts w:ascii="Arial" w:hAnsi="Arial" w:cs="Arial"/>
          <w:b/>
          <w:sz w:val="22"/>
          <w:szCs w:val="22"/>
        </w:rPr>
      </w:pPr>
    </w:p>
    <w:p w14:paraId="23DE4256" w14:textId="70E892BE" w:rsidR="00107038" w:rsidRPr="00837D06" w:rsidRDefault="00107038" w:rsidP="00107038">
      <w:pPr>
        <w:rPr>
          <w:rFonts w:ascii="Arial" w:hAnsi="Arial" w:cs="Arial"/>
          <w:sz w:val="22"/>
          <w:szCs w:val="22"/>
        </w:rPr>
      </w:pPr>
      <w:r w:rsidRPr="00837D06">
        <w:rPr>
          <w:rFonts w:ascii="Arial" w:hAnsi="Arial" w:cs="Arial"/>
          <w:sz w:val="22"/>
          <w:szCs w:val="22"/>
        </w:rPr>
        <w:fldChar w:fldCharType="begin"/>
      </w:r>
      <w:r w:rsidRPr="00837D06">
        <w:rPr>
          <w:rFonts w:ascii="Arial" w:hAnsi="Arial" w:cs="Arial"/>
          <w:sz w:val="22"/>
          <w:szCs w:val="22"/>
        </w:rPr>
        <w:instrText xml:space="preserve"> AUTONUM  </w:instrText>
      </w:r>
      <w:r w:rsidRPr="00837D06">
        <w:rPr>
          <w:rFonts w:ascii="Arial" w:hAnsi="Arial" w:cs="Arial"/>
          <w:sz w:val="22"/>
          <w:szCs w:val="22"/>
        </w:rPr>
        <w:fldChar w:fldCharType="end"/>
      </w:r>
      <w:r w:rsidRPr="00837D06">
        <w:rPr>
          <w:rFonts w:ascii="Arial" w:hAnsi="Arial" w:cs="Arial"/>
          <w:sz w:val="22"/>
          <w:szCs w:val="22"/>
        </w:rPr>
        <w:tab/>
        <w:t>In preparation for IGC 4</w:t>
      </w:r>
      <w:r w:rsidR="00DD18A3">
        <w:rPr>
          <w:rFonts w:ascii="Arial" w:hAnsi="Arial" w:cs="Arial"/>
          <w:sz w:val="22"/>
          <w:szCs w:val="22"/>
        </w:rPr>
        <w:t>2</w:t>
      </w:r>
      <w:r w:rsidRPr="00837D06">
        <w:rPr>
          <w:rFonts w:ascii="Arial" w:hAnsi="Arial" w:cs="Arial"/>
          <w:sz w:val="22"/>
          <w:szCs w:val="22"/>
        </w:rPr>
        <w:t xml:space="preserve">, </w:t>
      </w:r>
      <w:r w:rsidR="00CA044B">
        <w:rPr>
          <w:rFonts w:ascii="Arial" w:hAnsi="Arial" w:cs="Arial"/>
          <w:sz w:val="22"/>
          <w:szCs w:val="22"/>
        </w:rPr>
        <w:t xml:space="preserve">noting the significant gap in </w:t>
      </w:r>
      <w:r w:rsidR="00DD18A3">
        <w:rPr>
          <w:rFonts w:ascii="Arial" w:hAnsi="Arial" w:cs="Arial"/>
          <w:sz w:val="22"/>
          <w:szCs w:val="22"/>
        </w:rPr>
        <w:t xml:space="preserve">formal </w:t>
      </w:r>
      <w:r w:rsidR="00CA044B">
        <w:rPr>
          <w:rFonts w:ascii="Arial" w:hAnsi="Arial" w:cs="Arial"/>
          <w:sz w:val="22"/>
          <w:szCs w:val="22"/>
        </w:rPr>
        <w:t>negotiations on this subject matter (IGC 36 - March 2018), t</w:t>
      </w:r>
      <w:r w:rsidRPr="00837D06">
        <w:rPr>
          <w:rFonts w:ascii="Arial" w:hAnsi="Arial" w:cs="Arial"/>
          <w:sz w:val="22"/>
          <w:szCs w:val="22"/>
        </w:rPr>
        <w:t xml:space="preserve">his information note summarizes </w:t>
      </w:r>
      <w:r w:rsidR="000313C7" w:rsidRPr="00837D06">
        <w:rPr>
          <w:rFonts w:ascii="Arial" w:hAnsi="Arial" w:cs="Arial"/>
          <w:sz w:val="22"/>
          <w:szCs w:val="22"/>
        </w:rPr>
        <w:t xml:space="preserve">the status of the current negotiations relating to </w:t>
      </w:r>
      <w:r w:rsidR="003C1EFC">
        <w:rPr>
          <w:rFonts w:ascii="Arial" w:hAnsi="Arial" w:cs="Arial"/>
          <w:sz w:val="22"/>
          <w:szCs w:val="22"/>
        </w:rPr>
        <w:t>g</w:t>
      </w:r>
      <w:r w:rsidR="000313C7" w:rsidRPr="00837D06">
        <w:rPr>
          <w:rFonts w:ascii="Arial" w:hAnsi="Arial" w:cs="Arial"/>
          <w:sz w:val="22"/>
          <w:szCs w:val="22"/>
        </w:rPr>
        <w:t xml:space="preserve">enetic </w:t>
      </w:r>
      <w:r w:rsidR="003C1EFC">
        <w:rPr>
          <w:rFonts w:ascii="Arial" w:hAnsi="Arial" w:cs="Arial"/>
          <w:sz w:val="22"/>
          <w:szCs w:val="22"/>
        </w:rPr>
        <w:t>r</w:t>
      </w:r>
      <w:r w:rsidR="000313C7" w:rsidRPr="00837D06">
        <w:rPr>
          <w:rFonts w:ascii="Arial" w:hAnsi="Arial" w:cs="Arial"/>
          <w:sz w:val="22"/>
          <w:szCs w:val="22"/>
        </w:rPr>
        <w:t>esources</w:t>
      </w:r>
      <w:r w:rsidR="003C1EFC">
        <w:rPr>
          <w:rFonts w:ascii="Arial" w:hAnsi="Arial" w:cs="Arial"/>
          <w:sz w:val="22"/>
          <w:szCs w:val="22"/>
        </w:rPr>
        <w:t xml:space="preserve"> (GRs)</w:t>
      </w:r>
      <w:r w:rsidR="000313C7" w:rsidRPr="00837D06">
        <w:rPr>
          <w:rFonts w:ascii="Arial" w:hAnsi="Arial" w:cs="Arial"/>
          <w:sz w:val="22"/>
          <w:szCs w:val="22"/>
        </w:rPr>
        <w:t xml:space="preserve"> and </w:t>
      </w:r>
      <w:r w:rsidRPr="00837D06">
        <w:rPr>
          <w:rFonts w:ascii="Arial" w:hAnsi="Arial" w:cs="Arial"/>
          <w:sz w:val="22"/>
          <w:szCs w:val="22"/>
        </w:rPr>
        <w:t>key issues that Member States may wish to</w:t>
      </w:r>
      <w:r w:rsidR="00994080" w:rsidRPr="00837D06">
        <w:rPr>
          <w:rFonts w:ascii="Arial" w:hAnsi="Arial" w:cs="Arial"/>
          <w:sz w:val="22"/>
          <w:szCs w:val="22"/>
        </w:rPr>
        <w:t xml:space="preserve"> consider</w:t>
      </w:r>
      <w:r w:rsidRPr="00837D06">
        <w:rPr>
          <w:rFonts w:ascii="Arial" w:hAnsi="Arial" w:cs="Arial"/>
          <w:sz w:val="22"/>
          <w:szCs w:val="22"/>
        </w:rPr>
        <w:t xml:space="preserve">.  </w:t>
      </w:r>
      <w:r w:rsidR="008C26F1">
        <w:rPr>
          <w:rFonts w:ascii="Arial" w:hAnsi="Arial" w:cs="Arial"/>
          <w:sz w:val="22"/>
          <w:szCs w:val="22"/>
        </w:rPr>
        <w:t>E</w:t>
      </w:r>
      <w:r w:rsidRPr="00837D06">
        <w:rPr>
          <w:rFonts w:ascii="Arial" w:hAnsi="Arial" w:cs="Arial"/>
          <w:sz w:val="22"/>
          <w:szCs w:val="22"/>
        </w:rPr>
        <w:t xml:space="preserve">xamples of relevant provisions from national and regional laws are included to assist understanding and analysis of the different approaches in the text before the IGC.  The selection of the examples is without prejudice to any Member States’ positions.  </w:t>
      </w:r>
    </w:p>
    <w:p w14:paraId="20A391B2" w14:textId="7C105847" w:rsidR="00107038" w:rsidRPr="00837D06" w:rsidRDefault="00107038" w:rsidP="00107038">
      <w:pPr>
        <w:rPr>
          <w:rFonts w:ascii="Arial" w:hAnsi="Arial" w:cs="Arial"/>
          <w:sz w:val="22"/>
          <w:szCs w:val="22"/>
        </w:rPr>
      </w:pPr>
    </w:p>
    <w:p w14:paraId="3E1912D6" w14:textId="77777777" w:rsidR="00107038" w:rsidRPr="00837D06" w:rsidRDefault="00107038" w:rsidP="00107038">
      <w:pPr>
        <w:rPr>
          <w:rFonts w:ascii="Arial" w:hAnsi="Arial" w:cs="Arial"/>
          <w:b/>
          <w:sz w:val="22"/>
          <w:szCs w:val="22"/>
        </w:rPr>
      </w:pPr>
      <w:r w:rsidRPr="00837D06">
        <w:rPr>
          <w:rFonts w:ascii="Arial" w:hAnsi="Arial" w:cs="Arial"/>
          <w:b/>
          <w:sz w:val="22"/>
          <w:szCs w:val="22"/>
        </w:rPr>
        <w:fldChar w:fldCharType="begin"/>
      </w:r>
      <w:r w:rsidRPr="00837D06">
        <w:rPr>
          <w:rFonts w:ascii="Arial" w:hAnsi="Arial" w:cs="Arial"/>
          <w:b/>
          <w:sz w:val="22"/>
          <w:szCs w:val="22"/>
        </w:rPr>
        <w:instrText xml:space="preserve"> AUTONUM  </w:instrText>
      </w:r>
      <w:r w:rsidRPr="00837D06">
        <w:rPr>
          <w:rFonts w:ascii="Arial" w:hAnsi="Arial" w:cs="Arial"/>
          <w:b/>
          <w:sz w:val="22"/>
          <w:szCs w:val="22"/>
        </w:rPr>
        <w:fldChar w:fldCharType="end"/>
      </w:r>
      <w:r w:rsidRPr="00837D06">
        <w:rPr>
          <w:rFonts w:ascii="Arial" w:hAnsi="Arial" w:cs="Arial"/>
          <w:b/>
          <w:sz w:val="22"/>
          <w:szCs w:val="22"/>
        </w:rPr>
        <w:tab/>
        <w:t>I emphasize that the views in this note are mine alone and are without prejudice to any Member States’ positions on the issues discussed.  As an information note, it has no status, nor is it a working document for the session.  It is a paper for reflection only.</w:t>
      </w:r>
    </w:p>
    <w:p w14:paraId="24CF9CA7" w14:textId="61DCCF8D" w:rsidR="00107038" w:rsidRPr="00837D06" w:rsidRDefault="00107038" w:rsidP="004A29DC">
      <w:pPr>
        <w:rPr>
          <w:rFonts w:ascii="Arial" w:hAnsi="Arial" w:cs="Arial"/>
          <w:sz w:val="22"/>
          <w:szCs w:val="22"/>
        </w:rPr>
      </w:pPr>
    </w:p>
    <w:p w14:paraId="6F134DC1" w14:textId="78642745" w:rsidR="00107038" w:rsidRPr="00837D06" w:rsidRDefault="00107038" w:rsidP="004A29DC">
      <w:pPr>
        <w:rPr>
          <w:rFonts w:ascii="Arial" w:hAnsi="Arial" w:cs="Arial"/>
          <w:b/>
          <w:sz w:val="22"/>
          <w:szCs w:val="22"/>
          <w:u w:val="single"/>
        </w:rPr>
      </w:pPr>
      <w:r w:rsidRPr="00837D06">
        <w:rPr>
          <w:rFonts w:ascii="Arial" w:hAnsi="Arial" w:cs="Arial"/>
          <w:b/>
          <w:sz w:val="22"/>
          <w:szCs w:val="22"/>
          <w:u w:val="single"/>
        </w:rPr>
        <w:t xml:space="preserve">Status </w:t>
      </w:r>
      <w:r w:rsidR="00ED68E2">
        <w:rPr>
          <w:rFonts w:ascii="Arial" w:hAnsi="Arial" w:cs="Arial"/>
          <w:b/>
          <w:sz w:val="22"/>
          <w:szCs w:val="22"/>
          <w:u w:val="single"/>
        </w:rPr>
        <w:t xml:space="preserve">of </w:t>
      </w:r>
      <w:r w:rsidRPr="00837D06">
        <w:rPr>
          <w:rFonts w:ascii="Arial" w:hAnsi="Arial" w:cs="Arial"/>
          <w:b/>
          <w:sz w:val="22"/>
          <w:szCs w:val="22"/>
          <w:u w:val="single"/>
        </w:rPr>
        <w:t>GR Negotiations</w:t>
      </w:r>
    </w:p>
    <w:p w14:paraId="2487747C" w14:textId="77777777" w:rsidR="00107038" w:rsidRPr="00837D06" w:rsidRDefault="00107038" w:rsidP="004A29DC">
      <w:pPr>
        <w:rPr>
          <w:rFonts w:ascii="Arial" w:hAnsi="Arial" w:cs="Arial"/>
          <w:sz w:val="22"/>
          <w:szCs w:val="22"/>
        </w:rPr>
      </w:pPr>
    </w:p>
    <w:p w14:paraId="1EC99672" w14:textId="3811BDD3" w:rsidR="00542C9A" w:rsidRPr="00837D06" w:rsidRDefault="001E7A25" w:rsidP="00BB6844">
      <w:pPr>
        <w:rPr>
          <w:rFonts w:ascii="Arial" w:hAnsi="Arial" w:cs="Arial"/>
          <w:sz w:val="22"/>
          <w:szCs w:val="22"/>
        </w:rPr>
      </w:pPr>
      <w:r>
        <w:rPr>
          <w:rFonts w:ascii="Arial" w:hAnsi="Arial" w:cs="Arial"/>
          <w:sz w:val="22"/>
          <w:szCs w:val="22"/>
        </w:rPr>
        <w:t>3.</w:t>
      </w:r>
      <w:r>
        <w:rPr>
          <w:rFonts w:ascii="Arial" w:hAnsi="Arial" w:cs="Arial"/>
          <w:sz w:val="22"/>
          <w:szCs w:val="22"/>
        </w:rPr>
        <w:tab/>
      </w:r>
      <w:r w:rsidR="00107038" w:rsidRPr="00837D06">
        <w:rPr>
          <w:rFonts w:ascii="Arial" w:hAnsi="Arial" w:cs="Arial"/>
          <w:sz w:val="22"/>
          <w:szCs w:val="22"/>
        </w:rPr>
        <w:t xml:space="preserve">The consolidated document on GRs was </w:t>
      </w:r>
      <w:r w:rsidR="003C1EFC">
        <w:rPr>
          <w:rFonts w:ascii="Arial" w:hAnsi="Arial" w:cs="Arial"/>
          <w:sz w:val="22"/>
          <w:szCs w:val="22"/>
        </w:rPr>
        <w:t xml:space="preserve">first </w:t>
      </w:r>
      <w:r w:rsidR="00107038" w:rsidRPr="00837D06">
        <w:rPr>
          <w:rFonts w:ascii="Arial" w:hAnsi="Arial" w:cs="Arial"/>
          <w:sz w:val="22"/>
          <w:szCs w:val="22"/>
        </w:rPr>
        <w:t xml:space="preserve">produced at IGC 20 in February 2012.  This document summarized proposals and positions within IGC working documents and Member States’ proposals.  This initial document was then significantly refined at IGCs 22, 23, 29, 30 and 35.  </w:t>
      </w:r>
      <w:r w:rsidR="00635628" w:rsidRPr="00837D06">
        <w:rPr>
          <w:rFonts w:ascii="Arial" w:hAnsi="Arial" w:cs="Arial"/>
          <w:sz w:val="22"/>
          <w:szCs w:val="22"/>
        </w:rPr>
        <w:t>During IGC 36</w:t>
      </w:r>
      <w:r w:rsidR="003C1EFC">
        <w:rPr>
          <w:rFonts w:ascii="Arial" w:hAnsi="Arial" w:cs="Arial"/>
          <w:sz w:val="22"/>
          <w:szCs w:val="22"/>
        </w:rPr>
        <w:t>,</w:t>
      </w:r>
      <w:r w:rsidR="00635628" w:rsidRPr="00837D06">
        <w:rPr>
          <w:rFonts w:ascii="Arial" w:hAnsi="Arial" w:cs="Arial"/>
          <w:sz w:val="22"/>
          <w:szCs w:val="22"/>
        </w:rPr>
        <w:t xml:space="preserve"> </w:t>
      </w:r>
      <w:r w:rsidR="003C1EFC">
        <w:rPr>
          <w:rFonts w:ascii="Arial" w:hAnsi="Arial" w:cs="Arial"/>
          <w:sz w:val="22"/>
          <w:szCs w:val="22"/>
        </w:rPr>
        <w:t>M</w:t>
      </w:r>
      <w:r w:rsidR="00635628" w:rsidRPr="00837D06">
        <w:rPr>
          <w:rFonts w:ascii="Arial" w:hAnsi="Arial" w:cs="Arial"/>
          <w:sz w:val="22"/>
          <w:szCs w:val="22"/>
        </w:rPr>
        <w:t xml:space="preserve">ember </w:t>
      </w:r>
      <w:r w:rsidR="003C1EFC">
        <w:rPr>
          <w:rFonts w:ascii="Arial" w:hAnsi="Arial" w:cs="Arial"/>
          <w:sz w:val="22"/>
          <w:szCs w:val="22"/>
        </w:rPr>
        <w:t>S</w:t>
      </w:r>
      <w:r w:rsidR="00635628" w:rsidRPr="00837D06">
        <w:rPr>
          <w:rFonts w:ascii="Arial" w:hAnsi="Arial" w:cs="Arial"/>
          <w:sz w:val="22"/>
          <w:szCs w:val="22"/>
        </w:rPr>
        <w:t xml:space="preserve">tates were unable to agree to </w:t>
      </w:r>
      <w:r w:rsidR="003C1EFC">
        <w:rPr>
          <w:rFonts w:ascii="Arial" w:hAnsi="Arial" w:cs="Arial"/>
          <w:sz w:val="22"/>
          <w:szCs w:val="22"/>
        </w:rPr>
        <w:t xml:space="preserve">transmit </w:t>
      </w:r>
      <w:r w:rsidR="00635628" w:rsidRPr="00837D06">
        <w:rPr>
          <w:rFonts w:ascii="Arial" w:hAnsi="Arial" w:cs="Arial"/>
          <w:sz w:val="22"/>
          <w:szCs w:val="22"/>
        </w:rPr>
        <w:t xml:space="preserve">the revised document issued by the facilitators </w:t>
      </w:r>
      <w:r w:rsidR="003C1EFC">
        <w:rPr>
          <w:rFonts w:ascii="Arial" w:hAnsi="Arial" w:cs="Arial"/>
          <w:sz w:val="22"/>
          <w:szCs w:val="22"/>
        </w:rPr>
        <w:t xml:space="preserve">to IGC 40, </w:t>
      </w:r>
      <w:r w:rsidR="00635628" w:rsidRPr="00837D06">
        <w:rPr>
          <w:rFonts w:ascii="Arial" w:hAnsi="Arial" w:cs="Arial"/>
          <w:sz w:val="22"/>
          <w:szCs w:val="22"/>
        </w:rPr>
        <w:t xml:space="preserve">and as such the consolidated working document reverted to the initial revision produced </w:t>
      </w:r>
      <w:r w:rsidR="003C1EFC">
        <w:rPr>
          <w:rFonts w:ascii="Arial" w:hAnsi="Arial" w:cs="Arial"/>
          <w:sz w:val="22"/>
          <w:szCs w:val="22"/>
        </w:rPr>
        <w:t>by IGC 35</w:t>
      </w:r>
      <w:r w:rsidR="00635628" w:rsidRPr="00837D06">
        <w:rPr>
          <w:rFonts w:ascii="Arial" w:hAnsi="Arial" w:cs="Arial"/>
          <w:sz w:val="22"/>
          <w:szCs w:val="22"/>
        </w:rPr>
        <w:t xml:space="preserve">. </w:t>
      </w:r>
      <w:r w:rsidR="008C26F1">
        <w:rPr>
          <w:rFonts w:ascii="Arial" w:hAnsi="Arial" w:cs="Arial"/>
          <w:sz w:val="22"/>
          <w:szCs w:val="22"/>
        </w:rPr>
        <w:t xml:space="preserve"> </w:t>
      </w:r>
      <w:r w:rsidR="00635628" w:rsidRPr="00837D06">
        <w:rPr>
          <w:rFonts w:ascii="Arial" w:hAnsi="Arial" w:cs="Arial"/>
          <w:sz w:val="22"/>
          <w:szCs w:val="22"/>
        </w:rPr>
        <w:t xml:space="preserve">This </w:t>
      </w:r>
      <w:r w:rsidR="00107038" w:rsidRPr="00837D06">
        <w:rPr>
          <w:rFonts w:ascii="Arial" w:hAnsi="Arial" w:cs="Arial"/>
          <w:sz w:val="22"/>
          <w:szCs w:val="22"/>
        </w:rPr>
        <w:t xml:space="preserve">Document </w:t>
      </w:r>
      <w:r w:rsidR="00107038" w:rsidRPr="008C26F1">
        <w:rPr>
          <w:rFonts w:ascii="Arial" w:hAnsi="Arial" w:cs="Arial"/>
          <w:sz w:val="22"/>
          <w:szCs w:val="22"/>
        </w:rPr>
        <w:t>WIPO/GRTKF/IC/</w:t>
      </w:r>
      <w:r w:rsidR="00635628" w:rsidRPr="008C26F1">
        <w:rPr>
          <w:rFonts w:ascii="Arial" w:hAnsi="Arial" w:cs="Arial"/>
          <w:sz w:val="22"/>
          <w:szCs w:val="22"/>
        </w:rPr>
        <w:t>4</w:t>
      </w:r>
      <w:r w:rsidR="00CA044B" w:rsidRPr="008C26F1">
        <w:rPr>
          <w:rFonts w:ascii="Arial" w:hAnsi="Arial" w:cs="Arial"/>
          <w:sz w:val="22"/>
          <w:szCs w:val="22"/>
        </w:rPr>
        <w:t>2</w:t>
      </w:r>
      <w:r w:rsidR="00107038" w:rsidRPr="008C26F1">
        <w:rPr>
          <w:rFonts w:ascii="Arial" w:hAnsi="Arial" w:cs="Arial"/>
          <w:sz w:val="22"/>
          <w:szCs w:val="22"/>
        </w:rPr>
        <w:t>/</w:t>
      </w:r>
      <w:r w:rsidR="0050542C" w:rsidRPr="008C26F1">
        <w:rPr>
          <w:rFonts w:ascii="Arial" w:hAnsi="Arial" w:cs="Arial"/>
          <w:sz w:val="22"/>
          <w:szCs w:val="22"/>
        </w:rPr>
        <w:t>4</w:t>
      </w:r>
      <w:r w:rsidR="00107038" w:rsidRPr="00837D06">
        <w:rPr>
          <w:rFonts w:ascii="Arial" w:hAnsi="Arial" w:cs="Arial"/>
          <w:sz w:val="22"/>
          <w:szCs w:val="22"/>
        </w:rPr>
        <w:t xml:space="preserve"> (</w:t>
      </w:r>
      <w:r w:rsidR="00107038" w:rsidRPr="008C26F1">
        <w:rPr>
          <w:rFonts w:ascii="Arial" w:hAnsi="Arial" w:cs="Arial"/>
          <w:i/>
          <w:sz w:val="22"/>
          <w:szCs w:val="22"/>
        </w:rPr>
        <w:t>Consolidated Document Relating to Intellectual Property and Genetic Resources</w:t>
      </w:r>
      <w:r w:rsidR="00107038" w:rsidRPr="00837D06">
        <w:rPr>
          <w:rFonts w:ascii="Arial" w:hAnsi="Arial" w:cs="Arial"/>
          <w:sz w:val="22"/>
          <w:szCs w:val="22"/>
        </w:rPr>
        <w:t>) is the latest version of the text before the IGC.</w:t>
      </w:r>
      <w:r w:rsidR="00542C9A" w:rsidRPr="00837D06">
        <w:rPr>
          <w:rFonts w:ascii="Arial" w:hAnsi="Arial" w:cs="Arial"/>
          <w:sz w:val="22"/>
          <w:szCs w:val="22"/>
        </w:rPr>
        <w:t xml:space="preserve"> </w:t>
      </w:r>
      <w:r w:rsidR="00635628" w:rsidRPr="00837D06">
        <w:rPr>
          <w:rFonts w:ascii="Arial" w:hAnsi="Arial" w:cs="Arial"/>
          <w:sz w:val="22"/>
          <w:szCs w:val="22"/>
        </w:rPr>
        <w:t>This document incorporates a number of proposals</w:t>
      </w:r>
      <w:r w:rsidR="00542C9A" w:rsidRPr="00837D06">
        <w:rPr>
          <w:rFonts w:ascii="Arial" w:hAnsi="Arial" w:cs="Arial"/>
          <w:sz w:val="22"/>
          <w:szCs w:val="22"/>
        </w:rPr>
        <w:t xml:space="preserve">/options, including defensive measures and disclosure proposals. </w:t>
      </w:r>
    </w:p>
    <w:p w14:paraId="4ABE0A1D" w14:textId="77777777" w:rsidR="00542C9A" w:rsidRPr="00837D06" w:rsidRDefault="00542C9A" w:rsidP="00BB6844">
      <w:pPr>
        <w:rPr>
          <w:rFonts w:ascii="Arial" w:hAnsi="Arial" w:cs="Arial"/>
          <w:sz w:val="22"/>
          <w:szCs w:val="22"/>
        </w:rPr>
      </w:pPr>
    </w:p>
    <w:p w14:paraId="052106F6" w14:textId="723646B6" w:rsidR="00D7428A" w:rsidRPr="00837D06" w:rsidRDefault="00A23C5E" w:rsidP="00BB6844">
      <w:pPr>
        <w:rPr>
          <w:rFonts w:ascii="Arial" w:hAnsi="Arial" w:cs="Arial"/>
          <w:sz w:val="22"/>
          <w:szCs w:val="22"/>
        </w:rPr>
      </w:pPr>
      <w:r>
        <w:rPr>
          <w:rFonts w:ascii="Arial" w:hAnsi="Arial" w:cs="Arial"/>
          <w:sz w:val="22"/>
          <w:szCs w:val="22"/>
        </w:rPr>
        <w:t>4.</w:t>
      </w:r>
      <w:r>
        <w:rPr>
          <w:rFonts w:ascii="Arial" w:hAnsi="Arial" w:cs="Arial"/>
          <w:sz w:val="22"/>
          <w:szCs w:val="22"/>
        </w:rPr>
        <w:tab/>
      </w:r>
      <w:r w:rsidR="00542C9A" w:rsidRPr="00837D06">
        <w:rPr>
          <w:rFonts w:ascii="Arial" w:hAnsi="Arial" w:cs="Arial"/>
          <w:sz w:val="22"/>
          <w:szCs w:val="22"/>
        </w:rPr>
        <w:t>In addition to the consolidated working document</w:t>
      </w:r>
      <w:r w:rsidR="00B03110">
        <w:rPr>
          <w:rFonts w:ascii="Arial" w:hAnsi="Arial" w:cs="Arial"/>
          <w:sz w:val="22"/>
          <w:szCs w:val="22"/>
        </w:rPr>
        <w:t>,</w:t>
      </w:r>
      <w:r w:rsidR="00542C9A" w:rsidRPr="00837D06">
        <w:rPr>
          <w:rFonts w:ascii="Arial" w:hAnsi="Arial" w:cs="Arial"/>
          <w:sz w:val="22"/>
          <w:szCs w:val="22"/>
        </w:rPr>
        <w:t xml:space="preserve"> a number of </w:t>
      </w:r>
      <w:r w:rsidR="003C1EFC">
        <w:rPr>
          <w:rFonts w:ascii="Arial" w:hAnsi="Arial" w:cs="Arial"/>
          <w:sz w:val="22"/>
          <w:szCs w:val="22"/>
        </w:rPr>
        <w:t>M</w:t>
      </w:r>
      <w:r w:rsidR="00542C9A" w:rsidRPr="00837D06">
        <w:rPr>
          <w:rFonts w:ascii="Arial" w:hAnsi="Arial" w:cs="Arial"/>
          <w:sz w:val="22"/>
          <w:szCs w:val="22"/>
        </w:rPr>
        <w:t xml:space="preserve">ember </w:t>
      </w:r>
      <w:r w:rsidR="003C1EFC">
        <w:rPr>
          <w:rFonts w:ascii="Arial" w:hAnsi="Arial" w:cs="Arial"/>
          <w:sz w:val="22"/>
          <w:szCs w:val="22"/>
        </w:rPr>
        <w:t>S</w:t>
      </w:r>
      <w:r w:rsidR="00542C9A" w:rsidRPr="00837D06">
        <w:rPr>
          <w:rFonts w:ascii="Arial" w:hAnsi="Arial" w:cs="Arial"/>
          <w:sz w:val="22"/>
          <w:szCs w:val="22"/>
        </w:rPr>
        <w:t>tate</w:t>
      </w:r>
      <w:r w:rsidR="003C1EFC">
        <w:rPr>
          <w:rFonts w:ascii="Arial" w:hAnsi="Arial" w:cs="Arial"/>
          <w:sz w:val="22"/>
          <w:szCs w:val="22"/>
        </w:rPr>
        <w:t>s’</w:t>
      </w:r>
      <w:r w:rsidR="00542C9A" w:rsidRPr="00837D06">
        <w:rPr>
          <w:rFonts w:ascii="Arial" w:hAnsi="Arial" w:cs="Arial"/>
          <w:sz w:val="22"/>
          <w:szCs w:val="22"/>
        </w:rPr>
        <w:t xml:space="preserve"> proposals/joint recommendations remain on the table for consideration by </w:t>
      </w:r>
      <w:r w:rsidR="003C1EFC">
        <w:rPr>
          <w:rFonts w:ascii="Arial" w:hAnsi="Arial" w:cs="Arial"/>
          <w:sz w:val="22"/>
          <w:szCs w:val="22"/>
        </w:rPr>
        <w:t>the IGC</w:t>
      </w:r>
      <w:r w:rsidR="00542C9A" w:rsidRPr="00837D06">
        <w:rPr>
          <w:rFonts w:ascii="Arial" w:hAnsi="Arial" w:cs="Arial"/>
          <w:sz w:val="22"/>
          <w:szCs w:val="22"/>
        </w:rPr>
        <w:t xml:space="preserve">. </w:t>
      </w:r>
    </w:p>
    <w:p w14:paraId="3C7F5865" w14:textId="77777777" w:rsidR="00D7428A" w:rsidRPr="00837D06" w:rsidRDefault="00D7428A" w:rsidP="00BB6844">
      <w:pPr>
        <w:rPr>
          <w:rFonts w:ascii="Arial" w:hAnsi="Arial" w:cs="Arial"/>
          <w:sz w:val="22"/>
          <w:szCs w:val="22"/>
        </w:rPr>
      </w:pPr>
    </w:p>
    <w:p w14:paraId="7C6EFF51" w14:textId="2B6552C7" w:rsidR="00D7428A" w:rsidRPr="00837D06" w:rsidRDefault="00A23C5E" w:rsidP="00D7428A">
      <w:pPr>
        <w:rPr>
          <w:rFonts w:ascii="Arial" w:hAnsi="Arial" w:cs="Arial"/>
          <w:sz w:val="22"/>
          <w:szCs w:val="22"/>
        </w:rPr>
      </w:pPr>
      <w:r>
        <w:rPr>
          <w:rFonts w:ascii="Arial" w:hAnsi="Arial" w:cs="Arial"/>
          <w:sz w:val="22"/>
          <w:szCs w:val="22"/>
        </w:rPr>
        <w:t>5.</w:t>
      </w:r>
      <w:r>
        <w:rPr>
          <w:rFonts w:ascii="Arial" w:hAnsi="Arial" w:cs="Arial"/>
          <w:sz w:val="22"/>
          <w:szCs w:val="22"/>
        </w:rPr>
        <w:tab/>
      </w:r>
      <w:r w:rsidR="00D7428A" w:rsidRPr="00837D06">
        <w:rPr>
          <w:rFonts w:ascii="Arial" w:hAnsi="Arial" w:cs="Arial"/>
          <w:sz w:val="22"/>
          <w:szCs w:val="22"/>
        </w:rPr>
        <w:t xml:space="preserve">From my perspective, the GR negotiations are at a point at which the </w:t>
      </w:r>
      <w:r w:rsidR="00CE36CA">
        <w:rPr>
          <w:rFonts w:ascii="Arial" w:hAnsi="Arial" w:cs="Arial"/>
          <w:sz w:val="22"/>
          <w:szCs w:val="22"/>
        </w:rPr>
        <w:t>M</w:t>
      </w:r>
      <w:r w:rsidR="00D7428A" w:rsidRPr="00837D06">
        <w:rPr>
          <w:rFonts w:ascii="Arial" w:hAnsi="Arial" w:cs="Arial"/>
          <w:sz w:val="22"/>
          <w:szCs w:val="22"/>
        </w:rPr>
        <w:t>ember</w:t>
      </w:r>
      <w:r w:rsidR="00CE36CA">
        <w:rPr>
          <w:rFonts w:ascii="Arial" w:hAnsi="Arial" w:cs="Arial"/>
          <w:sz w:val="22"/>
          <w:szCs w:val="22"/>
        </w:rPr>
        <w:t xml:space="preserve"> State</w:t>
      </w:r>
      <w:r w:rsidR="00D7428A" w:rsidRPr="00837D06">
        <w:rPr>
          <w:rFonts w:ascii="Arial" w:hAnsi="Arial" w:cs="Arial"/>
          <w:sz w:val="22"/>
          <w:szCs w:val="22"/>
        </w:rPr>
        <w:t xml:space="preserve">s need to decide on the final form of the instrument taking account of the different approaches reflected in the consolidated working </w:t>
      </w:r>
      <w:r w:rsidR="00CE36CA">
        <w:rPr>
          <w:rFonts w:ascii="Arial" w:hAnsi="Arial" w:cs="Arial"/>
          <w:sz w:val="22"/>
          <w:szCs w:val="22"/>
        </w:rPr>
        <w:t>document</w:t>
      </w:r>
      <w:r w:rsidR="00CE36CA" w:rsidRPr="00837D06">
        <w:rPr>
          <w:rFonts w:ascii="Arial" w:hAnsi="Arial" w:cs="Arial"/>
          <w:sz w:val="22"/>
          <w:szCs w:val="22"/>
        </w:rPr>
        <w:t xml:space="preserve"> </w:t>
      </w:r>
      <w:r w:rsidR="00D7428A" w:rsidRPr="00837D06">
        <w:rPr>
          <w:rFonts w:ascii="Arial" w:hAnsi="Arial" w:cs="Arial"/>
          <w:sz w:val="22"/>
          <w:szCs w:val="22"/>
        </w:rPr>
        <w:t xml:space="preserve">and joint recommendations presented by a number of </w:t>
      </w:r>
      <w:r w:rsidR="00CE36CA">
        <w:rPr>
          <w:rFonts w:ascii="Arial" w:hAnsi="Arial" w:cs="Arial"/>
          <w:sz w:val="22"/>
          <w:szCs w:val="22"/>
        </w:rPr>
        <w:t>M</w:t>
      </w:r>
      <w:r w:rsidR="00D7428A" w:rsidRPr="00837D06">
        <w:rPr>
          <w:rFonts w:ascii="Arial" w:hAnsi="Arial" w:cs="Arial"/>
          <w:sz w:val="22"/>
          <w:szCs w:val="22"/>
        </w:rPr>
        <w:t xml:space="preserve">ember </w:t>
      </w:r>
      <w:r w:rsidR="00CE36CA">
        <w:rPr>
          <w:rFonts w:ascii="Arial" w:hAnsi="Arial" w:cs="Arial"/>
          <w:sz w:val="22"/>
          <w:szCs w:val="22"/>
        </w:rPr>
        <w:t>S</w:t>
      </w:r>
      <w:r w:rsidR="00D7428A" w:rsidRPr="00837D06">
        <w:rPr>
          <w:rFonts w:ascii="Arial" w:hAnsi="Arial" w:cs="Arial"/>
          <w:sz w:val="22"/>
          <w:szCs w:val="22"/>
        </w:rPr>
        <w:t xml:space="preserve">tates. In order to facilitate this decision-making, on my own authority, I prepared a Chair’s text on GRs and associated </w:t>
      </w:r>
      <w:r w:rsidR="00CE36CA">
        <w:rPr>
          <w:rFonts w:ascii="Arial" w:hAnsi="Arial" w:cs="Arial"/>
          <w:sz w:val="22"/>
          <w:szCs w:val="22"/>
        </w:rPr>
        <w:t>traditional knowledge (</w:t>
      </w:r>
      <w:r w:rsidR="00D7428A" w:rsidRPr="00837D06">
        <w:rPr>
          <w:rFonts w:ascii="Arial" w:hAnsi="Arial" w:cs="Arial"/>
          <w:sz w:val="22"/>
          <w:szCs w:val="22"/>
        </w:rPr>
        <w:t>TK</w:t>
      </w:r>
      <w:r w:rsidR="00CE36CA">
        <w:rPr>
          <w:rFonts w:ascii="Arial" w:hAnsi="Arial" w:cs="Arial"/>
          <w:sz w:val="22"/>
          <w:szCs w:val="22"/>
        </w:rPr>
        <w:t>).</w:t>
      </w:r>
      <w:r w:rsidR="00D7428A" w:rsidRPr="00837D06">
        <w:rPr>
          <w:rFonts w:ascii="Arial" w:hAnsi="Arial" w:cs="Arial"/>
          <w:sz w:val="22"/>
          <w:szCs w:val="22"/>
        </w:rPr>
        <w:t xml:space="preserve"> </w:t>
      </w:r>
    </w:p>
    <w:p w14:paraId="4945C474" w14:textId="77777777" w:rsidR="00D7428A" w:rsidRPr="00837D06" w:rsidRDefault="00D7428A" w:rsidP="00D7428A">
      <w:pPr>
        <w:rPr>
          <w:rFonts w:ascii="Arial" w:hAnsi="Arial" w:cs="Arial"/>
          <w:sz w:val="22"/>
          <w:szCs w:val="22"/>
        </w:rPr>
      </w:pPr>
    </w:p>
    <w:p w14:paraId="148E8410" w14:textId="5B5F50AB" w:rsidR="00D7428A" w:rsidRPr="00837D06" w:rsidRDefault="00A23C5E" w:rsidP="00D7428A">
      <w:pPr>
        <w:rPr>
          <w:rFonts w:ascii="Arial" w:hAnsi="Arial" w:cs="Arial"/>
          <w:sz w:val="22"/>
          <w:szCs w:val="22"/>
        </w:rPr>
      </w:pPr>
      <w:r>
        <w:rPr>
          <w:rFonts w:ascii="Arial" w:hAnsi="Arial" w:cs="Arial"/>
          <w:sz w:val="22"/>
          <w:szCs w:val="22"/>
        </w:rPr>
        <w:t>6.</w:t>
      </w:r>
      <w:r>
        <w:rPr>
          <w:rFonts w:ascii="Arial" w:hAnsi="Arial" w:cs="Arial"/>
          <w:sz w:val="22"/>
          <w:szCs w:val="22"/>
        </w:rPr>
        <w:tab/>
      </w:r>
      <w:r w:rsidR="00D7428A" w:rsidRPr="00837D06">
        <w:rPr>
          <w:rFonts w:ascii="Arial" w:hAnsi="Arial" w:cs="Arial"/>
          <w:sz w:val="22"/>
          <w:szCs w:val="22"/>
        </w:rPr>
        <w:t>This text w</w:t>
      </w:r>
      <w:r w:rsidR="00CA044B">
        <w:rPr>
          <w:rFonts w:ascii="Arial" w:hAnsi="Arial" w:cs="Arial"/>
          <w:sz w:val="22"/>
          <w:szCs w:val="22"/>
        </w:rPr>
        <w:t>as</w:t>
      </w:r>
      <w:r w:rsidR="00D7428A" w:rsidRPr="00837D06">
        <w:rPr>
          <w:rFonts w:ascii="Arial" w:hAnsi="Arial" w:cs="Arial"/>
          <w:sz w:val="22"/>
          <w:szCs w:val="22"/>
        </w:rPr>
        <w:t xml:space="preserve"> presented at IGC 40</w:t>
      </w:r>
      <w:r w:rsidR="00C57FD7">
        <w:rPr>
          <w:rFonts w:ascii="Arial" w:hAnsi="Arial" w:cs="Arial"/>
          <w:sz w:val="22"/>
          <w:szCs w:val="22"/>
        </w:rPr>
        <w:t xml:space="preserve"> in 2019,</w:t>
      </w:r>
      <w:r w:rsidR="00CA044B">
        <w:rPr>
          <w:rFonts w:ascii="Arial" w:hAnsi="Arial" w:cs="Arial"/>
          <w:sz w:val="22"/>
          <w:szCs w:val="22"/>
        </w:rPr>
        <w:t xml:space="preserve"> and subsequently the WIPO General Assembly </w:t>
      </w:r>
      <w:r w:rsidR="00DD18A3">
        <w:rPr>
          <w:rFonts w:ascii="Arial" w:hAnsi="Arial" w:cs="Arial"/>
          <w:sz w:val="22"/>
          <w:szCs w:val="22"/>
        </w:rPr>
        <w:t xml:space="preserve">in </w:t>
      </w:r>
      <w:r w:rsidR="00CA044B">
        <w:rPr>
          <w:rFonts w:ascii="Arial" w:hAnsi="Arial" w:cs="Arial"/>
          <w:sz w:val="22"/>
          <w:szCs w:val="22"/>
        </w:rPr>
        <w:t>201</w:t>
      </w:r>
      <w:r w:rsidR="005974E6">
        <w:rPr>
          <w:rFonts w:ascii="Arial" w:hAnsi="Arial" w:cs="Arial"/>
          <w:sz w:val="22"/>
          <w:szCs w:val="22"/>
        </w:rPr>
        <w:t>9</w:t>
      </w:r>
      <w:r w:rsidR="00CA044B">
        <w:rPr>
          <w:rFonts w:ascii="Arial" w:hAnsi="Arial" w:cs="Arial"/>
          <w:sz w:val="22"/>
          <w:szCs w:val="22"/>
        </w:rPr>
        <w:t xml:space="preserve"> and 2021 agreed to include th</w:t>
      </w:r>
      <w:r w:rsidR="00C57FD7">
        <w:rPr>
          <w:rFonts w:ascii="Arial" w:hAnsi="Arial" w:cs="Arial"/>
          <w:sz w:val="22"/>
          <w:szCs w:val="22"/>
        </w:rPr>
        <w:t>is</w:t>
      </w:r>
      <w:r w:rsidR="00CA044B">
        <w:rPr>
          <w:rFonts w:ascii="Arial" w:hAnsi="Arial" w:cs="Arial"/>
          <w:sz w:val="22"/>
          <w:szCs w:val="22"/>
        </w:rPr>
        <w:t xml:space="preserve"> text as a working document </w:t>
      </w:r>
      <w:r w:rsidR="00C57FD7">
        <w:rPr>
          <w:rFonts w:ascii="Arial" w:hAnsi="Arial" w:cs="Arial"/>
          <w:sz w:val="22"/>
          <w:szCs w:val="22"/>
        </w:rPr>
        <w:t>(WIPO/GRTKF/IC/42/5)</w:t>
      </w:r>
      <w:r w:rsidR="00CA044B">
        <w:rPr>
          <w:rFonts w:ascii="Arial" w:hAnsi="Arial" w:cs="Arial"/>
          <w:sz w:val="22"/>
          <w:szCs w:val="22"/>
        </w:rPr>
        <w:t>.</w:t>
      </w:r>
      <w:r w:rsidR="008C26F1">
        <w:rPr>
          <w:rFonts w:ascii="Arial" w:hAnsi="Arial" w:cs="Arial"/>
          <w:sz w:val="22"/>
          <w:szCs w:val="22"/>
        </w:rPr>
        <w:t xml:space="preserve"> This text</w:t>
      </w:r>
      <w:r w:rsidR="00CA044B">
        <w:rPr>
          <w:rFonts w:ascii="Arial" w:hAnsi="Arial" w:cs="Arial"/>
          <w:sz w:val="22"/>
          <w:szCs w:val="22"/>
        </w:rPr>
        <w:t xml:space="preserve"> </w:t>
      </w:r>
      <w:r w:rsidR="00D7428A" w:rsidRPr="00837D06">
        <w:rPr>
          <w:rFonts w:ascii="Arial" w:hAnsi="Arial" w:cs="Arial"/>
          <w:sz w:val="22"/>
          <w:szCs w:val="22"/>
        </w:rPr>
        <w:t>is an attempt to balance the interests and rights of the providers and users of GRs and associated TK, without which, in my view, a mutually beneficial agreement will not be achieved. It also attempts to incorporate the two primary mechanisms proposed by Member States to achieve the IGC’s mandate relating to GRs: a mandatory disclosure regime and initiatives relating to information systems</w:t>
      </w:r>
      <w:r w:rsidR="00DD18A3">
        <w:rPr>
          <w:rFonts w:ascii="Arial" w:hAnsi="Arial" w:cs="Arial"/>
          <w:sz w:val="22"/>
          <w:szCs w:val="22"/>
        </w:rPr>
        <w:t xml:space="preserve"> to support prior art searching</w:t>
      </w:r>
      <w:r w:rsidR="00D7428A" w:rsidRPr="00837D06">
        <w:rPr>
          <w:rFonts w:ascii="Arial" w:hAnsi="Arial" w:cs="Arial"/>
          <w:sz w:val="22"/>
          <w:szCs w:val="22"/>
        </w:rPr>
        <w:t>.</w:t>
      </w:r>
    </w:p>
    <w:p w14:paraId="3A6D1F32" w14:textId="77777777" w:rsidR="00D7428A" w:rsidRPr="00837D06" w:rsidRDefault="00D7428A" w:rsidP="00D7428A">
      <w:pPr>
        <w:rPr>
          <w:rFonts w:ascii="Arial" w:hAnsi="Arial" w:cs="Arial"/>
          <w:sz w:val="22"/>
          <w:szCs w:val="22"/>
        </w:rPr>
      </w:pPr>
    </w:p>
    <w:p w14:paraId="0752A2A6" w14:textId="54B882B6" w:rsidR="00D7428A" w:rsidRDefault="00A23C5E" w:rsidP="00D7428A">
      <w:pPr>
        <w:rPr>
          <w:rFonts w:ascii="Arial" w:hAnsi="Arial" w:cs="Arial"/>
          <w:sz w:val="22"/>
          <w:szCs w:val="22"/>
        </w:rPr>
      </w:pPr>
      <w:r>
        <w:rPr>
          <w:rFonts w:ascii="Arial" w:hAnsi="Arial" w:cs="Arial"/>
          <w:sz w:val="22"/>
          <w:szCs w:val="22"/>
        </w:rPr>
        <w:t>7.</w:t>
      </w:r>
      <w:r>
        <w:rPr>
          <w:rFonts w:ascii="Arial" w:hAnsi="Arial" w:cs="Arial"/>
          <w:sz w:val="22"/>
          <w:szCs w:val="22"/>
        </w:rPr>
        <w:tab/>
      </w:r>
      <w:r w:rsidR="00D7428A" w:rsidRPr="00837D06">
        <w:rPr>
          <w:rFonts w:ascii="Arial" w:hAnsi="Arial" w:cs="Arial"/>
          <w:sz w:val="22"/>
          <w:szCs w:val="22"/>
        </w:rPr>
        <w:t xml:space="preserve">I </w:t>
      </w:r>
      <w:r w:rsidR="00C13DBF">
        <w:rPr>
          <w:rFonts w:ascii="Arial" w:hAnsi="Arial" w:cs="Arial"/>
          <w:sz w:val="22"/>
          <w:szCs w:val="22"/>
        </w:rPr>
        <w:t xml:space="preserve">also </w:t>
      </w:r>
      <w:r w:rsidR="00D7428A" w:rsidRPr="00837D06">
        <w:rPr>
          <w:rFonts w:ascii="Arial" w:hAnsi="Arial" w:cs="Arial"/>
          <w:sz w:val="22"/>
          <w:szCs w:val="22"/>
        </w:rPr>
        <w:t xml:space="preserve">believe a </w:t>
      </w:r>
      <w:r w:rsidR="00D7428A" w:rsidRPr="00837D06">
        <w:rPr>
          <w:rFonts w:ascii="Arial" w:hAnsi="Arial" w:cs="Arial"/>
          <w:b/>
          <w:sz w:val="22"/>
          <w:szCs w:val="22"/>
        </w:rPr>
        <w:t>clearer understanding of the modalities of an international disclosure requirement would enable policymakers to make informed decisions regarding the costs, risks and benefits of a disclosure requirement.</w:t>
      </w:r>
      <w:r w:rsidR="00D7428A" w:rsidRPr="00837D06">
        <w:rPr>
          <w:rFonts w:ascii="Arial" w:hAnsi="Arial" w:cs="Arial"/>
          <w:sz w:val="22"/>
          <w:szCs w:val="22"/>
        </w:rPr>
        <w:t xml:space="preserve"> </w:t>
      </w:r>
    </w:p>
    <w:p w14:paraId="6E926E14" w14:textId="5036C841" w:rsidR="00F91161" w:rsidRDefault="00F91161" w:rsidP="00D7428A">
      <w:pPr>
        <w:rPr>
          <w:rFonts w:ascii="Arial" w:hAnsi="Arial" w:cs="Arial"/>
          <w:sz w:val="22"/>
          <w:szCs w:val="22"/>
        </w:rPr>
      </w:pPr>
    </w:p>
    <w:p w14:paraId="60AD4C6A" w14:textId="3BF8AE5F" w:rsidR="00F91161" w:rsidRPr="00837D06" w:rsidRDefault="00F91161" w:rsidP="00D7428A">
      <w:pPr>
        <w:rPr>
          <w:rFonts w:ascii="Arial" w:hAnsi="Arial" w:cs="Arial"/>
          <w:sz w:val="22"/>
          <w:szCs w:val="22"/>
        </w:rPr>
      </w:pPr>
      <w:r>
        <w:rPr>
          <w:rFonts w:ascii="Arial" w:hAnsi="Arial" w:cs="Arial"/>
          <w:sz w:val="22"/>
          <w:szCs w:val="22"/>
        </w:rPr>
        <w:t>8.</w:t>
      </w:r>
      <w:r>
        <w:rPr>
          <w:rFonts w:ascii="Arial" w:hAnsi="Arial" w:cs="Arial"/>
          <w:sz w:val="22"/>
          <w:szCs w:val="22"/>
        </w:rPr>
        <w:tab/>
        <w:t xml:space="preserve">In addition, </w:t>
      </w:r>
      <w:r w:rsidR="00377ED8">
        <w:rPr>
          <w:rFonts w:ascii="Arial" w:hAnsi="Arial" w:cs="Arial"/>
          <w:sz w:val="22"/>
          <w:szCs w:val="22"/>
        </w:rPr>
        <w:t xml:space="preserve">Member States need to have </w:t>
      </w:r>
      <w:r>
        <w:rPr>
          <w:rFonts w:ascii="Arial" w:hAnsi="Arial" w:cs="Arial"/>
          <w:sz w:val="22"/>
          <w:szCs w:val="22"/>
        </w:rPr>
        <w:t xml:space="preserve">a clearer understanding of </w:t>
      </w:r>
      <w:r w:rsidR="00377ED8">
        <w:rPr>
          <w:rFonts w:ascii="Arial" w:hAnsi="Arial" w:cs="Arial"/>
          <w:sz w:val="22"/>
          <w:szCs w:val="22"/>
        </w:rPr>
        <w:t xml:space="preserve">technical and practical issues relating to the establishment and functioning of information systems and various kinds of due diligence mechanisms. </w:t>
      </w:r>
    </w:p>
    <w:p w14:paraId="083679D9" w14:textId="77777777" w:rsidR="00D7428A" w:rsidRPr="00837D06" w:rsidRDefault="00D7428A" w:rsidP="00D7428A">
      <w:pPr>
        <w:rPr>
          <w:rFonts w:ascii="Arial" w:hAnsi="Arial" w:cs="Arial"/>
          <w:sz w:val="22"/>
          <w:szCs w:val="22"/>
        </w:rPr>
      </w:pPr>
    </w:p>
    <w:p w14:paraId="2CED2E82" w14:textId="59C22F99" w:rsidR="00D7428A" w:rsidRPr="00837D06" w:rsidRDefault="00F91161" w:rsidP="00D7428A">
      <w:pPr>
        <w:rPr>
          <w:rFonts w:ascii="Arial" w:hAnsi="Arial" w:cs="Arial"/>
          <w:sz w:val="22"/>
          <w:szCs w:val="22"/>
        </w:rPr>
      </w:pPr>
      <w:r>
        <w:rPr>
          <w:rFonts w:ascii="Arial" w:hAnsi="Arial" w:cs="Arial"/>
          <w:sz w:val="22"/>
          <w:szCs w:val="22"/>
        </w:rPr>
        <w:t>9</w:t>
      </w:r>
      <w:r w:rsidR="00A23C5E">
        <w:rPr>
          <w:rFonts w:ascii="Arial" w:hAnsi="Arial" w:cs="Arial"/>
          <w:sz w:val="22"/>
          <w:szCs w:val="22"/>
        </w:rPr>
        <w:t>.</w:t>
      </w:r>
      <w:r w:rsidR="00A23C5E">
        <w:rPr>
          <w:rFonts w:ascii="Arial" w:hAnsi="Arial" w:cs="Arial"/>
          <w:sz w:val="22"/>
          <w:szCs w:val="22"/>
        </w:rPr>
        <w:tab/>
      </w:r>
      <w:r w:rsidR="00D7428A" w:rsidRPr="00837D06">
        <w:rPr>
          <w:rFonts w:ascii="Arial" w:hAnsi="Arial" w:cs="Arial"/>
          <w:sz w:val="22"/>
          <w:szCs w:val="22"/>
        </w:rPr>
        <w:t>In developing this text, I:</w:t>
      </w:r>
    </w:p>
    <w:p w14:paraId="221DFF4E" w14:textId="77777777" w:rsidR="00D7428A" w:rsidRPr="00837D06" w:rsidRDefault="00D7428A" w:rsidP="00D7428A">
      <w:pPr>
        <w:rPr>
          <w:rFonts w:ascii="Arial" w:hAnsi="Arial" w:cs="Arial"/>
          <w:sz w:val="22"/>
          <w:szCs w:val="22"/>
        </w:rPr>
      </w:pPr>
    </w:p>
    <w:p w14:paraId="73D81126" w14:textId="09A8D508" w:rsidR="00D7428A" w:rsidRPr="00837D06" w:rsidRDefault="00D7428A" w:rsidP="00D7428A">
      <w:pPr>
        <w:pStyle w:val="ListParagraph"/>
        <w:numPr>
          <w:ilvl w:val="0"/>
          <w:numId w:val="24"/>
        </w:numPr>
        <w:rPr>
          <w:rFonts w:ascii="Arial" w:hAnsi="Arial" w:cs="Arial"/>
          <w:sz w:val="22"/>
          <w:szCs w:val="22"/>
        </w:rPr>
      </w:pPr>
      <w:r w:rsidRPr="00837D06">
        <w:rPr>
          <w:rFonts w:ascii="Arial" w:hAnsi="Arial" w:cs="Arial"/>
          <w:sz w:val="22"/>
          <w:szCs w:val="22"/>
        </w:rPr>
        <w:t>considered the existing documentation of the IGC</w:t>
      </w:r>
      <w:r w:rsidRPr="00837D06">
        <w:rPr>
          <w:rStyle w:val="FootnoteReference"/>
          <w:rFonts w:ascii="Arial" w:hAnsi="Arial" w:cs="Arial"/>
          <w:sz w:val="22"/>
          <w:szCs w:val="22"/>
        </w:rPr>
        <w:footnoteReference w:id="2"/>
      </w:r>
      <w:r w:rsidRPr="00837D06">
        <w:rPr>
          <w:rFonts w:ascii="Arial" w:hAnsi="Arial" w:cs="Arial"/>
          <w:sz w:val="22"/>
          <w:szCs w:val="22"/>
        </w:rPr>
        <w:t xml:space="preserve"> and the WIPO Secretariat’s publication </w:t>
      </w:r>
      <w:r w:rsidRPr="00837D06">
        <w:rPr>
          <w:rFonts w:ascii="Arial" w:hAnsi="Arial" w:cs="Arial"/>
          <w:i/>
          <w:sz w:val="22"/>
          <w:szCs w:val="22"/>
        </w:rPr>
        <w:t>Key Questions on Patent Disclosure Requirements for Genetic Resources and Traditional Knowledge;</w:t>
      </w:r>
    </w:p>
    <w:p w14:paraId="4316D963" w14:textId="5D616D2A" w:rsidR="00D7428A" w:rsidRPr="00837D06" w:rsidRDefault="00D7428A" w:rsidP="00D7428A">
      <w:pPr>
        <w:pStyle w:val="ListParagraph"/>
        <w:numPr>
          <w:ilvl w:val="0"/>
          <w:numId w:val="24"/>
        </w:numPr>
        <w:rPr>
          <w:rFonts w:ascii="Arial" w:hAnsi="Arial" w:cs="Arial"/>
          <w:sz w:val="22"/>
          <w:szCs w:val="22"/>
        </w:rPr>
      </w:pPr>
      <w:r w:rsidRPr="00837D06">
        <w:rPr>
          <w:rFonts w:ascii="Arial" w:hAnsi="Arial" w:cs="Arial"/>
          <w:sz w:val="22"/>
          <w:szCs w:val="22"/>
        </w:rPr>
        <w:t>attempted to address the key risks identified by users, in particular legal certainty, accessibility to GRs and Associated TK, and transactional costs/burdens; and</w:t>
      </w:r>
    </w:p>
    <w:p w14:paraId="5E9E8B19" w14:textId="236FFF8C" w:rsidR="00D7428A" w:rsidRPr="00837D06" w:rsidRDefault="00D7428A" w:rsidP="00D7428A">
      <w:pPr>
        <w:pStyle w:val="ListParagraph"/>
        <w:numPr>
          <w:ilvl w:val="0"/>
          <w:numId w:val="24"/>
        </w:numPr>
        <w:rPr>
          <w:rFonts w:ascii="Arial" w:hAnsi="Arial" w:cs="Arial"/>
          <w:sz w:val="22"/>
          <w:szCs w:val="22"/>
        </w:rPr>
      </w:pPr>
      <w:r w:rsidRPr="00837D06">
        <w:rPr>
          <w:rFonts w:ascii="Arial" w:hAnsi="Arial" w:cs="Arial"/>
          <w:sz w:val="22"/>
          <w:szCs w:val="22"/>
        </w:rPr>
        <w:t xml:space="preserve">was mindful of the desire for a degree of policy space for </w:t>
      </w:r>
      <w:r w:rsidR="00CE36CA">
        <w:rPr>
          <w:rFonts w:ascii="Arial" w:hAnsi="Arial" w:cs="Arial"/>
          <w:sz w:val="22"/>
          <w:szCs w:val="22"/>
        </w:rPr>
        <w:t>M</w:t>
      </w:r>
      <w:r w:rsidRPr="00837D06">
        <w:rPr>
          <w:rFonts w:ascii="Arial" w:hAnsi="Arial" w:cs="Arial"/>
          <w:sz w:val="22"/>
          <w:szCs w:val="22"/>
        </w:rPr>
        <w:t xml:space="preserve">ember </w:t>
      </w:r>
      <w:r w:rsidR="00CE36CA">
        <w:rPr>
          <w:rFonts w:ascii="Arial" w:hAnsi="Arial" w:cs="Arial"/>
          <w:sz w:val="22"/>
          <w:szCs w:val="22"/>
        </w:rPr>
        <w:t>S</w:t>
      </w:r>
      <w:r w:rsidRPr="00837D06">
        <w:rPr>
          <w:rFonts w:ascii="Arial" w:hAnsi="Arial" w:cs="Arial"/>
          <w:sz w:val="22"/>
          <w:szCs w:val="22"/>
        </w:rPr>
        <w:t xml:space="preserve">tates which have already established disclosure regimes, as long as that policy space does not compromise the </w:t>
      </w:r>
      <w:r w:rsidR="00A55DE5" w:rsidRPr="00837D06">
        <w:rPr>
          <w:rFonts w:ascii="Arial" w:hAnsi="Arial" w:cs="Arial"/>
          <w:sz w:val="22"/>
          <w:szCs w:val="22"/>
        </w:rPr>
        <w:t>benefits of a standardised set of international standards in this area.</w:t>
      </w:r>
      <w:r w:rsidRPr="00837D06">
        <w:rPr>
          <w:rFonts w:ascii="Arial" w:hAnsi="Arial" w:cs="Arial"/>
          <w:sz w:val="22"/>
          <w:szCs w:val="22"/>
        </w:rPr>
        <w:t xml:space="preserve"> </w:t>
      </w:r>
    </w:p>
    <w:p w14:paraId="034B19A6" w14:textId="77777777" w:rsidR="00D7428A" w:rsidRPr="00837D06" w:rsidRDefault="00D7428A" w:rsidP="00D7428A">
      <w:pPr>
        <w:rPr>
          <w:rFonts w:ascii="Arial" w:hAnsi="Arial" w:cs="Arial"/>
          <w:sz w:val="22"/>
          <w:szCs w:val="22"/>
        </w:rPr>
      </w:pPr>
    </w:p>
    <w:p w14:paraId="7323A76E" w14:textId="784533F3" w:rsidR="00D7428A" w:rsidRDefault="00F310E5" w:rsidP="00D7428A">
      <w:pPr>
        <w:rPr>
          <w:rFonts w:ascii="Arial" w:hAnsi="Arial" w:cs="Arial"/>
          <w:sz w:val="22"/>
          <w:szCs w:val="22"/>
        </w:rPr>
      </w:pPr>
      <w:r>
        <w:rPr>
          <w:rFonts w:ascii="Arial" w:hAnsi="Arial" w:cs="Arial"/>
          <w:sz w:val="22"/>
          <w:szCs w:val="22"/>
        </w:rPr>
        <w:t>10</w:t>
      </w:r>
      <w:r w:rsidR="00A23C5E">
        <w:rPr>
          <w:rFonts w:ascii="Arial" w:hAnsi="Arial" w:cs="Arial"/>
          <w:sz w:val="22"/>
          <w:szCs w:val="22"/>
        </w:rPr>
        <w:t>.</w:t>
      </w:r>
      <w:r w:rsidR="00A23C5E">
        <w:rPr>
          <w:rFonts w:ascii="Arial" w:hAnsi="Arial" w:cs="Arial"/>
          <w:sz w:val="22"/>
          <w:szCs w:val="22"/>
        </w:rPr>
        <w:tab/>
      </w:r>
      <w:r w:rsidR="00D7428A" w:rsidRPr="00837D06">
        <w:rPr>
          <w:rFonts w:ascii="Arial" w:hAnsi="Arial" w:cs="Arial"/>
          <w:sz w:val="22"/>
          <w:szCs w:val="22"/>
        </w:rPr>
        <w:t xml:space="preserve">The primary policy focus of the text is to enhance transparency in relation to the use of GRs and </w:t>
      </w:r>
      <w:r w:rsidR="00CE36CA">
        <w:rPr>
          <w:rFonts w:ascii="Arial" w:hAnsi="Arial" w:cs="Arial"/>
          <w:sz w:val="22"/>
          <w:szCs w:val="22"/>
        </w:rPr>
        <w:t>a</w:t>
      </w:r>
      <w:r w:rsidR="00D7428A" w:rsidRPr="00837D06">
        <w:rPr>
          <w:rFonts w:ascii="Arial" w:hAnsi="Arial" w:cs="Arial"/>
          <w:sz w:val="22"/>
          <w:szCs w:val="22"/>
        </w:rPr>
        <w:t xml:space="preserve">ssociated TK within the patent system, improving the efficacy and quality of the patent system, which, in my view, will facilitate benefit-sharing and the prevention of the granting of erroneous patents and the misappropriation of GRs and </w:t>
      </w:r>
      <w:r w:rsidR="00CE36CA">
        <w:rPr>
          <w:rFonts w:ascii="Arial" w:hAnsi="Arial" w:cs="Arial"/>
          <w:sz w:val="22"/>
          <w:szCs w:val="22"/>
        </w:rPr>
        <w:t>a</w:t>
      </w:r>
      <w:r w:rsidR="00D7428A" w:rsidRPr="00837D06">
        <w:rPr>
          <w:rFonts w:ascii="Arial" w:hAnsi="Arial" w:cs="Arial"/>
          <w:sz w:val="22"/>
          <w:szCs w:val="22"/>
        </w:rPr>
        <w:t>ssociated TK. In order to achieve these outcomes, the text establishes at the international level a framework of minimum and maximum standards.</w:t>
      </w:r>
    </w:p>
    <w:p w14:paraId="11E6EABD" w14:textId="0B964244" w:rsidR="00CA7028" w:rsidRDefault="00CA7028" w:rsidP="00D7428A">
      <w:pPr>
        <w:rPr>
          <w:rFonts w:ascii="Arial" w:hAnsi="Arial" w:cs="Arial"/>
          <w:sz w:val="22"/>
          <w:szCs w:val="22"/>
        </w:rPr>
      </w:pPr>
    </w:p>
    <w:p w14:paraId="2A708860" w14:textId="731000EE" w:rsidR="00A114E5" w:rsidRDefault="00CA7028" w:rsidP="00D7428A">
      <w:pPr>
        <w:rPr>
          <w:rFonts w:ascii="Arial" w:hAnsi="Arial" w:cs="Arial"/>
          <w:sz w:val="22"/>
          <w:szCs w:val="22"/>
        </w:rPr>
      </w:pPr>
      <w:r>
        <w:rPr>
          <w:rFonts w:ascii="Arial" w:hAnsi="Arial" w:cs="Arial"/>
          <w:sz w:val="22"/>
          <w:szCs w:val="22"/>
        </w:rPr>
        <w:t>11.</w:t>
      </w:r>
      <w:r>
        <w:rPr>
          <w:rFonts w:ascii="Arial" w:hAnsi="Arial" w:cs="Arial"/>
          <w:sz w:val="22"/>
          <w:szCs w:val="22"/>
        </w:rPr>
        <w:tab/>
        <w:t xml:space="preserve">Whilst formal </w:t>
      </w:r>
      <w:r w:rsidR="00A143E1">
        <w:rPr>
          <w:rFonts w:ascii="Arial" w:hAnsi="Arial" w:cs="Arial"/>
          <w:sz w:val="22"/>
          <w:szCs w:val="22"/>
        </w:rPr>
        <w:t>negotiations</w:t>
      </w:r>
      <w:r>
        <w:rPr>
          <w:rFonts w:ascii="Arial" w:hAnsi="Arial" w:cs="Arial"/>
          <w:sz w:val="22"/>
          <w:szCs w:val="22"/>
        </w:rPr>
        <w:t xml:space="preserve"> on GR </w:t>
      </w:r>
      <w:r w:rsidR="00A143E1">
        <w:rPr>
          <w:rFonts w:ascii="Arial" w:hAnsi="Arial" w:cs="Arial"/>
          <w:sz w:val="22"/>
          <w:szCs w:val="22"/>
        </w:rPr>
        <w:t>have not been conducted since 2018</w:t>
      </w:r>
      <w:r w:rsidR="00C57FD7">
        <w:rPr>
          <w:rFonts w:ascii="Arial" w:hAnsi="Arial" w:cs="Arial"/>
          <w:sz w:val="22"/>
          <w:szCs w:val="22"/>
        </w:rPr>
        <w:t>,</w:t>
      </w:r>
      <w:r w:rsidR="00A143E1">
        <w:rPr>
          <w:rFonts w:ascii="Arial" w:hAnsi="Arial" w:cs="Arial"/>
          <w:sz w:val="22"/>
          <w:szCs w:val="22"/>
        </w:rPr>
        <w:t xml:space="preserve"> several informal activities were conducted to maintain the momentum of the work of the Committee. These included a </w:t>
      </w:r>
      <w:r w:rsidR="00DD18A3">
        <w:rPr>
          <w:rFonts w:ascii="Arial" w:hAnsi="Arial" w:cs="Arial"/>
          <w:sz w:val="22"/>
          <w:szCs w:val="22"/>
        </w:rPr>
        <w:t xml:space="preserve">WIPO </w:t>
      </w:r>
      <w:r w:rsidR="00A143E1">
        <w:rPr>
          <w:rFonts w:ascii="Arial" w:hAnsi="Arial" w:cs="Arial"/>
          <w:sz w:val="22"/>
          <w:szCs w:val="22"/>
        </w:rPr>
        <w:t xml:space="preserve">Seminar on GRs, </w:t>
      </w:r>
      <w:r w:rsidR="00DD18A3">
        <w:rPr>
          <w:rFonts w:ascii="Arial" w:hAnsi="Arial" w:cs="Arial"/>
          <w:sz w:val="22"/>
          <w:szCs w:val="22"/>
        </w:rPr>
        <w:t xml:space="preserve">WIPO </w:t>
      </w:r>
      <w:r w:rsidR="00A143E1">
        <w:rPr>
          <w:rFonts w:ascii="Arial" w:hAnsi="Arial" w:cs="Arial"/>
          <w:sz w:val="22"/>
          <w:szCs w:val="22"/>
        </w:rPr>
        <w:t xml:space="preserve">briefings on the status of negotiations and </w:t>
      </w:r>
      <w:r w:rsidR="00A114E5">
        <w:rPr>
          <w:rFonts w:ascii="Arial" w:hAnsi="Arial" w:cs="Arial"/>
          <w:sz w:val="22"/>
          <w:szCs w:val="22"/>
        </w:rPr>
        <w:t xml:space="preserve">informal </w:t>
      </w:r>
      <w:r w:rsidR="00A143E1">
        <w:rPr>
          <w:rFonts w:ascii="Arial" w:hAnsi="Arial" w:cs="Arial"/>
          <w:sz w:val="22"/>
          <w:szCs w:val="22"/>
        </w:rPr>
        <w:t xml:space="preserve">consultations </w:t>
      </w:r>
      <w:r w:rsidR="00C57FD7">
        <w:rPr>
          <w:rFonts w:ascii="Arial" w:hAnsi="Arial" w:cs="Arial"/>
          <w:sz w:val="22"/>
          <w:szCs w:val="22"/>
        </w:rPr>
        <w:t xml:space="preserve">I held in 2021 </w:t>
      </w:r>
      <w:r w:rsidR="00A143E1">
        <w:rPr>
          <w:rFonts w:ascii="Arial" w:hAnsi="Arial" w:cs="Arial"/>
          <w:sz w:val="22"/>
          <w:szCs w:val="22"/>
        </w:rPr>
        <w:t>with all Groups on the Chair</w:t>
      </w:r>
      <w:r w:rsidR="00C57FD7">
        <w:rPr>
          <w:rFonts w:ascii="Arial" w:hAnsi="Arial" w:cs="Arial"/>
          <w:sz w:val="22"/>
          <w:szCs w:val="22"/>
        </w:rPr>
        <w:t>’</w:t>
      </w:r>
      <w:r w:rsidR="00A143E1">
        <w:rPr>
          <w:rFonts w:ascii="Arial" w:hAnsi="Arial" w:cs="Arial"/>
          <w:sz w:val="22"/>
          <w:szCs w:val="22"/>
        </w:rPr>
        <w:t>s Text. In addition, I received feedback on the Chair</w:t>
      </w:r>
      <w:r w:rsidR="00C57FD7">
        <w:rPr>
          <w:rFonts w:ascii="Arial" w:hAnsi="Arial" w:cs="Arial"/>
          <w:sz w:val="22"/>
          <w:szCs w:val="22"/>
        </w:rPr>
        <w:t>’</w:t>
      </w:r>
      <w:r w:rsidR="00A143E1">
        <w:rPr>
          <w:rFonts w:ascii="Arial" w:hAnsi="Arial" w:cs="Arial"/>
          <w:sz w:val="22"/>
          <w:szCs w:val="22"/>
        </w:rPr>
        <w:t xml:space="preserve">s text from </w:t>
      </w:r>
      <w:r w:rsidR="00C57FD7">
        <w:rPr>
          <w:rFonts w:ascii="Arial" w:hAnsi="Arial" w:cs="Arial"/>
          <w:sz w:val="22"/>
          <w:szCs w:val="22"/>
        </w:rPr>
        <w:t>M</w:t>
      </w:r>
      <w:r w:rsidR="00A143E1">
        <w:rPr>
          <w:rFonts w:ascii="Arial" w:hAnsi="Arial" w:cs="Arial"/>
          <w:sz w:val="22"/>
          <w:szCs w:val="22"/>
        </w:rPr>
        <w:t xml:space="preserve">ember </w:t>
      </w:r>
      <w:r w:rsidR="00C57FD7">
        <w:rPr>
          <w:rFonts w:ascii="Arial" w:hAnsi="Arial" w:cs="Arial"/>
          <w:sz w:val="22"/>
          <w:szCs w:val="22"/>
        </w:rPr>
        <w:t>S</w:t>
      </w:r>
      <w:r w:rsidR="00A143E1">
        <w:rPr>
          <w:rFonts w:ascii="Arial" w:hAnsi="Arial" w:cs="Arial"/>
          <w:sz w:val="22"/>
          <w:szCs w:val="22"/>
        </w:rPr>
        <w:t xml:space="preserve">tates and </w:t>
      </w:r>
      <w:r w:rsidR="00C57FD7">
        <w:rPr>
          <w:rFonts w:ascii="Arial" w:hAnsi="Arial" w:cs="Arial"/>
          <w:sz w:val="22"/>
          <w:szCs w:val="22"/>
        </w:rPr>
        <w:t>observers</w:t>
      </w:r>
      <w:r w:rsidR="00A143E1">
        <w:rPr>
          <w:rFonts w:ascii="Arial" w:hAnsi="Arial" w:cs="Arial"/>
          <w:sz w:val="22"/>
          <w:szCs w:val="22"/>
        </w:rPr>
        <w:t>.</w:t>
      </w:r>
      <w:r w:rsidR="00A114E5">
        <w:rPr>
          <w:rFonts w:ascii="Arial" w:hAnsi="Arial" w:cs="Arial"/>
          <w:sz w:val="22"/>
          <w:szCs w:val="22"/>
        </w:rPr>
        <w:t xml:space="preserve"> </w:t>
      </w:r>
      <w:r w:rsidR="00A57D2A">
        <w:rPr>
          <w:rFonts w:ascii="Arial" w:hAnsi="Arial" w:cs="Arial"/>
          <w:sz w:val="22"/>
          <w:szCs w:val="22"/>
        </w:rPr>
        <w:t xml:space="preserve">A summary of the outcomes </w:t>
      </w:r>
      <w:r w:rsidR="00A62CBB">
        <w:rPr>
          <w:rFonts w:ascii="Arial" w:hAnsi="Arial" w:cs="Arial"/>
          <w:sz w:val="22"/>
          <w:szCs w:val="22"/>
        </w:rPr>
        <w:t xml:space="preserve">of </w:t>
      </w:r>
      <w:r w:rsidR="00A57D2A">
        <w:rPr>
          <w:rFonts w:ascii="Arial" w:hAnsi="Arial" w:cs="Arial"/>
          <w:sz w:val="22"/>
          <w:szCs w:val="22"/>
        </w:rPr>
        <w:t xml:space="preserve">my consultations are detailed below: </w:t>
      </w:r>
    </w:p>
    <w:p w14:paraId="261D9179" w14:textId="77777777" w:rsidR="00A114E5" w:rsidRDefault="00A114E5" w:rsidP="00D7428A">
      <w:pPr>
        <w:rPr>
          <w:rFonts w:ascii="Arial" w:hAnsi="Arial" w:cs="Arial"/>
          <w:sz w:val="22"/>
          <w:szCs w:val="22"/>
        </w:rPr>
      </w:pPr>
    </w:p>
    <w:p w14:paraId="6A54120D" w14:textId="48009D7A" w:rsidR="00A57D2A" w:rsidRDefault="00C57FD7" w:rsidP="00A114E5">
      <w:pPr>
        <w:pStyle w:val="ListParagraph"/>
        <w:numPr>
          <w:ilvl w:val="0"/>
          <w:numId w:val="29"/>
        </w:numPr>
        <w:rPr>
          <w:rFonts w:ascii="Arial" w:hAnsi="Arial" w:cs="Arial"/>
          <w:sz w:val="22"/>
          <w:szCs w:val="22"/>
        </w:rPr>
      </w:pPr>
      <w:r>
        <w:rPr>
          <w:rFonts w:ascii="Arial" w:hAnsi="Arial" w:cs="Arial"/>
          <w:sz w:val="22"/>
          <w:szCs w:val="22"/>
        </w:rPr>
        <w:t>There is a b</w:t>
      </w:r>
      <w:r w:rsidR="00A114E5">
        <w:rPr>
          <w:rFonts w:ascii="Arial" w:hAnsi="Arial" w:cs="Arial"/>
          <w:sz w:val="22"/>
          <w:szCs w:val="22"/>
        </w:rPr>
        <w:t>road cross regional support for the draft text</w:t>
      </w:r>
      <w:r w:rsidR="004A5F8B">
        <w:rPr>
          <w:rFonts w:ascii="Arial" w:hAnsi="Arial" w:cs="Arial"/>
          <w:sz w:val="22"/>
          <w:szCs w:val="22"/>
        </w:rPr>
        <w:t xml:space="preserve"> as a foundation document</w:t>
      </w:r>
      <w:r w:rsidR="00A57D2A">
        <w:rPr>
          <w:rFonts w:ascii="Arial" w:hAnsi="Arial" w:cs="Arial"/>
          <w:sz w:val="22"/>
          <w:szCs w:val="22"/>
        </w:rPr>
        <w:t>,</w:t>
      </w:r>
      <w:r w:rsidR="00A114E5">
        <w:rPr>
          <w:rFonts w:ascii="Arial" w:hAnsi="Arial" w:cs="Arial"/>
          <w:sz w:val="22"/>
          <w:szCs w:val="22"/>
        </w:rPr>
        <w:t xml:space="preserve"> accepting that there remain differences of views on </w:t>
      </w:r>
      <w:r w:rsidR="00DD18A3">
        <w:rPr>
          <w:rFonts w:ascii="Arial" w:hAnsi="Arial" w:cs="Arial"/>
          <w:sz w:val="22"/>
          <w:szCs w:val="22"/>
        </w:rPr>
        <w:t>the scope of the instrument</w:t>
      </w:r>
      <w:r w:rsidR="00A62CBB">
        <w:rPr>
          <w:rFonts w:ascii="Arial" w:hAnsi="Arial" w:cs="Arial"/>
          <w:sz w:val="22"/>
          <w:szCs w:val="22"/>
        </w:rPr>
        <w:t>.</w:t>
      </w:r>
    </w:p>
    <w:p w14:paraId="17F25AE1" w14:textId="3C8248BF" w:rsidR="00A57D2A" w:rsidRPr="00A57D2A" w:rsidRDefault="00A57D2A" w:rsidP="00A57D2A">
      <w:pPr>
        <w:pStyle w:val="ListParagraph"/>
        <w:numPr>
          <w:ilvl w:val="0"/>
          <w:numId w:val="29"/>
        </w:numPr>
        <w:rPr>
          <w:rFonts w:ascii="Arial" w:hAnsi="Arial" w:cs="Arial"/>
          <w:sz w:val="22"/>
          <w:szCs w:val="22"/>
        </w:rPr>
      </w:pPr>
      <w:r w:rsidRPr="00A57D2A">
        <w:rPr>
          <w:rFonts w:ascii="Arial" w:hAnsi="Arial" w:cs="Arial"/>
          <w:sz w:val="22"/>
          <w:szCs w:val="22"/>
        </w:rPr>
        <w:t>Notwithstanding broad support for the text</w:t>
      </w:r>
      <w:r w:rsidR="00C57FD7">
        <w:rPr>
          <w:rFonts w:ascii="Arial" w:hAnsi="Arial" w:cs="Arial"/>
          <w:sz w:val="22"/>
          <w:szCs w:val="22"/>
        </w:rPr>
        <w:t>,</w:t>
      </w:r>
      <w:r w:rsidRPr="00A57D2A">
        <w:rPr>
          <w:rFonts w:ascii="Arial" w:hAnsi="Arial" w:cs="Arial"/>
          <w:sz w:val="22"/>
          <w:szCs w:val="22"/>
        </w:rPr>
        <w:t xml:space="preserve"> several</w:t>
      </w:r>
      <w:r w:rsidR="00A114E5" w:rsidRPr="00A57D2A">
        <w:rPr>
          <w:rFonts w:ascii="Arial" w:hAnsi="Arial" w:cs="Arial"/>
          <w:sz w:val="22"/>
          <w:szCs w:val="22"/>
        </w:rPr>
        <w:t xml:space="preserve"> </w:t>
      </w:r>
      <w:r w:rsidR="00C57FD7">
        <w:rPr>
          <w:rFonts w:ascii="Arial" w:hAnsi="Arial" w:cs="Arial"/>
          <w:sz w:val="22"/>
          <w:szCs w:val="22"/>
        </w:rPr>
        <w:t>M</w:t>
      </w:r>
      <w:r w:rsidR="00A114E5" w:rsidRPr="00A57D2A">
        <w:rPr>
          <w:rFonts w:ascii="Arial" w:hAnsi="Arial" w:cs="Arial"/>
          <w:sz w:val="22"/>
          <w:szCs w:val="22"/>
        </w:rPr>
        <w:t xml:space="preserve">ember </w:t>
      </w:r>
      <w:r w:rsidR="00C57FD7">
        <w:rPr>
          <w:rFonts w:ascii="Arial" w:hAnsi="Arial" w:cs="Arial"/>
          <w:sz w:val="22"/>
          <w:szCs w:val="22"/>
        </w:rPr>
        <w:t>S</w:t>
      </w:r>
      <w:r w:rsidR="00A114E5" w:rsidRPr="00A57D2A">
        <w:rPr>
          <w:rFonts w:ascii="Arial" w:hAnsi="Arial" w:cs="Arial"/>
          <w:sz w:val="22"/>
          <w:szCs w:val="22"/>
        </w:rPr>
        <w:t xml:space="preserve">tates remain opposed to </w:t>
      </w:r>
      <w:r w:rsidRPr="00A57D2A">
        <w:rPr>
          <w:rFonts w:ascii="Arial" w:hAnsi="Arial" w:cs="Arial"/>
          <w:sz w:val="22"/>
          <w:szCs w:val="22"/>
        </w:rPr>
        <w:t>a mandatory disclosure mechanism</w:t>
      </w:r>
      <w:r w:rsidR="00C57FD7">
        <w:rPr>
          <w:rFonts w:ascii="Arial" w:hAnsi="Arial" w:cs="Arial"/>
          <w:sz w:val="22"/>
          <w:szCs w:val="22"/>
        </w:rPr>
        <w:t>,</w:t>
      </w:r>
      <w:r>
        <w:rPr>
          <w:rFonts w:ascii="Arial" w:hAnsi="Arial" w:cs="Arial"/>
          <w:sz w:val="22"/>
          <w:szCs w:val="22"/>
        </w:rPr>
        <w:t xml:space="preserve"> preferring non</w:t>
      </w:r>
      <w:r w:rsidR="00C57FD7">
        <w:rPr>
          <w:rFonts w:ascii="Arial" w:hAnsi="Arial" w:cs="Arial"/>
          <w:sz w:val="22"/>
          <w:szCs w:val="22"/>
        </w:rPr>
        <w:t>-</w:t>
      </w:r>
      <w:r>
        <w:rPr>
          <w:rFonts w:ascii="Arial" w:hAnsi="Arial" w:cs="Arial"/>
          <w:sz w:val="22"/>
          <w:szCs w:val="22"/>
        </w:rPr>
        <w:t>mandatory defensive mechanisms.</w:t>
      </w:r>
    </w:p>
    <w:p w14:paraId="1E78E693" w14:textId="2D835132" w:rsidR="00CA7028" w:rsidRDefault="00A57D2A" w:rsidP="00A114E5">
      <w:pPr>
        <w:pStyle w:val="ListParagraph"/>
        <w:numPr>
          <w:ilvl w:val="0"/>
          <w:numId w:val="29"/>
        </w:numPr>
        <w:rPr>
          <w:rFonts w:ascii="Arial" w:hAnsi="Arial" w:cs="Arial"/>
          <w:sz w:val="22"/>
          <w:szCs w:val="22"/>
        </w:rPr>
      </w:pPr>
      <w:r>
        <w:rPr>
          <w:rFonts w:ascii="Arial" w:hAnsi="Arial" w:cs="Arial"/>
          <w:sz w:val="22"/>
          <w:szCs w:val="22"/>
        </w:rPr>
        <w:t xml:space="preserve">Key </w:t>
      </w:r>
      <w:r w:rsidR="006335FD">
        <w:rPr>
          <w:rFonts w:ascii="Arial" w:hAnsi="Arial" w:cs="Arial"/>
          <w:sz w:val="22"/>
          <w:szCs w:val="22"/>
        </w:rPr>
        <w:t xml:space="preserve">policy/technical </w:t>
      </w:r>
      <w:r>
        <w:rPr>
          <w:rFonts w:ascii="Arial" w:hAnsi="Arial" w:cs="Arial"/>
          <w:sz w:val="22"/>
          <w:szCs w:val="22"/>
        </w:rPr>
        <w:t xml:space="preserve">issues </w:t>
      </w:r>
      <w:r w:rsidR="002568B0">
        <w:rPr>
          <w:rFonts w:ascii="Arial" w:hAnsi="Arial" w:cs="Arial"/>
          <w:sz w:val="22"/>
          <w:szCs w:val="22"/>
        </w:rPr>
        <w:t xml:space="preserve">raised </w:t>
      </w:r>
      <w:r>
        <w:rPr>
          <w:rFonts w:ascii="Arial" w:hAnsi="Arial" w:cs="Arial"/>
          <w:sz w:val="22"/>
          <w:szCs w:val="22"/>
        </w:rPr>
        <w:t xml:space="preserve">which require further </w:t>
      </w:r>
      <w:r w:rsidR="00A62CBB">
        <w:rPr>
          <w:rFonts w:ascii="Arial" w:hAnsi="Arial" w:cs="Arial"/>
          <w:sz w:val="22"/>
          <w:szCs w:val="22"/>
        </w:rPr>
        <w:t>consideration</w:t>
      </w:r>
      <w:r w:rsidR="006335FD">
        <w:rPr>
          <w:rFonts w:ascii="Arial" w:hAnsi="Arial" w:cs="Arial"/>
          <w:sz w:val="22"/>
          <w:szCs w:val="22"/>
        </w:rPr>
        <w:t xml:space="preserve"> include:</w:t>
      </w:r>
      <w:r w:rsidR="004A5F8B">
        <w:rPr>
          <w:rFonts w:ascii="Arial" w:hAnsi="Arial" w:cs="Arial"/>
          <w:sz w:val="22"/>
          <w:szCs w:val="22"/>
        </w:rPr>
        <w:t xml:space="preserve"> </w:t>
      </w:r>
    </w:p>
    <w:p w14:paraId="7EACDB2B" w14:textId="1FC6B520" w:rsidR="006335FD" w:rsidRPr="008C26F1" w:rsidRDefault="00344304" w:rsidP="006335FD">
      <w:pPr>
        <w:pStyle w:val="ListParagraph"/>
        <w:numPr>
          <w:ilvl w:val="1"/>
          <w:numId w:val="29"/>
        </w:numPr>
        <w:rPr>
          <w:rFonts w:ascii="Arial" w:hAnsi="Arial" w:cs="Arial"/>
          <w:sz w:val="22"/>
          <w:szCs w:val="22"/>
        </w:rPr>
      </w:pPr>
      <w:r>
        <w:rPr>
          <w:rFonts w:ascii="Arial" w:hAnsi="Arial" w:cs="Arial"/>
          <w:sz w:val="22"/>
          <w:szCs w:val="22"/>
        </w:rPr>
        <w:t>Objectives of the instrument;</w:t>
      </w:r>
    </w:p>
    <w:p w14:paraId="59AF7671" w14:textId="71739C8D" w:rsidR="006335FD" w:rsidRDefault="006335FD" w:rsidP="00344304">
      <w:pPr>
        <w:pStyle w:val="ListParagraph"/>
        <w:numPr>
          <w:ilvl w:val="1"/>
          <w:numId w:val="29"/>
        </w:numPr>
        <w:rPr>
          <w:rFonts w:ascii="Arial" w:hAnsi="Arial" w:cs="Arial"/>
          <w:sz w:val="22"/>
          <w:szCs w:val="22"/>
        </w:rPr>
      </w:pPr>
      <w:r>
        <w:rPr>
          <w:rFonts w:ascii="Arial" w:hAnsi="Arial" w:cs="Arial"/>
          <w:sz w:val="22"/>
          <w:szCs w:val="22"/>
        </w:rPr>
        <w:t>Relationship with related international instruments including</w:t>
      </w:r>
      <w:r w:rsidR="00344304" w:rsidRPr="00344304">
        <w:rPr>
          <w:rFonts w:ascii="Arial" w:hAnsi="Arial" w:cs="Arial"/>
          <w:sz w:val="22"/>
          <w:szCs w:val="22"/>
        </w:rPr>
        <w:t xml:space="preserve"> </w:t>
      </w:r>
      <w:r w:rsidR="00344304" w:rsidRPr="00837D06">
        <w:rPr>
          <w:rFonts w:ascii="Arial" w:hAnsi="Arial" w:cs="Arial"/>
          <w:sz w:val="22"/>
          <w:szCs w:val="22"/>
        </w:rPr>
        <w:t xml:space="preserve">the Convention on Biological Diversity (CBD) and the Nagoya Protocol on Access to Genetic Resources and the Fair and Equitable Sharing of Benefits Arising </w:t>
      </w:r>
      <w:r w:rsidR="00344304" w:rsidRPr="00837D06">
        <w:rPr>
          <w:rFonts w:ascii="Arial" w:hAnsi="Arial" w:cs="Arial"/>
          <w:sz w:val="22"/>
          <w:szCs w:val="22"/>
        </w:rPr>
        <w:lastRenderedPageBreak/>
        <w:t>from their Utilization to the Convention on Biological Diversity (Nagoya Protocol)</w:t>
      </w:r>
      <w:r>
        <w:rPr>
          <w:rFonts w:ascii="Arial" w:hAnsi="Arial" w:cs="Arial"/>
          <w:sz w:val="22"/>
          <w:szCs w:val="22"/>
        </w:rPr>
        <w:t xml:space="preserve"> and </w:t>
      </w:r>
      <w:r w:rsidR="00344304">
        <w:rPr>
          <w:rFonts w:ascii="Arial" w:hAnsi="Arial" w:cs="Arial"/>
          <w:sz w:val="22"/>
          <w:szCs w:val="22"/>
        </w:rPr>
        <w:t xml:space="preserve">the </w:t>
      </w:r>
      <w:r w:rsidR="00344304" w:rsidRPr="00344304">
        <w:rPr>
          <w:rFonts w:ascii="Arial" w:hAnsi="Arial" w:cs="Arial"/>
          <w:sz w:val="22"/>
          <w:szCs w:val="22"/>
        </w:rPr>
        <w:t>United Nations Declaration on the Rights of Indigenous Peoples (UNDRIP)</w:t>
      </w:r>
      <w:r w:rsidR="00344304">
        <w:rPr>
          <w:rFonts w:ascii="Arial" w:hAnsi="Arial" w:cs="Arial"/>
          <w:sz w:val="22"/>
          <w:szCs w:val="22"/>
        </w:rPr>
        <w:t>;</w:t>
      </w:r>
    </w:p>
    <w:p w14:paraId="1C8F80C7" w14:textId="1F71E58F" w:rsidR="00A57D2A" w:rsidRDefault="004A5F8B" w:rsidP="00A57D2A">
      <w:pPr>
        <w:pStyle w:val="ListParagraph"/>
        <w:numPr>
          <w:ilvl w:val="1"/>
          <w:numId w:val="29"/>
        </w:numPr>
        <w:rPr>
          <w:rFonts w:ascii="Arial" w:hAnsi="Arial" w:cs="Arial"/>
          <w:sz w:val="22"/>
          <w:szCs w:val="22"/>
        </w:rPr>
      </w:pPr>
      <w:r>
        <w:rPr>
          <w:rFonts w:ascii="Arial" w:hAnsi="Arial" w:cs="Arial"/>
          <w:sz w:val="22"/>
          <w:szCs w:val="22"/>
        </w:rPr>
        <w:t>More emphasis on the rights of indigenous pe</w:t>
      </w:r>
      <w:r w:rsidR="00344304">
        <w:rPr>
          <w:rFonts w:ascii="Arial" w:hAnsi="Arial" w:cs="Arial"/>
          <w:sz w:val="22"/>
          <w:szCs w:val="22"/>
        </w:rPr>
        <w:t>oples in the objective/preamble;</w:t>
      </w:r>
    </w:p>
    <w:p w14:paraId="141F9240" w14:textId="3EEBA993" w:rsidR="004A5F8B" w:rsidRDefault="004A5F8B" w:rsidP="00A57D2A">
      <w:pPr>
        <w:pStyle w:val="ListParagraph"/>
        <w:numPr>
          <w:ilvl w:val="1"/>
          <w:numId w:val="29"/>
        </w:numPr>
        <w:rPr>
          <w:rFonts w:ascii="Arial" w:hAnsi="Arial" w:cs="Arial"/>
          <w:sz w:val="22"/>
          <w:szCs w:val="22"/>
        </w:rPr>
      </w:pPr>
      <w:r>
        <w:rPr>
          <w:rFonts w:ascii="Arial" w:hAnsi="Arial" w:cs="Arial"/>
          <w:sz w:val="22"/>
          <w:szCs w:val="22"/>
        </w:rPr>
        <w:t>Amendments to improve Article</w:t>
      </w:r>
      <w:r w:rsidR="00344304">
        <w:rPr>
          <w:rFonts w:ascii="Arial" w:hAnsi="Arial" w:cs="Arial"/>
          <w:sz w:val="22"/>
          <w:szCs w:val="22"/>
        </w:rPr>
        <w:t>s</w:t>
      </w:r>
      <w:r>
        <w:rPr>
          <w:rFonts w:ascii="Arial" w:hAnsi="Arial" w:cs="Arial"/>
          <w:sz w:val="22"/>
          <w:szCs w:val="22"/>
        </w:rPr>
        <w:t xml:space="preserve"> 3 and 6 to reduce ambiguity in </w:t>
      </w:r>
      <w:r w:rsidR="00344304">
        <w:rPr>
          <w:rFonts w:ascii="Arial" w:hAnsi="Arial" w:cs="Arial"/>
          <w:sz w:val="22"/>
          <w:szCs w:val="22"/>
        </w:rPr>
        <w:t>the interest of legal certainty;</w:t>
      </w:r>
    </w:p>
    <w:p w14:paraId="770ECB22" w14:textId="1D92E4BD" w:rsidR="004A5F8B" w:rsidRDefault="00344304">
      <w:pPr>
        <w:pStyle w:val="ListParagraph"/>
        <w:numPr>
          <w:ilvl w:val="1"/>
          <w:numId w:val="29"/>
        </w:numPr>
        <w:rPr>
          <w:rFonts w:ascii="Arial" w:hAnsi="Arial" w:cs="Arial"/>
          <w:sz w:val="22"/>
          <w:szCs w:val="22"/>
        </w:rPr>
      </w:pPr>
      <w:r>
        <w:rPr>
          <w:rFonts w:ascii="Arial" w:hAnsi="Arial" w:cs="Arial"/>
          <w:sz w:val="22"/>
          <w:szCs w:val="22"/>
        </w:rPr>
        <w:t>Concerns from some Members S</w:t>
      </w:r>
      <w:r w:rsidR="00A62CBB">
        <w:rPr>
          <w:rFonts w:ascii="Arial" w:hAnsi="Arial" w:cs="Arial"/>
          <w:sz w:val="22"/>
          <w:szCs w:val="22"/>
        </w:rPr>
        <w:t xml:space="preserve">tates regarding divergence from their </w:t>
      </w:r>
      <w:r>
        <w:rPr>
          <w:rFonts w:ascii="Arial" w:hAnsi="Arial" w:cs="Arial"/>
          <w:sz w:val="22"/>
          <w:szCs w:val="22"/>
        </w:rPr>
        <w:t>existing</w:t>
      </w:r>
      <w:r w:rsidR="00A62CBB">
        <w:rPr>
          <w:rFonts w:ascii="Arial" w:hAnsi="Arial" w:cs="Arial"/>
          <w:sz w:val="22"/>
          <w:szCs w:val="22"/>
        </w:rPr>
        <w:t xml:space="preserve"> regional/national regimes or policy positions</w:t>
      </w:r>
      <w:r>
        <w:rPr>
          <w:rFonts w:ascii="Arial" w:hAnsi="Arial" w:cs="Arial"/>
          <w:sz w:val="22"/>
          <w:szCs w:val="22"/>
        </w:rPr>
        <w:t>, i</w:t>
      </w:r>
      <w:r w:rsidR="009C0592">
        <w:rPr>
          <w:rFonts w:ascii="Arial" w:hAnsi="Arial" w:cs="Arial"/>
          <w:sz w:val="22"/>
          <w:szCs w:val="22"/>
        </w:rPr>
        <w:t xml:space="preserve">n </w:t>
      </w:r>
      <w:r w:rsidR="00A62CBB">
        <w:rPr>
          <w:rFonts w:ascii="Arial" w:hAnsi="Arial" w:cs="Arial"/>
          <w:sz w:val="22"/>
          <w:szCs w:val="22"/>
        </w:rPr>
        <w:t>particular</w:t>
      </w:r>
      <w:r w:rsidR="009C0592">
        <w:rPr>
          <w:rFonts w:ascii="Arial" w:hAnsi="Arial" w:cs="Arial"/>
          <w:sz w:val="22"/>
          <w:szCs w:val="22"/>
        </w:rPr>
        <w:t>,</w:t>
      </w:r>
      <w:r w:rsidR="00A62CBB">
        <w:rPr>
          <w:rFonts w:ascii="Arial" w:hAnsi="Arial" w:cs="Arial"/>
          <w:sz w:val="22"/>
          <w:szCs w:val="22"/>
        </w:rPr>
        <w:t xml:space="preserve"> </w:t>
      </w:r>
      <w:r>
        <w:rPr>
          <w:rFonts w:ascii="Arial" w:hAnsi="Arial" w:cs="Arial"/>
          <w:sz w:val="22"/>
          <w:szCs w:val="22"/>
        </w:rPr>
        <w:t xml:space="preserve">on </w:t>
      </w:r>
      <w:r w:rsidR="00A62CBB">
        <w:rPr>
          <w:rFonts w:ascii="Arial" w:hAnsi="Arial" w:cs="Arial"/>
          <w:sz w:val="22"/>
          <w:szCs w:val="22"/>
        </w:rPr>
        <w:t xml:space="preserve">the scope of rights, </w:t>
      </w:r>
      <w:r w:rsidR="009C0592">
        <w:rPr>
          <w:rFonts w:ascii="Arial" w:hAnsi="Arial" w:cs="Arial"/>
          <w:sz w:val="22"/>
          <w:szCs w:val="22"/>
        </w:rPr>
        <w:t>sanctions,</w:t>
      </w:r>
      <w:r w:rsidR="00A62CBB">
        <w:rPr>
          <w:rFonts w:ascii="Arial" w:hAnsi="Arial" w:cs="Arial"/>
          <w:sz w:val="22"/>
          <w:szCs w:val="22"/>
        </w:rPr>
        <w:t xml:space="preserve"> and relationship with their </w:t>
      </w:r>
      <w:r w:rsidR="009E672C" w:rsidRPr="00837D06">
        <w:rPr>
          <w:rFonts w:ascii="Arial" w:hAnsi="Arial" w:cs="Arial"/>
          <w:sz w:val="22"/>
          <w:szCs w:val="22"/>
        </w:rPr>
        <w:t xml:space="preserve">access and benefit-sharing (ABS) </w:t>
      </w:r>
      <w:r w:rsidR="009E672C">
        <w:rPr>
          <w:rFonts w:ascii="Arial" w:hAnsi="Arial" w:cs="Arial"/>
          <w:sz w:val="22"/>
          <w:szCs w:val="22"/>
        </w:rPr>
        <w:t>regimes;  and</w:t>
      </w:r>
    </w:p>
    <w:p w14:paraId="53DC6932" w14:textId="30F24DF6" w:rsidR="009C0592" w:rsidRPr="008C26F1" w:rsidRDefault="009E672C" w:rsidP="008C26F1">
      <w:pPr>
        <w:pStyle w:val="ListParagraph"/>
        <w:numPr>
          <w:ilvl w:val="1"/>
          <w:numId w:val="29"/>
        </w:numPr>
        <w:rPr>
          <w:rFonts w:ascii="Arial" w:hAnsi="Arial" w:cs="Arial"/>
          <w:sz w:val="22"/>
          <w:szCs w:val="22"/>
        </w:rPr>
      </w:pPr>
      <w:r>
        <w:rPr>
          <w:rFonts w:ascii="Arial" w:hAnsi="Arial" w:cs="Arial"/>
          <w:sz w:val="22"/>
          <w:szCs w:val="22"/>
        </w:rPr>
        <w:t>c</w:t>
      </w:r>
      <w:r w:rsidR="009C0592">
        <w:rPr>
          <w:rFonts w:ascii="Arial" w:hAnsi="Arial" w:cs="Arial"/>
          <w:sz w:val="22"/>
          <w:szCs w:val="22"/>
        </w:rPr>
        <w:t>onsideration of a reciprocity clause and an international information system relating to GR</w:t>
      </w:r>
      <w:r>
        <w:rPr>
          <w:rFonts w:ascii="Arial" w:hAnsi="Arial" w:cs="Arial"/>
          <w:sz w:val="22"/>
          <w:szCs w:val="22"/>
        </w:rPr>
        <w:t>s</w:t>
      </w:r>
      <w:r w:rsidR="009C0592">
        <w:rPr>
          <w:rFonts w:ascii="Arial" w:hAnsi="Arial" w:cs="Arial"/>
          <w:sz w:val="22"/>
          <w:szCs w:val="22"/>
        </w:rPr>
        <w:t xml:space="preserve"> and </w:t>
      </w:r>
      <w:r>
        <w:rPr>
          <w:rFonts w:ascii="Arial" w:hAnsi="Arial" w:cs="Arial"/>
          <w:sz w:val="22"/>
          <w:szCs w:val="22"/>
        </w:rPr>
        <w:t>a</w:t>
      </w:r>
      <w:r w:rsidR="009C0592">
        <w:rPr>
          <w:rFonts w:ascii="Arial" w:hAnsi="Arial" w:cs="Arial"/>
          <w:sz w:val="22"/>
          <w:szCs w:val="22"/>
        </w:rPr>
        <w:t xml:space="preserve">ssociated TK. </w:t>
      </w:r>
    </w:p>
    <w:p w14:paraId="6E72AEA9" w14:textId="77777777" w:rsidR="00542C9A" w:rsidRPr="00837D06" w:rsidRDefault="00542C9A" w:rsidP="00542C9A">
      <w:pPr>
        <w:rPr>
          <w:rFonts w:ascii="Arial" w:hAnsi="Arial" w:cs="Arial"/>
          <w:sz w:val="22"/>
          <w:szCs w:val="22"/>
        </w:rPr>
      </w:pPr>
    </w:p>
    <w:p w14:paraId="4F16E4A7" w14:textId="77777777" w:rsidR="00CC71EA" w:rsidRPr="00837D06" w:rsidRDefault="00CC71EA" w:rsidP="004A29DC">
      <w:pPr>
        <w:rPr>
          <w:rFonts w:ascii="Arial" w:hAnsi="Arial" w:cs="Arial"/>
          <w:b/>
          <w:sz w:val="22"/>
          <w:szCs w:val="22"/>
          <w:u w:val="single"/>
        </w:rPr>
      </w:pPr>
    </w:p>
    <w:p w14:paraId="718BE82D" w14:textId="683DD8E7" w:rsidR="00903A62" w:rsidRPr="00837D06" w:rsidRDefault="00903A62" w:rsidP="00903A62">
      <w:pPr>
        <w:rPr>
          <w:rFonts w:ascii="Arial" w:hAnsi="Arial" w:cs="Arial"/>
          <w:b/>
          <w:sz w:val="22"/>
          <w:szCs w:val="22"/>
          <w:u w:val="single"/>
        </w:rPr>
      </w:pPr>
      <w:r w:rsidRPr="00837D06">
        <w:rPr>
          <w:rFonts w:ascii="Arial" w:hAnsi="Arial" w:cs="Arial"/>
          <w:b/>
          <w:sz w:val="22"/>
          <w:szCs w:val="22"/>
          <w:u w:val="single"/>
        </w:rPr>
        <w:t xml:space="preserve">Discussion </w:t>
      </w:r>
      <w:r w:rsidR="00CE36CA">
        <w:rPr>
          <w:rFonts w:ascii="Arial" w:hAnsi="Arial" w:cs="Arial"/>
          <w:b/>
          <w:sz w:val="22"/>
          <w:szCs w:val="22"/>
          <w:u w:val="single"/>
        </w:rPr>
        <w:t xml:space="preserve">of </w:t>
      </w:r>
      <w:r w:rsidRPr="00837D06">
        <w:rPr>
          <w:rFonts w:ascii="Arial" w:hAnsi="Arial" w:cs="Arial"/>
          <w:b/>
          <w:sz w:val="22"/>
          <w:szCs w:val="22"/>
          <w:u w:val="single"/>
        </w:rPr>
        <w:t>Key Issues</w:t>
      </w:r>
    </w:p>
    <w:p w14:paraId="1F56FFCF" w14:textId="77777777" w:rsidR="00903A62" w:rsidRPr="00837D06" w:rsidRDefault="00903A62" w:rsidP="00903A62">
      <w:pPr>
        <w:rPr>
          <w:rFonts w:ascii="Arial" w:hAnsi="Arial" w:cs="Arial"/>
          <w:b/>
          <w:sz w:val="22"/>
          <w:szCs w:val="22"/>
          <w:u w:val="single"/>
        </w:rPr>
      </w:pPr>
    </w:p>
    <w:p w14:paraId="67A06C9B" w14:textId="77777777" w:rsidR="00903A62" w:rsidRPr="00837D06" w:rsidRDefault="00903A62" w:rsidP="00903A62">
      <w:pPr>
        <w:rPr>
          <w:rFonts w:ascii="Arial" w:hAnsi="Arial" w:cs="Arial"/>
          <w:i/>
          <w:sz w:val="22"/>
          <w:szCs w:val="22"/>
        </w:rPr>
      </w:pPr>
      <w:r w:rsidRPr="00837D06">
        <w:rPr>
          <w:rFonts w:ascii="Arial" w:hAnsi="Arial" w:cs="Arial"/>
          <w:i/>
          <w:sz w:val="22"/>
          <w:szCs w:val="22"/>
        </w:rPr>
        <w:t xml:space="preserve">International Context </w:t>
      </w:r>
    </w:p>
    <w:p w14:paraId="1073704C" w14:textId="77777777" w:rsidR="00903A62" w:rsidRPr="00837D06" w:rsidRDefault="00903A62" w:rsidP="00903A62">
      <w:pPr>
        <w:rPr>
          <w:rFonts w:ascii="Arial" w:hAnsi="Arial" w:cs="Arial"/>
          <w:sz w:val="22"/>
          <w:szCs w:val="22"/>
        </w:rPr>
      </w:pPr>
    </w:p>
    <w:p w14:paraId="0A3F45EA" w14:textId="60384CD3" w:rsidR="00F77BAE" w:rsidRPr="00837D06" w:rsidRDefault="00A23C5E" w:rsidP="00F77BAE">
      <w:pPr>
        <w:rPr>
          <w:rFonts w:ascii="Arial" w:hAnsi="Arial" w:cs="Arial"/>
          <w:sz w:val="22"/>
          <w:szCs w:val="22"/>
          <w:lang w:val="en-AU"/>
        </w:rPr>
      </w:pPr>
      <w:r>
        <w:rPr>
          <w:rFonts w:ascii="Arial" w:hAnsi="Arial" w:cs="Arial"/>
          <w:sz w:val="22"/>
          <w:szCs w:val="22"/>
        </w:rPr>
        <w:t>1</w:t>
      </w:r>
      <w:r w:rsidR="00F310E5">
        <w:rPr>
          <w:rFonts w:ascii="Arial" w:hAnsi="Arial" w:cs="Arial"/>
          <w:sz w:val="22"/>
          <w:szCs w:val="22"/>
        </w:rPr>
        <w:t>1</w:t>
      </w:r>
      <w:r>
        <w:rPr>
          <w:rFonts w:ascii="Arial" w:hAnsi="Arial" w:cs="Arial"/>
          <w:sz w:val="22"/>
          <w:szCs w:val="22"/>
        </w:rPr>
        <w:t>.</w:t>
      </w:r>
      <w:r w:rsidR="00903A62" w:rsidRPr="00837D06">
        <w:rPr>
          <w:rFonts w:ascii="Arial" w:hAnsi="Arial" w:cs="Arial"/>
          <w:sz w:val="22"/>
          <w:szCs w:val="22"/>
        </w:rPr>
        <w:tab/>
      </w:r>
      <w:r w:rsidR="00F77BAE" w:rsidRPr="00837D06">
        <w:rPr>
          <w:rFonts w:ascii="Arial" w:hAnsi="Arial" w:cs="Arial"/>
          <w:sz w:val="22"/>
          <w:szCs w:val="22"/>
        </w:rPr>
        <w:t>The relevant international frameworks for regulating access to and benefit-sharing in GRs are</w:t>
      </w:r>
      <w:r w:rsidR="00344304" w:rsidRPr="00344304">
        <w:rPr>
          <w:rFonts w:ascii="Arial" w:hAnsi="Arial" w:cs="Arial"/>
          <w:sz w:val="22"/>
          <w:szCs w:val="22"/>
        </w:rPr>
        <w:t xml:space="preserve"> </w:t>
      </w:r>
      <w:r w:rsidR="00344304">
        <w:rPr>
          <w:rFonts w:ascii="Arial" w:hAnsi="Arial" w:cs="Arial"/>
          <w:sz w:val="22"/>
          <w:szCs w:val="22"/>
        </w:rPr>
        <w:t>the CBD, the Nagoya Protocol</w:t>
      </w:r>
      <w:r w:rsidR="00F77BAE" w:rsidRPr="00837D06">
        <w:rPr>
          <w:rFonts w:ascii="Arial" w:hAnsi="Arial" w:cs="Arial"/>
          <w:sz w:val="22"/>
          <w:szCs w:val="22"/>
        </w:rPr>
        <w:t>, as well as the International Treaty on Genetic Resources for Food and Agriculture (ITPGRFA) of the United Nations Food and Agriculture Organization.</w:t>
      </w:r>
    </w:p>
    <w:p w14:paraId="3869D569" w14:textId="77777777" w:rsidR="00F77BAE" w:rsidRPr="00837D06" w:rsidRDefault="00F77BAE" w:rsidP="00F77BAE">
      <w:pPr>
        <w:rPr>
          <w:rFonts w:ascii="Arial" w:hAnsi="Arial" w:cs="Arial"/>
          <w:sz w:val="22"/>
          <w:szCs w:val="22"/>
          <w:lang w:val="en-US"/>
        </w:rPr>
      </w:pPr>
    </w:p>
    <w:p w14:paraId="14CE797E" w14:textId="4C01C2DE" w:rsidR="00074E35" w:rsidRPr="00837D06" w:rsidRDefault="00A23C5E" w:rsidP="00074E35">
      <w:pPr>
        <w:rPr>
          <w:rFonts w:ascii="Arial" w:hAnsi="Arial" w:cs="Arial"/>
          <w:sz w:val="22"/>
          <w:szCs w:val="22"/>
        </w:rPr>
      </w:pPr>
      <w:r>
        <w:rPr>
          <w:rFonts w:ascii="Arial" w:hAnsi="Arial" w:cs="Arial"/>
          <w:sz w:val="22"/>
          <w:szCs w:val="22"/>
          <w:lang w:val="en-US"/>
        </w:rPr>
        <w:t>1</w:t>
      </w:r>
      <w:r w:rsidR="00F310E5">
        <w:rPr>
          <w:rFonts w:ascii="Arial" w:hAnsi="Arial" w:cs="Arial"/>
          <w:sz w:val="22"/>
          <w:szCs w:val="22"/>
          <w:lang w:val="en-US"/>
        </w:rPr>
        <w:t>2</w:t>
      </w:r>
      <w:r>
        <w:rPr>
          <w:rFonts w:ascii="Arial" w:hAnsi="Arial" w:cs="Arial"/>
          <w:sz w:val="22"/>
          <w:szCs w:val="22"/>
          <w:lang w:val="en-US"/>
        </w:rPr>
        <w:t>.</w:t>
      </w:r>
      <w:r>
        <w:rPr>
          <w:rFonts w:ascii="Arial" w:hAnsi="Arial" w:cs="Arial"/>
          <w:sz w:val="22"/>
          <w:szCs w:val="22"/>
          <w:lang w:val="en-US"/>
        </w:rPr>
        <w:tab/>
      </w:r>
      <w:r w:rsidR="00F77BAE" w:rsidRPr="00837D06">
        <w:rPr>
          <w:rFonts w:ascii="Arial" w:hAnsi="Arial" w:cs="Arial"/>
          <w:sz w:val="22"/>
          <w:szCs w:val="22"/>
          <w:lang w:val="en-US"/>
        </w:rPr>
        <w:t xml:space="preserve">The key relevance of these instruments is that they are the </w:t>
      </w:r>
      <w:r w:rsidR="00F77BAE" w:rsidRPr="00837D06">
        <w:rPr>
          <w:rFonts w:ascii="Arial" w:hAnsi="Arial" w:cs="Arial"/>
          <w:sz w:val="22"/>
          <w:szCs w:val="22"/>
        </w:rPr>
        <w:t>primary multi-lateral instruments dealing with the protection of GR</w:t>
      </w:r>
      <w:r w:rsidR="00CE36CA">
        <w:rPr>
          <w:rFonts w:ascii="Arial" w:hAnsi="Arial" w:cs="Arial"/>
          <w:sz w:val="22"/>
          <w:szCs w:val="22"/>
        </w:rPr>
        <w:t>s</w:t>
      </w:r>
      <w:r w:rsidR="00F77BAE" w:rsidRPr="00837D06">
        <w:rPr>
          <w:rFonts w:ascii="Arial" w:hAnsi="Arial" w:cs="Arial"/>
          <w:sz w:val="22"/>
          <w:szCs w:val="22"/>
        </w:rPr>
        <w:t xml:space="preserve"> and </w:t>
      </w:r>
      <w:r w:rsidR="00CE36CA">
        <w:rPr>
          <w:rFonts w:ascii="Arial" w:hAnsi="Arial" w:cs="Arial"/>
          <w:sz w:val="22"/>
          <w:szCs w:val="22"/>
        </w:rPr>
        <w:t>a</w:t>
      </w:r>
      <w:r w:rsidR="00F77BAE" w:rsidRPr="00837D06">
        <w:rPr>
          <w:rFonts w:ascii="Arial" w:hAnsi="Arial" w:cs="Arial"/>
          <w:sz w:val="22"/>
          <w:szCs w:val="22"/>
        </w:rPr>
        <w:t>ssociated TK, including access and benefit</w:t>
      </w:r>
      <w:r w:rsidR="00CE36CA">
        <w:rPr>
          <w:rFonts w:ascii="Arial" w:hAnsi="Arial" w:cs="Arial"/>
          <w:sz w:val="22"/>
          <w:szCs w:val="22"/>
        </w:rPr>
        <w:t>-</w:t>
      </w:r>
      <w:r w:rsidR="00F77BAE" w:rsidRPr="00837D06">
        <w:rPr>
          <w:rFonts w:ascii="Arial" w:hAnsi="Arial" w:cs="Arial"/>
          <w:sz w:val="22"/>
          <w:szCs w:val="22"/>
        </w:rPr>
        <w:t xml:space="preserve">sharing. </w:t>
      </w:r>
      <w:r w:rsidR="00D443D7">
        <w:rPr>
          <w:rFonts w:ascii="Arial" w:hAnsi="Arial" w:cs="Arial"/>
          <w:sz w:val="22"/>
          <w:szCs w:val="22"/>
        </w:rPr>
        <w:t xml:space="preserve"> </w:t>
      </w:r>
      <w:r w:rsidR="00074E35" w:rsidRPr="00837D06">
        <w:rPr>
          <w:rFonts w:ascii="Arial" w:hAnsi="Arial" w:cs="Arial"/>
          <w:sz w:val="22"/>
          <w:szCs w:val="22"/>
        </w:rPr>
        <w:t>A key debate with</w:t>
      </w:r>
      <w:r w:rsidR="00CC71EA" w:rsidRPr="00837D06">
        <w:rPr>
          <w:rFonts w:ascii="Arial" w:hAnsi="Arial" w:cs="Arial"/>
          <w:sz w:val="22"/>
          <w:szCs w:val="22"/>
        </w:rPr>
        <w:t>in</w:t>
      </w:r>
      <w:r w:rsidR="00074E35" w:rsidRPr="00837D06">
        <w:rPr>
          <w:rFonts w:ascii="Arial" w:hAnsi="Arial" w:cs="Arial"/>
          <w:sz w:val="22"/>
          <w:szCs w:val="22"/>
        </w:rPr>
        <w:t xml:space="preserve"> the Nagoya Protocol negotiations related to national check points, and </w:t>
      </w:r>
      <w:r w:rsidR="00CE36CA">
        <w:rPr>
          <w:rFonts w:ascii="Arial" w:hAnsi="Arial" w:cs="Arial"/>
          <w:sz w:val="22"/>
          <w:szCs w:val="22"/>
        </w:rPr>
        <w:t>whether</w:t>
      </w:r>
      <w:r w:rsidR="00074E35" w:rsidRPr="00837D06">
        <w:rPr>
          <w:rFonts w:ascii="Arial" w:hAnsi="Arial" w:cs="Arial"/>
          <w:sz w:val="22"/>
          <w:szCs w:val="22"/>
        </w:rPr>
        <w:t xml:space="preserve"> the </w:t>
      </w:r>
      <w:r w:rsidR="00CE36CA">
        <w:rPr>
          <w:rFonts w:ascii="Arial" w:hAnsi="Arial" w:cs="Arial"/>
          <w:sz w:val="22"/>
          <w:szCs w:val="22"/>
        </w:rPr>
        <w:t>p</w:t>
      </w:r>
      <w:r w:rsidR="00074E35" w:rsidRPr="00837D06">
        <w:rPr>
          <w:rFonts w:ascii="Arial" w:hAnsi="Arial" w:cs="Arial"/>
          <w:sz w:val="22"/>
          <w:szCs w:val="22"/>
        </w:rPr>
        <w:t xml:space="preserve">atent </w:t>
      </w:r>
      <w:r w:rsidR="00CE36CA">
        <w:rPr>
          <w:rFonts w:ascii="Arial" w:hAnsi="Arial" w:cs="Arial"/>
          <w:sz w:val="22"/>
          <w:szCs w:val="22"/>
        </w:rPr>
        <w:t>office</w:t>
      </w:r>
      <w:r w:rsidR="00CE36CA" w:rsidRPr="00837D06">
        <w:rPr>
          <w:rFonts w:ascii="Arial" w:hAnsi="Arial" w:cs="Arial"/>
          <w:sz w:val="22"/>
          <w:szCs w:val="22"/>
        </w:rPr>
        <w:t xml:space="preserve"> </w:t>
      </w:r>
      <w:r w:rsidR="00074E35" w:rsidRPr="00837D06">
        <w:rPr>
          <w:rFonts w:ascii="Arial" w:hAnsi="Arial" w:cs="Arial"/>
          <w:sz w:val="22"/>
          <w:szCs w:val="22"/>
        </w:rPr>
        <w:t>should be specifically identified as a check point</w:t>
      </w:r>
      <w:r w:rsidR="00CC71EA" w:rsidRPr="00837D06">
        <w:rPr>
          <w:rFonts w:ascii="Arial" w:hAnsi="Arial" w:cs="Arial"/>
          <w:sz w:val="22"/>
          <w:szCs w:val="22"/>
        </w:rPr>
        <w:t>. U</w:t>
      </w:r>
      <w:r w:rsidR="00074E35" w:rsidRPr="00837D06">
        <w:rPr>
          <w:rFonts w:ascii="Arial" w:hAnsi="Arial" w:cs="Arial"/>
          <w:sz w:val="22"/>
          <w:szCs w:val="22"/>
        </w:rPr>
        <w:t>ltimately this was not agreed noting that there were ongoing discussions underway in WIPO relating to disclosure of GR</w:t>
      </w:r>
      <w:r w:rsidR="00CE36CA">
        <w:rPr>
          <w:rFonts w:ascii="Arial" w:hAnsi="Arial" w:cs="Arial"/>
          <w:sz w:val="22"/>
          <w:szCs w:val="22"/>
        </w:rPr>
        <w:t>s</w:t>
      </w:r>
      <w:r w:rsidR="00074E35" w:rsidRPr="00837D06">
        <w:rPr>
          <w:rFonts w:ascii="Arial" w:hAnsi="Arial" w:cs="Arial"/>
          <w:sz w:val="22"/>
          <w:szCs w:val="22"/>
        </w:rPr>
        <w:t xml:space="preserve"> and associated TK within the </w:t>
      </w:r>
      <w:r w:rsidR="00451955">
        <w:rPr>
          <w:rFonts w:ascii="Arial" w:hAnsi="Arial" w:cs="Arial"/>
          <w:sz w:val="22"/>
          <w:szCs w:val="22"/>
        </w:rPr>
        <w:t>intellectual property (</w:t>
      </w:r>
      <w:r w:rsidR="00074E35" w:rsidRPr="00837D06">
        <w:rPr>
          <w:rFonts w:ascii="Arial" w:hAnsi="Arial" w:cs="Arial"/>
          <w:sz w:val="22"/>
          <w:szCs w:val="22"/>
        </w:rPr>
        <w:t>IP</w:t>
      </w:r>
      <w:r w:rsidR="00451955">
        <w:rPr>
          <w:rFonts w:ascii="Arial" w:hAnsi="Arial" w:cs="Arial"/>
          <w:sz w:val="22"/>
          <w:szCs w:val="22"/>
        </w:rPr>
        <w:t>)</w:t>
      </w:r>
      <w:r w:rsidR="00074E35" w:rsidRPr="00837D06">
        <w:rPr>
          <w:rFonts w:ascii="Arial" w:hAnsi="Arial" w:cs="Arial"/>
          <w:sz w:val="22"/>
          <w:szCs w:val="22"/>
        </w:rPr>
        <w:t xml:space="preserve"> system. </w:t>
      </w:r>
    </w:p>
    <w:p w14:paraId="356F84C6" w14:textId="77777777" w:rsidR="00074E35" w:rsidRPr="00837D06" w:rsidRDefault="00074E35" w:rsidP="00F77BAE">
      <w:pPr>
        <w:rPr>
          <w:rFonts w:ascii="Arial" w:hAnsi="Arial" w:cs="Arial"/>
          <w:sz w:val="22"/>
          <w:szCs w:val="22"/>
        </w:rPr>
      </w:pPr>
    </w:p>
    <w:p w14:paraId="4F2CE7D9" w14:textId="118A53DD" w:rsidR="00F77BAE" w:rsidRPr="00837D06" w:rsidRDefault="00A23C5E" w:rsidP="00F77BAE">
      <w:pPr>
        <w:rPr>
          <w:rFonts w:ascii="Arial" w:hAnsi="Arial" w:cs="Arial"/>
          <w:sz w:val="22"/>
          <w:szCs w:val="22"/>
        </w:rPr>
      </w:pPr>
      <w:r>
        <w:rPr>
          <w:rFonts w:ascii="Arial" w:hAnsi="Arial" w:cs="Arial"/>
          <w:sz w:val="22"/>
          <w:szCs w:val="22"/>
        </w:rPr>
        <w:t>1</w:t>
      </w:r>
      <w:r w:rsidR="00F310E5">
        <w:rPr>
          <w:rFonts w:ascii="Arial" w:hAnsi="Arial" w:cs="Arial"/>
          <w:sz w:val="22"/>
          <w:szCs w:val="22"/>
        </w:rPr>
        <w:t>3</w:t>
      </w:r>
      <w:r>
        <w:rPr>
          <w:rFonts w:ascii="Arial" w:hAnsi="Arial" w:cs="Arial"/>
          <w:sz w:val="22"/>
          <w:szCs w:val="22"/>
        </w:rPr>
        <w:t>.</w:t>
      </w:r>
      <w:r>
        <w:rPr>
          <w:rFonts w:ascii="Arial" w:hAnsi="Arial" w:cs="Arial"/>
          <w:sz w:val="22"/>
          <w:szCs w:val="22"/>
        </w:rPr>
        <w:tab/>
      </w:r>
      <w:r w:rsidR="00074E35" w:rsidRPr="00837D06">
        <w:rPr>
          <w:rFonts w:ascii="Arial" w:hAnsi="Arial" w:cs="Arial"/>
          <w:sz w:val="22"/>
          <w:szCs w:val="22"/>
        </w:rPr>
        <w:t xml:space="preserve">From my perspective, noting the international context, I believe the </w:t>
      </w:r>
      <w:r w:rsidR="00F77BAE" w:rsidRPr="00837D06">
        <w:rPr>
          <w:rFonts w:ascii="Arial" w:hAnsi="Arial" w:cs="Arial"/>
          <w:sz w:val="22"/>
          <w:szCs w:val="22"/>
        </w:rPr>
        <w:t>IGC negotiations relating to GR</w:t>
      </w:r>
      <w:r w:rsidR="00CE36CA">
        <w:rPr>
          <w:rFonts w:ascii="Arial" w:hAnsi="Arial" w:cs="Arial"/>
          <w:sz w:val="22"/>
          <w:szCs w:val="22"/>
        </w:rPr>
        <w:t>s</w:t>
      </w:r>
      <w:r w:rsidR="00F77BAE" w:rsidRPr="00837D06">
        <w:rPr>
          <w:rFonts w:ascii="Arial" w:hAnsi="Arial" w:cs="Arial"/>
          <w:sz w:val="22"/>
          <w:szCs w:val="22"/>
        </w:rPr>
        <w:t xml:space="preserve"> relate specifically to the </w:t>
      </w:r>
      <w:r w:rsidR="00442D9D">
        <w:rPr>
          <w:rFonts w:ascii="Arial" w:hAnsi="Arial" w:cs="Arial"/>
          <w:sz w:val="22"/>
          <w:szCs w:val="22"/>
        </w:rPr>
        <w:t>IP</w:t>
      </w:r>
      <w:r w:rsidR="00F77BAE" w:rsidRPr="00837D06">
        <w:rPr>
          <w:rFonts w:ascii="Arial" w:hAnsi="Arial" w:cs="Arial"/>
          <w:sz w:val="22"/>
          <w:szCs w:val="22"/>
        </w:rPr>
        <w:t xml:space="preserve"> system and what role, if any, it should play in facilitating “</w:t>
      </w:r>
      <w:r w:rsidR="00F77BAE" w:rsidRPr="00837D06">
        <w:rPr>
          <w:rFonts w:ascii="Arial" w:hAnsi="Arial" w:cs="Arial"/>
          <w:i/>
          <w:sz w:val="22"/>
          <w:szCs w:val="22"/>
        </w:rPr>
        <w:t>the effective and balanced protection of genetic resources and traditional knowledge associated with genetic resources</w:t>
      </w:r>
      <w:r w:rsidR="00F77BAE" w:rsidRPr="00837D06">
        <w:rPr>
          <w:rFonts w:ascii="Arial" w:hAnsi="Arial" w:cs="Arial"/>
          <w:sz w:val="22"/>
          <w:szCs w:val="22"/>
        </w:rPr>
        <w:t xml:space="preserve">.” </w:t>
      </w:r>
    </w:p>
    <w:p w14:paraId="27F9768C" w14:textId="28459BEC" w:rsidR="00D95C39" w:rsidRPr="00837D06" w:rsidRDefault="00D95C39" w:rsidP="00F77BAE">
      <w:pPr>
        <w:rPr>
          <w:rFonts w:ascii="Arial" w:hAnsi="Arial" w:cs="Arial"/>
          <w:sz w:val="22"/>
          <w:szCs w:val="22"/>
        </w:rPr>
      </w:pPr>
    </w:p>
    <w:p w14:paraId="66FCB92B" w14:textId="68B94A86" w:rsidR="006F51C2" w:rsidRPr="00837D06" w:rsidRDefault="00A23C5E" w:rsidP="00F77BAE">
      <w:pPr>
        <w:rPr>
          <w:rFonts w:ascii="Arial" w:hAnsi="Arial" w:cs="Arial"/>
          <w:b/>
          <w:sz w:val="22"/>
          <w:szCs w:val="22"/>
        </w:rPr>
      </w:pPr>
      <w:r>
        <w:rPr>
          <w:rFonts w:ascii="Arial" w:hAnsi="Arial" w:cs="Arial"/>
          <w:sz w:val="22"/>
          <w:szCs w:val="22"/>
        </w:rPr>
        <w:t>1</w:t>
      </w:r>
      <w:r w:rsidR="00F02AF9">
        <w:rPr>
          <w:rFonts w:ascii="Arial" w:hAnsi="Arial" w:cs="Arial"/>
          <w:sz w:val="22"/>
          <w:szCs w:val="22"/>
        </w:rPr>
        <w:t>4</w:t>
      </w:r>
      <w:r>
        <w:rPr>
          <w:rFonts w:ascii="Arial" w:hAnsi="Arial" w:cs="Arial"/>
          <w:sz w:val="22"/>
          <w:szCs w:val="22"/>
        </w:rPr>
        <w:t>.</w:t>
      </w:r>
      <w:r>
        <w:rPr>
          <w:rFonts w:ascii="Arial" w:hAnsi="Arial" w:cs="Arial"/>
          <w:sz w:val="22"/>
          <w:szCs w:val="22"/>
        </w:rPr>
        <w:tab/>
      </w:r>
      <w:r w:rsidR="00D95C39" w:rsidRPr="00837D06">
        <w:rPr>
          <w:rFonts w:ascii="Arial" w:hAnsi="Arial" w:cs="Arial"/>
          <w:sz w:val="22"/>
          <w:szCs w:val="22"/>
        </w:rPr>
        <w:t xml:space="preserve">The key </w:t>
      </w:r>
      <w:r w:rsidR="006F51C2" w:rsidRPr="00837D06">
        <w:rPr>
          <w:rFonts w:ascii="Arial" w:hAnsi="Arial" w:cs="Arial"/>
          <w:sz w:val="22"/>
          <w:szCs w:val="22"/>
        </w:rPr>
        <w:t>questions before the IGC are</w:t>
      </w:r>
      <w:r w:rsidR="006F51C2" w:rsidRPr="00837D06">
        <w:rPr>
          <w:rFonts w:ascii="Arial" w:hAnsi="Arial" w:cs="Arial"/>
          <w:b/>
          <w:sz w:val="22"/>
          <w:szCs w:val="22"/>
        </w:rPr>
        <w:t xml:space="preserve"> (1) does the IP system have a role at the international level in supporting </w:t>
      </w:r>
      <w:r w:rsidR="00B03110">
        <w:rPr>
          <w:rFonts w:ascii="Arial" w:hAnsi="Arial" w:cs="Arial"/>
          <w:b/>
          <w:sz w:val="22"/>
          <w:szCs w:val="22"/>
        </w:rPr>
        <w:t xml:space="preserve">the </w:t>
      </w:r>
      <w:r w:rsidR="006F51C2" w:rsidRPr="00837D06">
        <w:rPr>
          <w:rFonts w:ascii="Arial" w:hAnsi="Arial" w:cs="Arial"/>
          <w:b/>
          <w:sz w:val="22"/>
          <w:szCs w:val="22"/>
        </w:rPr>
        <w:t>protection of GR</w:t>
      </w:r>
      <w:r w:rsidR="00CE36CA">
        <w:rPr>
          <w:rFonts w:ascii="Arial" w:hAnsi="Arial" w:cs="Arial"/>
          <w:b/>
          <w:sz w:val="22"/>
          <w:szCs w:val="22"/>
        </w:rPr>
        <w:t>s</w:t>
      </w:r>
      <w:r w:rsidR="006F51C2" w:rsidRPr="00837D06">
        <w:rPr>
          <w:rFonts w:ascii="Arial" w:hAnsi="Arial" w:cs="Arial"/>
          <w:b/>
          <w:sz w:val="22"/>
          <w:szCs w:val="22"/>
        </w:rPr>
        <w:t xml:space="preserve"> and associated TK, (2) what are the objectives of such a role, and (3) what are the appropriate mechanisms. </w:t>
      </w:r>
    </w:p>
    <w:p w14:paraId="481C6B54" w14:textId="6F541D8F" w:rsidR="006F51C2" w:rsidRPr="00837D06" w:rsidRDefault="006F51C2" w:rsidP="00F77BAE">
      <w:pPr>
        <w:rPr>
          <w:rFonts w:ascii="Arial" w:hAnsi="Arial" w:cs="Arial"/>
          <w:sz w:val="22"/>
          <w:szCs w:val="22"/>
        </w:rPr>
      </w:pPr>
    </w:p>
    <w:p w14:paraId="08FEDB22" w14:textId="276CE86C" w:rsidR="00FC7894" w:rsidRPr="00837D06" w:rsidRDefault="00A23C5E" w:rsidP="00F77BAE">
      <w:pPr>
        <w:rPr>
          <w:rFonts w:ascii="Arial" w:hAnsi="Arial" w:cs="Arial"/>
          <w:sz w:val="22"/>
          <w:szCs w:val="22"/>
        </w:rPr>
      </w:pPr>
      <w:r>
        <w:rPr>
          <w:rFonts w:ascii="Arial" w:hAnsi="Arial" w:cs="Arial"/>
          <w:sz w:val="22"/>
          <w:szCs w:val="22"/>
        </w:rPr>
        <w:t>14.</w:t>
      </w:r>
      <w:r>
        <w:rPr>
          <w:rFonts w:ascii="Arial" w:hAnsi="Arial" w:cs="Arial"/>
          <w:sz w:val="22"/>
          <w:szCs w:val="22"/>
        </w:rPr>
        <w:tab/>
      </w:r>
      <w:r w:rsidR="00FC7894" w:rsidRPr="00837D06">
        <w:rPr>
          <w:rFonts w:ascii="Arial" w:hAnsi="Arial" w:cs="Arial"/>
          <w:sz w:val="22"/>
          <w:szCs w:val="22"/>
        </w:rPr>
        <w:t xml:space="preserve">In relation to these questions we appear to a have a clear consensus, reflected in the IGC working documents, that the IP system does have a role to play.   </w:t>
      </w:r>
    </w:p>
    <w:p w14:paraId="59E19519" w14:textId="77777777" w:rsidR="00FC7894" w:rsidRPr="00837D06" w:rsidRDefault="00FC7894" w:rsidP="00F77BAE">
      <w:pPr>
        <w:rPr>
          <w:rFonts w:ascii="Arial" w:hAnsi="Arial" w:cs="Arial"/>
          <w:i/>
          <w:sz w:val="22"/>
          <w:szCs w:val="22"/>
        </w:rPr>
      </w:pPr>
    </w:p>
    <w:p w14:paraId="1051DE7B" w14:textId="0F44B507" w:rsidR="00B431DB" w:rsidRPr="00837D06" w:rsidRDefault="00B431DB" w:rsidP="00F77BAE">
      <w:pPr>
        <w:rPr>
          <w:rFonts w:ascii="Arial" w:hAnsi="Arial" w:cs="Arial"/>
          <w:i/>
          <w:sz w:val="22"/>
          <w:szCs w:val="22"/>
        </w:rPr>
      </w:pPr>
      <w:r w:rsidRPr="00837D06">
        <w:rPr>
          <w:rFonts w:ascii="Arial" w:hAnsi="Arial" w:cs="Arial"/>
          <w:i/>
          <w:sz w:val="22"/>
          <w:szCs w:val="22"/>
        </w:rPr>
        <w:t>Subject Matter</w:t>
      </w:r>
    </w:p>
    <w:p w14:paraId="74968D64" w14:textId="77777777" w:rsidR="00B431DB" w:rsidRPr="00837D06" w:rsidRDefault="00B431DB" w:rsidP="00F77BAE">
      <w:pPr>
        <w:rPr>
          <w:rFonts w:ascii="Arial" w:hAnsi="Arial" w:cs="Arial"/>
          <w:i/>
          <w:sz w:val="22"/>
          <w:szCs w:val="22"/>
        </w:rPr>
      </w:pPr>
    </w:p>
    <w:p w14:paraId="7AE8436E" w14:textId="259C6CFE" w:rsidR="00B431DB" w:rsidRPr="00837D06" w:rsidRDefault="004D052F" w:rsidP="00B431DB">
      <w:pPr>
        <w:rPr>
          <w:rFonts w:ascii="Arial" w:hAnsi="Arial" w:cs="Arial"/>
          <w:sz w:val="22"/>
          <w:szCs w:val="22"/>
        </w:rPr>
      </w:pPr>
      <w:r>
        <w:rPr>
          <w:rFonts w:ascii="Arial" w:hAnsi="Arial" w:cs="Arial"/>
          <w:sz w:val="22"/>
          <w:szCs w:val="22"/>
        </w:rPr>
        <w:t>15.</w:t>
      </w:r>
      <w:r>
        <w:rPr>
          <w:rFonts w:ascii="Arial" w:hAnsi="Arial" w:cs="Arial"/>
          <w:sz w:val="22"/>
          <w:szCs w:val="22"/>
        </w:rPr>
        <w:tab/>
      </w:r>
      <w:r w:rsidR="00B431DB" w:rsidRPr="00837D06">
        <w:rPr>
          <w:rFonts w:ascii="Arial" w:hAnsi="Arial" w:cs="Arial"/>
          <w:sz w:val="22"/>
          <w:szCs w:val="22"/>
        </w:rPr>
        <w:t xml:space="preserve">In considering these questions it is important </w:t>
      </w:r>
      <w:r w:rsidR="00FC7894" w:rsidRPr="00837D06">
        <w:rPr>
          <w:rFonts w:ascii="Arial" w:hAnsi="Arial" w:cs="Arial"/>
          <w:sz w:val="22"/>
          <w:szCs w:val="22"/>
        </w:rPr>
        <w:t xml:space="preserve">to </w:t>
      </w:r>
      <w:r w:rsidR="00B431DB" w:rsidRPr="00837D06">
        <w:rPr>
          <w:rFonts w:ascii="Arial" w:hAnsi="Arial" w:cs="Arial"/>
          <w:sz w:val="22"/>
          <w:szCs w:val="22"/>
        </w:rPr>
        <w:t xml:space="preserve">consider the nature of the subject matter.   GRs can be differentiated from the two other subjects being dealt with by the IGC:  TK and traditional cultural expressions (TCEs).  TK and TCEs, which are developed by the human mind, can be considered “intellectual property” suitable for direct protection by an IP instrument.  By contrast, GRs as such are not produced by the human mind and the IP issues that they raise are distinct.  </w:t>
      </w:r>
    </w:p>
    <w:p w14:paraId="497E012D" w14:textId="77777777" w:rsidR="00B431DB" w:rsidRPr="00837D06" w:rsidRDefault="00B431DB" w:rsidP="00B431DB">
      <w:pPr>
        <w:rPr>
          <w:rFonts w:ascii="Arial" w:hAnsi="Arial" w:cs="Arial"/>
          <w:sz w:val="22"/>
          <w:szCs w:val="22"/>
        </w:rPr>
      </w:pPr>
    </w:p>
    <w:p w14:paraId="270AED4B" w14:textId="32B8E4A9" w:rsidR="00B431DB" w:rsidRPr="00837D06" w:rsidRDefault="004D052F" w:rsidP="00B431DB">
      <w:pPr>
        <w:rPr>
          <w:rFonts w:ascii="Arial" w:hAnsi="Arial" w:cs="Arial"/>
          <w:sz w:val="22"/>
          <w:szCs w:val="22"/>
        </w:rPr>
      </w:pPr>
      <w:r>
        <w:rPr>
          <w:rFonts w:ascii="Arial" w:hAnsi="Arial" w:cs="Arial"/>
          <w:sz w:val="22"/>
          <w:szCs w:val="22"/>
        </w:rPr>
        <w:t>16.</w:t>
      </w:r>
      <w:r>
        <w:rPr>
          <w:rFonts w:ascii="Arial" w:hAnsi="Arial" w:cs="Arial"/>
          <w:sz w:val="22"/>
          <w:szCs w:val="22"/>
        </w:rPr>
        <w:tab/>
      </w:r>
      <w:r w:rsidR="00B431DB" w:rsidRPr="00837D06">
        <w:rPr>
          <w:rFonts w:ascii="Arial" w:hAnsi="Arial" w:cs="Arial"/>
          <w:sz w:val="22"/>
          <w:szCs w:val="22"/>
        </w:rPr>
        <w:t xml:space="preserve">Inventions based on or developed using GRs may be patentable, and, therefore, some members are concerned about patents being granted in error over inventions based </w:t>
      </w:r>
      <w:r w:rsidR="00B431DB" w:rsidRPr="00837D06">
        <w:rPr>
          <w:rFonts w:ascii="Arial" w:hAnsi="Arial" w:cs="Arial"/>
          <w:sz w:val="22"/>
          <w:szCs w:val="22"/>
        </w:rPr>
        <w:lastRenderedPageBreak/>
        <w:t xml:space="preserve">on or developed using GRs.  Their interest is in improving the quality of patent examination and the efficiency and transparency of the patent system.  One option would be to ensure patent offices have access to the appropriate information.  Some members consider that the patent system/IP system should also facilitate compliance with the access and benefit-sharing obligations, specifically those related to prior and informed consent, mutually agreed terms, fair and equitable benefit-sharing, deriving from the international frameworks referred to above.   </w:t>
      </w:r>
    </w:p>
    <w:p w14:paraId="3700F105" w14:textId="4A372CD8" w:rsidR="00903A62" w:rsidRPr="00837D06" w:rsidRDefault="00903A62" w:rsidP="00903A62">
      <w:pPr>
        <w:rPr>
          <w:rFonts w:ascii="Arial" w:hAnsi="Arial" w:cs="Arial"/>
          <w:sz w:val="22"/>
          <w:szCs w:val="22"/>
        </w:rPr>
      </w:pPr>
    </w:p>
    <w:p w14:paraId="41C043F8" w14:textId="35C0A000" w:rsidR="00FC7894" w:rsidRPr="00837D06" w:rsidRDefault="00FC7894" w:rsidP="00903A62">
      <w:pPr>
        <w:rPr>
          <w:rFonts w:ascii="Arial" w:hAnsi="Arial" w:cs="Arial"/>
          <w:i/>
          <w:sz w:val="22"/>
          <w:szCs w:val="22"/>
        </w:rPr>
      </w:pPr>
      <w:r w:rsidRPr="00837D06">
        <w:rPr>
          <w:rFonts w:ascii="Arial" w:hAnsi="Arial" w:cs="Arial"/>
          <w:i/>
          <w:sz w:val="22"/>
          <w:szCs w:val="22"/>
        </w:rPr>
        <w:t>Objectives</w:t>
      </w:r>
    </w:p>
    <w:p w14:paraId="39C70215" w14:textId="5256A421" w:rsidR="00FC7894" w:rsidRPr="00837D06" w:rsidRDefault="00FC7894" w:rsidP="00903A62">
      <w:pPr>
        <w:rPr>
          <w:rFonts w:ascii="Arial" w:hAnsi="Arial" w:cs="Arial"/>
          <w:i/>
          <w:sz w:val="22"/>
          <w:szCs w:val="22"/>
        </w:rPr>
      </w:pPr>
    </w:p>
    <w:p w14:paraId="63990591" w14:textId="7E697993" w:rsidR="004D4CFA" w:rsidRPr="00837D06" w:rsidRDefault="004D052F" w:rsidP="004D4CFA">
      <w:pPr>
        <w:rPr>
          <w:rFonts w:ascii="Arial" w:hAnsi="Arial" w:cs="Arial"/>
          <w:sz w:val="22"/>
          <w:szCs w:val="22"/>
        </w:rPr>
      </w:pPr>
      <w:r>
        <w:rPr>
          <w:rFonts w:ascii="Arial" w:hAnsi="Arial" w:cs="Arial"/>
          <w:sz w:val="22"/>
          <w:szCs w:val="22"/>
        </w:rPr>
        <w:t>17.</w:t>
      </w:r>
      <w:r>
        <w:rPr>
          <w:rFonts w:ascii="Arial" w:hAnsi="Arial" w:cs="Arial"/>
          <w:sz w:val="22"/>
          <w:szCs w:val="22"/>
        </w:rPr>
        <w:tab/>
      </w:r>
      <w:r w:rsidR="004D4CFA" w:rsidRPr="00837D06">
        <w:rPr>
          <w:rFonts w:ascii="Arial" w:hAnsi="Arial" w:cs="Arial"/>
          <w:sz w:val="22"/>
          <w:szCs w:val="22"/>
        </w:rPr>
        <w:t xml:space="preserve">Reflecting the </w:t>
      </w:r>
      <w:r w:rsidR="00F02AF9">
        <w:rPr>
          <w:rFonts w:ascii="Arial" w:hAnsi="Arial" w:cs="Arial"/>
          <w:sz w:val="22"/>
          <w:szCs w:val="22"/>
        </w:rPr>
        <w:t>various</w:t>
      </w:r>
      <w:r w:rsidR="00F02AF9" w:rsidRPr="00837D06">
        <w:rPr>
          <w:rFonts w:ascii="Arial" w:hAnsi="Arial" w:cs="Arial"/>
          <w:sz w:val="22"/>
          <w:szCs w:val="22"/>
        </w:rPr>
        <w:t xml:space="preserve"> </w:t>
      </w:r>
      <w:r w:rsidR="00451955">
        <w:rPr>
          <w:rFonts w:ascii="Arial" w:hAnsi="Arial" w:cs="Arial"/>
          <w:sz w:val="22"/>
          <w:szCs w:val="22"/>
        </w:rPr>
        <w:t>M</w:t>
      </w:r>
      <w:r w:rsidR="004D4CFA" w:rsidRPr="00837D06">
        <w:rPr>
          <w:rFonts w:ascii="Arial" w:hAnsi="Arial" w:cs="Arial"/>
          <w:sz w:val="22"/>
          <w:szCs w:val="22"/>
        </w:rPr>
        <w:t xml:space="preserve">ember </w:t>
      </w:r>
      <w:r w:rsidR="00451955">
        <w:rPr>
          <w:rFonts w:ascii="Arial" w:hAnsi="Arial" w:cs="Arial"/>
          <w:sz w:val="22"/>
          <w:szCs w:val="22"/>
        </w:rPr>
        <w:t>S</w:t>
      </w:r>
      <w:r w:rsidR="004D4CFA" w:rsidRPr="00837D06">
        <w:rPr>
          <w:rFonts w:ascii="Arial" w:hAnsi="Arial" w:cs="Arial"/>
          <w:sz w:val="22"/>
          <w:szCs w:val="22"/>
        </w:rPr>
        <w:t>tate</w:t>
      </w:r>
      <w:r w:rsidR="00451955">
        <w:rPr>
          <w:rFonts w:ascii="Arial" w:hAnsi="Arial" w:cs="Arial"/>
          <w:sz w:val="22"/>
          <w:szCs w:val="22"/>
        </w:rPr>
        <w:t>s’</w:t>
      </w:r>
      <w:r w:rsidR="004D4CFA" w:rsidRPr="00837D06">
        <w:rPr>
          <w:rFonts w:ascii="Arial" w:hAnsi="Arial" w:cs="Arial"/>
          <w:sz w:val="22"/>
          <w:szCs w:val="22"/>
        </w:rPr>
        <w:t xml:space="preserve"> perspectives </w:t>
      </w:r>
      <w:r w:rsidR="00D8633B" w:rsidRPr="00837D06">
        <w:rPr>
          <w:rFonts w:ascii="Arial" w:hAnsi="Arial" w:cs="Arial"/>
          <w:sz w:val="22"/>
          <w:szCs w:val="22"/>
        </w:rPr>
        <w:t xml:space="preserve">discussed above </w:t>
      </w:r>
      <w:r w:rsidR="004D4CFA" w:rsidRPr="00837D06">
        <w:rPr>
          <w:rFonts w:ascii="Arial" w:hAnsi="Arial" w:cs="Arial"/>
          <w:sz w:val="22"/>
          <w:szCs w:val="22"/>
        </w:rPr>
        <w:t>three objectives have been identified in the working documents:</w:t>
      </w:r>
    </w:p>
    <w:p w14:paraId="0033627B" w14:textId="77777777" w:rsidR="004D4CFA" w:rsidRPr="00837D06" w:rsidRDefault="004D4CFA" w:rsidP="004D4CFA">
      <w:pPr>
        <w:rPr>
          <w:rFonts w:ascii="Arial" w:hAnsi="Arial" w:cs="Arial"/>
          <w:sz w:val="22"/>
          <w:szCs w:val="22"/>
        </w:rPr>
      </w:pPr>
    </w:p>
    <w:p w14:paraId="781BD157" w14:textId="2F69E946" w:rsidR="004D4CFA" w:rsidRPr="00837D06" w:rsidRDefault="004D4CFA" w:rsidP="00D8633B">
      <w:pPr>
        <w:pStyle w:val="ListParagraph"/>
        <w:numPr>
          <w:ilvl w:val="0"/>
          <w:numId w:val="26"/>
        </w:numPr>
        <w:rPr>
          <w:rFonts w:ascii="Arial" w:hAnsi="Arial" w:cs="Arial"/>
          <w:sz w:val="22"/>
          <w:szCs w:val="22"/>
        </w:rPr>
      </w:pPr>
      <w:r w:rsidRPr="00837D06">
        <w:rPr>
          <w:rFonts w:ascii="Arial" w:hAnsi="Arial" w:cs="Arial"/>
          <w:sz w:val="22"/>
          <w:szCs w:val="22"/>
        </w:rPr>
        <w:t xml:space="preserve">enhancing efficacy, transparency and the quality of the IP/patent system relating to GRs and </w:t>
      </w:r>
      <w:r w:rsidR="00451955">
        <w:rPr>
          <w:rFonts w:ascii="Arial" w:hAnsi="Arial" w:cs="Arial"/>
          <w:sz w:val="22"/>
          <w:szCs w:val="22"/>
        </w:rPr>
        <w:t>a</w:t>
      </w:r>
      <w:r w:rsidRPr="00837D06">
        <w:rPr>
          <w:rFonts w:ascii="Arial" w:hAnsi="Arial" w:cs="Arial"/>
          <w:sz w:val="22"/>
          <w:szCs w:val="22"/>
        </w:rPr>
        <w:t xml:space="preserve">ssociated TK, </w:t>
      </w:r>
    </w:p>
    <w:p w14:paraId="5E3ADF81" w14:textId="0D26F96D" w:rsidR="004D4CFA" w:rsidRPr="00837D06" w:rsidRDefault="004D4CFA" w:rsidP="00D8633B">
      <w:pPr>
        <w:pStyle w:val="ListParagraph"/>
        <w:numPr>
          <w:ilvl w:val="0"/>
          <w:numId w:val="26"/>
        </w:numPr>
        <w:rPr>
          <w:rFonts w:ascii="Arial" w:hAnsi="Arial" w:cs="Arial"/>
          <w:sz w:val="22"/>
          <w:szCs w:val="22"/>
        </w:rPr>
      </w:pPr>
      <w:r w:rsidRPr="00837D06">
        <w:rPr>
          <w:rFonts w:ascii="Arial" w:hAnsi="Arial" w:cs="Arial"/>
          <w:sz w:val="22"/>
          <w:szCs w:val="22"/>
        </w:rPr>
        <w:t xml:space="preserve">facilitating mutual supportiveness with agreements relating to GRs and </w:t>
      </w:r>
      <w:r w:rsidR="00451955">
        <w:rPr>
          <w:rFonts w:ascii="Arial" w:hAnsi="Arial" w:cs="Arial"/>
          <w:sz w:val="22"/>
          <w:szCs w:val="22"/>
        </w:rPr>
        <w:t>a</w:t>
      </w:r>
      <w:r w:rsidRPr="00837D06">
        <w:rPr>
          <w:rFonts w:ascii="Arial" w:hAnsi="Arial" w:cs="Arial"/>
          <w:sz w:val="22"/>
          <w:szCs w:val="22"/>
        </w:rPr>
        <w:t>ssociated TK; and</w:t>
      </w:r>
    </w:p>
    <w:p w14:paraId="139D3D18" w14:textId="77777777" w:rsidR="004D4CFA" w:rsidRPr="00837D06" w:rsidRDefault="004D4CFA" w:rsidP="00D8633B">
      <w:pPr>
        <w:pStyle w:val="ListParagraph"/>
        <w:numPr>
          <w:ilvl w:val="0"/>
          <w:numId w:val="26"/>
        </w:numPr>
        <w:rPr>
          <w:rFonts w:ascii="Arial" w:hAnsi="Arial" w:cs="Arial"/>
          <w:sz w:val="22"/>
          <w:szCs w:val="22"/>
        </w:rPr>
      </w:pPr>
      <w:r w:rsidRPr="00837D06">
        <w:rPr>
          <w:rFonts w:ascii="Arial" w:hAnsi="Arial" w:cs="Arial"/>
          <w:sz w:val="22"/>
          <w:szCs w:val="22"/>
        </w:rPr>
        <w:t xml:space="preserve">ensuring patent offices have the appropriate information to prevent the granting of erroneous IP/patent rights.   </w:t>
      </w:r>
    </w:p>
    <w:p w14:paraId="55A1888C" w14:textId="77777777" w:rsidR="004D4CFA" w:rsidRPr="00837D06" w:rsidRDefault="004D4CFA" w:rsidP="00903A62">
      <w:pPr>
        <w:rPr>
          <w:rFonts w:ascii="Arial" w:hAnsi="Arial" w:cs="Arial"/>
          <w:sz w:val="22"/>
          <w:szCs w:val="22"/>
        </w:rPr>
      </w:pPr>
    </w:p>
    <w:p w14:paraId="2BA7F6C8" w14:textId="3CC6F996" w:rsidR="009C0592" w:rsidRDefault="004D052F">
      <w:pPr>
        <w:rPr>
          <w:rFonts w:ascii="Arial" w:hAnsi="Arial" w:cs="Arial"/>
          <w:i/>
          <w:sz w:val="22"/>
          <w:szCs w:val="22"/>
        </w:rPr>
      </w:pPr>
      <w:r>
        <w:rPr>
          <w:rFonts w:ascii="Arial" w:hAnsi="Arial" w:cs="Arial"/>
          <w:sz w:val="22"/>
          <w:szCs w:val="22"/>
        </w:rPr>
        <w:t>18.</w:t>
      </w:r>
      <w:r>
        <w:rPr>
          <w:rFonts w:ascii="Arial" w:hAnsi="Arial" w:cs="Arial"/>
          <w:sz w:val="22"/>
          <w:szCs w:val="22"/>
        </w:rPr>
        <w:tab/>
      </w:r>
      <w:r w:rsidR="00771B52" w:rsidRPr="00837D06">
        <w:rPr>
          <w:rFonts w:ascii="Arial" w:hAnsi="Arial" w:cs="Arial"/>
          <w:sz w:val="22"/>
          <w:szCs w:val="22"/>
        </w:rPr>
        <w:t xml:space="preserve">In reviewing these objectives, I would </w:t>
      </w:r>
      <w:r w:rsidR="000223D0">
        <w:rPr>
          <w:rFonts w:ascii="Arial" w:hAnsi="Arial" w:cs="Arial"/>
          <w:sz w:val="22"/>
          <w:szCs w:val="22"/>
        </w:rPr>
        <w:t>reflect</w:t>
      </w:r>
      <w:r w:rsidR="00771B52" w:rsidRPr="00837D06">
        <w:rPr>
          <w:rFonts w:ascii="Arial" w:hAnsi="Arial" w:cs="Arial"/>
          <w:sz w:val="22"/>
          <w:szCs w:val="22"/>
        </w:rPr>
        <w:t xml:space="preserve"> </w:t>
      </w:r>
      <w:r w:rsidR="00D8633B" w:rsidRPr="00837D06">
        <w:rPr>
          <w:rFonts w:ascii="Arial" w:hAnsi="Arial" w:cs="Arial"/>
          <w:sz w:val="22"/>
          <w:szCs w:val="22"/>
        </w:rPr>
        <w:t xml:space="preserve">that </w:t>
      </w:r>
      <w:r w:rsidR="000223D0">
        <w:rPr>
          <w:rFonts w:ascii="Arial" w:hAnsi="Arial" w:cs="Arial"/>
          <w:sz w:val="22"/>
          <w:szCs w:val="22"/>
        </w:rPr>
        <w:t xml:space="preserve">the objectives would appear to provide a balanced approach to the interests of all </w:t>
      </w:r>
      <w:r w:rsidR="00F02AF9">
        <w:rPr>
          <w:rFonts w:ascii="Arial" w:hAnsi="Arial" w:cs="Arial"/>
          <w:sz w:val="22"/>
          <w:szCs w:val="22"/>
        </w:rPr>
        <w:t>M</w:t>
      </w:r>
      <w:r w:rsidR="000223D0">
        <w:rPr>
          <w:rFonts w:ascii="Arial" w:hAnsi="Arial" w:cs="Arial"/>
          <w:sz w:val="22"/>
          <w:szCs w:val="22"/>
        </w:rPr>
        <w:t xml:space="preserve">ember </w:t>
      </w:r>
      <w:r w:rsidR="00F02AF9">
        <w:rPr>
          <w:rFonts w:ascii="Arial" w:hAnsi="Arial" w:cs="Arial"/>
          <w:sz w:val="22"/>
          <w:szCs w:val="22"/>
        </w:rPr>
        <w:t>S</w:t>
      </w:r>
      <w:r w:rsidR="000223D0">
        <w:rPr>
          <w:rFonts w:ascii="Arial" w:hAnsi="Arial" w:cs="Arial"/>
          <w:sz w:val="22"/>
          <w:szCs w:val="22"/>
        </w:rPr>
        <w:t xml:space="preserve">tates. Also, </w:t>
      </w:r>
      <w:r w:rsidR="00D8633B" w:rsidRPr="00837D06">
        <w:rPr>
          <w:rFonts w:ascii="Arial" w:hAnsi="Arial" w:cs="Arial"/>
          <w:sz w:val="22"/>
          <w:szCs w:val="22"/>
        </w:rPr>
        <w:t>objective 3 could be considered to be supporting</w:t>
      </w:r>
      <w:r w:rsidR="00771B52" w:rsidRPr="00837D06">
        <w:rPr>
          <w:rFonts w:ascii="Arial" w:hAnsi="Arial" w:cs="Arial"/>
          <w:sz w:val="22"/>
          <w:szCs w:val="22"/>
        </w:rPr>
        <w:t xml:space="preserve"> or underpinning</w:t>
      </w:r>
      <w:r w:rsidR="00D8633B" w:rsidRPr="00837D06">
        <w:rPr>
          <w:rFonts w:ascii="Arial" w:hAnsi="Arial" w:cs="Arial"/>
          <w:sz w:val="22"/>
          <w:szCs w:val="22"/>
        </w:rPr>
        <w:t xml:space="preserve"> objective</w:t>
      </w:r>
      <w:r w:rsidR="00451955">
        <w:rPr>
          <w:rFonts w:ascii="Arial" w:hAnsi="Arial" w:cs="Arial"/>
          <w:sz w:val="22"/>
          <w:szCs w:val="22"/>
        </w:rPr>
        <w:t>s</w:t>
      </w:r>
      <w:r w:rsidR="00D8633B" w:rsidRPr="00837D06">
        <w:rPr>
          <w:rFonts w:ascii="Arial" w:hAnsi="Arial" w:cs="Arial"/>
          <w:sz w:val="22"/>
          <w:szCs w:val="22"/>
        </w:rPr>
        <w:t xml:space="preserve"> 1 and 2</w:t>
      </w:r>
      <w:r w:rsidR="00771B52" w:rsidRPr="00837D06">
        <w:rPr>
          <w:rFonts w:ascii="Arial" w:hAnsi="Arial" w:cs="Arial"/>
          <w:sz w:val="22"/>
          <w:szCs w:val="22"/>
        </w:rPr>
        <w:t>. In addition,</w:t>
      </w:r>
      <w:r w:rsidR="00E262A1" w:rsidRPr="00837D06">
        <w:rPr>
          <w:rFonts w:ascii="Arial" w:hAnsi="Arial" w:cs="Arial"/>
          <w:sz w:val="22"/>
          <w:szCs w:val="22"/>
        </w:rPr>
        <w:t xml:space="preserve"> from my perspective</w:t>
      </w:r>
      <w:r w:rsidR="00FC266C">
        <w:rPr>
          <w:rFonts w:ascii="Arial" w:hAnsi="Arial" w:cs="Arial"/>
          <w:sz w:val="22"/>
          <w:szCs w:val="22"/>
        </w:rPr>
        <w:t>,</w:t>
      </w:r>
      <w:r w:rsidR="00E262A1" w:rsidRPr="00837D06">
        <w:rPr>
          <w:rFonts w:ascii="Arial" w:hAnsi="Arial" w:cs="Arial"/>
          <w:sz w:val="22"/>
          <w:szCs w:val="22"/>
        </w:rPr>
        <w:t xml:space="preserve"> objective 1 clearly articulates an intent in regard to the role of the IP system in supporting the protection of the subject matter at the international level; </w:t>
      </w:r>
      <w:r w:rsidR="00820B4E" w:rsidRPr="00837D06">
        <w:rPr>
          <w:rFonts w:ascii="Arial" w:hAnsi="Arial" w:cs="Arial"/>
          <w:i/>
          <w:sz w:val="22"/>
          <w:szCs w:val="22"/>
        </w:rPr>
        <w:t xml:space="preserve">through </w:t>
      </w:r>
      <w:r w:rsidR="00E262A1" w:rsidRPr="00837D06">
        <w:rPr>
          <w:rFonts w:ascii="Arial" w:hAnsi="Arial" w:cs="Arial"/>
          <w:i/>
          <w:sz w:val="22"/>
          <w:szCs w:val="22"/>
        </w:rPr>
        <w:t xml:space="preserve">enhancing </w:t>
      </w:r>
      <w:r w:rsidR="00820B4E" w:rsidRPr="00837D06">
        <w:rPr>
          <w:rFonts w:ascii="Arial" w:hAnsi="Arial" w:cs="Arial"/>
          <w:i/>
          <w:sz w:val="22"/>
          <w:szCs w:val="22"/>
        </w:rPr>
        <w:t xml:space="preserve">the </w:t>
      </w:r>
      <w:r w:rsidR="00E262A1" w:rsidRPr="00837D06">
        <w:rPr>
          <w:rFonts w:ascii="Arial" w:hAnsi="Arial" w:cs="Arial"/>
          <w:i/>
          <w:sz w:val="22"/>
          <w:szCs w:val="22"/>
        </w:rPr>
        <w:t>efficacy, transparency and quality of the IP patent system relating to GR</w:t>
      </w:r>
      <w:r w:rsidR="00451955">
        <w:rPr>
          <w:rFonts w:ascii="Arial" w:hAnsi="Arial" w:cs="Arial"/>
          <w:i/>
          <w:sz w:val="22"/>
          <w:szCs w:val="22"/>
        </w:rPr>
        <w:t>s</w:t>
      </w:r>
      <w:r w:rsidR="00E262A1" w:rsidRPr="00837D06">
        <w:rPr>
          <w:rFonts w:ascii="Arial" w:hAnsi="Arial" w:cs="Arial"/>
          <w:i/>
          <w:sz w:val="22"/>
          <w:szCs w:val="22"/>
        </w:rPr>
        <w:t xml:space="preserve"> and </w:t>
      </w:r>
      <w:r w:rsidR="00451955">
        <w:rPr>
          <w:rFonts w:ascii="Arial" w:hAnsi="Arial" w:cs="Arial"/>
          <w:i/>
          <w:sz w:val="22"/>
          <w:szCs w:val="22"/>
        </w:rPr>
        <w:t>a</w:t>
      </w:r>
      <w:r w:rsidR="00E262A1" w:rsidRPr="00837D06">
        <w:rPr>
          <w:rFonts w:ascii="Arial" w:hAnsi="Arial" w:cs="Arial"/>
          <w:i/>
          <w:sz w:val="22"/>
          <w:szCs w:val="22"/>
        </w:rPr>
        <w:t>ssociated TK</w:t>
      </w:r>
      <w:r w:rsidR="00E262A1" w:rsidRPr="00837D06">
        <w:rPr>
          <w:rFonts w:ascii="Arial" w:hAnsi="Arial" w:cs="Arial"/>
          <w:sz w:val="22"/>
          <w:szCs w:val="22"/>
        </w:rPr>
        <w:t xml:space="preserve">. </w:t>
      </w:r>
      <w:r w:rsidR="00820B4E" w:rsidRPr="00837D06">
        <w:rPr>
          <w:rFonts w:ascii="Arial" w:hAnsi="Arial" w:cs="Arial"/>
          <w:sz w:val="22"/>
          <w:szCs w:val="22"/>
        </w:rPr>
        <w:t xml:space="preserve">An </w:t>
      </w:r>
      <w:r w:rsidR="00E262A1" w:rsidRPr="00837D06">
        <w:rPr>
          <w:rFonts w:ascii="Arial" w:hAnsi="Arial" w:cs="Arial"/>
          <w:sz w:val="22"/>
          <w:szCs w:val="22"/>
        </w:rPr>
        <w:t>objective</w:t>
      </w:r>
      <w:r w:rsidR="00820B4E" w:rsidRPr="00837D06">
        <w:rPr>
          <w:rFonts w:ascii="Arial" w:hAnsi="Arial" w:cs="Arial"/>
          <w:sz w:val="22"/>
          <w:szCs w:val="22"/>
        </w:rPr>
        <w:t xml:space="preserve"> which </w:t>
      </w:r>
      <w:r w:rsidR="008C7E47" w:rsidRPr="00837D06">
        <w:rPr>
          <w:rFonts w:ascii="Arial" w:hAnsi="Arial" w:cs="Arial"/>
          <w:sz w:val="22"/>
          <w:szCs w:val="22"/>
        </w:rPr>
        <w:t xml:space="preserve">would </w:t>
      </w:r>
      <w:r w:rsidR="00820B4E" w:rsidRPr="00837D06">
        <w:rPr>
          <w:rFonts w:ascii="Arial" w:hAnsi="Arial" w:cs="Arial"/>
          <w:sz w:val="22"/>
          <w:szCs w:val="22"/>
        </w:rPr>
        <w:t xml:space="preserve">also </w:t>
      </w:r>
      <w:r w:rsidR="008C7E47" w:rsidRPr="00837D06">
        <w:rPr>
          <w:rFonts w:ascii="Arial" w:hAnsi="Arial" w:cs="Arial"/>
          <w:sz w:val="22"/>
          <w:szCs w:val="22"/>
        </w:rPr>
        <w:t xml:space="preserve">facilitate mutual supportiveness with </w:t>
      </w:r>
      <w:r w:rsidR="00F63D5F" w:rsidRPr="00837D06">
        <w:rPr>
          <w:rFonts w:ascii="Arial" w:hAnsi="Arial" w:cs="Arial"/>
          <w:sz w:val="22"/>
          <w:szCs w:val="22"/>
        </w:rPr>
        <w:t xml:space="preserve">international </w:t>
      </w:r>
      <w:r w:rsidR="008C7E47" w:rsidRPr="00837D06">
        <w:rPr>
          <w:rFonts w:ascii="Arial" w:hAnsi="Arial" w:cs="Arial"/>
          <w:sz w:val="22"/>
          <w:szCs w:val="22"/>
        </w:rPr>
        <w:t xml:space="preserve">agreements relating to </w:t>
      </w:r>
      <w:r w:rsidR="00F63D5F" w:rsidRPr="00837D06">
        <w:rPr>
          <w:rFonts w:ascii="Arial" w:hAnsi="Arial" w:cs="Arial"/>
          <w:sz w:val="22"/>
          <w:szCs w:val="22"/>
        </w:rPr>
        <w:t xml:space="preserve">the protection of </w:t>
      </w:r>
      <w:r w:rsidR="008C7E47" w:rsidRPr="00837D06">
        <w:rPr>
          <w:rFonts w:ascii="Arial" w:hAnsi="Arial" w:cs="Arial"/>
          <w:sz w:val="22"/>
          <w:szCs w:val="22"/>
        </w:rPr>
        <w:t xml:space="preserve">GRs and </w:t>
      </w:r>
      <w:r w:rsidR="00451955">
        <w:rPr>
          <w:rFonts w:ascii="Arial" w:hAnsi="Arial" w:cs="Arial"/>
          <w:sz w:val="22"/>
          <w:szCs w:val="22"/>
        </w:rPr>
        <w:t>a</w:t>
      </w:r>
      <w:r w:rsidR="008C7E47" w:rsidRPr="00837D06">
        <w:rPr>
          <w:rFonts w:ascii="Arial" w:hAnsi="Arial" w:cs="Arial"/>
          <w:sz w:val="22"/>
          <w:szCs w:val="22"/>
        </w:rPr>
        <w:t>ssociated TK</w:t>
      </w:r>
      <w:r w:rsidR="00F63D5F" w:rsidRPr="00837D06">
        <w:rPr>
          <w:rFonts w:ascii="Arial" w:hAnsi="Arial" w:cs="Arial"/>
          <w:sz w:val="22"/>
          <w:szCs w:val="22"/>
        </w:rPr>
        <w:t xml:space="preserve">, </w:t>
      </w:r>
      <w:r w:rsidR="008C7E47" w:rsidRPr="00837D06">
        <w:rPr>
          <w:rFonts w:ascii="Arial" w:hAnsi="Arial" w:cs="Arial"/>
          <w:sz w:val="22"/>
          <w:szCs w:val="22"/>
        </w:rPr>
        <w:t>and prevent the granting of erroneous IP/patent rights.</w:t>
      </w:r>
    </w:p>
    <w:p w14:paraId="3F936FA5" w14:textId="77777777" w:rsidR="009C0592" w:rsidRDefault="009C0592">
      <w:pPr>
        <w:rPr>
          <w:rFonts w:ascii="Arial" w:hAnsi="Arial" w:cs="Arial"/>
          <w:i/>
          <w:sz w:val="22"/>
          <w:szCs w:val="22"/>
        </w:rPr>
      </w:pPr>
    </w:p>
    <w:p w14:paraId="5027E633" w14:textId="5CEECC79" w:rsidR="00734697" w:rsidRPr="004D052F" w:rsidRDefault="004D052F" w:rsidP="00734697">
      <w:pPr>
        <w:rPr>
          <w:rFonts w:ascii="Arial" w:hAnsi="Arial" w:cs="Arial"/>
          <w:i/>
          <w:sz w:val="22"/>
          <w:szCs w:val="22"/>
        </w:rPr>
      </w:pPr>
      <w:r>
        <w:rPr>
          <w:rFonts w:ascii="Arial" w:hAnsi="Arial" w:cs="Arial"/>
          <w:i/>
          <w:sz w:val="22"/>
          <w:szCs w:val="22"/>
        </w:rPr>
        <w:t>19.</w:t>
      </w:r>
      <w:r>
        <w:rPr>
          <w:rFonts w:ascii="Arial" w:hAnsi="Arial" w:cs="Arial"/>
          <w:i/>
          <w:sz w:val="22"/>
          <w:szCs w:val="22"/>
        </w:rPr>
        <w:tab/>
      </w:r>
      <w:r w:rsidR="00734697" w:rsidRPr="004D052F">
        <w:rPr>
          <w:rFonts w:ascii="Arial" w:hAnsi="Arial" w:cs="Arial"/>
          <w:i/>
          <w:sz w:val="22"/>
          <w:szCs w:val="22"/>
        </w:rPr>
        <w:t xml:space="preserve">The key questions for </w:t>
      </w:r>
      <w:r w:rsidR="00771936">
        <w:rPr>
          <w:rFonts w:ascii="Arial" w:hAnsi="Arial" w:cs="Arial"/>
          <w:i/>
          <w:sz w:val="22"/>
          <w:szCs w:val="22"/>
        </w:rPr>
        <w:t>M</w:t>
      </w:r>
      <w:r w:rsidR="00734697" w:rsidRPr="004D052F">
        <w:rPr>
          <w:rFonts w:ascii="Arial" w:hAnsi="Arial" w:cs="Arial"/>
          <w:i/>
          <w:sz w:val="22"/>
          <w:szCs w:val="22"/>
        </w:rPr>
        <w:t xml:space="preserve">ember </w:t>
      </w:r>
      <w:r w:rsidR="00771936">
        <w:rPr>
          <w:rFonts w:ascii="Arial" w:hAnsi="Arial" w:cs="Arial"/>
          <w:i/>
          <w:sz w:val="22"/>
          <w:szCs w:val="22"/>
        </w:rPr>
        <w:t>S</w:t>
      </w:r>
      <w:r w:rsidR="00734697" w:rsidRPr="004D052F">
        <w:rPr>
          <w:rFonts w:ascii="Arial" w:hAnsi="Arial" w:cs="Arial"/>
          <w:i/>
          <w:sz w:val="22"/>
          <w:szCs w:val="22"/>
        </w:rPr>
        <w:t>tates to consider are:</w:t>
      </w:r>
    </w:p>
    <w:p w14:paraId="25B7210C" w14:textId="77777777" w:rsidR="00734697" w:rsidRPr="004D052F" w:rsidRDefault="00734697" w:rsidP="00734697">
      <w:pPr>
        <w:rPr>
          <w:rFonts w:ascii="Arial" w:hAnsi="Arial" w:cs="Arial"/>
          <w:i/>
          <w:sz w:val="22"/>
          <w:szCs w:val="22"/>
        </w:rPr>
      </w:pPr>
    </w:p>
    <w:p w14:paraId="7D7BA01F" w14:textId="37BD6E56" w:rsidR="00734697" w:rsidRPr="004D052F" w:rsidRDefault="00D443D7" w:rsidP="008911AF">
      <w:pPr>
        <w:pStyle w:val="ListParagraph"/>
        <w:numPr>
          <w:ilvl w:val="0"/>
          <w:numId w:val="28"/>
        </w:numPr>
        <w:rPr>
          <w:rFonts w:ascii="Arial" w:hAnsi="Arial" w:cs="Arial"/>
          <w:i/>
          <w:sz w:val="22"/>
          <w:szCs w:val="22"/>
        </w:rPr>
      </w:pPr>
      <w:r>
        <w:rPr>
          <w:rFonts w:ascii="Arial" w:hAnsi="Arial" w:cs="Arial"/>
          <w:i/>
          <w:sz w:val="22"/>
          <w:szCs w:val="22"/>
        </w:rPr>
        <w:t>Does objective 3</w:t>
      </w:r>
      <w:r w:rsidR="00734697" w:rsidRPr="004D052F">
        <w:rPr>
          <w:rFonts w:ascii="Arial" w:hAnsi="Arial" w:cs="Arial"/>
          <w:i/>
          <w:sz w:val="22"/>
          <w:szCs w:val="22"/>
        </w:rPr>
        <w:t xml:space="preserve"> provide sufficient specificity noting an implied relationship with objectives 1 and 2. </w:t>
      </w:r>
    </w:p>
    <w:p w14:paraId="583367AF" w14:textId="5507204D" w:rsidR="008911AF" w:rsidRDefault="00734697" w:rsidP="008911AF">
      <w:pPr>
        <w:pStyle w:val="ListParagraph"/>
        <w:numPr>
          <w:ilvl w:val="0"/>
          <w:numId w:val="28"/>
        </w:numPr>
        <w:rPr>
          <w:rFonts w:ascii="Arial" w:hAnsi="Arial" w:cs="Arial"/>
          <w:i/>
          <w:sz w:val="22"/>
          <w:szCs w:val="22"/>
        </w:rPr>
      </w:pPr>
      <w:r w:rsidRPr="004D052F">
        <w:rPr>
          <w:rFonts w:ascii="Arial" w:hAnsi="Arial" w:cs="Arial"/>
          <w:i/>
          <w:sz w:val="22"/>
          <w:szCs w:val="22"/>
        </w:rPr>
        <w:t xml:space="preserve">If </w:t>
      </w:r>
      <w:r w:rsidR="00BB6844" w:rsidRPr="004D052F">
        <w:rPr>
          <w:rFonts w:ascii="Arial" w:hAnsi="Arial" w:cs="Arial"/>
          <w:i/>
          <w:sz w:val="22"/>
          <w:szCs w:val="22"/>
        </w:rPr>
        <w:t>not,</w:t>
      </w:r>
      <w:r w:rsidRPr="004D052F">
        <w:rPr>
          <w:rFonts w:ascii="Arial" w:hAnsi="Arial" w:cs="Arial"/>
          <w:i/>
          <w:sz w:val="22"/>
          <w:szCs w:val="22"/>
        </w:rPr>
        <w:t xml:space="preserve"> </w:t>
      </w:r>
      <w:r w:rsidR="008911AF">
        <w:rPr>
          <w:rFonts w:ascii="Arial" w:hAnsi="Arial" w:cs="Arial"/>
          <w:i/>
          <w:sz w:val="22"/>
          <w:szCs w:val="22"/>
        </w:rPr>
        <w:t xml:space="preserve">would members accept the three objectives as a balanced formulation which protects the interests of all </w:t>
      </w:r>
      <w:r w:rsidR="00771936">
        <w:rPr>
          <w:rFonts w:ascii="Arial" w:hAnsi="Arial" w:cs="Arial"/>
          <w:i/>
          <w:sz w:val="22"/>
          <w:szCs w:val="22"/>
        </w:rPr>
        <w:t>M</w:t>
      </w:r>
      <w:r w:rsidR="008911AF">
        <w:rPr>
          <w:rFonts w:ascii="Arial" w:hAnsi="Arial" w:cs="Arial"/>
          <w:i/>
          <w:sz w:val="22"/>
          <w:szCs w:val="22"/>
        </w:rPr>
        <w:t xml:space="preserve">ember </w:t>
      </w:r>
      <w:r w:rsidR="00771936">
        <w:rPr>
          <w:rFonts w:ascii="Arial" w:hAnsi="Arial" w:cs="Arial"/>
          <w:i/>
          <w:sz w:val="22"/>
          <w:szCs w:val="22"/>
        </w:rPr>
        <w:t>S</w:t>
      </w:r>
      <w:r w:rsidR="008911AF">
        <w:rPr>
          <w:rFonts w:ascii="Arial" w:hAnsi="Arial" w:cs="Arial"/>
          <w:i/>
          <w:sz w:val="22"/>
          <w:szCs w:val="22"/>
        </w:rPr>
        <w:t>tates.</w:t>
      </w:r>
    </w:p>
    <w:p w14:paraId="40EA4B27" w14:textId="79E1C273" w:rsidR="00734697" w:rsidRPr="008911AF" w:rsidRDefault="008911AF" w:rsidP="008911AF">
      <w:pPr>
        <w:pStyle w:val="ListParagraph"/>
        <w:numPr>
          <w:ilvl w:val="0"/>
          <w:numId w:val="28"/>
        </w:numPr>
        <w:rPr>
          <w:rFonts w:ascii="Arial" w:hAnsi="Arial" w:cs="Arial"/>
          <w:i/>
          <w:sz w:val="22"/>
          <w:szCs w:val="22"/>
        </w:rPr>
      </w:pPr>
      <w:r w:rsidRPr="008911AF">
        <w:rPr>
          <w:rFonts w:ascii="Arial" w:hAnsi="Arial" w:cs="Arial"/>
          <w:i/>
          <w:sz w:val="22"/>
          <w:szCs w:val="22"/>
        </w:rPr>
        <w:t>If the answer to questions 1 and 2 is no</w:t>
      </w:r>
      <w:r>
        <w:rPr>
          <w:rFonts w:ascii="Arial" w:hAnsi="Arial" w:cs="Arial"/>
          <w:i/>
          <w:sz w:val="22"/>
          <w:szCs w:val="22"/>
        </w:rPr>
        <w:t>,</w:t>
      </w:r>
      <w:r w:rsidRPr="008911AF">
        <w:rPr>
          <w:rFonts w:ascii="Arial" w:hAnsi="Arial" w:cs="Arial"/>
          <w:i/>
          <w:sz w:val="22"/>
          <w:szCs w:val="22"/>
        </w:rPr>
        <w:t xml:space="preserve"> w</w:t>
      </w:r>
      <w:r w:rsidR="000223D0" w:rsidRPr="008911AF">
        <w:rPr>
          <w:rFonts w:ascii="Arial" w:hAnsi="Arial" w:cs="Arial"/>
          <w:i/>
          <w:sz w:val="22"/>
          <w:szCs w:val="22"/>
        </w:rPr>
        <w:t>hat formulation would achieve consensus</w:t>
      </w:r>
      <w:r>
        <w:rPr>
          <w:rFonts w:ascii="Arial" w:hAnsi="Arial" w:cs="Arial"/>
          <w:i/>
          <w:sz w:val="22"/>
          <w:szCs w:val="22"/>
        </w:rPr>
        <w:t xml:space="preserve">, and could the </w:t>
      </w:r>
      <w:r w:rsidR="00BB6844" w:rsidRPr="008911AF">
        <w:rPr>
          <w:rFonts w:ascii="Arial" w:hAnsi="Arial" w:cs="Arial"/>
          <w:i/>
          <w:sz w:val="22"/>
          <w:szCs w:val="22"/>
        </w:rPr>
        <w:t>preambl</w:t>
      </w:r>
      <w:r>
        <w:rPr>
          <w:rFonts w:ascii="Arial" w:hAnsi="Arial" w:cs="Arial"/>
          <w:i/>
          <w:sz w:val="22"/>
          <w:szCs w:val="22"/>
        </w:rPr>
        <w:t xml:space="preserve">e be used to address </w:t>
      </w:r>
      <w:r w:rsidR="00771936">
        <w:rPr>
          <w:rFonts w:ascii="Arial" w:hAnsi="Arial" w:cs="Arial"/>
          <w:i/>
          <w:sz w:val="22"/>
          <w:szCs w:val="22"/>
        </w:rPr>
        <w:t>M</w:t>
      </w:r>
      <w:r>
        <w:rPr>
          <w:rFonts w:ascii="Arial" w:hAnsi="Arial" w:cs="Arial"/>
          <w:i/>
          <w:sz w:val="22"/>
          <w:szCs w:val="22"/>
        </w:rPr>
        <w:t xml:space="preserve">ember </w:t>
      </w:r>
      <w:r w:rsidR="00771936">
        <w:rPr>
          <w:rFonts w:ascii="Arial" w:hAnsi="Arial" w:cs="Arial"/>
          <w:i/>
          <w:sz w:val="22"/>
          <w:szCs w:val="22"/>
        </w:rPr>
        <w:t>S</w:t>
      </w:r>
      <w:r>
        <w:rPr>
          <w:rFonts w:ascii="Arial" w:hAnsi="Arial" w:cs="Arial"/>
          <w:i/>
          <w:sz w:val="22"/>
          <w:szCs w:val="22"/>
        </w:rPr>
        <w:t>tates concerns</w:t>
      </w:r>
      <w:r w:rsidR="00BB6844" w:rsidRPr="008911AF">
        <w:rPr>
          <w:rFonts w:ascii="Arial" w:hAnsi="Arial" w:cs="Arial"/>
          <w:i/>
          <w:sz w:val="22"/>
          <w:szCs w:val="22"/>
        </w:rPr>
        <w:t xml:space="preserve">. </w:t>
      </w:r>
    </w:p>
    <w:p w14:paraId="31B83499" w14:textId="77777777" w:rsidR="008911AF" w:rsidRDefault="008911AF" w:rsidP="00903A62">
      <w:pPr>
        <w:rPr>
          <w:rFonts w:ascii="Arial" w:hAnsi="Arial" w:cs="Arial"/>
          <w:sz w:val="22"/>
          <w:szCs w:val="22"/>
        </w:rPr>
      </w:pPr>
    </w:p>
    <w:p w14:paraId="491564F4" w14:textId="2C78CF5F" w:rsidR="00FC7894" w:rsidRPr="00837D06" w:rsidRDefault="00BB6844" w:rsidP="00903A62">
      <w:pPr>
        <w:rPr>
          <w:rFonts w:ascii="Arial" w:hAnsi="Arial" w:cs="Arial"/>
          <w:i/>
          <w:sz w:val="22"/>
          <w:szCs w:val="22"/>
        </w:rPr>
      </w:pPr>
      <w:r w:rsidRPr="00837D06">
        <w:rPr>
          <w:rFonts w:ascii="Arial" w:hAnsi="Arial" w:cs="Arial"/>
          <w:i/>
          <w:sz w:val="22"/>
          <w:szCs w:val="22"/>
        </w:rPr>
        <w:t>Policy Mechanisms</w:t>
      </w:r>
    </w:p>
    <w:p w14:paraId="25B8BE38" w14:textId="77777777" w:rsidR="00903A62" w:rsidRPr="00837D06" w:rsidRDefault="00903A62" w:rsidP="00903A62">
      <w:pPr>
        <w:rPr>
          <w:rFonts w:ascii="Arial" w:hAnsi="Arial" w:cs="Arial"/>
          <w:sz w:val="22"/>
          <w:szCs w:val="22"/>
        </w:rPr>
      </w:pPr>
    </w:p>
    <w:p w14:paraId="37CE5FF4" w14:textId="3861BF97" w:rsidR="00903A62" w:rsidRPr="00837D06" w:rsidRDefault="004D052F" w:rsidP="0008589A">
      <w:pPr>
        <w:rPr>
          <w:rFonts w:ascii="Arial" w:hAnsi="Arial" w:cs="Arial"/>
          <w:sz w:val="22"/>
          <w:szCs w:val="22"/>
        </w:rPr>
      </w:pPr>
      <w:r>
        <w:rPr>
          <w:rFonts w:ascii="Arial" w:hAnsi="Arial" w:cs="Arial"/>
          <w:sz w:val="22"/>
          <w:szCs w:val="22"/>
        </w:rPr>
        <w:t>20.</w:t>
      </w:r>
      <w:r>
        <w:rPr>
          <w:rFonts w:ascii="Arial" w:hAnsi="Arial" w:cs="Arial"/>
          <w:sz w:val="22"/>
          <w:szCs w:val="22"/>
        </w:rPr>
        <w:tab/>
      </w:r>
      <w:r w:rsidR="00903A62" w:rsidRPr="00837D06">
        <w:rPr>
          <w:rFonts w:ascii="Arial" w:hAnsi="Arial" w:cs="Arial"/>
          <w:sz w:val="22"/>
          <w:szCs w:val="22"/>
        </w:rPr>
        <w:t>The consolidated document (WIPO/GRTKF/IC/</w:t>
      </w:r>
      <w:r w:rsidR="00D7428A" w:rsidRPr="00837D06">
        <w:rPr>
          <w:rFonts w:ascii="Arial" w:hAnsi="Arial" w:cs="Arial"/>
          <w:sz w:val="22"/>
          <w:szCs w:val="22"/>
        </w:rPr>
        <w:t>4</w:t>
      </w:r>
      <w:r w:rsidR="00390DA7">
        <w:rPr>
          <w:rFonts w:ascii="Arial" w:hAnsi="Arial" w:cs="Arial"/>
          <w:sz w:val="22"/>
          <w:szCs w:val="22"/>
        </w:rPr>
        <w:t>2</w:t>
      </w:r>
      <w:r w:rsidR="00D7428A" w:rsidRPr="00837D06">
        <w:rPr>
          <w:rFonts w:ascii="Arial" w:hAnsi="Arial" w:cs="Arial"/>
          <w:sz w:val="22"/>
          <w:szCs w:val="22"/>
        </w:rPr>
        <w:t>/</w:t>
      </w:r>
      <w:r w:rsidR="00451955">
        <w:rPr>
          <w:rFonts w:ascii="Arial" w:hAnsi="Arial" w:cs="Arial"/>
          <w:sz w:val="22"/>
          <w:szCs w:val="22"/>
        </w:rPr>
        <w:t>4</w:t>
      </w:r>
      <w:r w:rsidR="00903A62" w:rsidRPr="00837D06">
        <w:rPr>
          <w:rFonts w:ascii="Arial" w:hAnsi="Arial" w:cs="Arial"/>
          <w:sz w:val="22"/>
          <w:szCs w:val="22"/>
        </w:rPr>
        <w:t>) includes two broad approaches or “mechanisms” for addressing IP issues related to GRs</w:t>
      </w:r>
      <w:r w:rsidR="0021763F" w:rsidRPr="00837D06">
        <w:rPr>
          <w:rFonts w:ascii="Arial" w:hAnsi="Arial" w:cs="Arial"/>
          <w:sz w:val="22"/>
          <w:szCs w:val="22"/>
        </w:rPr>
        <w:t>:</w:t>
      </w:r>
    </w:p>
    <w:p w14:paraId="4BDCFC45" w14:textId="77777777" w:rsidR="00A55DE5" w:rsidRPr="00837D06" w:rsidRDefault="00A55DE5" w:rsidP="00A55DE5">
      <w:pPr>
        <w:rPr>
          <w:rFonts w:ascii="Arial" w:hAnsi="Arial" w:cs="Arial"/>
          <w:sz w:val="22"/>
          <w:szCs w:val="22"/>
        </w:rPr>
      </w:pPr>
    </w:p>
    <w:p w14:paraId="7FB4E307" w14:textId="4472D408" w:rsidR="0021763F" w:rsidRPr="00837D06" w:rsidRDefault="0021763F" w:rsidP="0021763F">
      <w:pPr>
        <w:pStyle w:val="ListParagraph"/>
        <w:numPr>
          <w:ilvl w:val="0"/>
          <w:numId w:val="23"/>
        </w:numPr>
        <w:rPr>
          <w:rFonts w:ascii="Arial" w:hAnsi="Arial" w:cs="Arial"/>
          <w:sz w:val="22"/>
          <w:szCs w:val="22"/>
        </w:rPr>
      </w:pPr>
      <w:r w:rsidRPr="00837D06">
        <w:rPr>
          <w:rFonts w:ascii="Arial" w:hAnsi="Arial" w:cs="Arial"/>
          <w:b/>
          <w:sz w:val="22"/>
          <w:szCs w:val="22"/>
        </w:rPr>
        <w:t xml:space="preserve">Defensive Measures.  </w:t>
      </w:r>
      <w:r w:rsidRPr="00837D06">
        <w:rPr>
          <w:rFonts w:ascii="Arial" w:hAnsi="Arial" w:cs="Arial"/>
          <w:sz w:val="22"/>
          <w:szCs w:val="22"/>
        </w:rPr>
        <w:t xml:space="preserve">This approach incorporates defensive measures such as databases, voluntary codes and guidelines for IP/patent offices, third party dispute mechanisms and due diligence regimes within patent offices under national laws to ensure compliance with relevant </w:t>
      </w:r>
      <w:r w:rsidR="00344304">
        <w:rPr>
          <w:rFonts w:ascii="Arial" w:hAnsi="Arial" w:cs="Arial"/>
          <w:sz w:val="22"/>
          <w:szCs w:val="22"/>
        </w:rPr>
        <w:t xml:space="preserve">ABS </w:t>
      </w:r>
      <w:r w:rsidRPr="00837D06">
        <w:rPr>
          <w:rFonts w:ascii="Arial" w:hAnsi="Arial" w:cs="Arial"/>
          <w:sz w:val="22"/>
          <w:szCs w:val="22"/>
        </w:rPr>
        <w:t>regimes.</w:t>
      </w:r>
      <w:r w:rsidR="004D052F">
        <w:rPr>
          <w:rFonts w:ascii="Arial" w:hAnsi="Arial" w:cs="Arial"/>
          <w:sz w:val="22"/>
          <w:szCs w:val="22"/>
        </w:rPr>
        <w:t xml:space="preserve"> </w:t>
      </w:r>
      <w:r w:rsidRPr="00837D06">
        <w:rPr>
          <w:rFonts w:ascii="Arial" w:hAnsi="Arial" w:cs="Arial"/>
          <w:sz w:val="22"/>
          <w:szCs w:val="22"/>
        </w:rPr>
        <w:br/>
      </w:r>
    </w:p>
    <w:p w14:paraId="02602E1A" w14:textId="1C556451" w:rsidR="0021763F" w:rsidRPr="00837D06" w:rsidRDefault="00A55DE5" w:rsidP="0021763F">
      <w:pPr>
        <w:pStyle w:val="ListParagraph"/>
        <w:numPr>
          <w:ilvl w:val="0"/>
          <w:numId w:val="23"/>
        </w:numPr>
        <w:rPr>
          <w:rFonts w:ascii="Arial" w:hAnsi="Arial" w:cs="Arial"/>
          <w:sz w:val="22"/>
          <w:szCs w:val="22"/>
        </w:rPr>
      </w:pPr>
      <w:r w:rsidRPr="00837D06">
        <w:rPr>
          <w:rFonts w:ascii="Arial" w:hAnsi="Arial" w:cs="Arial"/>
          <w:b/>
          <w:sz w:val="22"/>
          <w:szCs w:val="22"/>
        </w:rPr>
        <w:t xml:space="preserve">Disclosure Requirement. </w:t>
      </w:r>
      <w:r w:rsidRPr="00837D06">
        <w:rPr>
          <w:rFonts w:ascii="Arial" w:hAnsi="Arial" w:cs="Arial"/>
          <w:sz w:val="22"/>
          <w:szCs w:val="22"/>
        </w:rPr>
        <w:t>Inclusion of</w:t>
      </w:r>
      <w:r w:rsidRPr="00837D06">
        <w:rPr>
          <w:rFonts w:ascii="Arial" w:hAnsi="Arial" w:cs="Arial"/>
          <w:b/>
          <w:sz w:val="22"/>
          <w:szCs w:val="22"/>
        </w:rPr>
        <w:t xml:space="preserve"> </w:t>
      </w:r>
      <w:r w:rsidRPr="00837D06">
        <w:rPr>
          <w:rFonts w:ascii="Arial" w:hAnsi="Arial" w:cs="Arial"/>
          <w:sz w:val="22"/>
          <w:szCs w:val="22"/>
        </w:rPr>
        <w:t>a</w:t>
      </w:r>
      <w:r w:rsidRPr="00837D06">
        <w:rPr>
          <w:rFonts w:ascii="Arial" w:hAnsi="Arial" w:cs="Arial"/>
          <w:b/>
          <w:sz w:val="22"/>
          <w:szCs w:val="22"/>
        </w:rPr>
        <w:t xml:space="preserve"> </w:t>
      </w:r>
      <w:r w:rsidRPr="00837D06">
        <w:rPr>
          <w:rFonts w:ascii="Arial" w:hAnsi="Arial" w:cs="Arial"/>
          <w:sz w:val="22"/>
          <w:szCs w:val="22"/>
        </w:rPr>
        <w:t xml:space="preserve">mandatory disclosure requirement within IP/patent legislation relating to the disclosure of information (for example, information about the country of origin or source of GRs and associated TK) in applications, where the subject matter/claimed invention is materially or directly based on GRs and associated TK. Within this approach, defensive measures (below) are </w:t>
      </w:r>
      <w:r w:rsidRPr="00837D06">
        <w:rPr>
          <w:rFonts w:ascii="Arial" w:hAnsi="Arial" w:cs="Arial"/>
          <w:sz w:val="22"/>
          <w:szCs w:val="22"/>
        </w:rPr>
        <w:lastRenderedPageBreak/>
        <w:t>considered complementary to a disclosure requirement not as an alternative approach to addressing the policy objectives.</w:t>
      </w:r>
      <w:r w:rsidRPr="00837D06">
        <w:rPr>
          <w:rFonts w:ascii="Arial" w:hAnsi="Arial" w:cs="Arial"/>
          <w:sz w:val="22"/>
          <w:szCs w:val="22"/>
        </w:rPr>
        <w:br/>
      </w:r>
    </w:p>
    <w:p w14:paraId="242B3120" w14:textId="08E9F0D1" w:rsidR="007D19AA" w:rsidRPr="00837D06" w:rsidRDefault="007D19AA" w:rsidP="007D19AA">
      <w:pPr>
        <w:rPr>
          <w:rFonts w:ascii="Arial" w:hAnsi="Arial" w:cs="Arial"/>
          <w:i/>
          <w:sz w:val="22"/>
          <w:szCs w:val="22"/>
        </w:rPr>
      </w:pPr>
      <w:r w:rsidRPr="00837D06">
        <w:rPr>
          <w:rFonts w:ascii="Arial" w:hAnsi="Arial" w:cs="Arial"/>
          <w:i/>
          <w:sz w:val="22"/>
          <w:szCs w:val="22"/>
        </w:rPr>
        <w:t>Defensive Measures</w:t>
      </w:r>
    </w:p>
    <w:p w14:paraId="3DF22AF7" w14:textId="0E67233F" w:rsidR="007D19AA" w:rsidRPr="00837D06" w:rsidRDefault="007D19AA" w:rsidP="007D19AA">
      <w:pPr>
        <w:rPr>
          <w:rFonts w:ascii="Arial" w:hAnsi="Arial" w:cs="Arial"/>
          <w:i/>
          <w:sz w:val="22"/>
          <w:szCs w:val="22"/>
        </w:rPr>
      </w:pPr>
    </w:p>
    <w:p w14:paraId="456ADD05" w14:textId="4B05219B" w:rsidR="007D19AA" w:rsidRPr="00837D06" w:rsidRDefault="004D052F" w:rsidP="007D19AA">
      <w:pPr>
        <w:rPr>
          <w:rFonts w:ascii="Arial" w:hAnsi="Arial" w:cs="Arial"/>
          <w:sz w:val="22"/>
          <w:szCs w:val="22"/>
        </w:rPr>
      </w:pPr>
      <w:r>
        <w:rPr>
          <w:rFonts w:ascii="Arial" w:hAnsi="Arial" w:cs="Arial"/>
          <w:sz w:val="22"/>
          <w:szCs w:val="22"/>
        </w:rPr>
        <w:t>21.</w:t>
      </w:r>
      <w:r>
        <w:rPr>
          <w:rFonts w:ascii="Arial" w:hAnsi="Arial" w:cs="Arial"/>
          <w:sz w:val="22"/>
          <w:szCs w:val="22"/>
        </w:rPr>
        <w:tab/>
      </w:r>
      <w:r w:rsidR="007D19AA" w:rsidRPr="00837D06">
        <w:rPr>
          <w:rFonts w:ascii="Arial" w:hAnsi="Arial" w:cs="Arial"/>
          <w:sz w:val="22"/>
          <w:szCs w:val="22"/>
        </w:rPr>
        <w:t xml:space="preserve">In relation to </w:t>
      </w:r>
      <w:r w:rsidR="007D19AA" w:rsidRPr="00837D06">
        <w:rPr>
          <w:rFonts w:ascii="Arial" w:hAnsi="Arial" w:cs="Arial"/>
          <w:b/>
          <w:sz w:val="22"/>
          <w:szCs w:val="22"/>
        </w:rPr>
        <w:t>defensive</w:t>
      </w:r>
      <w:r w:rsidR="007D19AA" w:rsidRPr="00837D06">
        <w:rPr>
          <w:rFonts w:ascii="Arial" w:hAnsi="Arial" w:cs="Arial"/>
          <w:sz w:val="22"/>
          <w:szCs w:val="22"/>
        </w:rPr>
        <w:t xml:space="preserve"> </w:t>
      </w:r>
      <w:r w:rsidR="007D19AA" w:rsidRPr="00837D06">
        <w:rPr>
          <w:rFonts w:ascii="Arial" w:hAnsi="Arial" w:cs="Arial"/>
          <w:b/>
          <w:sz w:val="22"/>
          <w:szCs w:val="22"/>
        </w:rPr>
        <w:t>measures</w:t>
      </w:r>
      <w:r w:rsidR="007D19AA" w:rsidRPr="00837D06">
        <w:rPr>
          <w:rFonts w:ascii="Arial" w:hAnsi="Arial" w:cs="Arial"/>
          <w:sz w:val="22"/>
          <w:szCs w:val="22"/>
        </w:rPr>
        <w:t xml:space="preserve"> identified in the consolidated document and within the Joint Recommendations, it is noted that some Member States are of the view that </w:t>
      </w:r>
      <w:r w:rsidR="00945BB3">
        <w:rPr>
          <w:rFonts w:ascii="Arial" w:hAnsi="Arial" w:cs="Arial"/>
          <w:sz w:val="22"/>
          <w:szCs w:val="22"/>
        </w:rPr>
        <w:t>these</w:t>
      </w:r>
      <w:r w:rsidR="00945BB3" w:rsidRPr="00837D06">
        <w:rPr>
          <w:rFonts w:ascii="Arial" w:hAnsi="Arial" w:cs="Arial"/>
          <w:sz w:val="22"/>
          <w:szCs w:val="22"/>
        </w:rPr>
        <w:t xml:space="preserve"> </w:t>
      </w:r>
      <w:r w:rsidR="007D19AA" w:rsidRPr="00837D06">
        <w:rPr>
          <w:rFonts w:ascii="Arial" w:hAnsi="Arial" w:cs="Arial"/>
          <w:sz w:val="22"/>
          <w:szCs w:val="22"/>
        </w:rPr>
        <w:t xml:space="preserve">measures only, without any additional disclosure requirements, would be the best way to achieve the desired objectives, while other Member States believe that disclosure requirements could be complemented by </w:t>
      </w:r>
      <w:r w:rsidR="00945BB3">
        <w:rPr>
          <w:rFonts w:ascii="Arial" w:hAnsi="Arial" w:cs="Arial"/>
          <w:sz w:val="22"/>
          <w:szCs w:val="22"/>
        </w:rPr>
        <w:t>these</w:t>
      </w:r>
      <w:r w:rsidR="00945BB3" w:rsidRPr="00837D06">
        <w:rPr>
          <w:rFonts w:ascii="Arial" w:hAnsi="Arial" w:cs="Arial"/>
          <w:sz w:val="22"/>
          <w:szCs w:val="22"/>
        </w:rPr>
        <w:t xml:space="preserve"> </w:t>
      </w:r>
      <w:r w:rsidR="007D19AA" w:rsidRPr="00837D06">
        <w:rPr>
          <w:rFonts w:ascii="Arial" w:hAnsi="Arial" w:cs="Arial"/>
          <w:sz w:val="22"/>
          <w:szCs w:val="22"/>
        </w:rPr>
        <w:t>measures.  Against this backdrop, Member States may wish to discuss and consider further, the nature and need for the establishment of international norms relating to:</w:t>
      </w:r>
    </w:p>
    <w:p w14:paraId="2FADEA00" w14:textId="77777777" w:rsidR="007D19AA" w:rsidRPr="00837D06" w:rsidRDefault="007D19AA" w:rsidP="007D19AA">
      <w:pPr>
        <w:rPr>
          <w:rFonts w:ascii="Arial" w:hAnsi="Arial" w:cs="Arial"/>
          <w:sz w:val="22"/>
          <w:szCs w:val="22"/>
        </w:rPr>
      </w:pPr>
    </w:p>
    <w:p w14:paraId="3DF6CC08" w14:textId="77777777" w:rsidR="007D19AA" w:rsidRPr="00837D06" w:rsidRDefault="007D19AA" w:rsidP="007D19AA">
      <w:pPr>
        <w:pStyle w:val="ListParagraph"/>
        <w:numPr>
          <w:ilvl w:val="0"/>
          <w:numId w:val="22"/>
        </w:numPr>
        <w:rPr>
          <w:rFonts w:ascii="Arial" w:hAnsi="Arial" w:cs="Arial"/>
          <w:sz w:val="22"/>
          <w:szCs w:val="22"/>
        </w:rPr>
      </w:pPr>
      <w:r w:rsidRPr="00837D06">
        <w:rPr>
          <w:rFonts w:ascii="Arial" w:hAnsi="Arial" w:cs="Arial"/>
          <w:b/>
          <w:sz w:val="22"/>
          <w:szCs w:val="22"/>
        </w:rPr>
        <w:t>due diligence</w:t>
      </w:r>
      <w:r w:rsidRPr="00837D06">
        <w:rPr>
          <w:rFonts w:ascii="Arial" w:hAnsi="Arial" w:cs="Arial"/>
          <w:sz w:val="22"/>
          <w:szCs w:val="22"/>
        </w:rPr>
        <w:t xml:space="preserve"> </w:t>
      </w:r>
      <w:r w:rsidRPr="00837D06">
        <w:rPr>
          <w:rFonts w:ascii="Arial" w:hAnsi="Arial" w:cs="Arial"/>
          <w:b/>
          <w:sz w:val="22"/>
          <w:szCs w:val="22"/>
        </w:rPr>
        <w:t>measures</w:t>
      </w:r>
      <w:r w:rsidRPr="00837D06">
        <w:rPr>
          <w:rFonts w:ascii="Arial" w:hAnsi="Arial" w:cs="Arial"/>
          <w:sz w:val="22"/>
          <w:szCs w:val="22"/>
        </w:rPr>
        <w:t xml:space="preserve"> to ascertain the access to GRs in accordance with applicable access and benefit-sharing legislations;</w:t>
      </w:r>
    </w:p>
    <w:p w14:paraId="3FFE1411" w14:textId="77777777" w:rsidR="007D19AA" w:rsidRPr="00837D06" w:rsidRDefault="007D19AA" w:rsidP="007D19AA">
      <w:pPr>
        <w:pStyle w:val="ListParagraph"/>
        <w:numPr>
          <w:ilvl w:val="0"/>
          <w:numId w:val="22"/>
        </w:numPr>
        <w:rPr>
          <w:rFonts w:ascii="Arial" w:hAnsi="Arial" w:cs="Arial"/>
          <w:sz w:val="22"/>
          <w:szCs w:val="22"/>
        </w:rPr>
      </w:pPr>
      <w:r w:rsidRPr="00837D06">
        <w:rPr>
          <w:rFonts w:ascii="Arial" w:hAnsi="Arial" w:cs="Arial"/>
          <w:b/>
          <w:sz w:val="22"/>
          <w:szCs w:val="22"/>
        </w:rPr>
        <w:t xml:space="preserve">administrative measures </w:t>
      </w:r>
      <w:r w:rsidRPr="00837D06">
        <w:rPr>
          <w:rFonts w:ascii="Arial" w:hAnsi="Arial" w:cs="Arial"/>
          <w:sz w:val="22"/>
          <w:szCs w:val="22"/>
        </w:rPr>
        <w:t>to prevent patents from being granted erroneously with regard to claimed inventions based on or developed using GRs;</w:t>
      </w:r>
    </w:p>
    <w:p w14:paraId="11549CC1" w14:textId="77777777" w:rsidR="007D19AA" w:rsidRPr="00837D06" w:rsidRDefault="007D19AA" w:rsidP="007D19AA">
      <w:pPr>
        <w:pStyle w:val="ListParagraph"/>
        <w:numPr>
          <w:ilvl w:val="0"/>
          <w:numId w:val="22"/>
        </w:numPr>
        <w:rPr>
          <w:rFonts w:ascii="Arial" w:hAnsi="Arial" w:cs="Arial"/>
          <w:sz w:val="22"/>
          <w:szCs w:val="22"/>
        </w:rPr>
      </w:pPr>
      <w:r w:rsidRPr="00837D06">
        <w:rPr>
          <w:rFonts w:ascii="Arial" w:hAnsi="Arial" w:cs="Arial"/>
          <w:b/>
          <w:sz w:val="22"/>
          <w:szCs w:val="22"/>
        </w:rPr>
        <w:t xml:space="preserve">administrative measures </w:t>
      </w:r>
      <w:r w:rsidRPr="00837D06">
        <w:rPr>
          <w:rFonts w:ascii="Arial" w:hAnsi="Arial" w:cs="Arial"/>
          <w:sz w:val="22"/>
          <w:szCs w:val="22"/>
        </w:rPr>
        <w:t>to allow third parties to dispute the validity of a patent relating to GRs;  and</w:t>
      </w:r>
    </w:p>
    <w:p w14:paraId="760E6403" w14:textId="77777777" w:rsidR="007D19AA" w:rsidRPr="00837D06" w:rsidRDefault="007D19AA" w:rsidP="007D19AA">
      <w:pPr>
        <w:pStyle w:val="ListParagraph"/>
        <w:numPr>
          <w:ilvl w:val="0"/>
          <w:numId w:val="22"/>
        </w:numPr>
        <w:rPr>
          <w:rFonts w:ascii="Arial" w:hAnsi="Arial" w:cs="Arial"/>
          <w:sz w:val="22"/>
          <w:szCs w:val="22"/>
        </w:rPr>
      </w:pPr>
      <w:r w:rsidRPr="00837D06">
        <w:rPr>
          <w:rFonts w:ascii="Arial" w:hAnsi="Arial" w:cs="Arial"/>
          <w:b/>
          <w:sz w:val="22"/>
          <w:szCs w:val="22"/>
        </w:rPr>
        <w:t>voluntary codes of conduct and guidelines</w:t>
      </w:r>
      <w:r w:rsidRPr="00837D06">
        <w:rPr>
          <w:rFonts w:ascii="Arial" w:hAnsi="Arial" w:cs="Arial"/>
          <w:sz w:val="22"/>
          <w:szCs w:val="22"/>
        </w:rPr>
        <w:t xml:space="preserve"> for users regarding the use of GRs.  </w:t>
      </w:r>
    </w:p>
    <w:p w14:paraId="211FC75F" w14:textId="77777777" w:rsidR="007D19AA" w:rsidRPr="00837D06" w:rsidRDefault="007D19AA" w:rsidP="007D19AA">
      <w:pPr>
        <w:spacing w:line="276" w:lineRule="auto"/>
        <w:rPr>
          <w:rFonts w:ascii="Arial" w:hAnsi="Arial" w:cs="Arial"/>
          <w:sz w:val="22"/>
          <w:szCs w:val="22"/>
        </w:rPr>
      </w:pPr>
    </w:p>
    <w:p w14:paraId="5B3039CA" w14:textId="0C7C532F" w:rsidR="007D19AA" w:rsidRPr="00837D06" w:rsidRDefault="004D052F" w:rsidP="007D19AA">
      <w:pPr>
        <w:rPr>
          <w:rFonts w:ascii="Arial" w:hAnsi="Arial" w:cs="Arial"/>
          <w:sz w:val="22"/>
          <w:szCs w:val="22"/>
        </w:rPr>
      </w:pPr>
      <w:r>
        <w:rPr>
          <w:rFonts w:ascii="Arial" w:hAnsi="Arial" w:cs="Arial"/>
          <w:sz w:val="22"/>
          <w:szCs w:val="22"/>
        </w:rPr>
        <w:t>22.</w:t>
      </w:r>
      <w:r>
        <w:rPr>
          <w:rFonts w:ascii="Arial" w:hAnsi="Arial" w:cs="Arial"/>
          <w:sz w:val="22"/>
          <w:szCs w:val="22"/>
        </w:rPr>
        <w:tab/>
      </w:r>
      <w:r w:rsidR="007D19AA" w:rsidRPr="00837D06">
        <w:rPr>
          <w:rFonts w:ascii="Arial" w:hAnsi="Arial" w:cs="Arial"/>
          <w:sz w:val="22"/>
          <w:szCs w:val="22"/>
        </w:rPr>
        <w:t xml:space="preserve">There seems to be a broad view among Member States that </w:t>
      </w:r>
      <w:r w:rsidR="007D19AA" w:rsidRPr="00837D06">
        <w:rPr>
          <w:rFonts w:ascii="Arial" w:hAnsi="Arial" w:cs="Arial"/>
          <w:b/>
          <w:sz w:val="22"/>
          <w:szCs w:val="22"/>
        </w:rPr>
        <w:t>databases</w:t>
      </w:r>
      <w:r w:rsidR="007D19AA" w:rsidRPr="00837D06">
        <w:rPr>
          <w:rFonts w:ascii="Arial" w:hAnsi="Arial" w:cs="Arial"/>
          <w:sz w:val="22"/>
          <w:szCs w:val="22"/>
        </w:rPr>
        <w:t xml:space="preserve">, whatever the approach </w:t>
      </w:r>
      <w:r w:rsidR="00ED2E77">
        <w:rPr>
          <w:rFonts w:ascii="Arial" w:hAnsi="Arial" w:cs="Arial"/>
          <w:sz w:val="22"/>
          <w:szCs w:val="22"/>
        </w:rPr>
        <w:t xml:space="preserve">or combination of approaches, </w:t>
      </w:r>
      <w:r w:rsidR="007D19AA" w:rsidRPr="00837D06">
        <w:rPr>
          <w:rFonts w:ascii="Arial" w:hAnsi="Arial" w:cs="Arial"/>
          <w:sz w:val="22"/>
          <w:szCs w:val="22"/>
        </w:rPr>
        <w:t xml:space="preserve">have a key role to play in relation to the IP/patent system and </w:t>
      </w:r>
      <w:r>
        <w:rPr>
          <w:rFonts w:ascii="Arial" w:hAnsi="Arial" w:cs="Arial"/>
          <w:sz w:val="22"/>
          <w:szCs w:val="22"/>
        </w:rPr>
        <w:t xml:space="preserve">the protection of </w:t>
      </w:r>
      <w:r w:rsidR="007D19AA" w:rsidRPr="00837D06">
        <w:rPr>
          <w:rFonts w:ascii="Arial" w:hAnsi="Arial" w:cs="Arial"/>
          <w:sz w:val="22"/>
          <w:szCs w:val="22"/>
        </w:rPr>
        <w:t xml:space="preserve">GRs.  </w:t>
      </w:r>
      <w:r w:rsidR="00ED2E77">
        <w:rPr>
          <w:rFonts w:ascii="Arial" w:hAnsi="Arial" w:cs="Arial"/>
          <w:sz w:val="22"/>
          <w:szCs w:val="22"/>
        </w:rPr>
        <w:t xml:space="preserve">As such, </w:t>
      </w:r>
      <w:r w:rsidR="007D19AA" w:rsidRPr="00837D06">
        <w:rPr>
          <w:rFonts w:ascii="Arial" w:hAnsi="Arial" w:cs="Arial"/>
          <w:sz w:val="22"/>
          <w:szCs w:val="22"/>
        </w:rPr>
        <w:t xml:space="preserve">Member States may wish to consider </w:t>
      </w:r>
      <w:r>
        <w:rPr>
          <w:rFonts w:ascii="Arial" w:hAnsi="Arial" w:cs="Arial"/>
          <w:sz w:val="22"/>
          <w:szCs w:val="22"/>
        </w:rPr>
        <w:t>what international standards and</w:t>
      </w:r>
      <w:r w:rsidR="007D19AA" w:rsidRPr="00837D06">
        <w:rPr>
          <w:rFonts w:ascii="Arial" w:hAnsi="Arial" w:cs="Arial"/>
          <w:sz w:val="22"/>
          <w:szCs w:val="22"/>
        </w:rPr>
        <w:t xml:space="preserve"> safeguards are needed relating to databases of information related to GRs.  If the instrument also applies to TK associated with GRs, what kind of additional safeguards might be needed for TK that is widely held and/or publicly available?</w:t>
      </w:r>
    </w:p>
    <w:p w14:paraId="25BFCF60" w14:textId="34A3BE80" w:rsidR="007D19AA" w:rsidRPr="00837D06" w:rsidRDefault="007D19AA" w:rsidP="007D19AA">
      <w:pPr>
        <w:rPr>
          <w:rFonts w:ascii="Arial" w:hAnsi="Arial" w:cs="Arial"/>
          <w:i/>
          <w:sz w:val="22"/>
          <w:szCs w:val="22"/>
        </w:rPr>
      </w:pPr>
    </w:p>
    <w:p w14:paraId="08D00D38" w14:textId="40F59A99" w:rsidR="007D19AA" w:rsidRPr="00837D06" w:rsidRDefault="004D052F" w:rsidP="007D19AA">
      <w:pPr>
        <w:rPr>
          <w:rFonts w:ascii="Arial" w:hAnsi="Arial" w:cs="Arial"/>
          <w:sz w:val="22"/>
          <w:szCs w:val="22"/>
        </w:rPr>
      </w:pPr>
      <w:r>
        <w:rPr>
          <w:rFonts w:ascii="Arial" w:hAnsi="Arial" w:cs="Arial"/>
          <w:sz w:val="22"/>
          <w:szCs w:val="22"/>
        </w:rPr>
        <w:t>23.</w:t>
      </w:r>
      <w:r>
        <w:rPr>
          <w:rFonts w:ascii="Arial" w:hAnsi="Arial" w:cs="Arial"/>
          <w:sz w:val="22"/>
          <w:szCs w:val="22"/>
        </w:rPr>
        <w:tab/>
      </w:r>
      <w:r w:rsidR="00EE7AB1" w:rsidRPr="00837D06">
        <w:rPr>
          <w:rFonts w:ascii="Arial" w:hAnsi="Arial" w:cs="Arial"/>
          <w:sz w:val="22"/>
          <w:szCs w:val="22"/>
        </w:rPr>
        <w:t>Notwithstanding a current lack of agreement on a disclosure requirement, f</w:t>
      </w:r>
      <w:r w:rsidR="007D19AA" w:rsidRPr="00837D06">
        <w:rPr>
          <w:rFonts w:ascii="Arial" w:hAnsi="Arial" w:cs="Arial"/>
          <w:sz w:val="22"/>
          <w:szCs w:val="22"/>
        </w:rPr>
        <w:t xml:space="preserve">rom my perspective </w:t>
      </w:r>
      <w:r w:rsidR="007D19AA" w:rsidRPr="008911AF">
        <w:rPr>
          <w:rFonts w:ascii="Arial" w:hAnsi="Arial" w:cs="Arial"/>
          <w:sz w:val="22"/>
          <w:szCs w:val="22"/>
        </w:rPr>
        <w:t xml:space="preserve">it would be useful to identify which </w:t>
      </w:r>
      <w:r w:rsidR="00945BB3">
        <w:rPr>
          <w:rFonts w:ascii="Arial" w:hAnsi="Arial" w:cs="Arial"/>
          <w:sz w:val="22"/>
          <w:szCs w:val="22"/>
        </w:rPr>
        <w:t>of these</w:t>
      </w:r>
      <w:r w:rsidR="00945BB3" w:rsidRPr="008911AF">
        <w:rPr>
          <w:rFonts w:ascii="Arial" w:hAnsi="Arial" w:cs="Arial"/>
          <w:sz w:val="22"/>
          <w:szCs w:val="22"/>
        </w:rPr>
        <w:t xml:space="preserve"> </w:t>
      </w:r>
      <w:r w:rsidR="007D19AA" w:rsidRPr="008911AF">
        <w:rPr>
          <w:rFonts w:ascii="Arial" w:hAnsi="Arial" w:cs="Arial"/>
          <w:sz w:val="22"/>
          <w:szCs w:val="22"/>
        </w:rPr>
        <w:t>measures</w:t>
      </w:r>
      <w:r w:rsidR="00EE7AB1" w:rsidRPr="008911AF">
        <w:rPr>
          <w:rFonts w:ascii="Arial" w:hAnsi="Arial" w:cs="Arial"/>
          <w:sz w:val="22"/>
          <w:szCs w:val="22"/>
        </w:rPr>
        <w:t xml:space="preserve"> the </w:t>
      </w:r>
      <w:r w:rsidR="00945BB3">
        <w:rPr>
          <w:rFonts w:ascii="Arial" w:hAnsi="Arial" w:cs="Arial"/>
          <w:sz w:val="22"/>
          <w:szCs w:val="22"/>
        </w:rPr>
        <w:t>IGC</w:t>
      </w:r>
      <w:r w:rsidR="00945BB3" w:rsidRPr="008911AF">
        <w:rPr>
          <w:rFonts w:ascii="Arial" w:hAnsi="Arial" w:cs="Arial"/>
          <w:sz w:val="22"/>
          <w:szCs w:val="22"/>
        </w:rPr>
        <w:t xml:space="preserve"> </w:t>
      </w:r>
      <w:r w:rsidR="00EE7AB1" w:rsidRPr="008911AF">
        <w:rPr>
          <w:rFonts w:ascii="Arial" w:hAnsi="Arial" w:cs="Arial"/>
          <w:sz w:val="22"/>
          <w:szCs w:val="22"/>
        </w:rPr>
        <w:t>believes there is merit in establishing international standards/norms for e.g. databases.</w:t>
      </w:r>
      <w:r w:rsidR="00EE7AB1" w:rsidRPr="00837D06">
        <w:rPr>
          <w:rFonts w:ascii="Arial" w:hAnsi="Arial" w:cs="Arial"/>
          <w:sz w:val="22"/>
          <w:szCs w:val="22"/>
        </w:rPr>
        <w:t xml:space="preserve"> This perhaps would enable further consideration of these measures to be undertaken by the secretariat or a separate working group with recommendations brought </w:t>
      </w:r>
      <w:r>
        <w:rPr>
          <w:rFonts w:ascii="Arial" w:hAnsi="Arial" w:cs="Arial"/>
          <w:sz w:val="22"/>
          <w:szCs w:val="22"/>
        </w:rPr>
        <w:t>forward</w:t>
      </w:r>
      <w:r w:rsidR="00EE7AB1" w:rsidRPr="00837D06">
        <w:rPr>
          <w:rFonts w:ascii="Arial" w:hAnsi="Arial" w:cs="Arial"/>
          <w:sz w:val="22"/>
          <w:szCs w:val="22"/>
        </w:rPr>
        <w:t xml:space="preserve"> to the committee. </w:t>
      </w:r>
    </w:p>
    <w:p w14:paraId="6267A717" w14:textId="77777777" w:rsidR="007D19AA" w:rsidRPr="00837D06" w:rsidRDefault="007D19AA" w:rsidP="007D19AA">
      <w:pPr>
        <w:rPr>
          <w:rFonts w:ascii="Arial" w:hAnsi="Arial" w:cs="Arial"/>
          <w:sz w:val="22"/>
          <w:szCs w:val="22"/>
        </w:rPr>
      </w:pPr>
    </w:p>
    <w:p w14:paraId="6B12674A" w14:textId="647F84BF" w:rsidR="00837D06" w:rsidRPr="00837D06" w:rsidRDefault="00837D06" w:rsidP="007D19AA">
      <w:pPr>
        <w:rPr>
          <w:rFonts w:ascii="Arial" w:hAnsi="Arial" w:cs="Arial"/>
          <w:i/>
          <w:sz w:val="22"/>
          <w:szCs w:val="22"/>
        </w:rPr>
      </w:pPr>
      <w:r w:rsidRPr="00837D06">
        <w:rPr>
          <w:rFonts w:ascii="Arial" w:hAnsi="Arial" w:cs="Arial"/>
          <w:i/>
          <w:sz w:val="22"/>
          <w:szCs w:val="22"/>
        </w:rPr>
        <w:t>Disclosure Requirement</w:t>
      </w:r>
    </w:p>
    <w:p w14:paraId="02968756" w14:textId="77777777" w:rsidR="00837D06" w:rsidRPr="00837D06" w:rsidRDefault="00837D06" w:rsidP="007D19AA">
      <w:pPr>
        <w:rPr>
          <w:rFonts w:ascii="Arial" w:hAnsi="Arial" w:cs="Arial"/>
          <w:sz w:val="22"/>
          <w:szCs w:val="22"/>
        </w:rPr>
      </w:pPr>
    </w:p>
    <w:p w14:paraId="2A6A645A" w14:textId="6E5EC47A" w:rsidR="00A55DE5" w:rsidRPr="00837D06" w:rsidRDefault="004D052F" w:rsidP="00A55DE5">
      <w:pPr>
        <w:rPr>
          <w:rFonts w:ascii="Arial" w:hAnsi="Arial" w:cs="Arial"/>
          <w:sz w:val="22"/>
          <w:szCs w:val="22"/>
        </w:rPr>
      </w:pPr>
      <w:r>
        <w:rPr>
          <w:rFonts w:ascii="Arial" w:hAnsi="Arial" w:cs="Arial"/>
          <w:sz w:val="22"/>
          <w:szCs w:val="22"/>
        </w:rPr>
        <w:t>24.</w:t>
      </w:r>
      <w:r>
        <w:rPr>
          <w:rFonts w:ascii="Arial" w:hAnsi="Arial" w:cs="Arial"/>
          <w:sz w:val="22"/>
          <w:szCs w:val="22"/>
        </w:rPr>
        <w:tab/>
      </w:r>
      <w:r w:rsidR="00A55DE5" w:rsidRPr="00837D06">
        <w:rPr>
          <w:rFonts w:ascii="Arial" w:hAnsi="Arial" w:cs="Arial"/>
          <w:sz w:val="22"/>
          <w:szCs w:val="22"/>
        </w:rPr>
        <w:t xml:space="preserve">In relation to a disclosure requirement, the approach has been significantly refined </w:t>
      </w:r>
      <w:r w:rsidR="0050768D">
        <w:rPr>
          <w:rFonts w:ascii="Arial" w:hAnsi="Arial" w:cs="Arial"/>
          <w:sz w:val="22"/>
          <w:szCs w:val="22"/>
        </w:rPr>
        <w:t xml:space="preserve">over the period of the negotiations </w:t>
      </w:r>
      <w:r w:rsidR="00A55DE5" w:rsidRPr="00837D06">
        <w:rPr>
          <w:rFonts w:ascii="Arial" w:hAnsi="Arial" w:cs="Arial"/>
          <w:sz w:val="22"/>
          <w:szCs w:val="22"/>
        </w:rPr>
        <w:t>with the inclusion of an administrative mechanism option focused on ensuring transparency within the IP/patent system rather than a regime based around a substantive patentability requirement.</w:t>
      </w:r>
      <w:r w:rsidR="00BA2F4A">
        <w:rPr>
          <w:rFonts w:ascii="Arial" w:hAnsi="Arial" w:cs="Arial"/>
          <w:sz w:val="22"/>
          <w:szCs w:val="22"/>
        </w:rPr>
        <w:t xml:space="preserve"> </w:t>
      </w:r>
      <w:r w:rsidR="00A55DE5" w:rsidRPr="00837D06">
        <w:rPr>
          <w:rFonts w:ascii="Arial" w:hAnsi="Arial" w:cs="Arial"/>
          <w:sz w:val="22"/>
          <w:szCs w:val="22"/>
        </w:rPr>
        <w:t xml:space="preserve">However, amongst </w:t>
      </w:r>
      <w:r w:rsidR="00F02AF9">
        <w:rPr>
          <w:rFonts w:ascii="Arial" w:hAnsi="Arial" w:cs="Arial"/>
          <w:sz w:val="22"/>
          <w:szCs w:val="22"/>
        </w:rPr>
        <w:t>M</w:t>
      </w:r>
      <w:r w:rsidR="00A55DE5" w:rsidRPr="00837D06">
        <w:rPr>
          <w:rFonts w:ascii="Arial" w:hAnsi="Arial" w:cs="Arial"/>
          <w:sz w:val="22"/>
          <w:szCs w:val="22"/>
        </w:rPr>
        <w:t xml:space="preserve">embers </w:t>
      </w:r>
      <w:r w:rsidR="00F02AF9">
        <w:rPr>
          <w:rFonts w:ascii="Arial" w:hAnsi="Arial" w:cs="Arial"/>
          <w:sz w:val="22"/>
          <w:szCs w:val="22"/>
        </w:rPr>
        <w:t>S</w:t>
      </w:r>
      <w:r w:rsidR="00A55DE5" w:rsidRPr="00837D06">
        <w:rPr>
          <w:rFonts w:ascii="Arial" w:hAnsi="Arial" w:cs="Arial"/>
          <w:sz w:val="22"/>
          <w:szCs w:val="22"/>
        </w:rPr>
        <w:t xml:space="preserve">tates supporting some form of disclosure regime, there remain </w:t>
      </w:r>
      <w:r w:rsidR="00F02AF9" w:rsidRPr="00837D06">
        <w:rPr>
          <w:rFonts w:ascii="Arial" w:hAnsi="Arial" w:cs="Arial"/>
          <w:sz w:val="22"/>
          <w:szCs w:val="22"/>
        </w:rPr>
        <w:t>variances</w:t>
      </w:r>
      <w:r w:rsidR="00A55DE5" w:rsidRPr="00837D06">
        <w:rPr>
          <w:rFonts w:ascii="Arial" w:hAnsi="Arial" w:cs="Arial"/>
          <w:sz w:val="22"/>
          <w:szCs w:val="22"/>
        </w:rPr>
        <w:t xml:space="preserve"> </w:t>
      </w:r>
      <w:r w:rsidR="00771936">
        <w:rPr>
          <w:rFonts w:ascii="Arial" w:hAnsi="Arial" w:cs="Arial"/>
          <w:sz w:val="22"/>
          <w:szCs w:val="22"/>
        </w:rPr>
        <w:t xml:space="preserve">with </w:t>
      </w:r>
      <w:r w:rsidR="00A55DE5" w:rsidRPr="00837D06">
        <w:rPr>
          <w:rFonts w:ascii="Arial" w:hAnsi="Arial" w:cs="Arial"/>
          <w:sz w:val="22"/>
          <w:szCs w:val="22"/>
        </w:rPr>
        <w:t xml:space="preserve">regards </w:t>
      </w:r>
      <w:r w:rsidR="00771936">
        <w:rPr>
          <w:rFonts w:ascii="Arial" w:hAnsi="Arial" w:cs="Arial"/>
          <w:sz w:val="22"/>
          <w:szCs w:val="22"/>
        </w:rPr>
        <w:t xml:space="preserve">to </w:t>
      </w:r>
      <w:r w:rsidR="00A55DE5" w:rsidRPr="00837D06">
        <w:rPr>
          <w:rFonts w:ascii="Arial" w:hAnsi="Arial" w:cs="Arial"/>
          <w:sz w:val="22"/>
          <w:szCs w:val="22"/>
        </w:rPr>
        <w:t>the scope of the regime. In particular:</w:t>
      </w:r>
    </w:p>
    <w:p w14:paraId="4E98A5AA" w14:textId="77777777" w:rsidR="00A55DE5" w:rsidRPr="00837D06" w:rsidRDefault="00A55DE5" w:rsidP="00A55DE5">
      <w:pPr>
        <w:rPr>
          <w:rFonts w:ascii="Arial" w:hAnsi="Arial" w:cs="Arial"/>
          <w:sz w:val="22"/>
          <w:szCs w:val="22"/>
        </w:rPr>
      </w:pPr>
    </w:p>
    <w:p w14:paraId="511843D9" w14:textId="77777777" w:rsidR="00A55DE5" w:rsidRPr="00837D06" w:rsidRDefault="00A55DE5" w:rsidP="00A55DE5">
      <w:pPr>
        <w:pStyle w:val="ListParagraph"/>
        <w:numPr>
          <w:ilvl w:val="0"/>
          <w:numId w:val="17"/>
        </w:numPr>
        <w:rPr>
          <w:rFonts w:ascii="Arial" w:hAnsi="Arial" w:cs="Arial"/>
          <w:sz w:val="22"/>
          <w:szCs w:val="22"/>
        </w:rPr>
      </w:pPr>
      <w:r w:rsidRPr="00837D06">
        <w:rPr>
          <w:rFonts w:ascii="Arial" w:hAnsi="Arial" w:cs="Arial"/>
          <w:sz w:val="22"/>
          <w:szCs w:val="22"/>
        </w:rPr>
        <w:t xml:space="preserve">the scope of IP Rights covered, </w:t>
      </w:r>
    </w:p>
    <w:p w14:paraId="2AEFB48C" w14:textId="77777777" w:rsidR="00A55DE5" w:rsidRPr="00837D06" w:rsidRDefault="00A55DE5" w:rsidP="00A55DE5">
      <w:pPr>
        <w:pStyle w:val="ListParagraph"/>
        <w:numPr>
          <w:ilvl w:val="0"/>
          <w:numId w:val="17"/>
        </w:numPr>
        <w:rPr>
          <w:rFonts w:ascii="Arial" w:hAnsi="Arial" w:cs="Arial"/>
          <w:sz w:val="22"/>
          <w:szCs w:val="22"/>
        </w:rPr>
      </w:pPr>
      <w:r w:rsidRPr="00837D06">
        <w:rPr>
          <w:rFonts w:ascii="Arial" w:hAnsi="Arial" w:cs="Arial"/>
          <w:sz w:val="22"/>
          <w:szCs w:val="22"/>
        </w:rPr>
        <w:t xml:space="preserve">the nature of the trigger, which would prompt the disclosure requirement, </w:t>
      </w:r>
    </w:p>
    <w:p w14:paraId="48EE3B19" w14:textId="77777777" w:rsidR="00A55DE5" w:rsidRPr="00837D06" w:rsidRDefault="00A55DE5" w:rsidP="00A55DE5">
      <w:pPr>
        <w:pStyle w:val="ListParagraph"/>
        <w:numPr>
          <w:ilvl w:val="0"/>
          <w:numId w:val="17"/>
        </w:numPr>
        <w:rPr>
          <w:rFonts w:ascii="Arial" w:hAnsi="Arial" w:cs="Arial"/>
          <w:sz w:val="22"/>
          <w:szCs w:val="22"/>
        </w:rPr>
      </w:pPr>
      <w:r w:rsidRPr="00837D06">
        <w:rPr>
          <w:rFonts w:ascii="Arial" w:hAnsi="Arial" w:cs="Arial"/>
          <w:sz w:val="22"/>
          <w:szCs w:val="22"/>
        </w:rPr>
        <w:t>nature of sanctions, in particular revocation, and;</w:t>
      </w:r>
    </w:p>
    <w:p w14:paraId="765DF88F" w14:textId="77777777" w:rsidR="00A55DE5" w:rsidRPr="00837D06" w:rsidRDefault="00A55DE5" w:rsidP="00A55DE5">
      <w:pPr>
        <w:pStyle w:val="ListParagraph"/>
        <w:numPr>
          <w:ilvl w:val="0"/>
          <w:numId w:val="17"/>
        </w:numPr>
        <w:rPr>
          <w:rFonts w:ascii="Arial" w:hAnsi="Arial" w:cs="Arial"/>
          <w:sz w:val="22"/>
          <w:szCs w:val="22"/>
        </w:rPr>
      </w:pPr>
      <w:r w:rsidRPr="00837D06">
        <w:rPr>
          <w:rFonts w:ascii="Arial" w:hAnsi="Arial" w:cs="Arial"/>
          <w:sz w:val="22"/>
          <w:szCs w:val="22"/>
        </w:rPr>
        <w:t xml:space="preserve">relationship with access and benefit sharing regimes e.g. Nagoya Protocol. </w:t>
      </w:r>
    </w:p>
    <w:p w14:paraId="0E1574EC" w14:textId="331D80A6" w:rsidR="00A55DE5" w:rsidRPr="00837D06" w:rsidRDefault="00A55DE5" w:rsidP="00A55DE5">
      <w:pPr>
        <w:rPr>
          <w:rFonts w:ascii="Arial" w:hAnsi="Arial" w:cs="Arial"/>
          <w:sz w:val="22"/>
          <w:szCs w:val="22"/>
        </w:rPr>
      </w:pPr>
    </w:p>
    <w:p w14:paraId="7C079D3A" w14:textId="74C89851" w:rsidR="00903A62" w:rsidRPr="00837D06" w:rsidRDefault="004D052F" w:rsidP="00903A62">
      <w:pPr>
        <w:shd w:val="clear" w:color="auto" w:fill="FFFFFF" w:themeFill="background1"/>
        <w:rPr>
          <w:rFonts w:ascii="Arial" w:hAnsi="Arial" w:cs="Arial"/>
          <w:sz w:val="22"/>
          <w:szCs w:val="22"/>
        </w:rPr>
      </w:pPr>
      <w:r>
        <w:rPr>
          <w:rFonts w:ascii="Arial" w:hAnsi="Arial" w:cs="Arial"/>
          <w:sz w:val="22"/>
          <w:szCs w:val="22"/>
        </w:rPr>
        <w:t>25.</w:t>
      </w:r>
      <w:r>
        <w:rPr>
          <w:rFonts w:ascii="Arial" w:hAnsi="Arial" w:cs="Arial"/>
          <w:sz w:val="22"/>
          <w:szCs w:val="22"/>
        </w:rPr>
        <w:tab/>
        <w:t xml:space="preserve">These </w:t>
      </w:r>
      <w:r w:rsidR="00F02AF9" w:rsidRPr="00837D06">
        <w:rPr>
          <w:rFonts w:ascii="Arial" w:hAnsi="Arial" w:cs="Arial"/>
          <w:sz w:val="22"/>
          <w:szCs w:val="22"/>
        </w:rPr>
        <w:t>variances</w:t>
      </w:r>
      <w:r w:rsidR="00903A62" w:rsidRPr="00837D06">
        <w:rPr>
          <w:rFonts w:ascii="Arial" w:hAnsi="Arial" w:cs="Arial"/>
          <w:sz w:val="22"/>
          <w:szCs w:val="22"/>
        </w:rPr>
        <w:t xml:space="preserve"> </w:t>
      </w:r>
      <w:r>
        <w:rPr>
          <w:rFonts w:ascii="Arial" w:hAnsi="Arial" w:cs="Arial"/>
          <w:sz w:val="22"/>
          <w:szCs w:val="22"/>
        </w:rPr>
        <w:t xml:space="preserve">reflect </w:t>
      </w:r>
      <w:r w:rsidR="00903A62" w:rsidRPr="00837D06">
        <w:rPr>
          <w:rFonts w:ascii="Arial" w:hAnsi="Arial" w:cs="Arial"/>
          <w:sz w:val="22"/>
          <w:szCs w:val="22"/>
        </w:rPr>
        <w:t xml:space="preserve">how disclosure regimes are regulated nationally and regionally, through environmental/biodiversity laws, patent laws, or a combination of both.  </w:t>
      </w:r>
      <w:r w:rsidR="00F02AF9" w:rsidRPr="00837D06">
        <w:rPr>
          <w:rFonts w:ascii="Arial" w:hAnsi="Arial" w:cs="Arial"/>
          <w:sz w:val="22"/>
          <w:szCs w:val="22"/>
        </w:rPr>
        <w:t>Variances</w:t>
      </w:r>
      <w:r w:rsidR="00903A62" w:rsidRPr="00837D06">
        <w:rPr>
          <w:rFonts w:ascii="Arial" w:hAnsi="Arial" w:cs="Arial"/>
          <w:sz w:val="22"/>
          <w:szCs w:val="22"/>
        </w:rPr>
        <w:t xml:space="preserve"> </w:t>
      </w:r>
      <w:r w:rsidR="0050768D">
        <w:rPr>
          <w:rFonts w:ascii="Arial" w:hAnsi="Arial" w:cs="Arial"/>
          <w:sz w:val="22"/>
          <w:szCs w:val="22"/>
        </w:rPr>
        <w:t xml:space="preserve">which could </w:t>
      </w:r>
      <w:r w:rsidR="00903A62" w:rsidRPr="00837D06">
        <w:rPr>
          <w:rFonts w:ascii="Arial" w:hAnsi="Arial" w:cs="Arial"/>
          <w:sz w:val="22"/>
          <w:szCs w:val="22"/>
        </w:rPr>
        <w:t xml:space="preserve">potentially increase legal uncertainty and regulatory burdens/costs for business operating across multiple jurisdictions.  Members States </w:t>
      </w:r>
      <w:r w:rsidR="0050768D">
        <w:rPr>
          <w:rFonts w:ascii="Arial" w:hAnsi="Arial" w:cs="Arial"/>
          <w:sz w:val="22"/>
          <w:szCs w:val="22"/>
        </w:rPr>
        <w:t>need</w:t>
      </w:r>
      <w:r w:rsidR="00903A62" w:rsidRPr="00837D06">
        <w:rPr>
          <w:rFonts w:ascii="Arial" w:hAnsi="Arial" w:cs="Arial"/>
          <w:sz w:val="22"/>
          <w:szCs w:val="22"/>
        </w:rPr>
        <w:t xml:space="preserve"> to consider whether </w:t>
      </w:r>
      <w:r w:rsidR="00903A62" w:rsidRPr="00837D06">
        <w:rPr>
          <w:rFonts w:ascii="Arial" w:hAnsi="Arial" w:cs="Arial"/>
          <w:sz w:val="22"/>
          <w:szCs w:val="22"/>
        </w:rPr>
        <w:lastRenderedPageBreak/>
        <w:t xml:space="preserve">the establishment of a set of international disclosure standards relating to GRs and/or TK associated with GRs, within the IP system, could assist in alleviating those potential risks.  </w:t>
      </w:r>
    </w:p>
    <w:p w14:paraId="4B27AA9D" w14:textId="77777777" w:rsidR="00903A62" w:rsidRPr="00837D06" w:rsidRDefault="00903A62" w:rsidP="00903A62">
      <w:pPr>
        <w:rPr>
          <w:rFonts w:ascii="Arial" w:hAnsi="Arial" w:cs="Arial"/>
          <w:sz w:val="22"/>
          <w:szCs w:val="22"/>
        </w:rPr>
      </w:pPr>
    </w:p>
    <w:p w14:paraId="4BC91C48" w14:textId="18FFE45E" w:rsidR="00903A62" w:rsidRPr="00837D06" w:rsidRDefault="008911AF" w:rsidP="00903A62">
      <w:pPr>
        <w:rPr>
          <w:rFonts w:ascii="Arial" w:hAnsi="Arial" w:cs="Arial"/>
          <w:sz w:val="22"/>
          <w:szCs w:val="22"/>
        </w:rPr>
      </w:pPr>
      <w:r>
        <w:rPr>
          <w:rFonts w:ascii="Arial" w:hAnsi="Arial" w:cs="Arial"/>
          <w:sz w:val="22"/>
          <w:szCs w:val="22"/>
        </w:rPr>
        <w:t>26.</w:t>
      </w:r>
      <w:r w:rsidR="00903A62" w:rsidRPr="00837D06">
        <w:rPr>
          <w:rFonts w:ascii="Arial" w:hAnsi="Arial" w:cs="Arial"/>
          <w:sz w:val="22"/>
          <w:szCs w:val="22"/>
        </w:rPr>
        <w:tab/>
        <w:t xml:space="preserve">Member States may wish to focus on the following key issues relating to disclosure requirements at IGC </w:t>
      </w:r>
      <w:r w:rsidR="0050768D">
        <w:rPr>
          <w:rFonts w:ascii="Arial" w:hAnsi="Arial" w:cs="Arial"/>
          <w:sz w:val="22"/>
          <w:szCs w:val="22"/>
        </w:rPr>
        <w:t>4</w:t>
      </w:r>
      <w:r w:rsidR="00402547">
        <w:rPr>
          <w:rFonts w:ascii="Arial" w:hAnsi="Arial" w:cs="Arial"/>
          <w:sz w:val="22"/>
          <w:szCs w:val="22"/>
        </w:rPr>
        <w:t>2</w:t>
      </w:r>
      <w:r w:rsidR="0050768D">
        <w:rPr>
          <w:rFonts w:ascii="Arial" w:hAnsi="Arial" w:cs="Arial"/>
          <w:sz w:val="22"/>
          <w:szCs w:val="22"/>
        </w:rPr>
        <w:t>.</w:t>
      </w:r>
      <w:r w:rsidR="000223D0">
        <w:rPr>
          <w:rFonts w:ascii="Arial" w:hAnsi="Arial" w:cs="Arial"/>
          <w:sz w:val="22"/>
          <w:szCs w:val="22"/>
        </w:rPr>
        <w:t xml:space="preserve"> In considering these issues members may also find the explanatory notes </w:t>
      </w:r>
      <w:r>
        <w:rPr>
          <w:rFonts w:ascii="Arial" w:hAnsi="Arial" w:cs="Arial"/>
          <w:sz w:val="22"/>
          <w:szCs w:val="22"/>
        </w:rPr>
        <w:t>within the Chair</w:t>
      </w:r>
      <w:r w:rsidR="00945BB3">
        <w:rPr>
          <w:rFonts w:ascii="Arial" w:hAnsi="Arial" w:cs="Arial"/>
          <w:sz w:val="22"/>
          <w:szCs w:val="22"/>
        </w:rPr>
        <w:t>’</w:t>
      </w:r>
      <w:r>
        <w:rPr>
          <w:rFonts w:ascii="Arial" w:hAnsi="Arial" w:cs="Arial"/>
          <w:sz w:val="22"/>
          <w:szCs w:val="22"/>
        </w:rPr>
        <w:t xml:space="preserve">s Text, related to these key issues, a useful </w:t>
      </w:r>
      <w:r w:rsidR="000223D0">
        <w:rPr>
          <w:rFonts w:ascii="Arial" w:hAnsi="Arial" w:cs="Arial"/>
          <w:sz w:val="22"/>
          <w:szCs w:val="22"/>
        </w:rPr>
        <w:t xml:space="preserve">reference. </w:t>
      </w:r>
      <w:r w:rsidR="0050768D">
        <w:rPr>
          <w:rFonts w:ascii="Arial" w:hAnsi="Arial" w:cs="Arial"/>
          <w:sz w:val="22"/>
          <w:szCs w:val="22"/>
        </w:rPr>
        <w:t xml:space="preserve"> </w:t>
      </w:r>
    </w:p>
    <w:p w14:paraId="7D4EC86D" w14:textId="77777777" w:rsidR="00903A62" w:rsidRPr="00837D06" w:rsidRDefault="00903A62" w:rsidP="00903A62">
      <w:pPr>
        <w:rPr>
          <w:rFonts w:ascii="Arial" w:hAnsi="Arial" w:cs="Arial"/>
          <w:sz w:val="22"/>
          <w:szCs w:val="22"/>
        </w:rPr>
      </w:pPr>
    </w:p>
    <w:p w14:paraId="526BE85F" w14:textId="77777777" w:rsidR="00903A62" w:rsidRPr="00837D06" w:rsidRDefault="00903A62" w:rsidP="00903A62">
      <w:pPr>
        <w:pStyle w:val="ListParagraph"/>
        <w:numPr>
          <w:ilvl w:val="0"/>
          <w:numId w:val="21"/>
        </w:numPr>
        <w:ind w:left="1440"/>
        <w:rPr>
          <w:rFonts w:ascii="Arial" w:hAnsi="Arial" w:cs="Arial"/>
          <w:b/>
          <w:sz w:val="22"/>
          <w:szCs w:val="22"/>
        </w:rPr>
      </w:pPr>
      <w:r w:rsidRPr="00837D06">
        <w:rPr>
          <w:rFonts w:ascii="Arial" w:hAnsi="Arial" w:cs="Arial"/>
          <w:b/>
          <w:sz w:val="22"/>
          <w:szCs w:val="22"/>
        </w:rPr>
        <w:t>Scope/Subject matter</w:t>
      </w:r>
    </w:p>
    <w:p w14:paraId="10BE5836" w14:textId="77777777" w:rsidR="00903A62" w:rsidRPr="00837D06" w:rsidRDefault="00903A62" w:rsidP="00903A62">
      <w:pPr>
        <w:ind w:left="720"/>
        <w:rPr>
          <w:rFonts w:ascii="Arial" w:hAnsi="Arial" w:cs="Arial"/>
          <w:sz w:val="22"/>
          <w:szCs w:val="22"/>
        </w:rPr>
      </w:pPr>
    </w:p>
    <w:p w14:paraId="714ABEF8"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One important issue Member States are invited to consider is whether the instrument should apply only to patent rights (and patent applications) or also to other IP rights.  Disclosure requirements have been incorporated into IP legislation in many countries.  In several of them, these requirements apply specifically to patent law, for example, in Sweden and China.  In some countries, these requirements apply to all relevant IP rights, for example, in Ethiopia and Brazil. </w:t>
      </w:r>
    </w:p>
    <w:p w14:paraId="5B8D2881" w14:textId="77777777" w:rsidR="00903A62" w:rsidRPr="00837D06" w:rsidRDefault="00903A62" w:rsidP="00903A62">
      <w:pPr>
        <w:ind w:left="720"/>
        <w:rPr>
          <w:rFonts w:ascii="Arial" w:hAnsi="Arial" w:cs="Arial"/>
          <w:sz w:val="22"/>
          <w:szCs w:val="22"/>
        </w:rPr>
      </w:pPr>
    </w:p>
    <w:p w14:paraId="5157B2CE"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It seems that this depends on the types of laws which disclosure requirements are introduced, i.e., disclosure requirements in patent laws apply to patent rights/applications, while disclosure requirements introduced in biodiversity or access and benefit-sharing legislation often apply to all relevant IP rights. </w:t>
      </w:r>
    </w:p>
    <w:p w14:paraId="2C736FCA" w14:textId="25CEB1F6" w:rsidR="00903A62" w:rsidRDefault="00903A62" w:rsidP="00903A62">
      <w:pPr>
        <w:ind w:left="720"/>
        <w:rPr>
          <w:rFonts w:ascii="Arial" w:hAnsi="Arial" w:cs="Arial"/>
          <w:sz w:val="22"/>
          <w:szCs w:val="22"/>
        </w:rPr>
      </w:pPr>
    </w:p>
    <w:p w14:paraId="058DE15E" w14:textId="0DFE64CB" w:rsidR="00F02AF9" w:rsidRDefault="00F02AF9" w:rsidP="00903A62">
      <w:pPr>
        <w:ind w:left="720"/>
        <w:rPr>
          <w:rFonts w:ascii="Arial" w:hAnsi="Arial" w:cs="Arial"/>
          <w:sz w:val="22"/>
          <w:szCs w:val="22"/>
        </w:rPr>
      </w:pPr>
      <w:r>
        <w:rPr>
          <w:rFonts w:ascii="Arial" w:hAnsi="Arial" w:cs="Arial"/>
          <w:sz w:val="22"/>
          <w:szCs w:val="22"/>
        </w:rPr>
        <w:t>I believe</w:t>
      </w:r>
      <w:r w:rsidR="00A46002">
        <w:rPr>
          <w:rFonts w:ascii="Arial" w:hAnsi="Arial" w:cs="Arial"/>
          <w:sz w:val="22"/>
          <w:szCs w:val="22"/>
        </w:rPr>
        <w:t>,</w:t>
      </w:r>
      <w:r>
        <w:rPr>
          <w:rFonts w:ascii="Arial" w:hAnsi="Arial" w:cs="Arial"/>
          <w:sz w:val="22"/>
          <w:szCs w:val="22"/>
        </w:rPr>
        <w:t xml:space="preserve"> </w:t>
      </w:r>
      <w:r w:rsidR="00A46002">
        <w:rPr>
          <w:rFonts w:ascii="Arial" w:hAnsi="Arial" w:cs="Arial"/>
          <w:sz w:val="22"/>
          <w:szCs w:val="22"/>
        </w:rPr>
        <w:t xml:space="preserve">considering the primary commercialisation of GRs is within the Patent system, that the </w:t>
      </w:r>
      <w:r>
        <w:rPr>
          <w:rFonts w:ascii="Arial" w:hAnsi="Arial" w:cs="Arial"/>
          <w:sz w:val="22"/>
          <w:szCs w:val="22"/>
        </w:rPr>
        <w:t xml:space="preserve">instrument should </w:t>
      </w:r>
      <w:r w:rsidR="00A46002">
        <w:rPr>
          <w:rFonts w:ascii="Arial" w:hAnsi="Arial" w:cs="Arial"/>
          <w:sz w:val="22"/>
          <w:szCs w:val="22"/>
        </w:rPr>
        <w:t xml:space="preserve">initially </w:t>
      </w:r>
      <w:r>
        <w:rPr>
          <w:rFonts w:ascii="Arial" w:hAnsi="Arial" w:cs="Arial"/>
          <w:sz w:val="22"/>
          <w:szCs w:val="22"/>
        </w:rPr>
        <w:t>apply only to patent systems and</w:t>
      </w:r>
      <w:r w:rsidR="00164294">
        <w:rPr>
          <w:rFonts w:ascii="Arial" w:hAnsi="Arial" w:cs="Arial"/>
          <w:sz w:val="22"/>
          <w:szCs w:val="22"/>
        </w:rPr>
        <w:t xml:space="preserve"> Member States c</w:t>
      </w:r>
      <w:r w:rsidR="00A46002">
        <w:rPr>
          <w:rFonts w:ascii="Arial" w:hAnsi="Arial" w:cs="Arial"/>
          <w:sz w:val="22"/>
          <w:szCs w:val="22"/>
        </w:rPr>
        <w:t>ould</w:t>
      </w:r>
      <w:r>
        <w:rPr>
          <w:rFonts w:ascii="Arial" w:hAnsi="Arial" w:cs="Arial"/>
          <w:sz w:val="22"/>
          <w:szCs w:val="22"/>
        </w:rPr>
        <w:t xml:space="preserve"> further review other IP areas </w:t>
      </w:r>
      <w:r w:rsidR="00A46002">
        <w:rPr>
          <w:rFonts w:ascii="Arial" w:hAnsi="Arial" w:cs="Arial"/>
          <w:sz w:val="22"/>
          <w:szCs w:val="22"/>
        </w:rPr>
        <w:t xml:space="preserve">at a </w:t>
      </w:r>
      <w:r>
        <w:rPr>
          <w:rFonts w:ascii="Arial" w:hAnsi="Arial" w:cs="Arial"/>
          <w:sz w:val="22"/>
          <w:szCs w:val="22"/>
        </w:rPr>
        <w:t>later</w:t>
      </w:r>
      <w:r w:rsidR="00A46002">
        <w:rPr>
          <w:rFonts w:ascii="Arial" w:hAnsi="Arial" w:cs="Arial"/>
          <w:sz w:val="22"/>
          <w:szCs w:val="22"/>
        </w:rPr>
        <w:t xml:space="preserve"> time</w:t>
      </w:r>
      <w:r>
        <w:rPr>
          <w:rFonts w:ascii="Arial" w:hAnsi="Arial" w:cs="Arial"/>
          <w:sz w:val="22"/>
          <w:szCs w:val="22"/>
        </w:rPr>
        <w:t xml:space="preserve">. </w:t>
      </w:r>
    </w:p>
    <w:p w14:paraId="0E5B119D" w14:textId="77777777" w:rsidR="00F02AF9" w:rsidRPr="00837D06" w:rsidRDefault="00F02AF9" w:rsidP="00903A62">
      <w:pPr>
        <w:ind w:left="720"/>
        <w:rPr>
          <w:rFonts w:ascii="Arial" w:hAnsi="Arial" w:cs="Arial"/>
          <w:sz w:val="22"/>
          <w:szCs w:val="22"/>
        </w:rPr>
      </w:pPr>
    </w:p>
    <w:p w14:paraId="639461E3"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Member States are also invited to consider, in addition to GRs, whether the instrument should also apply to TK associated with GRs.  It should be noted that TK is not always associated with a GR.  It should also be noted that a disclosure requirement provision is currently included in the TK text before the IGC.  Therefore, Member States may wish to consider discussing whether disclosure requirements in the GRs text should also apply to TK associated with GRs. </w:t>
      </w:r>
    </w:p>
    <w:p w14:paraId="4E7C2292" w14:textId="77777777" w:rsidR="00903A62" w:rsidRPr="00837D06" w:rsidRDefault="00903A62" w:rsidP="00903A62">
      <w:pPr>
        <w:ind w:left="720"/>
        <w:rPr>
          <w:rFonts w:ascii="Arial" w:hAnsi="Arial" w:cs="Arial"/>
          <w:sz w:val="22"/>
          <w:szCs w:val="22"/>
        </w:rPr>
      </w:pPr>
    </w:p>
    <w:p w14:paraId="0B472477" w14:textId="1EC9085C" w:rsidR="00903A62" w:rsidRPr="00837D06" w:rsidRDefault="00903A62" w:rsidP="00903A62">
      <w:pPr>
        <w:ind w:left="720"/>
        <w:rPr>
          <w:rFonts w:ascii="Arial" w:hAnsi="Arial" w:cs="Arial"/>
          <w:sz w:val="22"/>
          <w:szCs w:val="22"/>
        </w:rPr>
      </w:pPr>
      <w:r w:rsidRPr="00837D06">
        <w:rPr>
          <w:rFonts w:ascii="Arial" w:hAnsi="Arial" w:cs="Arial"/>
          <w:sz w:val="22"/>
          <w:szCs w:val="22"/>
        </w:rPr>
        <w:t>In relation to this question, Member State</w:t>
      </w:r>
      <w:r w:rsidR="00F8459D">
        <w:rPr>
          <w:rFonts w:ascii="Arial" w:hAnsi="Arial" w:cs="Arial"/>
          <w:sz w:val="22"/>
          <w:szCs w:val="22"/>
        </w:rPr>
        <w:t>s</w:t>
      </w:r>
      <w:r w:rsidRPr="00837D06">
        <w:rPr>
          <w:rFonts w:ascii="Arial" w:hAnsi="Arial" w:cs="Arial"/>
          <w:sz w:val="22"/>
          <w:szCs w:val="22"/>
        </w:rPr>
        <w:t xml:space="preserve"> should also define those terms, such as GRs (including the issue of whether derivatives should be included in the definition of GRs) and TK associated with GRs.  Another question would be what exclusions from the material scope of application of disclosure requirements might be envisaged. </w:t>
      </w:r>
    </w:p>
    <w:p w14:paraId="434EB283" w14:textId="77777777" w:rsidR="00903A62" w:rsidRPr="00837D06" w:rsidRDefault="00903A62" w:rsidP="00903A62">
      <w:pPr>
        <w:spacing w:line="276" w:lineRule="auto"/>
        <w:rPr>
          <w:rFonts w:ascii="Arial" w:hAnsi="Arial" w:cs="Arial"/>
          <w:b/>
          <w:sz w:val="22"/>
          <w:szCs w:val="22"/>
        </w:rPr>
      </w:pPr>
    </w:p>
    <w:p w14:paraId="3D2317CB" w14:textId="77777777" w:rsidR="00903A62" w:rsidRPr="00837D06" w:rsidRDefault="00903A62" w:rsidP="00903A62">
      <w:pPr>
        <w:pStyle w:val="ListParagraph"/>
        <w:numPr>
          <w:ilvl w:val="0"/>
          <w:numId w:val="21"/>
        </w:numPr>
        <w:ind w:left="1440"/>
        <w:rPr>
          <w:rFonts w:ascii="Arial" w:hAnsi="Arial" w:cs="Arial"/>
          <w:b/>
          <w:sz w:val="22"/>
          <w:szCs w:val="22"/>
        </w:rPr>
      </w:pPr>
      <w:r w:rsidRPr="00837D06">
        <w:rPr>
          <w:rFonts w:ascii="Arial" w:hAnsi="Arial" w:cs="Arial"/>
          <w:b/>
          <w:sz w:val="22"/>
          <w:szCs w:val="22"/>
        </w:rPr>
        <w:t>Nature of disclosure</w:t>
      </w:r>
    </w:p>
    <w:p w14:paraId="0654962D" w14:textId="77777777" w:rsidR="00903A62" w:rsidRPr="00837D06" w:rsidRDefault="00903A62" w:rsidP="00903A62">
      <w:pPr>
        <w:ind w:left="720"/>
        <w:rPr>
          <w:rFonts w:ascii="Arial" w:hAnsi="Arial" w:cs="Arial"/>
          <w:sz w:val="22"/>
          <w:szCs w:val="22"/>
        </w:rPr>
      </w:pPr>
    </w:p>
    <w:p w14:paraId="7611DE23"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Many countries have adopted some forms of disclosure requirements relating to GRs and/or TK in their national laws, with different levels of obligations for the applicants:</w:t>
      </w:r>
    </w:p>
    <w:p w14:paraId="2683E1D9" w14:textId="77777777" w:rsidR="00903A62" w:rsidRPr="00837D06" w:rsidRDefault="00903A62" w:rsidP="00903A62">
      <w:pPr>
        <w:ind w:left="720"/>
        <w:rPr>
          <w:rFonts w:ascii="Arial" w:hAnsi="Arial" w:cs="Arial"/>
          <w:sz w:val="22"/>
          <w:szCs w:val="22"/>
        </w:rPr>
      </w:pPr>
    </w:p>
    <w:p w14:paraId="2C7C027F" w14:textId="77777777" w:rsidR="00903A62" w:rsidRPr="00837D06" w:rsidRDefault="00903A62" w:rsidP="00903A62">
      <w:pPr>
        <w:pStyle w:val="ListParagraph"/>
        <w:numPr>
          <w:ilvl w:val="0"/>
          <w:numId w:val="22"/>
        </w:numPr>
        <w:ind w:left="1566"/>
        <w:rPr>
          <w:rFonts w:ascii="Arial" w:hAnsi="Arial" w:cs="Arial"/>
          <w:sz w:val="22"/>
          <w:szCs w:val="22"/>
        </w:rPr>
      </w:pPr>
      <w:r w:rsidRPr="00837D06">
        <w:rPr>
          <w:rFonts w:ascii="Arial" w:hAnsi="Arial" w:cs="Arial"/>
          <w:sz w:val="22"/>
          <w:szCs w:val="22"/>
        </w:rPr>
        <w:t>Mandatory disclosure requirements in relation to formalities, which refer to the need to submit certain types of documents or a required physical format.</w:t>
      </w:r>
    </w:p>
    <w:p w14:paraId="2C78929C"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shd w:val="clear" w:color="auto" w:fill="D0CECE" w:themeFill="background2" w:themeFillShade="E6"/>
        <w:tblLook w:val="04A0" w:firstRow="1" w:lastRow="0" w:firstColumn="1" w:lastColumn="0" w:noHBand="0" w:noVBand="1"/>
      </w:tblPr>
      <w:tblGrid>
        <w:gridCol w:w="7364"/>
      </w:tblGrid>
      <w:tr w:rsidR="00903A62" w:rsidRPr="00837D06" w14:paraId="588A1652" w14:textId="77777777" w:rsidTr="00190325">
        <w:tc>
          <w:tcPr>
            <w:tcW w:w="7364" w:type="dxa"/>
            <w:shd w:val="clear" w:color="auto" w:fill="D0CECE" w:themeFill="background2" w:themeFillShade="E6"/>
          </w:tcPr>
          <w:p w14:paraId="289D47A9" w14:textId="77777777" w:rsidR="00903A62" w:rsidRPr="00837D06" w:rsidRDefault="00903A62" w:rsidP="00190325">
            <w:pPr>
              <w:pStyle w:val="ListParagraph"/>
              <w:ind w:left="0"/>
            </w:pPr>
            <w:r w:rsidRPr="00837D06">
              <w:t xml:space="preserve">For example, </w:t>
            </w:r>
            <w:r w:rsidRPr="00837D06">
              <w:rPr>
                <w:b/>
                <w:bCs/>
              </w:rPr>
              <w:t xml:space="preserve">Switzerland:  </w:t>
            </w:r>
            <w:r w:rsidRPr="00837D06">
              <w:t xml:space="preserve">Article 49(a) of the </w:t>
            </w:r>
            <w:r w:rsidRPr="00837D06">
              <w:rPr>
                <w:i/>
                <w:iCs/>
              </w:rPr>
              <w:t xml:space="preserve">Federal Act of June 25, 1954 on Patents for Inventions (status as of January 1, 2012) </w:t>
            </w:r>
            <w:r w:rsidRPr="00837D06">
              <w:t xml:space="preserve">states: </w:t>
            </w:r>
          </w:p>
          <w:p w14:paraId="34D2E1D5" w14:textId="77777777" w:rsidR="00903A62" w:rsidRPr="00837D06" w:rsidRDefault="00903A62" w:rsidP="00190325">
            <w:pPr>
              <w:pStyle w:val="ListParagraph"/>
            </w:pPr>
            <w:r w:rsidRPr="00837D06">
              <w:t xml:space="preserve">“The patent application must contain information on the source: a) of the genetic resource to which the inventor or the patent applicant had access, provided the invention is directly based on this resource; b) of [TK] of indigenous or local communities to which the inventor or the patent applicant had access, provided the invention is directly based on this resource.” </w:t>
            </w:r>
          </w:p>
          <w:p w14:paraId="192E6E24" w14:textId="77777777" w:rsidR="00903A62" w:rsidRPr="00837D06" w:rsidRDefault="00903A62" w:rsidP="00190325"/>
          <w:p w14:paraId="254412AD" w14:textId="77777777" w:rsidR="00903A62" w:rsidRPr="00837D06" w:rsidRDefault="00903A62" w:rsidP="00190325">
            <w:r w:rsidRPr="00837D06">
              <w:lastRenderedPageBreak/>
              <w:t xml:space="preserve">Article 81(a) of </w:t>
            </w:r>
            <w:r w:rsidRPr="00837D06">
              <w:rPr>
                <w:i/>
              </w:rPr>
              <w:t>the Federal Act</w:t>
            </w:r>
            <w:r w:rsidRPr="00837D06">
              <w:t xml:space="preserve"> further states: </w:t>
            </w:r>
          </w:p>
          <w:p w14:paraId="3F8D4825" w14:textId="77777777" w:rsidR="00903A62" w:rsidRPr="00837D06" w:rsidRDefault="00903A62" w:rsidP="00190325">
            <w:pPr>
              <w:pStyle w:val="ListParagraph"/>
            </w:pPr>
            <w:r w:rsidRPr="00837D06">
              <w:t xml:space="preserve">“Any person who willfully provides false information under Article 49(a) is liable to a fine of up to 100,000 francs. The court may order the publication of the judgment.” </w:t>
            </w:r>
          </w:p>
          <w:p w14:paraId="2A15905B" w14:textId="77777777" w:rsidR="00903A62" w:rsidRPr="00837D06" w:rsidRDefault="00903A62" w:rsidP="00190325">
            <w:pPr>
              <w:pStyle w:val="ListParagraph"/>
              <w:ind w:left="0"/>
              <w:rPr>
                <w:b/>
                <w:bCs/>
              </w:rPr>
            </w:pPr>
          </w:p>
          <w:p w14:paraId="184FAF87" w14:textId="77777777" w:rsidR="00903A62" w:rsidRPr="00837D06" w:rsidRDefault="00903A62" w:rsidP="00190325">
            <w:pPr>
              <w:pStyle w:val="ListParagraph"/>
              <w:ind w:left="0"/>
            </w:pPr>
            <w:r w:rsidRPr="00837D06">
              <w:rPr>
                <w:b/>
                <w:bCs/>
              </w:rPr>
              <w:t xml:space="preserve">Norway:  </w:t>
            </w:r>
            <w:r w:rsidRPr="00837D06">
              <w:t xml:space="preserve">Section 8(b) of the </w:t>
            </w:r>
            <w:r w:rsidRPr="00837D06">
              <w:rPr>
                <w:i/>
                <w:iCs/>
              </w:rPr>
              <w:t xml:space="preserve">Patents Act No. 9 of December 15, 1967 (consolidated version of 2016) </w:t>
            </w:r>
            <w:r w:rsidRPr="00837D06">
              <w:t xml:space="preserve">provides: </w:t>
            </w:r>
          </w:p>
          <w:p w14:paraId="440D97EC" w14:textId="77777777" w:rsidR="00903A62" w:rsidRPr="00837D06" w:rsidRDefault="00903A62" w:rsidP="00190325">
            <w:pPr>
              <w:pStyle w:val="ListParagraph"/>
            </w:pPr>
            <w:r w:rsidRPr="00837D06">
              <w:t xml:space="preserve">“If an invention concerns or uses biological material or [TK], the patent application shall include information on the country from which the inventor collected or received the material or the knowledge (the providing country). If it follows from the national law in the providing country that access to biological material or use of [TK] shall be subject to prior consent, the application shall state whether such consent has been obtained. [...] Breach of the duty to disclose information is subject to penalty in accordance with the General Civil Penal Code § 221. The duty to disclose information is without prejudice to the processing of patent applications or the validity of rights arising from granted patents.” </w:t>
            </w:r>
          </w:p>
        </w:tc>
      </w:tr>
    </w:tbl>
    <w:p w14:paraId="44871C9C" w14:textId="77777777" w:rsidR="00903A62" w:rsidRPr="00837D06" w:rsidRDefault="00903A62" w:rsidP="00903A62">
      <w:pPr>
        <w:pStyle w:val="ListParagraph"/>
        <w:ind w:left="1566"/>
        <w:rPr>
          <w:rFonts w:ascii="Arial" w:hAnsi="Arial" w:cs="Arial"/>
          <w:sz w:val="22"/>
          <w:szCs w:val="22"/>
        </w:rPr>
      </w:pPr>
    </w:p>
    <w:p w14:paraId="0E6157D4" w14:textId="77777777" w:rsidR="00903A62" w:rsidRPr="00837D06" w:rsidRDefault="00903A62" w:rsidP="00903A62">
      <w:pPr>
        <w:pStyle w:val="ListParagraph"/>
        <w:numPr>
          <w:ilvl w:val="0"/>
          <w:numId w:val="22"/>
        </w:numPr>
        <w:ind w:left="1566"/>
        <w:rPr>
          <w:rFonts w:ascii="Arial" w:hAnsi="Arial" w:cs="Arial"/>
          <w:sz w:val="22"/>
          <w:szCs w:val="22"/>
        </w:rPr>
      </w:pPr>
      <w:r w:rsidRPr="00837D06">
        <w:rPr>
          <w:rFonts w:ascii="Arial" w:hAnsi="Arial" w:cs="Arial"/>
          <w:sz w:val="22"/>
          <w:szCs w:val="22"/>
        </w:rPr>
        <w:t xml:space="preserve">Mandatory disclosure requirements of substantive nature, which refer to the nature of the invention or to the underlying standards of patentability.  In other words, such disclosure requirements are considered as having consequences for patentability. </w:t>
      </w:r>
    </w:p>
    <w:p w14:paraId="47731A9C"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shd w:val="clear" w:color="auto" w:fill="D0CECE" w:themeFill="background2" w:themeFillShade="E6"/>
        <w:tblLook w:val="04A0" w:firstRow="1" w:lastRow="0" w:firstColumn="1" w:lastColumn="0" w:noHBand="0" w:noVBand="1"/>
      </w:tblPr>
      <w:tblGrid>
        <w:gridCol w:w="7364"/>
      </w:tblGrid>
      <w:tr w:rsidR="00903A62" w:rsidRPr="00837D06" w14:paraId="0135D471" w14:textId="77777777" w:rsidTr="00190325">
        <w:tc>
          <w:tcPr>
            <w:tcW w:w="7364" w:type="dxa"/>
            <w:shd w:val="clear" w:color="auto" w:fill="D0CECE" w:themeFill="background2" w:themeFillShade="E6"/>
          </w:tcPr>
          <w:p w14:paraId="25D0AE29" w14:textId="77777777" w:rsidR="00903A62" w:rsidRPr="00837D06" w:rsidRDefault="00903A62" w:rsidP="00190325">
            <w:pPr>
              <w:pStyle w:val="NormalWeb"/>
              <w:rPr>
                <w:rFonts w:ascii="Arial" w:hAnsi="Arial" w:cs="Arial"/>
              </w:rPr>
            </w:pPr>
            <w:r w:rsidRPr="00837D06">
              <w:rPr>
                <w:rFonts w:ascii="Arial" w:hAnsi="Arial" w:cs="Arial"/>
              </w:rPr>
              <w:t xml:space="preserve">For example, </w:t>
            </w:r>
            <w:r w:rsidRPr="00837D06">
              <w:rPr>
                <w:rFonts w:ascii="Arial" w:hAnsi="Arial" w:cs="Arial"/>
                <w:b/>
                <w:bCs/>
              </w:rPr>
              <w:t xml:space="preserve">South Africa:  </w:t>
            </w:r>
            <w:r w:rsidRPr="00837D06">
              <w:rPr>
                <w:rFonts w:ascii="Arial" w:hAnsi="Arial" w:cs="Arial"/>
              </w:rPr>
              <w:t xml:space="preserve">Section 30 of the </w:t>
            </w:r>
            <w:r w:rsidRPr="00837D06">
              <w:rPr>
                <w:rFonts w:ascii="Arial" w:hAnsi="Arial" w:cs="Arial"/>
                <w:i/>
                <w:iCs/>
              </w:rPr>
              <w:t xml:space="preserve">Patents Amendment Act (Act No. 20 of 2005) </w:t>
            </w:r>
            <w:r w:rsidRPr="00837D06">
              <w:rPr>
                <w:rFonts w:ascii="Arial" w:hAnsi="Arial" w:cs="Arial"/>
              </w:rPr>
              <w:t xml:space="preserve">provides: </w:t>
            </w:r>
          </w:p>
          <w:p w14:paraId="51B62C6A" w14:textId="77777777" w:rsidR="00903A62" w:rsidRPr="00837D06" w:rsidRDefault="00903A62" w:rsidP="00190325">
            <w:pPr>
              <w:pStyle w:val="NormalWeb"/>
              <w:ind w:left="720"/>
              <w:rPr>
                <w:rFonts w:ascii="Arial" w:hAnsi="Arial" w:cs="Arial"/>
              </w:rPr>
            </w:pPr>
            <w:r w:rsidRPr="00837D06">
              <w:rPr>
                <w:rFonts w:ascii="Arial" w:hAnsi="Arial" w:cs="Arial"/>
              </w:rPr>
              <w:t xml:space="preserve">“(3A) Every applicant who lodges an application for a patent accompanied by a complete specification shall, before acceptance of the application, lodge with the registrar a statement in the prescribed manner stating whether or not the invention for which protection is claimed is based on or derived from an indigenous biological resource, [GR], or [TK] or use. </w:t>
            </w:r>
          </w:p>
          <w:p w14:paraId="54D2D053" w14:textId="77777777" w:rsidR="00903A62" w:rsidRPr="00837D06" w:rsidRDefault="00903A62" w:rsidP="00190325">
            <w:pPr>
              <w:pStyle w:val="NormalWeb"/>
              <w:ind w:left="720"/>
              <w:rPr>
                <w:rFonts w:ascii="Arial" w:hAnsi="Arial" w:cs="Arial"/>
              </w:rPr>
            </w:pPr>
            <w:r w:rsidRPr="00837D06">
              <w:rPr>
                <w:rFonts w:ascii="Arial" w:hAnsi="Arial" w:cs="Arial"/>
              </w:rPr>
              <w:t xml:space="preserve">“(3B) The registrar shall call upon the applicant to furnish proof in the prescribed manner as to his or her title or authority to make use of the indigenous biological resource, [GR], or of the [TK] or use if an applicant lodges a statement that acknowledges that the invention for which protection is claimed is based on or derived from an indigenous biological resource, [GR], or [TK] or use.” </w:t>
            </w:r>
          </w:p>
          <w:p w14:paraId="368ED69F" w14:textId="77777777" w:rsidR="00903A62" w:rsidRPr="00837D06" w:rsidRDefault="00903A62" w:rsidP="00190325">
            <w:pPr>
              <w:pStyle w:val="NormalWeb"/>
              <w:rPr>
                <w:rFonts w:ascii="Arial" w:hAnsi="Arial" w:cs="Arial"/>
              </w:rPr>
            </w:pPr>
          </w:p>
          <w:p w14:paraId="20CC5CC4" w14:textId="77777777" w:rsidR="00903A62" w:rsidRPr="00837D06" w:rsidRDefault="00903A62" w:rsidP="00190325">
            <w:pPr>
              <w:pStyle w:val="NormalWeb"/>
              <w:rPr>
                <w:rFonts w:ascii="Arial" w:hAnsi="Arial" w:cs="Arial"/>
              </w:rPr>
            </w:pPr>
            <w:r w:rsidRPr="00837D06">
              <w:rPr>
                <w:rFonts w:ascii="Arial" w:hAnsi="Arial" w:cs="Arial"/>
                <w:b/>
              </w:rPr>
              <w:t xml:space="preserve">India: </w:t>
            </w:r>
            <w:r w:rsidRPr="00837D06">
              <w:rPr>
                <w:rFonts w:ascii="Arial" w:hAnsi="Arial" w:cs="Arial"/>
              </w:rPr>
              <w:t xml:space="preserve"> Article 10(4)(d)(ii) of the </w:t>
            </w:r>
            <w:r w:rsidRPr="00837D06">
              <w:rPr>
                <w:rFonts w:ascii="Arial" w:hAnsi="Arial" w:cs="Arial"/>
                <w:i/>
              </w:rPr>
              <w:t>Patents Act, 1970, as amended by the Patents (Amendment) Act, 2005</w:t>
            </w:r>
            <w:r w:rsidRPr="00837D06">
              <w:rPr>
                <w:rFonts w:ascii="Arial" w:hAnsi="Arial" w:cs="Arial"/>
              </w:rPr>
              <w:t xml:space="preserve">, provides: </w:t>
            </w:r>
          </w:p>
          <w:p w14:paraId="5B0F9E39" w14:textId="77777777" w:rsidR="00903A62" w:rsidRPr="00837D06" w:rsidRDefault="00903A62" w:rsidP="00190325">
            <w:pPr>
              <w:pStyle w:val="NormalWeb"/>
              <w:ind w:left="720"/>
              <w:rPr>
                <w:rFonts w:ascii="Arial" w:hAnsi="Arial" w:cs="Arial"/>
              </w:rPr>
            </w:pPr>
            <w:r w:rsidRPr="00837D06">
              <w:rPr>
                <w:rFonts w:ascii="Arial" w:hAnsi="Arial" w:cs="Arial"/>
              </w:rPr>
              <w:t>“If the applicant mentions a biological material in the specification which may not be described in such a way as to satisfy clauses (a) and (b),[7] and if such material is not available to the public, the application shall be completed by depositing the material to an international depository authority under the Budapest Treaty and by fulfilling the following conditions, namely: […] (d) disclose the source and geographical origin of the biological material in the specification, when used in an invention.”</w:t>
            </w:r>
          </w:p>
        </w:tc>
      </w:tr>
    </w:tbl>
    <w:p w14:paraId="09239D77" w14:textId="77777777" w:rsidR="00903A62" w:rsidRPr="00837D06" w:rsidRDefault="00903A62" w:rsidP="00903A62">
      <w:pPr>
        <w:pStyle w:val="ListParagraph"/>
        <w:ind w:left="1566"/>
        <w:rPr>
          <w:rFonts w:ascii="Arial" w:hAnsi="Arial" w:cs="Arial"/>
          <w:sz w:val="22"/>
          <w:szCs w:val="22"/>
        </w:rPr>
      </w:pPr>
    </w:p>
    <w:p w14:paraId="365C8A5E" w14:textId="77777777" w:rsidR="00903A62" w:rsidRPr="00837D06" w:rsidRDefault="00903A62" w:rsidP="00903A62">
      <w:pPr>
        <w:pStyle w:val="ListParagraph"/>
        <w:numPr>
          <w:ilvl w:val="0"/>
          <w:numId w:val="22"/>
        </w:numPr>
        <w:ind w:left="1566"/>
        <w:rPr>
          <w:rFonts w:ascii="Arial" w:hAnsi="Arial" w:cs="Arial"/>
          <w:sz w:val="22"/>
          <w:szCs w:val="22"/>
        </w:rPr>
      </w:pPr>
      <w:r w:rsidRPr="00837D06">
        <w:rPr>
          <w:rFonts w:ascii="Arial" w:hAnsi="Arial" w:cs="Arial"/>
          <w:sz w:val="22"/>
          <w:szCs w:val="22"/>
        </w:rPr>
        <w:t>Voluntary disclosure requirements, as part of the patent procedure without any consequences for patent prosecution or patent validity.</w:t>
      </w:r>
    </w:p>
    <w:p w14:paraId="1734F69B" w14:textId="77777777" w:rsidR="00903A62" w:rsidRPr="00837D06" w:rsidRDefault="00903A62" w:rsidP="00903A62">
      <w:pPr>
        <w:pStyle w:val="ListParagraph"/>
        <w:ind w:left="1566"/>
        <w:rPr>
          <w:rFonts w:ascii="Arial" w:hAnsi="Arial" w:cs="Arial"/>
          <w:sz w:val="22"/>
          <w:szCs w:val="22"/>
        </w:rPr>
      </w:pPr>
    </w:p>
    <w:tbl>
      <w:tblPr>
        <w:tblStyle w:val="TableGrid"/>
        <w:tblW w:w="7429" w:type="dxa"/>
        <w:tblInd w:w="1679" w:type="dxa"/>
        <w:shd w:val="clear" w:color="auto" w:fill="D0CECE" w:themeFill="background2" w:themeFillShade="E6"/>
        <w:tblLook w:val="04A0" w:firstRow="1" w:lastRow="0" w:firstColumn="1" w:lastColumn="0" w:noHBand="0" w:noVBand="1"/>
      </w:tblPr>
      <w:tblGrid>
        <w:gridCol w:w="7429"/>
      </w:tblGrid>
      <w:tr w:rsidR="00903A62" w:rsidRPr="00837D06" w14:paraId="4333867C" w14:textId="77777777" w:rsidTr="00190325">
        <w:tc>
          <w:tcPr>
            <w:tcW w:w="7429" w:type="dxa"/>
            <w:shd w:val="clear" w:color="auto" w:fill="D0CECE" w:themeFill="background2" w:themeFillShade="E6"/>
          </w:tcPr>
          <w:p w14:paraId="65E547D0" w14:textId="5BEEDC5E" w:rsidR="00903A62" w:rsidRPr="00837D06" w:rsidRDefault="00903A62" w:rsidP="00190325">
            <w:pPr>
              <w:pStyle w:val="ListParagraph"/>
              <w:ind w:left="0"/>
            </w:pPr>
            <w:r w:rsidRPr="00837D06">
              <w:t xml:space="preserve">For example, </w:t>
            </w:r>
            <w:r w:rsidRPr="00837D06">
              <w:rPr>
                <w:b/>
              </w:rPr>
              <w:t>Germany:</w:t>
            </w:r>
            <w:r w:rsidRPr="00837D06">
              <w:t xml:space="preserve">  Section 34(a) of the </w:t>
            </w:r>
            <w:r w:rsidRPr="00837D06">
              <w:rPr>
                <w:i/>
              </w:rPr>
              <w:t>Patent Act</w:t>
            </w:r>
            <w:r w:rsidRPr="00837D06">
              <w:t xml:space="preserve"> </w:t>
            </w:r>
            <w:r w:rsidRPr="00837D06">
              <w:rPr>
                <w:i/>
              </w:rPr>
              <w:t>as published on December 16, 1980</w:t>
            </w:r>
            <w:bookmarkStart w:id="0" w:name="_GoBack"/>
            <w:bookmarkEnd w:id="0"/>
            <w:r w:rsidRPr="00837D06">
              <w:rPr>
                <w:i/>
              </w:rPr>
              <w:t xml:space="preserve"> (as last amended by Article 1 of the Act of October 19, 2013)</w:t>
            </w:r>
            <w:r w:rsidRPr="00837D06">
              <w:t xml:space="preserve"> provides: </w:t>
            </w:r>
          </w:p>
          <w:p w14:paraId="2800D68C" w14:textId="77777777" w:rsidR="00903A62" w:rsidRPr="00837D06" w:rsidRDefault="00903A62" w:rsidP="00190325">
            <w:pPr>
              <w:pStyle w:val="ListParagraph"/>
            </w:pPr>
            <w:r w:rsidRPr="00837D06">
              <w:t>“Where an invention is based on biological material of plant or animal origin or if it uses such material, the application should include information on the geographical origin of such material, if known.  This shall be without prejudice to the examination of applications or the validity of rights arising from granted patents.”</w:t>
            </w:r>
          </w:p>
        </w:tc>
      </w:tr>
    </w:tbl>
    <w:p w14:paraId="2ABB23C8" w14:textId="60FF7A34" w:rsidR="00903A62" w:rsidRDefault="00903A62" w:rsidP="00903A62">
      <w:pPr>
        <w:rPr>
          <w:rFonts w:ascii="Arial" w:hAnsi="Arial" w:cs="Arial"/>
          <w:sz w:val="22"/>
          <w:szCs w:val="22"/>
        </w:rPr>
      </w:pPr>
    </w:p>
    <w:p w14:paraId="43FFF9F4" w14:textId="56EFD280" w:rsidR="00F8459D" w:rsidRDefault="00F8459D" w:rsidP="00ED68E2">
      <w:pPr>
        <w:ind w:left="720"/>
        <w:rPr>
          <w:rFonts w:ascii="Arial" w:hAnsi="Arial" w:cs="Arial"/>
          <w:sz w:val="22"/>
          <w:szCs w:val="22"/>
        </w:rPr>
      </w:pPr>
      <w:r>
        <w:rPr>
          <w:rFonts w:ascii="Arial" w:hAnsi="Arial" w:cs="Arial"/>
          <w:sz w:val="22"/>
          <w:szCs w:val="22"/>
        </w:rPr>
        <w:t xml:space="preserve">In my view, </w:t>
      </w:r>
      <w:r w:rsidR="00121F9F">
        <w:rPr>
          <w:rFonts w:ascii="Arial" w:hAnsi="Arial" w:cs="Arial"/>
          <w:sz w:val="22"/>
          <w:szCs w:val="22"/>
        </w:rPr>
        <w:t xml:space="preserve">the instrument should introduce a mandatory requirement. </w:t>
      </w:r>
      <w:r w:rsidR="00B47D38">
        <w:rPr>
          <w:rFonts w:ascii="Arial" w:hAnsi="Arial" w:cs="Arial"/>
          <w:sz w:val="22"/>
          <w:szCs w:val="22"/>
        </w:rPr>
        <w:t xml:space="preserve"> </w:t>
      </w:r>
      <w:r w:rsidR="00121F9F">
        <w:rPr>
          <w:rFonts w:ascii="Arial" w:hAnsi="Arial" w:cs="Arial"/>
          <w:sz w:val="22"/>
          <w:szCs w:val="22"/>
        </w:rPr>
        <w:t xml:space="preserve">To support legal certainty, such disclosure requirement should clearly state what </w:t>
      </w:r>
      <w:r w:rsidR="00B16938">
        <w:rPr>
          <w:rFonts w:ascii="Arial" w:hAnsi="Arial" w:cs="Arial"/>
          <w:sz w:val="22"/>
          <w:szCs w:val="22"/>
        </w:rPr>
        <w:t>would activate</w:t>
      </w:r>
      <w:r w:rsidR="00121F9F">
        <w:rPr>
          <w:rFonts w:ascii="Arial" w:hAnsi="Arial" w:cs="Arial"/>
          <w:sz w:val="22"/>
          <w:szCs w:val="22"/>
        </w:rPr>
        <w:t xml:space="preserve"> the obligation to disclose (“</w:t>
      </w:r>
      <w:r w:rsidR="00121F9F" w:rsidRPr="00ED68E2">
        <w:rPr>
          <w:rFonts w:ascii="Arial" w:hAnsi="Arial" w:cs="Arial"/>
          <w:i/>
          <w:sz w:val="22"/>
          <w:szCs w:val="22"/>
        </w:rPr>
        <w:t>trigger</w:t>
      </w:r>
      <w:r w:rsidR="00121F9F">
        <w:rPr>
          <w:rFonts w:ascii="Arial" w:hAnsi="Arial" w:cs="Arial"/>
          <w:sz w:val="22"/>
          <w:szCs w:val="22"/>
        </w:rPr>
        <w:t>”) and which information would need to be disclose</w:t>
      </w:r>
      <w:r w:rsidR="00B16938">
        <w:rPr>
          <w:rFonts w:ascii="Arial" w:hAnsi="Arial" w:cs="Arial"/>
          <w:sz w:val="22"/>
          <w:szCs w:val="22"/>
        </w:rPr>
        <w:t>d</w:t>
      </w:r>
      <w:r w:rsidR="00121F9F">
        <w:rPr>
          <w:rFonts w:ascii="Arial" w:hAnsi="Arial" w:cs="Arial"/>
          <w:sz w:val="22"/>
          <w:szCs w:val="22"/>
        </w:rPr>
        <w:t xml:space="preserve"> (“</w:t>
      </w:r>
      <w:r w:rsidR="00121F9F" w:rsidRPr="00ED68E2">
        <w:rPr>
          <w:rFonts w:ascii="Arial" w:hAnsi="Arial" w:cs="Arial"/>
          <w:i/>
          <w:sz w:val="22"/>
          <w:szCs w:val="22"/>
        </w:rPr>
        <w:t>content</w:t>
      </w:r>
      <w:r w:rsidR="00121F9F">
        <w:rPr>
          <w:rFonts w:ascii="Arial" w:hAnsi="Arial" w:cs="Arial"/>
          <w:sz w:val="22"/>
          <w:szCs w:val="22"/>
        </w:rPr>
        <w:t xml:space="preserve">”). </w:t>
      </w:r>
    </w:p>
    <w:p w14:paraId="365E7802" w14:textId="77777777" w:rsidR="00F8459D" w:rsidRPr="00837D06" w:rsidRDefault="00F8459D" w:rsidP="00903A62">
      <w:pPr>
        <w:rPr>
          <w:rFonts w:ascii="Arial" w:hAnsi="Arial" w:cs="Arial"/>
          <w:sz w:val="22"/>
          <w:szCs w:val="22"/>
        </w:rPr>
      </w:pPr>
    </w:p>
    <w:p w14:paraId="6858763D" w14:textId="77777777" w:rsidR="00903A62" w:rsidRPr="00837D06" w:rsidRDefault="00903A62" w:rsidP="00903A62">
      <w:pPr>
        <w:pStyle w:val="ListParagraph"/>
        <w:numPr>
          <w:ilvl w:val="0"/>
          <w:numId w:val="21"/>
        </w:numPr>
        <w:ind w:left="1440"/>
        <w:rPr>
          <w:rFonts w:ascii="Arial" w:hAnsi="Arial" w:cs="Arial"/>
          <w:b/>
          <w:sz w:val="22"/>
          <w:szCs w:val="22"/>
        </w:rPr>
      </w:pPr>
      <w:r w:rsidRPr="00837D06">
        <w:rPr>
          <w:rFonts w:ascii="Arial" w:hAnsi="Arial" w:cs="Arial"/>
          <w:b/>
          <w:sz w:val="22"/>
          <w:szCs w:val="22"/>
        </w:rPr>
        <w:t>Trigger of disclosure</w:t>
      </w:r>
    </w:p>
    <w:p w14:paraId="24BCE00C" w14:textId="77777777" w:rsidR="00903A62" w:rsidRPr="00837D06" w:rsidRDefault="00903A62" w:rsidP="00903A62">
      <w:pPr>
        <w:ind w:left="720"/>
        <w:rPr>
          <w:rFonts w:ascii="Arial" w:hAnsi="Arial" w:cs="Arial"/>
          <w:sz w:val="22"/>
          <w:szCs w:val="22"/>
        </w:rPr>
      </w:pPr>
    </w:p>
    <w:p w14:paraId="7CEBF6AF"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Two options have been proposed in relation to the issue of the trigger:  “utilization of” and “directly based on”.  </w:t>
      </w:r>
    </w:p>
    <w:p w14:paraId="03639EF9" w14:textId="77777777" w:rsidR="00903A62" w:rsidRPr="00837D06" w:rsidRDefault="00903A62" w:rsidP="00903A62">
      <w:pPr>
        <w:ind w:left="720"/>
        <w:rPr>
          <w:rFonts w:ascii="Arial" w:hAnsi="Arial" w:cs="Arial"/>
          <w:sz w:val="22"/>
          <w:szCs w:val="22"/>
        </w:rPr>
      </w:pPr>
    </w:p>
    <w:p w14:paraId="1FD672A0" w14:textId="7602287C" w:rsidR="00903A62" w:rsidRPr="00837D06" w:rsidRDefault="00903A62" w:rsidP="00903A62">
      <w:pPr>
        <w:pStyle w:val="ListParagraph"/>
        <w:numPr>
          <w:ilvl w:val="0"/>
          <w:numId w:val="22"/>
        </w:numPr>
        <w:ind w:left="1566"/>
        <w:rPr>
          <w:rFonts w:ascii="Arial" w:hAnsi="Arial" w:cs="Arial"/>
          <w:sz w:val="22"/>
          <w:szCs w:val="22"/>
        </w:rPr>
      </w:pPr>
      <w:r w:rsidRPr="00837D06">
        <w:rPr>
          <w:rFonts w:ascii="Arial" w:hAnsi="Arial" w:cs="Arial"/>
          <w:sz w:val="22"/>
          <w:szCs w:val="22"/>
        </w:rPr>
        <w:t xml:space="preserve">“Utilization” is a term used in the Nagoya Protocol, and is focused on </w:t>
      </w:r>
      <w:r w:rsidR="00121F9F">
        <w:rPr>
          <w:rFonts w:ascii="Arial" w:hAnsi="Arial" w:cs="Arial"/>
          <w:sz w:val="22"/>
          <w:szCs w:val="22"/>
        </w:rPr>
        <w:t>research and development (</w:t>
      </w:r>
      <w:r w:rsidRPr="00837D06">
        <w:rPr>
          <w:rFonts w:ascii="Arial" w:hAnsi="Arial" w:cs="Arial"/>
          <w:sz w:val="22"/>
          <w:szCs w:val="22"/>
        </w:rPr>
        <w:t>R&amp;D</w:t>
      </w:r>
      <w:r w:rsidR="00121F9F">
        <w:rPr>
          <w:rFonts w:ascii="Arial" w:hAnsi="Arial" w:cs="Arial"/>
          <w:sz w:val="22"/>
          <w:szCs w:val="22"/>
        </w:rPr>
        <w:t>)</w:t>
      </w:r>
      <w:r w:rsidRPr="00837D06">
        <w:rPr>
          <w:rFonts w:ascii="Arial" w:hAnsi="Arial" w:cs="Arial"/>
          <w:sz w:val="22"/>
          <w:szCs w:val="22"/>
        </w:rPr>
        <w:t xml:space="preserve">.  In some countries, the term “use” is used instead of “utilization”.  </w:t>
      </w:r>
    </w:p>
    <w:p w14:paraId="00F83880"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tblLook w:val="04A0" w:firstRow="1" w:lastRow="0" w:firstColumn="1" w:lastColumn="0" w:noHBand="0" w:noVBand="1"/>
      </w:tblPr>
      <w:tblGrid>
        <w:gridCol w:w="7364"/>
      </w:tblGrid>
      <w:tr w:rsidR="00903A62" w:rsidRPr="00837D06" w14:paraId="654890CA" w14:textId="77777777" w:rsidTr="00190325">
        <w:tc>
          <w:tcPr>
            <w:tcW w:w="7364" w:type="dxa"/>
            <w:shd w:val="clear" w:color="auto" w:fill="D0CECE" w:themeFill="background2" w:themeFillShade="E6"/>
          </w:tcPr>
          <w:p w14:paraId="4D9C27D8" w14:textId="77777777" w:rsidR="00903A62" w:rsidRPr="00837D06" w:rsidRDefault="00903A62" w:rsidP="00190325">
            <w:pPr>
              <w:pStyle w:val="NormalWeb"/>
              <w:rPr>
                <w:rFonts w:ascii="Arial" w:hAnsi="Arial" w:cs="Arial"/>
              </w:rPr>
            </w:pPr>
            <w:r w:rsidRPr="00837D06">
              <w:rPr>
                <w:rFonts w:ascii="Arial" w:hAnsi="Arial" w:cs="Arial"/>
              </w:rPr>
              <w:t xml:space="preserve">For example, </w:t>
            </w:r>
            <w:r w:rsidRPr="00837D06">
              <w:rPr>
                <w:rFonts w:ascii="Arial" w:hAnsi="Arial" w:cs="Arial"/>
                <w:b/>
                <w:bCs/>
              </w:rPr>
              <w:t xml:space="preserve">People’s Republic of China (PRC):  </w:t>
            </w:r>
            <w:r w:rsidRPr="00837D06">
              <w:rPr>
                <w:rFonts w:ascii="Arial" w:hAnsi="Arial" w:cs="Arial"/>
              </w:rPr>
              <w:t xml:space="preserve">Article 26 of the </w:t>
            </w:r>
            <w:r w:rsidRPr="00837D06">
              <w:rPr>
                <w:rFonts w:ascii="Arial" w:hAnsi="Arial" w:cs="Arial"/>
                <w:i/>
                <w:iCs/>
              </w:rPr>
              <w:t xml:space="preserve">Patent Law of the PRC (as amended by the Decision of December 27, 2008, regarding the Revision of the Patent Law of the PRC) </w:t>
            </w:r>
            <w:r w:rsidRPr="00837D06">
              <w:rPr>
                <w:rFonts w:ascii="Arial" w:hAnsi="Arial" w:cs="Arial"/>
              </w:rPr>
              <w:t xml:space="preserve">provides: </w:t>
            </w:r>
          </w:p>
          <w:p w14:paraId="7AB15CC9" w14:textId="77777777" w:rsidR="00903A62" w:rsidRPr="00837D06" w:rsidRDefault="00903A62" w:rsidP="00190325">
            <w:pPr>
              <w:pStyle w:val="NormalWeb"/>
              <w:ind w:left="720"/>
              <w:rPr>
                <w:rFonts w:ascii="Arial" w:hAnsi="Arial" w:cs="Arial"/>
              </w:rPr>
            </w:pPr>
            <w:r w:rsidRPr="00837D06">
              <w:rPr>
                <w:rFonts w:ascii="Arial" w:hAnsi="Arial" w:cs="Arial"/>
              </w:rPr>
              <w:t xml:space="preserve">“With regard to an invention-creation accomplished by relying on [GRs], the applicant shall, in the patent application documents, indicate the direct and original source of the genetic resources.” </w:t>
            </w:r>
          </w:p>
          <w:p w14:paraId="01419617" w14:textId="77777777" w:rsidR="00903A62" w:rsidRPr="00837D06" w:rsidRDefault="00903A62" w:rsidP="00190325">
            <w:pPr>
              <w:pStyle w:val="NormalWeb"/>
              <w:rPr>
                <w:rFonts w:ascii="Arial" w:hAnsi="Arial" w:cs="Arial"/>
              </w:rPr>
            </w:pPr>
          </w:p>
          <w:p w14:paraId="4C27A8A0" w14:textId="77777777" w:rsidR="00903A62" w:rsidRPr="00837D06" w:rsidRDefault="00903A62" w:rsidP="00190325">
            <w:pPr>
              <w:pStyle w:val="NormalWeb"/>
              <w:rPr>
                <w:rFonts w:ascii="Arial" w:hAnsi="Arial" w:cs="Arial"/>
              </w:rPr>
            </w:pPr>
            <w:r w:rsidRPr="00837D06">
              <w:rPr>
                <w:rFonts w:ascii="Arial" w:hAnsi="Arial" w:cs="Arial"/>
              </w:rPr>
              <w:t xml:space="preserve">Relevant implementing rules also explain that the expression “the invention/creation accomplished by relying on GRs” refers to “[...] those invention/creation of which the accomplishment uses the genetic function of [GRs]”. </w:t>
            </w:r>
          </w:p>
          <w:p w14:paraId="287CEBC7" w14:textId="77777777" w:rsidR="00903A62" w:rsidRPr="00837D06" w:rsidRDefault="00903A62" w:rsidP="00190325">
            <w:pPr>
              <w:pStyle w:val="NormalWeb"/>
              <w:rPr>
                <w:rFonts w:ascii="Arial" w:hAnsi="Arial" w:cs="Arial"/>
                <w:b/>
                <w:bCs/>
              </w:rPr>
            </w:pPr>
          </w:p>
          <w:p w14:paraId="5B6DF494" w14:textId="77777777" w:rsidR="00903A62" w:rsidRPr="00837D06" w:rsidRDefault="00903A62" w:rsidP="00190325">
            <w:pPr>
              <w:pStyle w:val="NormalWeb"/>
              <w:rPr>
                <w:rFonts w:ascii="Arial" w:hAnsi="Arial" w:cs="Arial"/>
              </w:rPr>
            </w:pPr>
            <w:r w:rsidRPr="00837D06">
              <w:rPr>
                <w:rFonts w:ascii="Arial" w:hAnsi="Arial" w:cs="Arial"/>
                <w:b/>
                <w:bCs/>
              </w:rPr>
              <w:t xml:space="preserve">India:  </w:t>
            </w:r>
            <w:r w:rsidRPr="00837D06">
              <w:rPr>
                <w:rFonts w:ascii="Arial" w:hAnsi="Arial" w:cs="Arial"/>
              </w:rPr>
              <w:t xml:space="preserve">Section 10 of the </w:t>
            </w:r>
            <w:r w:rsidRPr="00837D06">
              <w:rPr>
                <w:rFonts w:ascii="Arial" w:hAnsi="Arial" w:cs="Arial"/>
                <w:i/>
                <w:iCs/>
              </w:rPr>
              <w:t xml:space="preserve">Patents (Amendments) Act 2002 </w:t>
            </w:r>
            <w:r w:rsidRPr="00837D06">
              <w:rPr>
                <w:rFonts w:ascii="Arial" w:hAnsi="Arial" w:cs="Arial"/>
              </w:rPr>
              <w:t xml:space="preserve">states: </w:t>
            </w:r>
          </w:p>
          <w:p w14:paraId="244CAFF4" w14:textId="77777777" w:rsidR="00903A62" w:rsidRPr="00837D06" w:rsidRDefault="00903A62" w:rsidP="00190325">
            <w:pPr>
              <w:pStyle w:val="NormalWeb"/>
              <w:ind w:left="720"/>
              <w:rPr>
                <w:rFonts w:ascii="Arial" w:hAnsi="Arial" w:cs="Arial"/>
              </w:rPr>
            </w:pPr>
            <w:r w:rsidRPr="00837D06">
              <w:rPr>
                <w:rFonts w:ascii="Arial" w:hAnsi="Arial" w:cs="Arial"/>
              </w:rPr>
              <w:t xml:space="preserve">“Every complete specification shall [...] disclose the source and geographical origin of the biological material in the specification, when used in an invention.” </w:t>
            </w:r>
          </w:p>
          <w:p w14:paraId="2D06E37B" w14:textId="77777777" w:rsidR="00903A62" w:rsidRPr="00837D06" w:rsidRDefault="00903A62" w:rsidP="00190325">
            <w:pPr>
              <w:pStyle w:val="NormalWeb"/>
              <w:rPr>
                <w:rFonts w:ascii="Arial" w:hAnsi="Arial" w:cs="Arial"/>
                <w:b/>
                <w:bCs/>
              </w:rPr>
            </w:pPr>
          </w:p>
          <w:p w14:paraId="7C51B63A" w14:textId="77777777" w:rsidR="00903A62" w:rsidRPr="00837D06" w:rsidRDefault="00903A62" w:rsidP="00190325">
            <w:pPr>
              <w:pStyle w:val="NormalWeb"/>
              <w:rPr>
                <w:rFonts w:ascii="Arial" w:hAnsi="Arial" w:cs="Arial"/>
              </w:rPr>
            </w:pPr>
            <w:r w:rsidRPr="00837D06">
              <w:rPr>
                <w:rFonts w:ascii="Arial" w:hAnsi="Arial" w:cs="Arial"/>
                <w:b/>
                <w:bCs/>
              </w:rPr>
              <w:lastRenderedPageBreak/>
              <w:t xml:space="preserve">Norway:  </w:t>
            </w:r>
            <w:r w:rsidRPr="00837D06">
              <w:rPr>
                <w:rFonts w:ascii="Arial" w:hAnsi="Arial" w:cs="Arial"/>
              </w:rPr>
              <w:t xml:space="preserve">Section 8b of </w:t>
            </w:r>
            <w:r w:rsidRPr="00837D06">
              <w:rPr>
                <w:rFonts w:ascii="Arial" w:hAnsi="Arial" w:cs="Arial"/>
                <w:i/>
                <w:iCs/>
              </w:rPr>
              <w:t xml:space="preserve">Patent Act No. 9 of December 15, 1967 (consolidated version of 2016) </w:t>
            </w:r>
            <w:r w:rsidRPr="00837D06">
              <w:rPr>
                <w:rFonts w:ascii="Arial" w:hAnsi="Arial" w:cs="Arial"/>
              </w:rPr>
              <w:t xml:space="preserve">provides: </w:t>
            </w:r>
          </w:p>
          <w:p w14:paraId="65C8D963" w14:textId="77777777" w:rsidR="00903A62" w:rsidRPr="00837D06" w:rsidRDefault="00903A62" w:rsidP="00190325">
            <w:pPr>
              <w:pStyle w:val="NormalWeb"/>
              <w:ind w:left="720"/>
              <w:rPr>
                <w:rFonts w:ascii="Arial" w:hAnsi="Arial" w:cs="Arial"/>
              </w:rPr>
            </w:pPr>
            <w:r w:rsidRPr="00837D06">
              <w:rPr>
                <w:rFonts w:ascii="Arial" w:hAnsi="Arial" w:cs="Arial"/>
              </w:rPr>
              <w:t xml:space="preserve">“If an invention concerns or uses biological material or traditional knowledge, the patent application shall include information on the country from which the inventor collected or received the material or the knowledge (the providing country).  If it follows from the national law in the providing country that access to biological material or use of traditional knowledge shall be subject to prior consent, the application shall state whether such consent has been obtained.” </w:t>
            </w:r>
          </w:p>
        </w:tc>
      </w:tr>
    </w:tbl>
    <w:p w14:paraId="2BE78FD1" w14:textId="77777777" w:rsidR="00903A62" w:rsidRPr="00837D06" w:rsidRDefault="00903A62" w:rsidP="00903A62">
      <w:pPr>
        <w:ind w:left="360"/>
        <w:rPr>
          <w:rFonts w:ascii="Arial" w:hAnsi="Arial" w:cs="Arial"/>
          <w:sz w:val="22"/>
          <w:szCs w:val="22"/>
        </w:rPr>
      </w:pPr>
    </w:p>
    <w:p w14:paraId="6D85171F" w14:textId="736D7099" w:rsidR="00903A62" w:rsidRPr="00837D06" w:rsidRDefault="00903A62" w:rsidP="00903A62">
      <w:pPr>
        <w:pStyle w:val="ListParagraph"/>
        <w:numPr>
          <w:ilvl w:val="0"/>
          <w:numId w:val="22"/>
        </w:numPr>
        <w:ind w:left="1566"/>
        <w:rPr>
          <w:rFonts w:ascii="Arial" w:hAnsi="Arial" w:cs="Arial"/>
          <w:sz w:val="22"/>
          <w:szCs w:val="22"/>
        </w:rPr>
      </w:pPr>
      <w:r w:rsidRPr="00837D06">
        <w:rPr>
          <w:rFonts w:ascii="Arial" w:hAnsi="Arial" w:cs="Arial"/>
          <w:sz w:val="22"/>
          <w:szCs w:val="22"/>
        </w:rPr>
        <w:t xml:space="preserve">“Directly based on” means that the invention must make immediate use of the GR.    </w:t>
      </w:r>
    </w:p>
    <w:p w14:paraId="25D4E411" w14:textId="77777777" w:rsidR="00903A62" w:rsidRPr="00837D06" w:rsidRDefault="00903A62" w:rsidP="00903A62">
      <w:pPr>
        <w:pStyle w:val="ListParagraph"/>
        <w:ind w:left="1566"/>
        <w:rPr>
          <w:rFonts w:ascii="Arial" w:hAnsi="Arial" w:cs="Arial"/>
          <w:sz w:val="22"/>
          <w:szCs w:val="22"/>
        </w:rPr>
      </w:pPr>
    </w:p>
    <w:tbl>
      <w:tblPr>
        <w:tblStyle w:val="TableGrid"/>
        <w:tblW w:w="7364" w:type="dxa"/>
        <w:tblInd w:w="1744" w:type="dxa"/>
        <w:tblLook w:val="04A0" w:firstRow="1" w:lastRow="0" w:firstColumn="1" w:lastColumn="0" w:noHBand="0" w:noVBand="1"/>
      </w:tblPr>
      <w:tblGrid>
        <w:gridCol w:w="7364"/>
      </w:tblGrid>
      <w:tr w:rsidR="00903A62" w:rsidRPr="00837D06" w14:paraId="04EE8D6B" w14:textId="77777777" w:rsidTr="00190325">
        <w:tc>
          <w:tcPr>
            <w:tcW w:w="7364" w:type="dxa"/>
            <w:shd w:val="clear" w:color="auto" w:fill="D0CECE" w:themeFill="background2" w:themeFillShade="E6"/>
          </w:tcPr>
          <w:p w14:paraId="733E37EA" w14:textId="77777777" w:rsidR="00903A62" w:rsidRPr="00837D06" w:rsidRDefault="00903A62" w:rsidP="00190325">
            <w:pPr>
              <w:pStyle w:val="ListParagraph"/>
              <w:ind w:left="0"/>
            </w:pPr>
            <w:r w:rsidRPr="00837D06">
              <w:t xml:space="preserve">For example, </w:t>
            </w:r>
            <w:r w:rsidRPr="00837D06">
              <w:rPr>
                <w:b/>
                <w:bCs/>
              </w:rPr>
              <w:t xml:space="preserve">Switzerland:  </w:t>
            </w:r>
            <w:r w:rsidRPr="00837D06">
              <w:t xml:space="preserve">Article 49 of the </w:t>
            </w:r>
            <w:r w:rsidRPr="00837D06">
              <w:rPr>
                <w:i/>
                <w:iCs/>
              </w:rPr>
              <w:t xml:space="preserve">Amendment of Patent Law of June 2, 2007, RO 2008 2551 </w:t>
            </w:r>
            <w:r w:rsidRPr="00837D06">
              <w:t xml:space="preserve">provides: </w:t>
            </w:r>
          </w:p>
          <w:p w14:paraId="34F400BF" w14:textId="77777777" w:rsidR="00903A62" w:rsidRPr="00837D06" w:rsidRDefault="00903A62" w:rsidP="00190325">
            <w:pPr>
              <w:pStyle w:val="ListParagraph"/>
            </w:pPr>
            <w:r w:rsidRPr="00837D06">
              <w:t xml:space="preserve">“For inventions based on [GRs] or [TK] the patent application must contain information concerning the source: </w:t>
            </w:r>
          </w:p>
          <w:p w14:paraId="0FCD793B" w14:textId="77777777" w:rsidR="00903A62" w:rsidRPr="00837D06" w:rsidRDefault="00903A62" w:rsidP="00190325">
            <w:pPr>
              <w:pStyle w:val="ListParagraph"/>
              <w:ind w:left="1440"/>
            </w:pPr>
            <w:r w:rsidRPr="00837D06">
              <w:t xml:space="preserve">(a) of the [GRs] to which the inventor or the applicant had access, when the invention is based directly on that resource; </w:t>
            </w:r>
          </w:p>
          <w:p w14:paraId="58B077BE" w14:textId="77777777" w:rsidR="00903A62" w:rsidRPr="00837D06" w:rsidRDefault="00903A62" w:rsidP="00190325">
            <w:pPr>
              <w:pStyle w:val="ListParagraph"/>
              <w:ind w:left="1440"/>
            </w:pPr>
            <w:r w:rsidRPr="00837D06">
              <w:t xml:space="preserve">(b) of [TK] of indigenous or local communities related to the [GRs] to which the inventor or applicant had access, when the invention is based directly on that knowledge.” </w:t>
            </w:r>
          </w:p>
        </w:tc>
      </w:tr>
    </w:tbl>
    <w:p w14:paraId="4EB3E9BB" w14:textId="77777777" w:rsidR="00903A62" w:rsidRPr="00837D06" w:rsidRDefault="00903A62" w:rsidP="00903A62">
      <w:pPr>
        <w:ind w:left="720"/>
        <w:rPr>
          <w:rFonts w:ascii="Arial" w:hAnsi="Arial" w:cs="Arial"/>
          <w:sz w:val="22"/>
          <w:szCs w:val="22"/>
        </w:rPr>
      </w:pPr>
    </w:p>
    <w:p w14:paraId="671A9D0C"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The definitions of “utilization of” and “directly based on” are other issues to be considered. </w:t>
      </w:r>
    </w:p>
    <w:p w14:paraId="0307C7B4" w14:textId="77777777" w:rsidR="00903A62" w:rsidRPr="00837D06" w:rsidRDefault="00903A62" w:rsidP="00903A62">
      <w:pPr>
        <w:ind w:left="720"/>
        <w:rPr>
          <w:rFonts w:ascii="Arial" w:hAnsi="Arial" w:cs="Arial"/>
          <w:sz w:val="22"/>
          <w:szCs w:val="22"/>
        </w:rPr>
      </w:pPr>
    </w:p>
    <w:p w14:paraId="5C84FEE9" w14:textId="3420AAD9" w:rsidR="00903A62" w:rsidRPr="00837D06" w:rsidRDefault="00903A62" w:rsidP="00903A62">
      <w:pPr>
        <w:ind w:left="720"/>
        <w:rPr>
          <w:rFonts w:ascii="Arial" w:hAnsi="Arial" w:cs="Arial"/>
          <w:sz w:val="22"/>
          <w:szCs w:val="22"/>
        </w:rPr>
      </w:pPr>
      <w:r w:rsidRPr="00837D06">
        <w:rPr>
          <w:rFonts w:ascii="Arial" w:hAnsi="Arial" w:cs="Arial"/>
          <w:sz w:val="22"/>
          <w:szCs w:val="22"/>
        </w:rPr>
        <w:t>“Derived from” is another term</w:t>
      </w:r>
      <w:r w:rsidR="00A711AA">
        <w:rPr>
          <w:rFonts w:ascii="Arial" w:hAnsi="Arial" w:cs="Arial"/>
          <w:sz w:val="22"/>
          <w:szCs w:val="22"/>
        </w:rPr>
        <w:t xml:space="preserve"> that</w:t>
      </w:r>
      <w:r w:rsidRPr="00837D06">
        <w:rPr>
          <w:rFonts w:ascii="Arial" w:hAnsi="Arial" w:cs="Arial"/>
          <w:sz w:val="22"/>
          <w:szCs w:val="22"/>
        </w:rPr>
        <w:t xml:space="preserve"> has been used in some national laws.  This could possibly be the broadest trigger.  In the absence of a specific definition, the term could be interpreted to encompass different things, ranging from direct physical derivation from a GR to any synthetic biology product that is created using gene sequence data simply obtained from an online repository or database, and anything in between these two.</w:t>
      </w:r>
    </w:p>
    <w:p w14:paraId="7534052A" w14:textId="77777777" w:rsidR="00903A62" w:rsidRPr="00837D06" w:rsidRDefault="00903A62" w:rsidP="00903A62">
      <w:pPr>
        <w:ind w:left="720"/>
        <w:rPr>
          <w:rFonts w:ascii="Arial" w:hAnsi="Arial" w:cs="Arial"/>
          <w:sz w:val="22"/>
          <w:szCs w:val="22"/>
        </w:rPr>
      </w:pPr>
    </w:p>
    <w:tbl>
      <w:tblPr>
        <w:tblStyle w:val="TableGrid"/>
        <w:tblW w:w="7364" w:type="dxa"/>
        <w:tblInd w:w="1744" w:type="dxa"/>
        <w:tblLook w:val="04A0" w:firstRow="1" w:lastRow="0" w:firstColumn="1" w:lastColumn="0" w:noHBand="0" w:noVBand="1"/>
      </w:tblPr>
      <w:tblGrid>
        <w:gridCol w:w="7364"/>
      </w:tblGrid>
      <w:tr w:rsidR="00903A62" w:rsidRPr="00837D06" w14:paraId="10E2CDCE" w14:textId="77777777" w:rsidTr="00190325">
        <w:tc>
          <w:tcPr>
            <w:tcW w:w="7364" w:type="dxa"/>
            <w:shd w:val="clear" w:color="auto" w:fill="D0CECE" w:themeFill="background2" w:themeFillShade="E6"/>
          </w:tcPr>
          <w:p w14:paraId="67B708E7" w14:textId="77777777" w:rsidR="00903A62" w:rsidRPr="00837D06" w:rsidRDefault="00903A62" w:rsidP="00190325">
            <w:pPr>
              <w:pStyle w:val="ListParagraph"/>
              <w:ind w:left="0"/>
            </w:pPr>
            <w:r w:rsidRPr="00837D06">
              <w:t xml:space="preserve">For example, </w:t>
            </w:r>
            <w:r w:rsidRPr="00837D06">
              <w:rPr>
                <w:b/>
              </w:rPr>
              <w:t>Andean Community:</w:t>
            </w:r>
            <w:r w:rsidRPr="00837D06">
              <w:t xml:space="preserve">  Article 26 of </w:t>
            </w:r>
            <w:r w:rsidRPr="00837D06">
              <w:rPr>
                <w:i/>
              </w:rPr>
              <w:t xml:space="preserve">Decision No. 486 Establishing the Common Industrial Property Regime (2000) </w:t>
            </w:r>
            <w:r w:rsidRPr="00837D06">
              <w:t xml:space="preserve">states: </w:t>
            </w:r>
          </w:p>
          <w:p w14:paraId="73DD6E71" w14:textId="77777777" w:rsidR="00903A62" w:rsidRPr="00837D06" w:rsidRDefault="00903A62" w:rsidP="00190325">
            <w:pPr>
              <w:pStyle w:val="ListParagraph"/>
            </w:pPr>
            <w:r w:rsidRPr="00837D06">
              <w:t>“Applications for patents shall be filed with the competent national office and shall contain: […] (h) a copy of the contract for access, if the products or processes for which a patent application is being filed were obtained or developed from [GRs] or byproducts originating in one of the Member Countries; (i) if applicable, a copy of the document that certifies the license or authorization to use the [TK] of indigenous, African American, or local communities in the Member Countries where the products or processes whose protection is being requested was obtained or developed on the basis of the knowledge originating in any one of the Member Countries, pursuant to the provisions of Decision 391 and its effective amendments and regulations […].”</w:t>
            </w:r>
          </w:p>
        </w:tc>
      </w:tr>
    </w:tbl>
    <w:p w14:paraId="67FE08E9" w14:textId="77777777" w:rsidR="00903A62" w:rsidRPr="00837D06" w:rsidRDefault="00903A62" w:rsidP="00903A62">
      <w:pPr>
        <w:rPr>
          <w:rFonts w:ascii="Arial" w:hAnsi="Arial" w:cs="Arial"/>
          <w:sz w:val="22"/>
          <w:szCs w:val="22"/>
        </w:rPr>
      </w:pPr>
    </w:p>
    <w:p w14:paraId="17A8D1E0" w14:textId="7BCD4216" w:rsidR="00903A62" w:rsidRDefault="00903A62" w:rsidP="00903A62">
      <w:pPr>
        <w:ind w:left="720"/>
        <w:rPr>
          <w:rFonts w:ascii="Arial" w:hAnsi="Arial" w:cs="Arial"/>
          <w:sz w:val="22"/>
          <w:szCs w:val="22"/>
        </w:rPr>
      </w:pPr>
      <w:r w:rsidRPr="00837D06">
        <w:rPr>
          <w:rFonts w:ascii="Arial" w:hAnsi="Arial" w:cs="Arial"/>
          <w:sz w:val="22"/>
          <w:szCs w:val="22"/>
        </w:rPr>
        <w:t>Other terms used to express the triggers are “produced or developed on the basis of”, “based on”, “replying on” and “concerning”.</w:t>
      </w:r>
    </w:p>
    <w:p w14:paraId="0C6D2FF2" w14:textId="2BF4BB4B" w:rsidR="00A711AA" w:rsidRDefault="00A711AA" w:rsidP="00903A62">
      <w:pPr>
        <w:ind w:left="720"/>
        <w:rPr>
          <w:rFonts w:ascii="Arial" w:hAnsi="Arial" w:cs="Arial"/>
          <w:sz w:val="22"/>
          <w:szCs w:val="22"/>
        </w:rPr>
      </w:pPr>
    </w:p>
    <w:p w14:paraId="66C1E8F0" w14:textId="239E01ED" w:rsidR="00A711AA" w:rsidRPr="00837D06" w:rsidRDefault="00A711AA" w:rsidP="00903A62">
      <w:pPr>
        <w:ind w:left="720"/>
        <w:rPr>
          <w:rFonts w:ascii="Arial" w:hAnsi="Arial" w:cs="Arial"/>
          <w:sz w:val="22"/>
          <w:szCs w:val="22"/>
        </w:rPr>
      </w:pPr>
      <w:r>
        <w:rPr>
          <w:rFonts w:ascii="Arial" w:hAnsi="Arial" w:cs="Arial"/>
          <w:sz w:val="22"/>
          <w:szCs w:val="22"/>
        </w:rPr>
        <w:lastRenderedPageBreak/>
        <w:t xml:space="preserve">In my opinion, the term “directly based on” clearly indicates a causal link </w:t>
      </w:r>
      <w:r w:rsidR="00B16938">
        <w:rPr>
          <w:rFonts w:ascii="Arial" w:hAnsi="Arial" w:cs="Arial"/>
          <w:sz w:val="22"/>
          <w:szCs w:val="22"/>
        </w:rPr>
        <w:t>and is possibly the narrowest trigger</w:t>
      </w:r>
      <w:r>
        <w:rPr>
          <w:rFonts w:ascii="Arial" w:hAnsi="Arial" w:cs="Arial"/>
          <w:sz w:val="22"/>
          <w:szCs w:val="22"/>
        </w:rPr>
        <w:t xml:space="preserve">. </w:t>
      </w:r>
      <w:r w:rsidR="00B47D38">
        <w:rPr>
          <w:rFonts w:ascii="Arial" w:hAnsi="Arial" w:cs="Arial"/>
          <w:sz w:val="22"/>
          <w:szCs w:val="22"/>
        </w:rPr>
        <w:t xml:space="preserve"> </w:t>
      </w:r>
      <w:r>
        <w:rPr>
          <w:rFonts w:ascii="Arial" w:hAnsi="Arial" w:cs="Arial"/>
          <w:sz w:val="22"/>
          <w:szCs w:val="22"/>
        </w:rPr>
        <w:t xml:space="preserve">In practice, this would mean that only those GRs without which the invention could not be made, should be disclosed. </w:t>
      </w:r>
      <w:r w:rsidR="00A46002">
        <w:rPr>
          <w:rFonts w:ascii="Arial" w:hAnsi="Arial" w:cs="Arial"/>
          <w:sz w:val="22"/>
          <w:szCs w:val="22"/>
        </w:rPr>
        <w:t xml:space="preserve">Clearly whatever the words used the definition of the trigger is fundamental to the scope of the instrument and the impact on legal certainty and requires careful consideration </w:t>
      </w:r>
      <w:r w:rsidR="00B47D38">
        <w:rPr>
          <w:rFonts w:ascii="Arial" w:hAnsi="Arial" w:cs="Arial"/>
          <w:sz w:val="22"/>
          <w:szCs w:val="22"/>
        </w:rPr>
        <w:t xml:space="preserve"> </w:t>
      </w:r>
    </w:p>
    <w:p w14:paraId="4288422F" w14:textId="77777777" w:rsidR="00903A62" w:rsidRPr="00837D06" w:rsidRDefault="00903A62" w:rsidP="00903A62">
      <w:pPr>
        <w:rPr>
          <w:rFonts w:ascii="Arial" w:hAnsi="Arial" w:cs="Arial"/>
          <w:sz w:val="22"/>
          <w:szCs w:val="22"/>
        </w:rPr>
      </w:pPr>
    </w:p>
    <w:p w14:paraId="005FEDAE" w14:textId="77777777" w:rsidR="00903A62" w:rsidRPr="00837D06" w:rsidRDefault="00903A62" w:rsidP="00903A62">
      <w:pPr>
        <w:pStyle w:val="ListParagraph"/>
        <w:numPr>
          <w:ilvl w:val="0"/>
          <w:numId w:val="21"/>
        </w:numPr>
        <w:ind w:left="1440"/>
        <w:rPr>
          <w:rFonts w:ascii="Arial" w:hAnsi="Arial" w:cs="Arial"/>
          <w:b/>
          <w:sz w:val="22"/>
          <w:szCs w:val="22"/>
        </w:rPr>
      </w:pPr>
      <w:r w:rsidRPr="00837D06">
        <w:rPr>
          <w:rFonts w:ascii="Arial" w:hAnsi="Arial" w:cs="Arial"/>
          <w:b/>
          <w:sz w:val="22"/>
          <w:szCs w:val="22"/>
        </w:rPr>
        <w:t>Content of disclosure</w:t>
      </w:r>
    </w:p>
    <w:p w14:paraId="7B2DCF33" w14:textId="77777777" w:rsidR="00903A62" w:rsidRPr="00837D06" w:rsidRDefault="00903A62" w:rsidP="00903A62">
      <w:pPr>
        <w:ind w:left="720"/>
        <w:rPr>
          <w:rFonts w:ascii="Arial" w:hAnsi="Arial" w:cs="Arial"/>
          <w:sz w:val="22"/>
          <w:szCs w:val="22"/>
        </w:rPr>
      </w:pPr>
    </w:p>
    <w:p w14:paraId="2772D110"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Three categories of information have been proposed related to the content of disclosure:  </w:t>
      </w:r>
    </w:p>
    <w:p w14:paraId="7ACB2C80" w14:textId="77777777" w:rsidR="00903A62" w:rsidRPr="00837D06" w:rsidRDefault="00903A62" w:rsidP="00903A62">
      <w:pPr>
        <w:ind w:left="720"/>
        <w:rPr>
          <w:rFonts w:ascii="Arial" w:hAnsi="Arial" w:cs="Arial"/>
          <w:sz w:val="22"/>
          <w:szCs w:val="22"/>
        </w:rPr>
      </w:pPr>
    </w:p>
    <w:p w14:paraId="5F771499" w14:textId="77777777" w:rsidR="00903A62" w:rsidRPr="00837D06" w:rsidRDefault="00903A62" w:rsidP="00903A62">
      <w:pPr>
        <w:ind w:left="1440"/>
        <w:rPr>
          <w:rFonts w:ascii="Arial" w:hAnsi="Arial" w:cs="Arial"/>
          <w:sz w:val="22"/>
          <w:szCs w:val="22"/>
        </w:rPr>
      </w:pPr>
      <w:r w:rsidRPr="00837D06">
        <w:rPr>
          <w:rFonts w:ascii="Arial" w:hAnsi="Arial" w:cs="Arial"/>
          <w:sz w:val="22"/>
          <w:szCs w:val="22"/>
        </w:rPr>
        <w:t xml:space="preserve">(1) the country of origin;  </w:t>
      </w:r>
    </w:p>
    <w:p w14:paraId="765E1336" w14:textId="77777777" w:rsidR="00903A62" w:rsidRPr="00837D06" w:rsidRDefault="00903A62" w:rsidP="00903A62">
      <w:pPr>
        <w:ind w:left="1440"/>
        <w:rPr>
          <w:rFonts w:ascii="Arial" w:hAnsi="Arial" w:cs="Arial"/>
          <w:sz w:val="22"/>
          <w:szCs w:val="22"/>
        </w:rPr>
      </w:pPr>
    </w:p>
    <w:tbl>
      <w:tblPr>
        <w:tblStyle w:val="TableGrid"/>
        <w:tblW w:w="0" w:type="auto"/>
        <w:tblInd w:w="1728" w:type="dxa"/>
        <w:tblLook w:val="04A0" w:firstRow="1" w:lastRow="0" w:firstColumn="1" w:lastColumn="0" w:noHBand="0" w:noVBand="1"/>
      </w:tblPr>
      <w:tblGrid>
        <w:gridCol w:w="7282"/>
      </w:tblGrid>
      <w:tr w:rsidR="00903A62" w:rsidRPr="00837D06" w14:paraId="6FFA2989" w14:textId="77777777" w:rsidTr="00190325">
        <w:tc>
          <w:tcPr>
            <w:tcW w:w="7380" w:type="dxa"/>
            <w:shd w:val="clear" w:color="auto" w:fill="D0CECE" w:themeFill="background2" w:themeFillShade="E6"/>
          </w:tcPr>
          <w:p w14:paraId="1213F276" w14:textId="77777777" w:rsidR="00903A62" w:rsidRPr="00837D06" w:rsidRDefault="00903A62" w:rsidP="00190325">
            <w:r w:rsidRPr="00837D06">
              <w:t xml:space="preserve">For example, </w:t>
            </w:r>
            <w:r w:rsidRPr="00837D06">
              <w:rPr>
                <w:b/>
              </w:rPr>
              <w:t>Norway:</w:t>
            </w:r>
            <w:r w:rsidRPr="00837D06">
              <w:t xml:space="preserve">  Section 8(b) of </w:t>
            </w:r>
            <w:r w:rsidRPr="00837D06">
              <w:rPr>
                <w:i/>
              </w:rPr>
              <w:t>the Patents Act No. 9 of December 15, 1967 (consolidated version of 2016)</w:t>
            </w:r>
            <w:r w:rsidRPr="00837D06">
              <w:t xml:space="preserve"> adopts a very detailed rule: </w:t>
            </w:r>
          </w:p>
          <w:p w14:paraId="22494574" w14:textId="77777777" w:rsidR="00903A62" w:rsidRPr="00837D06" w:rsidRDefault="00903A62" w:rsidP="00190325">
            <w:pPr>
              <w:ind w:left="720"/>
            </w:pPr>
            <w:r w:rsidRPr="00837D06">
              <w:t>“If an invention concerns or uses biological material, the patent application shall include information on the country from which the inventor collected or received the material (the providing country).  If it follows from the national law in the providing country that access to biological material shall be subject to prior consent, the application shall state whether such consent has been obtained.  If the providing country is not the same as the country of origin of the biological material, the application shall also state the country of origin.  The country of origin means the country from which the material was collected from its natural environment.  If the national law in the country of origin requires that access to biological material shall be subject to prior consent, the application shall state whether such consent has been obtained.  If the information set out in this subsection is not known, the applicant shall state that.”</w:t>
            </w:r>
          </w:p>
        </w:tc>
      </w:tr>
    </w:tbl>
    <w:p w14:paraId="6B186806" w14:textId="77777777" w:rsidR="00903A62" w:rsidRPr="00837D06" w:rsidRDefault="00903A62" w:rsidP="00903A62">
      <w:pPr>
        <w:ind w:left="1440"/>
        <w:rPr>
          <w:rFonts w:ascii="Arial" w:hAnsi="Arial" w:cs="Arial"/>
          <w:sz w:val="22"/>
          <w:szCs w:val="22"/>
        </w:rPr>
      </w:pPr>
    </w:p>
    <w:p w14:paraId="225BA6BE" w14:textId="77777777" w:rsidR="00903A62" w:rsidRPr="00837D06" w:rsidRDefault="00903A62" w:rsidP="00903A62">
      <w:pPr>
        <w:ind w:left="1440"/>
        <w:rPr>
          <w:rFonts w:ascii="Arial" w:hAnsi="Arial" w:cs="Arial"/>
          <w:sz w:val="22"/>
          <w:szCs w:val="22"/>
        </w:rPr>
      </w:pPr>
      <w:r w:rsidRPr="00837D06">
        <w:rPr>
          <w:rFonts w:ascii="Arial" w:hAnsi="Arial" w:cs="Arial"/>
          <w:sz w:val="22"/>
          <w:szCs w:val="22"/>
        </w:rPr>
        <w:t xml:space="preserve">(2) the source of the GRs and/or TK;  and </w:t>
      </w:r>
    </w:p>
    <w:p w14:paraId="3118848A" w14:textId="77777777" w:rsidR="00903A62" w:rsidRPr="00837D06" w:rsidRDefault="00903A62" w:rsidP="00903A62">
      <w:pPr>
        <w:ind w:left="1440"/>
        <w:rPr>
          <w:rFonts w:ascii="Arial" w:hAnsi="Arial" w:cs="Arial"/>
          <w:sz w:val="22"/>
          <w:szCs w:val="22"/>
        </w:rPr>
      </w:pPr>
    </w:p>
    <w:tbl>
      <w:tblPr>
        <w:tblStyle w:val="TableGrid"/>
        <w:tblW w:w="0" w:type="auto"/>
        <w:tblInd w:w="1728" w:type="dxa"/>
        <w:tblLook w:val="04A0" w:firstRow="1" w:lastRow="0" w:firstColumn="1" w:lastColumn="0" w:noHBand="0" w:noVBand="1"/>
      </w:tblPr>
      <w:tblGrid>
        <w:gridCol w:w="7282"/>
      </w:tblGrid>
      <w:tr w:rsidR="00903A62" w:rsidRPr="00837D06" w14:paraId="1CCD9B46" w14:textId="77777777" w:rsidTr="00190325">
        <w:tc>
          <w:tcPr>
            <w:tcW w:w="7380" w:type="dxa"/>
            <w:shd w:val="clear" w:color="auto" w:fill="D0CECE" w:themeFill="background2" w:themeFillShade="E6"/>
          </w:tcPr>
          <w:p w14:paraId="14A180D8" w14:textId="77777777" w:rsidR="00903A62" w:rsidRPr="00837D06" w:rsidRDefault="00903A62" w:rsidP="00190325">
            <w:r w:rsidRPr="00837D06">
              <w:t xml:space="preserve">For example, </w:t>
            </w:r>
            <w:r w:rsidRPr="00837D06">
              <w:rPr>
                <w:b/>
              </w:rPr>
              <w:t>People’s Republic of China:</w:t>
            </w:r>
            <w:r w:rsidRPr="00837D06">
              <w:t xml:space="preserve">  </w:t>
            </w:r>
            <w:r w:rsidRPr="00837D06">
              <w:rPr>
                <w:i/>
              </w:rPr>
              <w:t>Article 26(5) of Patent Law Amendment, December 27, 2008</w:t>
            </w:r>
            <w:r w:rsidRPr="00837D06">
              <w:t>, which entered into force in October 2009 states: “</w:t>
            </w:r>
          </w:p>
          <w:p w14:paraId="12D8A8BA" w14:textId="77777777" w:rsidR="00903A62" w:rsidRPr="00837D06" w:rsidRDefault="00903A62" w:rsidP="00190325">
            <w:pPr>
              <w:ind w:left="720"/>
            </w:pPr>
            <w:r w:rsidRPr="00837D06">
              <w:t>[…] for an invention-creation, the completion of which depends on genetic resources, the applicant shall indicate the direct source and original source of said genetic resources in the application documents; the applicant shall state reasons if the original source of said genetic resources cannot be indicated.”</w:t>
            </w:r>
          </w:p>
        </w:tc>
      </w:tr>
    </w:tbl>
    <w:p w14:paraId="16CA8CA5" w14:textId="77777777" w:rsidR="00903A62" w:rsidRPr="00837D06" w:rsidRDefault="00903A62" w:rsidP="00903A62">
      <w:pPr>
        <w:ind w:left="1440"/>
        <w:rPr>
          <w:rFonts w:ascii="Arial" w:hAnsi="Arial" w:cs="Arial"/>
          <w:sz w:val="22"/>
          <w:szCs w:val="22"/>
        </w:rPr>
      </w:pPr>
    </w:p>
    <w:p w14:paraId="4CEEF7C7" w14:textId="49E3EC7D" w:rsidR="00903A62" w:rsidRPr="00837D06" w:rsidRDefault="00945BB3" w:rsidP="00903A62">
      <w:pPr>
        <w:ind w:left="1440"/>
        <w:rPr>
          <w:rFonts w:ascii="Arial" w:hAnsi="Arial" w:cs="Arial"/>
          <w:sz w:val="22"/>
          <w:szCs w:val="22"/>
        </w:rPr>
      </w:pPr>
      <w:r w:rsidRPr="00837D06" w:rsidDel="00945BB3">
        <w:rPr>
          <w:rFonts w:ascii="Arial" w:hAnsi="Arial" w:cs="Arial"/>
          <w:sz w:val="22"/>
          <w:szCs w:val="22"/>
        </w:rPr>
        <w:t xml:space="preserve"> </w:t>
      </w:r>
      <w:r w:rsidR="00903A62" w:rsidRPr="00837D06">
        <w:rPr>
          <w:rFonts w:ascii="Arial" w:hAnsi="Arial" w:cs="Arial"/>
          <w:sz w:val="22"/>
          <w:szCs w:val="22"/>
        </w:rPr>
        <w:t>(3) information regarding compliance with access and benefit-sharing requirements</w:t>
      </w:r>
      <w:r w:rsidR="004D1EB2">
        <w:rPr>
          <w:rFonts w:ascii="Arial" w:hAnsi="Arial" w:cs="Arial"/>
          <w:sz w:val="22"/>
          <w:szCs w:val="22"/>
        </w:rPr>
        <w:t>,</w:t>
      </w:r>
      <w:r w:rsidR="00903A62" w:rsidRPr="00837D06">
        <w:rPr>
          <w:rFonts w:ascii="Arial" w:hAnsi="Arial" w:cs="Arial"/>
          <w:sz w:val="22"/>
          <w:szCs w:val="22"/>
        </w:rPr>
        <w:t xml:space="preserve"> including prior informed consent.  </w:t>
      </w:r>
    </w:p>
    <w:p w14:paraId="06A476B9" w14:textId="77777777" w:rsidR="00903A62" w:rsidRPr="00837D06" w:rsidRDefault="00903A62" w:rsidP="00903A62">
      <w:pPr>
        <w:ind w:left="1440"/>
        <w:rPr>
          <w:rFonts w:ascii="Arial" w:hAnsi="Arial" w:cs="Arial"/>
          <w:sz w:val="22"/>
          <w:szCs w:val="22"/>
        </w:rPr>
      </w:pPr>
    </w:p>
    <w:tbl>
      <w:tblPr>
        <w:tblStyle w:val="TableGrid"/>
        <w:tblW w:w="0" w:type="auto"/>
        <w:tblInd w:w="1728" w:type="dxa"/>
        <w:tblLook w:val="04A0" w:firstRow="1" w:lastRow="0" w:firstColumn="1" w:lastColumn="0" w:noHBand="0" w:noVBand="1"/>
      </w:tblPr>
      <w:tblGrid>
        <w:gridCol w:w="7282"/>
      </w:tblGrid>
      <w:tr w:rsidR="00903A62" w:rsidRPr="00837D06" w14:paraId="167F2AE6" w14:textId="77777777" w:rsidTr="00190325">
        <w:tc>
          <w:tcPr>
            <w:tcW w:w="7380" w:type="dxa"/>
            <w:shd w:val="clear" w:color="auto" w:fill="D0CECE" w:themeFill="background2" w:themeFillShade="E6"/>
          </w:tcPr>
          <w:p w14:paraId="6E6B3A1F" w14:textId="77777777" w:rsidR="00903A62" w:rsidRPr="00837D06" w:rsidRDefault="00903A62" w:rsidP="00190325">
            <w:r w:rsidRPr="00837D06">
              <w:t xml:space="preserve">For example, </w:t>
            </w:r>
            <w:r w:rsidRPr="00837D06">
              <w:rPr>
                <w:b/>
              </w:rPr>
              <w:t>Andean Community:</w:t>
            </w:r>
            <w:r w:rsidRPr="00837D06">
              <w:t xml:space="preserve">  Article 26 of </w:t>
            </w:r>
            <w:r w:rsidRPr="00837D06">
              <w:rPr>
                <w:i/>
              </w:rPr>
              <w:t>Decision No. 486 Establishing the Common Industrial Property Regime (2000)</w:t>
            </w:r>
            <w:r w:rsidRPr="00837D06">
              <w:t xml:space="preserve"> states that a patent application shall contain: </w:t>
            </w:r>
          </w:p>
          <w:p w14:paraId="22A1A9D4" w14:textId="77777777" w:rsidR="00903A62" w:rsidRPr="00837D06" w:rsidRDefault="00903A62" w:rsidP="00190325">
            <w:pPr>
              <w:ind w:left="720"/>
            </w:pPr>
            <w:r w:rsidRPr="00837D06">
              <w:t xml:space="preserve">“[a] copy of the contract for access, if the products or processes for which a patent application is being filed were obtained or developed from genetic resources or byproducts originating in one of the Member Countries;  […] if applicable, a copy of the document that certifies the license or authorization to use the </w:t>
            </w:r>
            <w:r w:rsidRPr="00837D06">
              <w:lastRenderedPageBreak/>
              <w:t xml:space="preserve">traditional knowledge of indigenous, African American, or local communities in the Member Countries where the products or processes whose protection is being requested [were] obtained or developed on the basis of the knowledge originating in any one of the Member Countries, pursuant to the provisions of Decision 391 and its effective amendments and regulations.” </w:t>
            </w:r>
          </w:p>
          <w:p w14:paraId="2EFCF984" w14:textId="77777777" w:rsidR="00903A62" w:rsidRPr="00837D06" w:rsidRDefault="00903A62" w:rsidP="00190325"/>
          <w:p w14:paraId="39FD0C14" w14:textId="77777777" w:rsidR="00903A62" w:rsidRPr="00837D06" w:rsidRDefault="00903A62" w:rsidP="00190325">
            <w:r w:rsidRPr="00837D06">
              <w:rPr>
                <w:b/>
              </w:rPr>
              <w:t>South Africa:</w:t>
            </w:r>
            <w:r w:rsidRPr="00837D06">
              <w:t xml:space="preserve">  </w:t>
            </w:r>
            <w:r w:rsidRPr="00837D06">
              <w:rPr>
                <w:i/>
              </w:rPr>
              <w:t>Section 30 of the Patent Law (as amended in 2005)</w:t>
            </w:r>
            <w:r w:rsidRPr="00837D06">
              <w:t xml:space="preserve"> provides: </w:t>
            </w:r>
          </w:p>
          <w:p w14:paraId="3BC52DEA" w14:textId="77777777" w:rsidR="00903A62" w:rsidRPr="00837D06" w:rsidRDefault="00903A62" w:rsidP="00190325">
            <w:pPr>
              <w:ind w:left="720"/>
            </w:pPr>
            <w:r w:rsidRPr="00837D06">
              <w:t>“Every applicant who lodges an application for a patent accompanied by a complete specification shall, before acceptance of the application, lodge with the registrar a statement in the prescribed manner stating whether or not the invention for which protection is claimed is based on or derived from an indigenous biological resource, genetic resource, or traditional knowledge or use.  The registrar shall call upon the applicant to furnish proof in the prescribed manner as to his or her title or authority to make use of the indigenous biological resource, genetic resource, or of the traditional knowledge or use if an applicant lodges a statement that acknowledges that the invention for which protection is claimed is based on or derived from an indigenous biological resource, genetic resource, or traditional knowledge or use.”</w:t>
            </w:r>
          </w:p>
        </w:tc>
      </w:tr>
    </w:tbl>
    <w:p w14:paraId="279D7892" w14:textId="77777777" w:rsidR="00903A62" w:rsidRPr="00837D06" w:rsidRDefault="00903A62" w:rsidP="00903A62">
      <w:pPr>
        <w:rPr>
          <w:rFonts w:ascii="Arial" w:hAnsi="Arial" w:cs="Arial"/>
          <w:sz w:val="22"/>
          <w:szCs w:val="22"/>
        </w:rPr>
      </w:pPr>
    </w:p>
    <w:p w14:paraId="1FA4D5DA" w14:textId="50B49B70" w:rsidR="004D1EB2" w:rsidRDefault="00F13674" w:rsidP="00903A62">
      <w:pPr>
        <w:ind w:left="720"/>
        <w:rPr>
          <w:rFonts w:ascii="Arial" w:hAnsi="Arial" w:cs="Arial"/>
          <w:sz w:val="22"/>
          <w:szCs w:val="22"/>
        </w:rPr>
      </w:pPr>
      <w:r>
        <w:rPr>
          <w:rFonts w:ascii="Arial" w:hAnsi="Arial" w:cs="Arial"/>
          <w:sz w:val="22"/>
          <w:szCs w:val="22"/>
        </w:rPr>
        <w:t xml:space="preserve">I think that, depending on the specific circumstances, different information could be requested to be disclosed. </w:t>
      </w:r>
      <w:r w:rsidR="00B47D38">
        <w:rPr>
          <w:rFonts w:ascii="Arial" w:hAnsi="Arial" w:cs="Arial"/>
          <w:sz w:val="22"/>
          <w:szCs w:val="22"/>
        </w:rPr>
        <w:t xml:space="preserve"> </w:t>
      </w:r>
      <w:r>
        <w:rPr>
          <w:rFonts w:ascii="Arial" w:hAnsi="Arial" w:cs="Arial"/>
          <w:sz w:val="22"/>
          <w:szCs w:val="22"/>
        </w:rPr>
        <w:t xml:space="preserve">In this line, if known by the patent applicant, the country of origin of the GRs should be disclosed. </w:t>
      </w:r>
      <w:r w:rsidR="00B47D38">
        <w:rPr>
          <w:rFonts w:ascii="Arial" w:hAnsi="Arial" w:cs="Arial"/>
          <w:sz w:val="22"/>
          <w:szCs w:val="22"/>
        </w:rPr>
        <w:t xml:space="preserve"> </w:t>
      </w:r>
      <w:r>
        <w:rPr>
          <w:rFonts w:ascii="Arial" w:hAnsi="Arial" w:cs="Arial"/>
          <w:sz w:val="22"/>
          <w:szCs w:val="22"/>
        </w:rPr>
        <w:t>When it is not possible for the patent applican</w:t>
      </w:r>
      <w:r w:rsidR="00B16938">
        <w:rPr>
          <w:rFonts w:ascii="Arial" w:hAnsi="Arial" w:cs="Arial"/>
          <w:sz w:val="22"/>
          <w:szCs w:val="22"/>
        </w:rPr>
        <w:t>t to disclose this information,</w:t>
      </w:r>
      <w:r>
        <w:rPr>
          <w:rFonts w:ascii="Arial" w:hAnsi="Arial" w:cs="Arial"/>
          <w:sz w:val="22"/>
          <w:szCs w:val="22"/>
        </w:rPr>
        <w:t xml:space="preserve"> the source of the GRs should be disclosed. </w:t>
      </w:r>
      <w:r w:rsidR="00B47D38">
        <w:rPr>
          <w:rFonts w:ascii="Arial" w:hAnsi="Arial" w:cs="Arial"/>
          <w:sz w:val="22"/>
          <w:szCs w:val="22"/>
        </w:rPr>
        <w:t xml:space="preserve"> </w:t>
      </w:r>
      <w:r>
        <w:rPr>
          <w:rFonts w:ascii="Arial" w:hAnsi="Arial" w:cs="Arial"/>
          <w:sz w:val="22"/>
          <w:szCs w:val="22"/>
        </w:rPr>
        <w:t xml:space="preserve">Finally, </w:t>
      </w:r>
      <w:r w:rsidR="00D52F64">
        <w:rPr>
          <w:rFonts w:ascii="Arial" w:hAnsi="Arial" w:cs="Arial"/>
          <w:sz w:val="22"/>
          <w:szCs w:val="22"/>
        </w:rPr>
        <w:t>if none of the previous information is available, the applicant should make a declaration to that effect.</w:t>
      </w:r>
      <w:r w:rsidR="00783061">
        <w:rPr>
          <w:rFonts w:ascii="Arial" w:hAnsi="Arial" w:cs="Arial"/>
          <w:sz w:val="22"/>
          <w:szCs w:val="22"/>
        </w:rPr>
        <w:t xml:space="preserve"> In addition, we need to consider if we need to differentiate between the information required to be disclosed relating to associated TK and GRs.  </w:t>
      </w:r>
    </w:p>
    <w:p w14:paraId="1517AA6E" w14:textId="77777777" w:rsidR="004D1EB2" w:rsidRDefault="004D1EB2" w:rsidP="00903A62">
      <w:pPr>
        <w:ind w:left="720"/>
        <w:rPr>
          <w:rFonts w:ascii="Arial" w:hAnsi="Arial" w:cs="Arial"/>
          <w:sz w:val="22"/>
          <w:szCs w:val="22"/>
        </w:rPr>
      </w:pPr>
    </w:p>
    <w:p w14:paraId="5F2749A9" w14:textId="47F44735" w:rsidR="00903A62" w:rsidRPr="00837D06" w:rsidRDefault="00783061" w:rsidP="00903A62">
      <w:pPr>
        <w:ind w:left="720"/>
        <w:rPr>
          <w:rFonts w:ascii="Arial" w:hAnsi="Arial" w:cs="Arial"/>
          <w:sz w:val="22"/>
          <w:szCs w:val="22"/>
        </w:rPr>
      </w:pPr>
      <w:r>
        <w:rPr>
          <w:rFonts w:ascii="Arial" w:hAnsi="Arial" w:cs="Arial"/>
          <w:sz w:val="22"/>
          <w:szCs w:val="22"/>
        </w:rPr>
        <w:t xml:space="preserve">Also, when considering </w:t>
      </w:r>
      <w:r w:rsidR="00903A62" w:rsidRPr="00837D06">
        <w:rPr>
          <w:rFonts w:ascii="Arial" w:hAnsi="Arial" w:cs="Arial"/>
          <w:sz w:val="22"/>
          <w:szCs w:val="22"/>
        </w:rPr>
        <w:t xml:space="preserve">which categories of information should be disclosed, the definitions of “country of origin” and “sources” should also be considered. </w:t>
      </w:r>
    </w:p>
    <w:p w14:paraId="0141C352" w14:textId="77777777" w:rsidR="00903A62" w:rsidRPr="00837D06" w:rsidRDefault="00903A62" w:rsidP="00903A62">
      <w:pPr>
        <w:ind w:left="720"/>
        <w:rPr>
          <w:rFonts w:ascii="Arial" w:hAnsi="Arial" w:cs="Arial"/>
          <w:sz w:val="22"/>
          <w:szCs w:val="22"/>
        </w:rPr>
      </w:pPr>
    </w:p>
    <w:p w14:paraId="52EEDBFB" w14:textId="77777777" w:rsidR="00903A62" w:rsidRPr="00837D06" w:rsidRDefault="00903A62" w:rsidP="00903A62">
      <w:pPr>
        <w:pStyle w:val="ListParagraph"/>
        <w:numPr>
          <w:ilvl w:val="0"/>
          <w:numId w:val="21"/>
        </w:numPr>
        <w:ind w:left="1440"/>
        <w:rPr>
          <w:rFonts w:ascii="Arial" w:hAnsi="Arial" w:cs="Arial"/>
          <w:b/>
          <w:sz w:val="22"/>
          <w:szCs w:val="22"/>
        </w:rPr>
      </w:pPr>
      <w:r w:rsidRPr="00837D06">
        <w:rPr>
          <w:rFonts w:ascii="Arial" w:hAnsi="Arial" w:cs="Arial"/>
          <w:b/>
          <w:sz w:val="22"/>
          <w:szCs w:val="22"/>
        </w:rPr>
        <w:t xml:space="preserve">Consequence of non-compliance </w:t>
      </w:r>
    </w:p>
    <w:p w14:paraId="307A190F" w14:textId="77777777" w:rsidR="00903A62" w:rsidRPr="00837D06" w:rsidRDefault="00903A62" w:rsidP="00903A62">
      <w:pPr>
        <w:ind w:left="720"/>
        <w:rPr>
          <w:rFonts w:ascii="Arial" w:hAnsi="Arial" w:cs="Arial"/>
          <w:sz w:val="22"/>
          <w:szCs w:val="22"/>
        </w:rPr>
      </w:pPr>
    </w:p>
    <w:p w14:paraId="57201077"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As I indicated before, the consolidated document has been significantly refined with inclusion of an administrative mechanism option focused on ensuring transparency within the IP/patent system rather than solely a regime based around a substantive patentability requirement.  One issue to be addressed is whether pre-grant and post-grant measures need to be described in detail in the instrument, noting that international IP instruments usually provide minimum standards with flexibilities for Member States to implement those international IP instruments. </w:t>
      </w:r>
    </w:p>
    <w:p w14:paraId="04249208" w14:textId="77777777" w:rsidR="00903A62" w:rsidRPr="00837D06" w:rsidRDefault="00903A62" w:rsidP="00903A62">
      <w:pPr>
        <w:ind w:left="720"/>
        <w:rPr>
          <w:rFonts w:ascii="Arial" w:hAnsi="Arial" w:cs="Arial"/>
          <w:sz w:val="22"/>
          <w:szCs w:val="22"/>
        </w:rPr>
      </w:pPr>
    </w:p>
    <w:p w14:paraId="0A02E67F" w14:textId="77777777" w:rsidR="00903A62" w:rsidRPr="00837D06" w:rsidRDefault="00903A62" w:rsidP="00903A62">
      <w:pPr>
        <w:ind w:left="720"/>
        <w:rPr>
          <w:rFonts w:ascii="Arial" w:hAnsi="Arial" w:cs="Arial"/>
          <w:sz w:val="22"/>
          <w:szCs w:val="22"/>
        </w:rPr>
      </w:pPr>
      <w:r w:rsidRPr="00837D06">
        <w:rPr>
          <w:rFonts w:ascii="Arial" w:hAnsi="Arial" w:cs="Arial"/>
          <w:sz w:val="22"/>
          <w:szCs w:val="22"/>
        </w:rPr>
        <w:t xml:space="preserve">A key question relating to consequence of non-compliance is whether non-compliance should affect the validity of a granted patent and, if so, what would the permissible condition(s) for revocation be, especially taking into account that an administrative mechanism is included?  Aside from revocation, what other options are there? </w:t>
      </w:r>
    </w:p>
    <w:p w14:paraId="2C514259" w14:textId="77777777" w:rsidR="00903A62" w:rsidRPr="00837D06" w:rsidRDefault="00903A62" w:rsidP="00903A62">
      <w:pPr>
        <w:ind w:left="720"/>
        <w:rPr>
          <w:rFonts w:ascii="Arial" w:hAnsi="Arial" w:cs="Arial"/>
          <w:sz w:val="22"/>
          <w:szCs w:val="22"/>
        </w:rPr>
      </w:pPr>
    </w:p>
    <w:tbl>
      <w:tblPr>
        <w:tblStyle w:val="TableGrid"/>
        <w:tblW w:w="8214" w:type="dxa"/>
        <w:tblInd w:w="894" w:type="dxa"/>
        <w:tblLook w:val="04A0" w:firstRow="1" w:lastRow="0" w:firstColumn="1" w:lastColumn="0" w:noHBand="0" w:noVBand="1"/>
      </w:tblPr>
      <w:tblGrid>
        <w:gridCol w:w="8214"/>
      </w:tblGrid>
      <w:tr w:rsidR="00903A62" w:rsidRPr="00837D06" w14:paraId="4494EE3F" w14:textId="77777777" w:rsidTr="00190325">
        <w:tc>
          <w:tcPr>
            <w:tcW w:w="8214" w:type="dxa"/>
            <w:shd w:val="clear" w:color="auto" w:fill="D0CECE" w:themeFill="background2" w:themeFillShade="E6"/>
          </w:tcPr>
          <w:p w14:paraId="446B0A40" w14:textId="77777777" w:rsidR="00903A62" w:rsidRPr="00837D06" w:rsidRDefault="00903A62" w:rsidP="00190325">
            <w:pPr>
              <w:pStyle w:val="NormalWeb"/>
              <w:rPr>
                <w:rFonts w:ascii="Arial" w:hAnsi="Arial" w:cs="Arial"/>
              </w:rPr>
            </w:pPr>
            <w:r w:rsidRPr="00837D06">
              <w:rPr>
                <w:rFonts w:ascii="Arial" w:hAnsi="Arial" w:cs="Arial"/>
              </w:rPr>
              <w:lastRenderedPageBreak/>
              <w:t xml:space="preserve">For example, </w:t>
            </w:r>
            <w:r w:rsidRPr="00837D06">
              <w:rPr>
                <w:rFonts w:ascii="Arial" w:hAnsi="Arial" w:cs="Arial"/>
                <w:b/>
              </w:rPr>
              <w:t>Switzerland:</w:t>
            </w:r>
            <w:r w:rsidRPr="00837D06">
              <w:rPr>
                <w:rFonts w:ascii="Arial" w:hAnsi="Arial" w:cs="Arial"/>
              </w:rPr>
              <w:t xml:space="preserve">  Article 81(a) of </w:t>
            </w:r>
            <w:r w:rsidRPr="00837D06">
              <w:rPr>
                <w:rFonts w:ascii="Arial" w:hAnsi="Arial" w:cs="Arial"/>
                <w:i/>
              </w:rPr>
              <w:t>the Federal Act of June 25, 1954 on Patents for Inventions (status as of January 1, 2012)</w:t>
            </w:r>
            <w:r w:rsidRPr="00837D06">
              <w:rPr>
                <w:rFonts w:ascii="Arial" w:hAnsi="Arial" w:cs="Arial"/>
              </w:rPr>
              <w:t xml:space="preserve"> provides a fine for wrongful provision of false information but not patent invalidation: </w:t>
            </w:r>
          </w:p>
          <w:p w14:paraId="597522BF" w14:textId="77777777" w:rsidR="00903A62" w:rsidRPr="00837D06" w:rsidRDefault="00903A62" w:rsidP="00190325">
            <w:pPr>
              <w:pStyle w:val="NormalWeb"/>
              <w:ind w:left="720"/>
              <w:rPr>
                <w:rFonts w:ascii="Arial" w:hAnsi="Arial" w:cs="Arial"/>
              </w:rPr>
            </w:pPr>
            <w:r w:rsidRPr="00837D06">
              <w:rPr>
                <w:rFonts w:ascii="Arial" w:hAnsi="Arial" w:cs="Arial"/>
              </w:rPr>
              <w:t>“Any person who willfully provides false information under Article 49(a) [on disclosure of source] is liable to a fine of up to 100,000 francs.  The court may order the publication of the judgment.”</w:t>
            </w:r>
          </w:p>
          <w:p w14:paraId="7DC2EFFF" w14:textId="77777777" w:rsidR="00903A62" w:rsidRPr="00837D06" w:rsidRDefault="00903A62" w:rsidP="00190325">
            <w:pPr>
              <w:pStyle w:val="NormalWeb"/>
              <w:rPr>
                <w:rFonts w:ascii="Arial" w:hAnsi="Arial" w:cs="Arial"/>
              </w:rPr>
            </w:pPr>
          </w:p>
          <w:p w14:paraId="3A7DF815" w14:textId="77777777" w:rsidR="00903A62" w:rsidRPr="00837D06" w:rsidRDefault="00903A62" w:rsidP="00190325">
            <w:pPr>
              <w:pStyle w:val="NormalWeb"/>
              <w:rPr>
                <w:rFonts w:ascii="Arial" w:hAnsi="Arial" w:cs="Arial"/>
              </w:rPr>
            </w:pPr>
            <w:r w:rsidRPr="00837D06">
              <w:rPr>
                <w:rFonts w:ascii="Arial" w:hAnsi="Arial" w:cs="Arial"/>
                <w:b/>
                <w:bCs/>
              </w:rPr>
              <w:t xml:space="preserve">Andean Community:  </w:t>
            </w:r>
            <w:r w:rsidRPr="00837D06">
              <w:rPr>
                <w:rFonts w:ascii="Arial" w:hAnsi="Arial" w:cs="Arial"/>
              </w:rPr>
              <w:t xml:space="preserve">Article 75 of </w:t>
            </w:r>
            <w:r w:rsidRPr="00837D06">
              <w:rPr>
                <w:rFonts w:ascii="Arial" w:hAnsi="Arial" w:cs="Arial"/>
                <w:i/>
                <w:iCs/>
              </w:rPr>
              <w:t xml:space="preserve">Decision No. 486 Establishing the Common Industrial Property Regime (2000) </w:t>
            </w:r>
            <w:r w:rsidRPr="00837D06">
              <w:rPr>
                <w:rFonts w:ascii="Arial" w:hAnsi="Arial" w:cs="Arial"/>
              </w:rPr>
              <w:t xml:space="preserve">provides: </w:t>
            </w:r>
          </w:p>
          <w:p w14:paraId="0DA30D95" w14:textId="77777777" w:rsidR="00903A62" w:rsidRPr="00837D06" w:rsidRDefault="00903A62" w:rsidP="00190325">
            <w:pPr>
              <w:pStyle w:val="NormalWeb"/>
              <w:ind w:left="720"/>
              <w:rPr>
                <w:rFonts w:ascii="Arial" w:hAnsi="Arial" w:cs="Arial"/>
              </w:rPr>
            </w:pPr>
            <w:r w:rsidRPr="00837D06">
              <w:rPr>
                <w:rFonts w:ascii="Arial" w:hAnsi="Arial" w:cs="Arial"/>
              </w:rPr>
              <w:t xml:space="preserve">“The competent national authority shall decree the absolute invalidity of a patent at any time, either </w:t>
            </w:r>
            <w:r w:rsidRPr="00837D06">
              <w:rPr>
                <w:rFonts w:ascii="Arial" w:hAnsi="Arial" w:cs="Arial"/>
                <w:i/>
                <w:iCs/>
              </w:rPr>
              <w:t xml:space="preserve">ex officio </w:t>
            </w:r>
            <w:r w:rsidRPr="00837D06">
              <w:rPr>
                <w:rFonts w:ascii="Arial" w:hAnsi="Arial" w:cs="Arial"/>
              </w:rPr>
              <w:t xml:space="preserve">or at the request of any person, where: </w:t>
            </w:r>
          </w:p>
          <w:p w14:paraId="434CB956" w14:textId="77777777" w:rsidR="00903A62" w:rsidRPr="00837D06" w:rsidRDefault="00903A62" w:rsidP="00190325">
            <w:pPr>
              <w:pStyle w:val="NormalWeb"/>
              <w:ind w:left="720"/>
              <w:rPr>
                <w:rFonts w:ascii="Arial" w:hAnsi="Arial" w:cs="Arial"/>
              </w:rPr>
            </w:pPr>
            <w:r w:rsidRPr="00837D06">
              <w:rPr>
                <w:rFonts w:ascii="Arial" w:hAnsi="Arial" w:cs="Arial"/>
              </w:rPr>
              <w:t xml:space="preserve">“[...] </w:t>
            </w:r>
          </w:p>
          <w:p w14:paraId="716EF886" w14:textId="77777777" w:rsidR="00903A62" w:rsidRPr="00837D06" w:rsidRDefault="00903A62" w:rsidP="00190325">
            <w:pPr>
              <w:pStyle w:val="NormalWeb"/>
              <w:ind w:left="720"/>
              <w:rPr>
                <w:rFonts w:ascii="Arial" w:hAnsi="Arial" w:cs="Arial"/>
              </w:rPr>
            </w:pPr>
            <w:r w:rsidRPr="00837D06">
              <w:rPr>
                <w:rFonts w:ascii="Arial" w:hAnsi="Arial" w:cs="Arial"/>
              </w:rPr>
              <w:t xml:space="preserve">“(g) a copy of the access contract has not been filed where the products or processes to which the patent application relates have been produced or developed with genetic resources or derived products of which any of the member countries is the country of origin; </w:t>
            </w:r>
          </w:p>
          <w:p w14:paraId="4941162E" w14:textId="77777777" w:rsidR="00903A62" w:rsidRPr="00837D06" w:rsidRDefault="00903A62" w:rsidP="00190325">
            <w:pPr>
              <w:pStyle w:val="NormalWeb"/>
              <w:ind w:left="720"/>
              <w:rPr>
                <w:rFonts w:ascii="Arial" w:hAnsi="Arial" w:cs="Arial"/>
              </w:rPr>
            </w:pPr>
            <w:r w:rsidRPr="00837D06">
              <w:rPr>
                <w:rFonts w:ascii="Arial" w:hAnsi="Arial" w:cs="Arial"/>
              </w:rPr>
              <w:t xml:space="preserve">“(h) a copy of the document evidencing the licensing or authorization of the use of traditional knowledge of the indigenous Afro-American or local communities of the member countries has not been filed where the products or processes for which protection is sought have been produced or developed on the basis of such knowledge of which one of the member countries is the country of origin.” </w:t>
            </w:r>
          </w:p>
          <w:p w14:paraId="60FCB2F5" w14:textId="77777777" w:rsidR="00903A62" w:rsidRPr="00837D06" w:rsidRDefault="00903A62" w:rsidP="00190325">
            <w:pPr>
              <w:pStyle w:val="NormalWeb"/>
              <w:rPr>
                <w:rFonts w:ascii="Arial" w:hAnsi="Arial" w:cs="Arial"/>
                <w:b/>
                <w:bCs/>
              </w:rPr>
            </w:pPr>
          </w:p>
          <w:p w14:paraId="596A4F72" w14:textId="77777777" w:rsidR="00903A62" w:rsidRPr="00837D06" w:rsidRDefault="00903A62" w:rsidP="00190325">
            <w:pPr>
              <w:pStyle w:val="NormalWeb"/>
              <w:rPr>
                <w:rFonts w:ascii="Arial" w:hAnsi="Arial" w:cs="Arial"/>
              </w:rPr>
            </w:pPr>
            <w:r w:rsidRPr="00837D06">
              <w:rPr>
                <w:rFonts w:ascii="Arial" w:hAnsi="Arial" w:cs="Arial"/>
                <w:b/>
                <w:bCs/>
              </w:rPr>
              <w:t xml:space="preserve">South Africa:  </w:t>
            </w:r>
            <w:r w:rsidRPr="00837D06">
              <w:rPr>
                <w:rFonts w:ascii="Arial" w:hAnsi="Arial" w:cs="Arial"/>
              </w:rPr>
              <w:t xml:space="preserve">Section 61 of the </w:t>
            </w:r>
            <w:r w:rsidRPr="00837D06">
              <w:rPr>
                <w:rFonts w:ascii="Arial" w:hAnsi="Arial" w:cs="Arial"/>
                <w:i/>
                <w:iCs/>
              </w:rPr>
              <w:t xml:space="preserve">Patents Amendment Act 2005 (Act No. 20 of 2005) </w:t>
            </w:r>
            <w:r w:rsidRPr="00837D06">
              <w:rPr>
                <w:rFonts w:ascii="Arial" w:hAnsi="Arial" w:cs="Arial"/>
              </w:rPr>
              <w:t xml:space="preserve">states: </w:t>
            </w:r>
          </w:p>
          <w:p w14:paraId="5E76BE93" w14:textId="77777777" w:rsidR="00903A62" w:rsidRPr="00837D06" w:rsidRDefault="00903A62" w:rsidP="00190325">
            <w:pPr>
              <w:pStyle w:val="NormalWeb"/>
              <w:ind w:left="720"/>
              <w:rPr>
                <w:rFonts w:ascii="Arial" w:hAnsi="Arial" w:cs="Arial"/>
              </w:rPr>
            </w:pPr>
            <w:r w:rsidRPr="00837D06">
              <w:rPr>
                <w:rFonts w:ascii="Arial" w:hAnsi="Arial" w:cs="Arial"/>
              </w:rPr>
              <w:t>“Any person may at any time apply in the prescribed manner for the revocation of a patent on any of the following grounds only, namely [...] that the prescribed declaration lodged in respect of the application for the patent or the statement lodged in terms of section 30(3A) [concerning the disclosure requirement] contains a false statement or representation which is material and which the patentee knew or ought reasonably to have known to be false at the time when the declaration statement or representation was made.”</w:t>
            </w:r>
          </w:p>
          <w:p w14:paraId="0C79F867" w14:textId="77777777" w:rsidR="00903A62" w:rsidRPr="00837D06" w:rsidRDefault="00903A62" w:rsidP="00190325">
            <w:pPr>
              <w:pStyle w:val="NormalWeb"/>
              <w:ind w:left="720"/>
              <w:rPr>
                <w:rFonts w:ascii="Arial" w:hAnsi="Arial" w:cs="Arial"/>
              </w:rPr>
            </w:pPr>
          </w:p>
          <w:p w14:paraId="3E3B4995" w14:textId="77777777" w:rsidR="00903A62" w:rsidRPr="00837D06" w:rsidRDefault="00903A62" w:rsidP="00190325">
            <w:pPr>
              <w:pStyle w:val="NormalWeb"/>
              <w:rPr>
                <w:rFonts w:ascii="Arial" w:hAnsi="Arial" w:cs="Arial"/>
              </w:rPr>
            </w:pPr>
            <w:r w:rsidRPr="00837D06">
              <w:rPr>
                <w:rFonts w:ascii="Arial" w:hAnsi="Arial" w:cs="Arial"/>
                <w:b/>
              </w:rPr>
              <w:t>India:</w:t>
            </w:r>
            <w:r w:rsidRPr="00837D06">
              <w:rPr>
                <w:rFonts w:ascii="Arial" w:hAnsi="Arial" w:cs="Arial"/>
              </w:rPr>
              <w:t xml:space="preserve">  Article 10(4)(d)(ii) of the </w:t>
            </w:r>
            <w:r w:rsidRPr="00837D06">
              <w:rPr>
                <w:rFonts w:ascii="Arial" w:hAnsi="Arial" w:cs="Arial"/>
                <w:i/>
              </w:rPr>
              <w:t>Patents Act, 1970, as amended by the Patents (Amendment) Act, 2005</w:t>
            </w:r>
            <w:r w:rsidRPr="00837D06">
              <w:rPr>
                <w:rFonts w:ascii="Arial" w:hAnsi="Arial" w:cs="Arial"/>
              </w:rPr>
              <w:t xml:space="preserve">, provides: </w:t>
            </w:r>
          </w:p>
          <w:p w14:paraId="03829B85" w14:textId="77777777" w:rsidR="00903A62" w:rsidRPr="00837D06" w:rsidRDefault="00903A62" w:rsidP="00190325">
            <w:pPr>
              <w:pStyle w:val="NormalWeb"/>
              <w:ind w:left="720"/>
              <w:rPr>
                <w:rFonts w:ascii="Arial" w:hAnsi="Arial" w:cs="Arial"/>
              </w:rPr>
            </w:pPr>
            <w:r w:rsidRPr="00837D06">
              <w:rPr>
                <w:rFonts w:ascii="Arial" w:hAnsi="Arial" w:cs="Arial"/>
              </w:rPr>
              <w:t xml:space="preserve">“If the applicant mentions a biological material in the specification which may not be described in such a way as to satisfy clauses (a) and (b),[7] and if such material is not available to the public, the application shall be completed by depositing the material to an international depository </w:t>
            </w:r>
            <w:r w:rsidRPr="00837D06">
              <w:rPr>
                <w:rFonts w:ascii="Arial" w:hAnsi="Arial" w:cs="Arial"/>
              </w:rPr>
              <w:lastRenderedPageBreak/>
              <w:t>authority under the Budapest Treaty and by fulfilling the following conditions, namely: […] (d) disclose the source and geographical origin of the biological material in the specification, when used in an invention.”</w:t>
            </w:r>
          </w:p>
        </w:tc>
      </w:tr>
    </w:tbl>
    <w:p w14:paraId="2084B1D1" w14:textId="63244124" w:rsidR="00903A62" w:rsidRDefault="00903A62" w:rsidP="00903A62">
      <w:pPr>
        <w:rPr>
          <w:rFonts w:ascii="Arial" w:hAnsi="Arial" w:cs="Arial"/>
          <w:sz w:val="22"/>
          <w:szCs w:val="22"/>
        </w:rPr>
      </w:pPr>
    </w:p>
    <w:p w14:paraId="00E3E6F0" w14:textId="01CB6F34" w:rsidR="00B47D38" w:rsidRPr="00837D06" w:rsidRDefault="00B47D38" w:rsidP="00B47D38">
      <w:pPr>
        <w:ind w:left="720"/>
        <w:rPr>
          <w:rFonts w:ascii="Arial" w:hAnsi="Arial" w:cs="Arial"/>
          <w:sz w:val="22"/>
          <w:szCs w:val="22"/>
        </w:rPr>
      </w:pPr>
      <w:r>
        <w:rPr>
          <w:rFonts w:ascii="Arial" w:hAnsi="Arial" w:cs="Arial"/>
          <w:sz w:val="22"/>
          <w:szCs w:val="22"/>
        </w:rPr>
        <w:t xml:space="preserve">It is my opinion that it should be left to the Parties to decide which measures to put in place to address non-compliance with a disclosure requirement.  This flexibility would apply to both the </w:t>
      </w:r>
      <w:r w:rsidR="00E14A36">
        <w:rPr>
          <w:rFonts w:ascii="Arial" w:hAnsi="Arial" w:cs="Arial"/>
          <w:sz w:val="22"/>
          <w:szCs w:val="22"/>
        </w:rPr>
        <w:t>regulation</w:t>
      </w:r>
      <w:r>
        <w:rPr>
          <w:rFonts w:ascii="Arial" w:hAnsi="Arial" w:cs="Arial"/>
          <w:sz w:val="22"/>
          <w:szCs w:val="22"/>
        </w:rPr>
        <w:t xml:space="preserve"> of pre-grant and post-grant sanctions.  However, in order to</w:t>
      </w:r>
      <w:r w:rsidR="00E14A36">
        <w:rPr>
          <w:rFonts w:ascii="Arial" w:hAnsi="Arial" w:cs="Arial"/>
          <w:sz w:val="22"/>
          <w:szCs w:val="22"/>
        </w:rPr>
        <w:t xml:space="preserve"> ensure legal certainty and</w:t>
      </w:r>
      <w:r>
        <w:rPr>
          <w:rFonts w:ascii="Arial" w:hAnsi="Arial" w:cs="Arial"/>
          <w:sz w:val="22"/>
          <w:szCs w:val="22"/>
        </w:rPr>
        <w:t xml:space="preserve"> facilitate the sharing of benefits, Parties should not be able to revoke a patent or render it unenforceable based solely on an applicant’s failure to provide the information required by the disclosure requirement. </w:t>
      </w:r>
    </w:p>
    <w:p w14:paraId="3F00ECE4" w14:textId="77777777" w:rsidR="00903A62" w:rsidRPr="00837D06" w:rsidRDefault="00903A62" w:rsidP="00903A62">
      <w:pPr>
        <w:rPr>
          <w:rFonts w:ascii="Arial" w:hAnsi="Arial" w:cs="Arial"/>
          <w:b/>
          <w:sz w:val="22"/>
          <w:szCs w:val="22"/>
          <w:u w:val="single"/>
        </w:rPr>
      </w:pPr>
    </w:p>
    <w:p w14:paraId="218CB4FB" w14:textId="77777777" w:rsidR="00903A62" w:rsidRPr="00837D06" w:rsidRDefault="00903A62" w:rsidP="00903A62">
      <w:pPr>
        <w:rPr>
          <w:rFonts w:ascii="Arial" w:hAnsi="Arial" w:cs="Arial"/>
          <w:b/>
          <w:sz w:val="22"/>
          <w:szCs w:val="22"/>
          <w:u w:val="single"/>
        </w:rPr>
      </w:pPr>
      <w:r w:rsidRPr="00837D06">
        <w:rPr>
          <w:rFonts w:ascii="Arial" w:hAnsi="Arial" w:cs="Arial"/>
          <w:b/>
          <w:sz w:val="22"/>
          <w:szCs w:val="22"/>
          <w:u w:val="single"/>
        </w:rPr>
        <w:t>Other useful resources</w:t>
      </w:r>
    </w:p>
    <w:p w14:paraId="2E07C5F8" w14:textId="77777777" w:rsidR="00903A62" w:rsidRPr="00837D06" w:rsidRDefault="00903A62" w:rsidP="00903A62">
      <w:pPr>
        <w:rPr>
          <w:rFonts w:ascii="Arial" w:hAnsi="Arial" w:cs="Arial"/>
          <w:sz w:val="22"/>
          <w:szCs w:val="22"/>
        </w:rPr>
      </w:pPr>
    </w:p>
    <w:p w14:paraId="7B428B30" w14:textId="2BE89BD4" w:rsidR="00903A62" w:rsidRPr="00837D06" w:rsidRDefault="00903A62" w:rsidP="00903A62">
      <w:pPr>
        <w:rPr>
          <w:rFonts w:ascii="Arial" w:hAnsi="Arial" w:cs="Arial"/>
          <w:sz w:val="22"/>
          <w:szCs w:val="22"/>
        </w:rPr>
      </w:pPr>
      <w:r w:rsidRPr="00837D06">
        <w:rPr>
          <w:rFonts w:ascii="Arial" w:hAnsi="Arial" w:cs="Arial"/>
          <w:sz w:val="22"/>
          <w:szCs w:val="22"/>
        </w:rPr>
        <w:fldChar w:fldCharType="begin"/>
      </w:r>
      <w:r w:rsidRPr="00837D06">
        <w:rPr>
          <w:rFonts w:ascii="Arial" w:hAnsi="Arial" w:cs="Arial"/>
          <w:sz w:val="22"/>
          <w:szCs w:val="22"/>
        </w:rPr>
        <w:instrText xml:space="preserve"> AUTONUM  </w:instrText>
      </w:r>
      <w:r w:rsidRPr="00837D06">
        <w:rPr>
          <w:rFonts w:ascii="Arial" w:hAnsi="Arial" w:cs="Arial"/>
          <w:sz w:val="22"/>
          <w:szCs w:val="22"/>
        </w:rPr>
        <w:fldChar w:fldCharType="end"/>
      </w:r>
      <w:r w:rsidRPr="00837D06">
        <w:rPr>
          <w:rFonts w:ascii="Arial" w:hAnsi="Arial" w:cs="Arial"/>
          <w:sz w:val="22"/>
          <w:szCs w:val="22"/>
        </w:rPr>
        <w:tab/>
        <w:t xml:space="preserve">I note that there are some very useful resources available on the WIPO website which Member States may wish to use as reference materials in their preparations for IGC </w:t>
      </w:r>
      <w:r w:rsidR="00112A6D">
        <w:rPr>
          <w:rFonts w:ascii="Arial" w:hAnsi="Arial" w:cs="Arial"/>
          <w:sz w:val="22"/>
          <w:szCs w:val="22"/>
        </w:rPr>
        <w:t>4</w:t>
      </w:r>
      <w:r w:rsidR="00390DA7">
        <w:rPr>
          <w:rFonts w:ascii="Arial" w:hAnsi="Arial" w:cs="Arial"/>
          <w:sz w:val="22"/>
          <w:szCs w:val="22"/>
        </w:rPr>
        <w:t>2</w:t>
      </w:r>
      <w:r w:rsidRPr="00837D06">
        <w:rPr>
          <w:rFonts w:ascii="Arial" w:hAnsi="Arial" w:cs="Arial"/>
          <w:sz w:val="22"/>
          <w:szCs w:val="22"/>
        </w:rPr>
        <w:t>, such as:</w:t>
      </w:r>
      <w:r w:rsidRPr="00837D06">
        <w:rPr>
          <w:rFonts w:ascii="Arial" w:hAnsi="Arial" w:cs="Arial"/>
          <w:sz w:val="22"/>
          <w:szCs w:val="22"/>
        </w:rPr>
        <w:br/>
      </w:r>
    </w:p>
    <w:p w14:paraId="73B92131" w14:textId="0D740893" w:rsidR="00945BB3" w:rsidRPr="00945BB3" w:rsidRDefault="00945BB3" w:rsidP="00945BB3">
      <w:pPr>
        <w:pStyle w:val="ListParagraph"/>
        <w:numPr>
          <w:ilvl w:val="0"/>
          <w:numId w:val="19"/>
        </w:numPr>
        <w:spacing w:before="100" w:beforeAutospacing="1" w:after="100" w:afterAutospacing="1"/>
        <w:rPr>
          <w:rFonts w:ascii="Times New Roman" w:eastAsia="Times New Roman" w:hAnsi="Times New Roman" w:cs="Times New Roman"/>
          <w:lang w:eastAsia="zh-CN"/>
        </w:rPr>
      </w:pPr>
      <w:r w:rsidRPr="00945BB3">
        <w:rPr>
          <w:rFonts w:ascii="Arial" w:eastAsia="Times New Roman" w:hAnsi="Arial" w:cs="Arial"/>
          <w:sz w:val="22"/>
          <w:szCs w:val="22"/>
          <w:lang w:eastAsia="zh-CN"/>
        </w:rPr>
        <w:t>Key Questions on Patent Disclosure Requirements for Genetic Resources and Traditional Knowledge, http</w:t>
      </w:r>
      <w:r w:rsidR="008A1782">
        <w:rPr>
          <w:rFonts w:ascii="Arial" w:eastAsia="Times New Roman" w:hAnsi="Arial" w:cs="Arial"/>
          <w:sz w:val="22"/>
          <w:szCs w:val="22"/>
          <w:lang w:val="en-US" w:eastAsia="zh-CN"/>
        </w:rPr>
        <w:t>s</w:t>
      </w:r>
      <w:r w:rsidRPr="00945BB3">
        <w:rPr>
          <w:rFonts w:ascii="Arial" w:eastAsia="Times New Roman" w:hAnsi="Arial" w:cs="Arial"/>
          <w:sz w:val="22"/>
          <w:szCs w:val="22"/>
          <w:lang w:eastAsia="zh-CN"/>
        </w:rPr>
        <w:t>://www.wipo.int/publications/en/details.jsp?id=4194;</w:t>
      </w:r>
    </w:p>
    <w:p w14:paraId="4C4419F3" w14:textId="16D9A26E" w:rsidR="00945BB3" w:rsidRPr="00945BB3" w:rsidRDefault="00945BB3" w:rsidP="00945BB3">
      <w:pPr>
        <w:pStyle w:val="ListParagraph"/>
        <w:numPr>
          <w:ilvl w:val="0"/>
          <w:numId w:val="19"/>
        </w:numPr>
        <w:spacing w:before="100" w:beforeAutospacing="1" w:after="100" w:afterAutospacing="1"/>
        <w:rPr>
          <w:rFonts w:ascii="Times New Roman" w:eastAsia="Times New Roman" w:hAnsi="Times New Roman" w:cs="Times New Roman"/>
          <w:lang w:eastAsia="zh-CN"/>
        </w:rPr>
      </w:pPr>
      <w:r w:rsidRPr="00945BB3">
        <w:rPr>
          <w:rFonts w:ascii="Arial" w:eastAsia="Times New Roman" w:hAnsi="Arial" w:cs="Arial"/>
          <w:sz w:val="22"/>
          <w:szCs w:val="22"/>
          <w:lang w:eastAsia="zh-CN"/>
        </w:rPr>
        <w:t>Disclosure Requirement Table, http</w:t>
      </w:r>
      <w:r w:rsidR="008A1782">
        <w:rPr>
          <w:rFonts w:ascii="Arial" w:eastAsia="Times New Roman" w:hAnsi="Arial" w:cs="Arial"/>
          <w:sz w:val="22"/>
          <w:szCs w:val="22"/>
          <w:lang w:val="en-US" w:eastAsia="zh-CN"/>
        </w:rPr>
        <w:t>s</w:t>
      </w:r>
      <w:r w:rsidRPr="00945BB3">
        <w:rPr>
          <w:rFonts w:ascii="Arial" w:eastAsia="Times New Roman" w:hAnsi="Arial" w:cs="Arial"/>
          <w:sz w:val="22"/>
          <w:szCs w:val="22"/>
          <w:lang w:eastAsia="zh-CN"/>
        </w:rPr>
        <w:t xml:space="preserve">://www.wipo.int/export/sites/www/tk/en/documents/pdf/genetic_resources_disclosure. pdf. </w:t>
      </w:r>
    </w:p>
    <w:p w14:paraId="42E2B74F" w14:textId="1154F621" w:rsidR="00903A62" w:rsidRPr="00837D06" w:rsidRDefault="00903A62" w:rsidP="00903A62">
      <w:pPr>
        <w:pStyle w:val="ListParagraph"/>
        <w:numPr>
          <w:ilvl w:val="0"/>
          <w:numId w:val="19"/>
        </w:numPr>
        <w:rPr>
          <w:rFonts w:ascii="Arial" w:hAnsi="Arial" w:cs="Arial"/>
          <w:sz w:val="22"/>
          <w:szCs w:val="22"/>
        </w:rPr>
      </w:pPr>
      <w:r w:rsidRPr="00837D06">
        <w:rPr>
          <w:rFonts w:ascii="Arial" w:hAnsi="Arial" w:cs="Arial"/>
          <w:sz w:val="22"/>
          <w:szCs w:val="22"/>
        </w:rPr>
        <w:t>Brief 10:  Intellectual Property and Genetic Resources,</w:t>
      </w:r>
      <w:r w:rsidR="006F34DC" w:rsidRPr="006F34DC">
        <w:t xml:space="preserve"> </w:t>
      </w:r>
      <w:r w:rsidR="006F34DC" w:rsidRPr="006F34DC">
        <w:rPr>
          <w:rFonts w:ascii="Arial" w:hAnsi="Arial" w:cs="Arial"/>
          <w:sz w:val="22"/>
          <w:szCs w:val="22"/>
        </w:rPr>
        <w:t>https://www.wipo.int/edocs/pubdocs/en/wipo_pub_tk_10.pdf</w:t>
      </w:r>
      <w:r w:rsidRPr="00837D06">
        <w:rPr>
          <w:rFonts w:ascii="Arial" w:hAnsi="Arial" w:cs="Arial"/>
          <w:sz w:val="22"/>
          <w:szCs w:val="22"/>
        </w:rPr>
        <w:t xml:space="preserve">; </w:t>
      </w:r>
    </w:p>
    <w:p w14:paraId="0E9F29BE" w14:textId="7DE23777" w:rsidR="00903A62" w:rsidRPr="00837D06" w:rsidRDefault="00903A62" w:rsidP="00903A62">
      <w:pPr>
        <w:pStyle w:val="ListParagraph"/>
        <w:numPr>
          <w:ilvl w:val="0"/>
          <w:numId w:val="19"/>
        </w:numPr>
        <w:rPr>
          <w:rFonts w:ascii="Arial" w:hAnsi="Arial" w:cs="Arial"/>
          <w:sz w:val="22"/>
          <w:szCs w:val="22"/>
        </w:rPr>
      </w:pPr>
      <w:r w:rsidRPr="00837D06">
        <w:rPr>
          <w:rFonts w:ascii="Arial" w:hAnsi="Arial" w:cs="Arial"/>
          <w:sz w:val="22"/>
          <w:szCs w:val="22"/>
        </w:rPr>
        <w:t>Regional, National, Local and Community Experiences,</w:t>
      </w:r>
      <w:r w:rsidR="006F34DC" w:rsidRPr="006F34DC">
        <w:t xml:space="preserve"> </w:t>
      </w:r>
      <w:r w:rsidR="006F34DC" w:rsidRPr="006F34DC">
        <w:rPr>
          <w:rFonts w:ascii="Arial" w:hAnsi="Arial" w:cs="Arial"/>
          <w:sz w:val="22"/>
          <w:szCs w:val="22"/>
        </w:rPr>
        <w:t>https://www.wipo.int/tk/en/resources/tk_experiences.html</w:t>
      </w:r>
      <w:r w:rsidRPr="00837D06">
        <w:rPr>
          <w:rFonts w:ascii="Arial" w:hAnsi="Arial" w:cs="Arial"/>
          <w:sz w:val="22"/>
          <w:szCs w:val="22"/>
        </w:rPr>
        <w:t>;</w:t>
      </w:r>
    </w:p>
    <w:p w14:paraId="0B1121E9" w14:textId="77777777" w:rsidR="00903A62" w:rsidRPr="00837D06" w:rsidRDefault="00903A62" w:rsidP="00903A62">
      <w:pPr>
        <w:pStyle w:val="ListParagraph"/>
        <w:numPr>
          <w:ilvl w:val="0"/>
          <w:numId w:val="19"/>
        </w:numPr>
        <w:rPr>
          <w:rFonts w:ascii="Arial" w:hAnsi="Arial" w:cs="Arial"/>
          <w:sz w:val="22"/>
          <w:szCs w:val="22"/>
        </w:rPr>
      </w:pPr>
      <w:r w:rsidRPr="00837D06">
        <w:rPr>
          <w:rFonts w:ascii="Arial" w:hAnsi="Arial" w:cs="Arial"/>
          <w:sz w:val="22"/>
          <w:szCs w:val="22"/>
        </w:rPr>
        <w:t>Lectures and presentations on the selected topics,</w:t>
      </w:r>
    </w:p>
    <w:p w14:paraId="2B4EB0DA" w14:textId="1C833FF8" w:rsidR="00903A62" w:rsidRPr="00837D06" w:rsidRDefault="00903A62" w:rsidP="00903A62">
      <w:pPr>
        <w:ind w:firstLine="720"/>
        <w:rPr>
          <w:rFonts w:ascii="Arial" w:hAnsi="Arial" w:cs="Arial"/>
          <w:sz w:val="22"/>
          <w:szCs w:val="22"/>
        </w:rPr>
      </w:pPr>
      <w:r w:rsidRPr="006F34DC">
        <w:rPr>
          <w:rFonts w:ascii="Arial" w:hAnsi="Arial" w:cs="Arial"/>
          <w:sz w:val="22"/>
          <w:szCs w:val="22"/>
        </w:rPr>
        <w:t>http</w:t>
      </w:r>
      <w:r w:rsidR="006F34DC">
        <w:rPr>
          <w:rFonts w:ascii="Arial" w:hAnsi="Arial" w:cs="Arial"/>
          <w:sz w:val="22"/>
          <w:szCs w:val="22"/>
        </w:rPr>
        <w:t>s</w:t>
      </w:r>
      <w:r w:rsidRPr="006F34DC">
        <w:rPr>
          <w:rFonts w:ascii="Arial" w:hAnsi="Arial" w:cs="Arial"/>
          <w:sz w:val="22"/>
          <w:szCs w:val="22"/>
        </w:rPr>
        <w:t>://www.wipo.int/tk/en/resources/tk_experiences.html#4</w:t>
      </w:r>
    </w:p>
    <w:p w14:paraId="04E3606F" w14:textId="77777777" w:rsidR="00903A62" w:rsidRPr="00837D06" w:rsidRDefault="00903A62" w:rsidP="00903A62">
      <w:pPr>
        <w:numPr>
          <w:ilvl w:val="1"/>
          <w:numId w:val="19"/>
        </w:numPr>
        <w:rPr>
          <w:rFonts w:ascii="Arial" w:hAnsi="Arial" w:cs="Arial"/>
          <w:sz w:val="22"/>
          <w:szCs w:val="22"/>
        </w:rPr>
      </w:pPr>
      <w:r w:rsidRPr="00837D06">
        <w:rPr>
          <w:rFonts w:ascii="Arial" w:hAnsi="Arial" w:cs="Arial"/>
          <w:sz w:val="22"/>
          <w:szCs w:val="22"/>
        </w:rPr>
        <w:t>Presentations on disclosure requirements;  and</w:t>
      </w:r>
    </w:p>
    <w:p w14:paraId="21F72F82" w14:textId="77777777" w:rsidR="00903A62" w:rsidRPr="00837D06" w:rsidRDefault="00903A62" w:rsidP="00903A62">
      <w:pPr>
        <w:numPr>
          <w:ilvl w:val="1"/>
          <w:numId w:val="19"/>
        </w:numPr>
        <w:rPr>
          <w:rFonts w:ascii="Arial" w:hAnsi="Arial" w:cs="Arial"/>
          <w:sz w:val="22"/>
          <w:szCs w:val="22"/>
        </w:rPr>
      </w:pPr>
      <w:r w:rsidRPr="00837D06">
        <w:rPr>
          <w:rFonts w:ascii="Arial" w:hAnsi="Arial" w:cs="Arial"/>
          <w:sz w:val="22"/>
          <w:szCs w:val="22"/>
        </w:rPr>
        <w:t>Presentations on databases.</w:t>
      </w:r>
    </w:p>
    <w:p w14:paraId="22E65603" w14:textId="77777777" w:rsidR="00903A62" w:rsidRPr="00837D06" w:rsidRDefault="00903A62" w:rsidP="00903A62">
      <w:pPr>
        <w:rPr>
          <w:rFonts w:ascii="Arial" w:hAnsi="Arial" w:cs="Arial"/>
          <w:sz w:val="22"/>
          <w:szCs w:val="22"/>
        </w:rPr>
      </w:pPr>
    </w:p>
    <w:p w14:paraId="5CB82C59" w14:textId="49D8CE47" w:rsidR="004A29DC" w:rsidRPr="00837D06" w:rsidRDefault="006F34DC" w:rsidP="006F34DC">
      <w:pPr>
        <w:jc w:val="center"/>
        <w:rPr>
          <w:rFonts w:ascii="Arial" w:hAnsi="Arial" w:cs="Arial"/>
          <w:sz w:val="22"/>
          <w:szCs w:val="22"/>
        </w:rPr>
      </w:pPr>
      <w:r>
        <w:rPr>
          <w:rFonts w:ascii="Arial" w:hAnsi="Arial" w:cs="Arial"/>
          <w:sz w:val="22"/>
          <w:szCs w:val="22"/>
        </w:rPr>
        <w:t>___________</w:t>
      </w:r>
    </w:p>
    <w:sectPr w:rsidR="004A29DC" w:rsidRPr="00837D06" w:rsidSect="00F02AF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A148" w14:textId="77777777" w:rsidR="00D949E9" w:rsidRDefault="00D949E9" w:rsidP="004A29DC">
      <w:r>
        <w:separator/>
      </w:r>
    </w:p>
  </w:endnote>
  <w:endnote w:type="continuationSeparator" w:id="0">
    <w:p w14:paraId="403C7783" w14:textId="77777777" w:rsidR="00D949E9" w:rsidRDefault="00D949E9" w:rsidP="004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7104834"/>
      <w:docPartObj>
        <w:docPartGallery w:val="Page Numbers (Bottom of Page)"/>
        <w:docPartUnique/>
      </w:docPartObj>
    </w:sdtPr>
    <w:sdtEndPr>
      <w:rPr>
        <w:rStyle w:val="PageNumber"/>
      </w:rPr>
    </w:sdtEndPr>
    <w:sdtContent>
      <w:p w14:paraId="03E09829" w14:textId="39F7627C" w:rsidR="00822615" w:rsidRDefault="00822615" w:rsidP="00822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968A6">
          <w:rPr>
            <w:rStyle w:val="PageNumber"/>
            <w:noProof/>
          </w:rPr>
          <w:t>8</w:t>
        </w:r>
        <w:r>
          <w:rPr>
            <w:rStyle w:val="PageNumber"/>
          </w:rPr>
          <w:fldChar w:fldCharType="end"/>
        </w:r>
      </w:p>
    </w:sdtContent>
  </w:sdt>
  <w:p w14:paraId="5A3A17DD" w14:textId="77777777" w:rsidR="00822615" w:rsidRDefault="00822615" w:rsidP="00F91161">
    <w:pPr>
      <w:pStyle w:val="Footer"/>
      <w:ind w:right="360"/>
    </w:pPr>
  </w:p>
  <w:p w14:paraId="77DF6315" w14:textId="77777777" w:rsidR="002E7247" w:rsidRDefault="002E72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43652564"/>
      <w:docPartObj>
        <w:docPartGallery w:val="Page Numbers (Bottom of Page)"/>
        <w:docPartUnique/>
      </w:docPartObj>
    </w:sdtPr>
    <w:sdtEndPr>
      <w:rPr>
        <w:rStyle w:val="PageNumber"/>
      </w:rPr>
    </w:sdtEndPr>
    <w:sdtContent>
      <w:p w14:paraId="4A2FACAA" w14:textId="626D1631" w:rsidR="002E7247" w:rsidRDefault="002E7247" w:rsidP="00036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968A6">
          <w:rPr>
            <w:rStyle w:val="PageNumber"/>
            <w:noProof/>
          </w:rPr>
          <w:t>7</w:t>
        </w:r>
        <w:r>
          <w:rPr>
            <w:rStyle w:val="PageNumber"/>
          </w:rPr>
          <w:fldChar w:fldCharType="end"/>
        </w:r>
      </w:p>
    </w:sdtContent>
  </w:sdt>
  <w:p w14:paraId="47776377" w14:textId="77777777" w:rsidR="002E7247" w:rsidRDefault="002E7247" w:rsidP="002E72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2298423"/>
      <w:docPartObj>
        <w:docPartGallery w:val="Page Numbers (Bottom of Page)"/>
        <w:docPartUnique/>
      </w:docPartObj>
    </w:sdtPr>
    <w:sdtEndPr>
      <w:rPr>
        <w:rStyle w:val="PageNumber"/>
      </w:rPr>
    </w:sdtEndPr>
    <w:sdtContent>
      <w:p w14:paraId="4AEFE2E6" w14:textId="260106A8" w:rsidR="00822615" w:rsidRDefault="00822615" w:rsidP="00822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2AF9">
          <w:rPr>
            <w:rStyle w:val="PageNumber"/>
            <w:noProof/>
          </w:rPr>
          <w:t>1</w:t>
        </w:r>
        <w:r>
          <w:rPr>
            <w:rStyle w:val="PageNumber"/>
          </w:rPr>
          <w:fldChar w:fldCharType="end"/>
        </w:r>
      </w:p>
    </w:sdtContent>
  </w:sdt>
  <w:p w14:paraId="6FE0627A" w14:textId="77777777" w:rsidR="00822615" w:rsidRDefault="00822615" w:rsidP="00F91161">
    <w:pPr>
      <w:pStyle w:val="Footer"/>
      <w:ind w:right="360"/>
    </w:pPr>
  </w:p>
  <w:p w14:paraId="3160F8B7" w14:textId="77777777" w:rsidR="00822615" w:rsidRDefault="0082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C8FA" w14:textId="77777777" w:rsidR="00D949E9" w:rsidRDefault="00D949E9" w:rsidP="004A29DC">
      <w:r>
        <w:separator/>
      </w:r>
    </w:p>
  </w:footnote>
  <w:footnote w:type="continuationSeparator" w:id="0">
    <w:p w14:paraId="125A7A2B" w14:textId="77777777" w:rsidR="00D949E9" w:rsidRDefault="00D949E9" w:rsidP="004A29DC">
      <w:r>
        <w:continuationSeparator/>
      </w:r>
    </w:p>
  </w:footnote>
  <w:footnote w:id="1">
    <w:p w14:paraId="338C662E" w14:textId="15AED7E7" w:rsidR="00107038" w:rsidRPr="00ED68E2" w:rsidRDefault="00107038" w:rsidP="00107038">
      <w:pPr>
        <w:pStyle w:val="FootnoteText"/>
        <w:rPr>
          <w:szCs w:val="18"/>
        </w:rPr>
      </w:pPr>
      <w:r w:rsidRPr="00ED68E2">
        <w:rPr>
          <w:rStyle w:val="FootnoteReference"/>
          <w:szCs w:val="18"/>
        </w:rPr>
        <w:footnoteRef/>
      </w:r>
      <w:r w:rsidRPr="00ED68E2">
        <w:rPr>
          <w:szCs w:val="18"/>
        </w:rPr>
        <w:t xml:space="preserve"> Note from the WIPO Secretariat:  The Chair</w:t>
      </w:r>
      <w:r w:rsidR="00CE36CA" w:rsidRPr="00ED68E2">
        <w:rPr>
          <w:szCs w:val="18"/>
        </w:rPr>
        <w:t>-designate</w:t>
      </w:r>
      <w:r w:rsidRPr="00ED68E2">
        <w:rPr>
          <w:szCs w:val="18"/>
        </w:rPr>
        <w:t xml:space="preserve"> of the IGC, Mr. Ian Goss, has prepared this information note to assist Member States in their preparations for IGC 4</w:t>
      </w:r>
      <w:r w:rsidR="00A453FC">
        <w:rPr>
          <w:szCs w:val="18"/>
        </w:rPr>
        <w:t>2</w:t>
      </w:r>
      <w:r w:rsidRPr="00ED68E2">
        <w:rPr>
          <w:szCs w:val="18"/>
        </w:rPr>
        <w:t>.</w:t>
      </w:r>
    </w:p>
  </w:footnote>
  <w:footnote w:id="2">
    <w:p w14:paraId="6BC1D3A9" w14:textId="3E99FD42" w:rsidR="00D7428A" w:rsidRPr="00ED68E2" w:rsidRDefault="00D7428A" w:rsidP="00D7428A">
      <w:pPr>
        <w:pStyle w:val="FootnoteText"/>
        <w:rPr>
          <w:szCs w:val="18"/>
        </w:rPr>
      </w:pPr>
      <w:r w:rsidRPr="00ED68E2">
        <w:rPr>
          <w:rStyle w:val="FootnoteReference"/>
          <w:szCs w:val="18"/>
        </w:rPr>
        <w:footnoteRef/>
      </w:r>
      <w:r w:rsidRPr="00ED68E2">
        <w:rPr>
          <w:szCs w:val="18"/>
        </w:rPr>
        <w:t xml:space="preserve"> Such as WIPO/GRTKF/IC/4</w:t>
      </w:r>
      <w:r w:rsidR="00C57FD7">
        <w:rPr>
          <w:szCs w:val="18"/>
        </w:rPr>
        <w:t>2</w:t>
      </w:r>
      <w:r w:rsidRPr="00ED68E2">
        <w:rPr>
          <w:szCs w:val="18"/>
        </w:rPr>
        <w:t>/</w:t>
      </w:r>
      <w:r w:rsidR="00CE36CA" w:rsidRPr="00ED68E2">
        <w:rPr>
          <w:szCs w:val="18"/>
        </w:rPr>
        <w:t>4</w:t>
      </w:r>
      <w:r w:rsidRPr="00ED68E2">
        <w:rPr>
          <w:szCs w:val="18"/>
        </w:rPr>
        <w:t xml:space="preserve"> Consolidated Document Relating to Intellectual Property and Genetic Resources; WIPO/GRTKF/IC/</w:t>
      </w:r>
      <w:r w:rsidR="00BD36FA" w:rsidRPr="00ED68E2">
        <w:rPr>
          <w:szCs w:val="18"/>
        </w:rPr>
        <w:t>4</w:t>
      </w:r>
      <w:r w:rsidR="00C57FD7">
        <w:rPr>
          <w:szCs w:val="18"/>
        </w:rPr>
        <w:t>2</w:t>
      </w:r>
      <w:r w:rsidRPr="00ED68E2">
        <w:rPr>
          <w:szCs w:val="18"/>
        </w:rPr>
        <w:t>/</w:t>
      </w:r>
      <w:r w:rsidR="00BD36FA" w:rsidRPr="00ED68E2">
        <w:rPr>
          <w:szCs w:val="18"/>
        </w:rPr>
        <w:t>9</w:t>
      </w:r>
      <w:r w:rsidRPr="00ED68E2">
        <w:rPr>
          <w:szCs w:val="18"/>
        </w:rPr>
        <w:t xml:space="preserve"> Joint Recommendation on Genetic Resources and Associated Traditional Knowledge; WIPO/GRTKF/IC/</w:t>
      </w:r>
      <w:r w:rsidR="00BD36FA" w:rsidRPr="00ED68E2">
        <w:rPr>
          <w:szCs w:val="18"/>
        </w:rPr>
        <w:t>4</w:t>
      </w:r>
      <w:r w:rsidR="00C57FD7">
        <w:rPr>
          <w:szCs w:val="18"/>
        </w:rPr>
        <w:t>2</w:t>
      </w:r>
      <w:r w:rsidRPr="00ED68E2">
        <w:rPr>
          <w:szCs w:val="18"/>
        </w:rPr>
        <w:t>/1</w:t>
      </w:r>
      <w:r w:rsidR="00C57FD7">
        <w:rPr>
          <w:szCs w:val="18"/>
        </w:rPr>
        <w:t>0</w:t>
      </w:r>
      <w:r w:rsidRPr="00ED68E2">
        <w:rPr>
          <w:szCs w:val="18"/>
        </w:rPr>
        <w:t xml:space="preserve">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w:t>
      </w:r>
      <w:r w:rsidR="00BD36FA" w:rsidRPr="00ED68E2">
        <w:rPr>
          <w:szCs w:val="18"/>
        </w:rPr>
        <w:t>4</w:t>
      </w:r>
      <w:r w:rsidR="00C57FD7">
        <w:rPr>
          <w:szCs w:val="18"/>
        </w:rPr>
        <w:t>2</w:t>
      </w:r>
      <w:r w:rsidRPr="00ED68E2">
        <w:rPr>
          <w:szCs w:val="18"/>
        </w:rPr>
        <w:t>/</w:t>
      </w:r>
      <w:r w:rsidR="00BD36FA" w:rsidRPr="00ED68E2">
        <w:rPr>
          <w:szCs w:val="18"/>
        </w:rPr>
        <w:t>8</w:t>
      </w:r>
      <w:r w:rsidRPr="00ED68E2">
        <w:rPr>
          <w:szCs w:val="18"/>
        </w:rPr>
        <w:t xml:space="preserve"> The Economic Impact of Patent Delays and Uncertainty: U.S. Concerns about Proposals for New Patent Disclosure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1A1A" w14:textId="6EDE0FAC" w:rsidR="00822615" w:rsidRDefault="00822615" w:rsidP="00822615">
    <w:pPr>
      <w:pStyle w:val="Header"/>
    </w:pPr>
  </w:p>
  <w:p w14:paraId="260E7B10" w14:textId="77777777" w:rsidR="00822615" w:rsidRDefault="00822615" w:rsidP="00F9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25E1" w14:textId="1F0AB2B8" w:rsidR="00822615" w:rsidRDefault="00822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1804" w14:textId="6F156E6A" w:rsidR="00822615" w:rsidRDefault="00822615" w:rsidP="00822615">
    <w:pPr>
      <w:pStyle w:val="Header"/>
    </w:pPr>
  </w:p>
  <w:p w14:paraId="7EE757F4" w14:textId="77777777" w:rsidR="00822615" w:rsidRDefault="00822615" w:rsidP="00F9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90"/>
    <w:multiLevelType w:val="hybridMultilevel"/>
    <w:tmpl w:val="330E1E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5333636"/>
    <w:multiLevelType w:val="hybridMultilevel"/>
    <w:tmpl w:val="F402A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F6725"/>
    <w:multiLevelType w:val="hybridMultilevel"/>
    <w:tmpl w:val="AB1A70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A1F24"/>
    <w:multiLevelType w:val="hybridMultilevel"/>
    <w:tmpl w:val="D69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B17"/>
    <w:multiLevelType w:val="hybridMultilevel"/>
    <w:tmpl w:val="006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633B"/>
    <w:multiLevelType w:val="hybridMultilevel"/>
    <w:tmpl w:val="2D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5C1A"/>
    <w:multiLevelType w:val="hybridMultilevel"/>
    <w:tmpl w:val="65F614DA"/>
    <w:lvl w:ilvl="0" w:tplc="E99EDB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662EC"/>
    <w:multiLevelType w:val="hybridMultilevel"/>
    <w:tmpl w:val="168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5714"/>
    <w:multiLevelType w:val="hybridMultilevel"/>
    <w:tmpl w:val="DEA630E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15:restartNumberingAfterBreak="0">
    <w:nsid w:val="22C17B38"/>
    <w:multiLevelType w:val="hybridMultilevel"/>
    <w:tmpl w:val="D8BAF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3484"/>
    <w:multiLevelType w:val="hybridMultilevel"/>
    <w:tmpl w:val="81D2B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11D30"/>
    <w:multiLevelType w:val="hybridMultilevel"/>
    <w:tmpl w:val="F050AD0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7627579"/>
    <w:multiLevelType w:val="hybridMultilevel"/>
    <w:tmpl w:val="08BC6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D3DED"/>
    <w:multiLevelType w:val="hybridMultilevel"/>
    <w:tmpl w:val="BB702B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283EC6"/>
    <w:multiLevelType w:val="hybridMultilevel"/>
    <w:tmpl w:val="FD2622BA"/>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49255A"/>
    <w:multiLevelType w:val="hybridMultilevel"/>
    <w:tmpl w:val="6CAEA9A0"/>
    <w:lvl w:ilvl="0" w:tplc="08090001">
      <w:start w:val="1"/>
      <w:numFmt w:val="bullet"/>
      <w:lvlText w:val=""/>
      <w:lvlJc w:val="left"/>
      <w:pPr>
        <w:ind w:left="901" w:hanging="360"/>
      </w:pPr>
      <w:rPr>
        <w:rFonts w:ascii="Symbol" w:hAnsi="Symbol" w:hint="default"/>
      </w:rPr>
    </w:lvl>
    <w:lvl w:ilvl="1" w:tplc="08090003">
      <w:start w:val="1"/>
      <w:numFmt w:val="bullet"/>
      <w:lvlText w:val="o"/>
      <w:lvlJc w:val="left"/>
      <w:pPr>
        <w:ind w:left="1621" w:hanging="360"/>
      </w:pPr>
      <w:rPr>
        <w:rFonts w:ascii="Courier New" w:hAnsi="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 w15:restartNumberingAfterBreak="0">
    <w:nsid w:val="4E554B64"/>
    <w:multiLevelType w:val="hybridMultilevel"/>
    <w:tmpl w:val="02E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12DBF"/>
    <w:multiLevelType w:val="hybridMultilevel"/>
    <w:tmpl w:val="5EB6E7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5699648A"/>
    <w:multiLevelType w:val="hybridMultilevel"/>
    <w:tmpl w:val="A44C84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5C7B26F7"/>
    <w:multiLevelType w:val="hybridMultilevel"/>
    <w:tmpl w:val="F758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80640"/>
    <w:multiLevelType w:val="hybridMultilevel"/>
    <w:tmpl w:val="F2AAF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332266"/>
    <w:multiLevelType w:val="hybridMultilevel"/>
    <w:tmpl w:val="9D6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96DB4"/>
    <w:multiLevelType w:val="hybridMultilevel"/>
    <w:tmpl w:val="28280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91731"/>
    <w:multiLevelType w:val="hybridMultilevel"/>
    <w:tmpl w:val="DA86F376"/>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6" w15:restartNumberingAfterBreak="0">
    <w:nsid w:val="6D7629F9"/>
    <w:multiLevelType w:val="hybridMultilevel"/>
    <w:tmpl w:val="CB9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2213D"/>
    <w:multiLevelType w:val="hybridMultilevel"/>
    <w:tmpl w:val="98AE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41A39"/>
    <w:multiLevelType w:val="hybridMultilevel"/>
    <w:tmpl w:val="6738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5"/>
  </w:num>
  <w:num w:numId="3">
    <w:abstractNumId w:val="26"/>
  </w:num>
  <w:num w:numId="4">
    <w:abstractNumId w:val="10"/>
  </w:num>
  <w:num w:numId="5">
    <w:abstractNumId w:val="21"/>
  </w:num>
  <w:num w:numId="6">
    <w:abstractNumId w:val="4"/>
  </w:num>
  <w:num w:numId="7">
    <w:abstractNumId w:val="23"/>
  </w:num>
  <w:num w:numId="8">
    <w:abstractNumId w:val="0"/>
  </w:num>
  <w:num w:numId="9">
    <w:abstractNumId w:val="8"/>
  </w:num>
  <w:num w:numId="10">
    <w:abstractNumId w:val="5"/>
  </w:num>
  <w:num w:numId="11">
    <w:abstractNumId w:val="15"/>
  </w:num>
  <w:num w:numId="12">
    <w:abstractNumId w:val="27"/>
  </w:num>
  <w:num w:numId="13">
    <w:abstractNumId w:val="24"/>
  </w:num>
  <w:num w:numId="14">
    <w:abstractNumId w:val="13"/>
  </w:num>
  <w:num w:numId="15">
    <w:abstractNumId w:val="3"/>
  </w:num>
  <w:num w:numId="16">
    <w:abstractNumId w:val="9"/>
  </w:num>
  <w:num w:numId="17">
    <w:abstractNumId w:val="22"/>
  </w:num>
  <w:num w:numId="18">
    <w:abstractNumId w:val="16"/>
  </w:num>
  <w:num w:numId="19">
    <w:abstractNumId w:val="11"/>
  </w:num>
  <w:num w:numId="20">
    <w:abstractNumId w:val="19"/>
  </w:num>
  <w:num w:numId="21">
    <w:abstractNumId w:val="6"/>
  </w:num>
  <w:num w:numId="22">
    <w:abstractNumId w:val="28"/>
  </w:num>
  <w:num w:numId="23">
    <w:abstractNumId w:val="7"/>
  </w:num>
  <w:num w:numId="24">
    <w:abstractNumId w:val="1"/>
  </w:num>
  <w:num w:numId="25">
    <w:abstractNumId w:val="18"/>
  </w:num>
  <w:num w:numId="26">
    <w:abstractNumId w:val="2"/>
  </w:num>
  <w:num w:numId="27">
    <w:abstractNumId w:val="12"/>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7E"/>
    <w:rsid w:val="000223D0"/>
    <w:rsid w:val="000313C7"/>
    <w:rsid w:val="00074E35"/>
    <w:rsid w:val="0008589A"/>
    <w:rsid w:val="000E33B6"/>
    <w:rsid w:val="00107038"/>
    <w:rsid w:val="00112A6D"/>
    <w:rsid w:val="00121F9F"/>
    <w:rsid w:val="001305A8"/>
    <w:rsid w:val="001579A6"/>
    <w:rsid w:val="00164294"/>
    <w:rsid w:val="00167A25"/>
    <w:rsid w:val="001A4242"/>
    <w:rsid w:val="001B33DC"/>
    <w:rsid w:val="001E7A25"/>
    <w:rsid w:val="00201244"/>
    <w:rsid w:val="00210557"/>
    <w:rsid w:val="0021763F"/>
    <w:rsid w:val="002311A9"/>
    <w:rsid w:val="002568B0"/>
    <w:rsid w:val="00261856"/>
    <w:rsid w:val="00270F5E"/>
    <w:rsid w:val="002806AE"/>
    <w:rsid w:val="002E7247"/>
    <w:rsid w:val="00342EF4"/>
    <w:rsid w:val="00344304"/>
    <w:rsid w:val="00377ED8"/>
    <w:rsid w:val="00390DA7"/>
    <w:rsid w:val="003C1EFC"/>
    <w:rsid w:val="003C6DF2"/>
    <w:rsid w:val="003E49F4"/>
    <w:rsid w:val="00402547"/>
    <w:rsid w:val="00442D9D"/>
    <w:rsid w:val="00451955"/>
    <w:rsid w:val="004A29DC"/>
    <w:rsid w:val="004A5F8B"/>
    <w:rsid w:val="004B430E"/>
    <w:rsid w:val="004D052F"/>
    <w:rsid w:val="004D1EB2"/>
    <w:rsid w:val="004D3868"/>
    <w:rsid w:val="004D4CFA"/>
    <w:rsid w:val="0050542C"/>
    <w:rsid w:val="0050768D"/>
    <w:rsid w:val="00542C9A"/>
    <w:rsid w:val="005968A6"/>
    <w:rsid w:val="005974E6"/>
    <w:rsid w:val="005A2D59"/>
    <w:rsid w:val="005B54D0"/>
    <w:rsid w:val="005C2B6F"/>
    <w:rsid w:val="006335FD"/>
    <w:rsid w:val="00635628"/>
    <w:rsid w:val="00650352"/>
    <w:rsid w:val="00666DFD"/>
    <w:rsid w:val="00693068"/>
    <w:rsid w:val="006F34DC"/>
    <w:rsid w:val="006F51C2"/>
    <w:rsid w:val="00734697"/>
    <w:rsid w:val="00771936"/>
    <w:rsid w:val="00771B52"/>
    <w:rsid w:val="00783061"/>
    <w:rsid w:val="007A1EFB"/>
    <w:rsid w:val="007D19AA"/>
    <w:rsid w:val="007D6A0C"/>
    <w:rsid w:val="007E0D5B"/>
    <w:rsid w:val="00820B4E"/>
    <w:rsid w:val="00822615"/>
    <w:rsid w:val="00830527"/>
    <w:rsid w:val="00837D06"/>
    <w:rsid w:val="008911AF"/>
    <w:rsid w:val="008A1782"/>
    <w:rsid w:val="008C26F1"/>
    <w:rsid w:val="008C7E47"/>
    <w:rsid w:val="008E154F"/>
    <w:rsid w:val="00903A62"/>
    <w:rsid w:val="0090572F"/>
    <w:rsid w:val="00945BB3"/>
    <w:rsid w:val="00955A0A"/>
    <w:rsid w:val="00990C56"/>
    <w:rsid w:val="00994080"/>
    <w:rsid w:val="009C0592"/>
    <w:rsid w:val="009E672C"/>
    <w:rsid w:val="00A1027B"/>
    <w:rsid w:val="00A114E5"/>
    <w:rsid w:val="00A143E1"/>
    <w:rsid w:val="00A17143"/>
    <w:rsid w:val="00A23C5E"/>
    <w:rsid w:val="00A3037E"/>
    <w:rsid w:val="00A453FC"/>
    <w:rsid w:val="00A46002"/>
    <w:rsid w:val="00A55DE5"/>
    <w:rsid w:val="00A57D2A"/>
    <w:rsid w:val="00A62CBB"/>
    <w:rsid w:val="00A711AA"/>
    <w:rsid w:val="00B02EA0"/>
    <w:rsid w:val="00B03110"/>
    <w:rsid w:val="00B16938"/>
    <w:rsid w:val="00B17341"/>
    <w:rsid w:val="00B431DB"/>
    <w:rsid w:val="00B47D38"/>
    <w:rsid w:val="00B80A42"/>
    <w:rsid w:val="00BA2F4A"/>
    <w:rsid w:val="00BB6844"/>
    <w:rsid w:val="00BD36FA"/>
    <w:rsid w:val="00C13DBF"/>
    <w:rsid w:val="00C57FD7"/>
    <w:rsid w:val="00C92A8D"/>
    <w:rsid w:val="00CA044B"/>
    <w:rsid w:val="00CA7028"/>
    <w:rsid w:val="00CC71EA"/>
    <w:rsid w:val="00CE36CA"/>
    <w:rsid w:val="00D443D7"/>
    <w:rsid w:val="00D52F64"/>
    <w:rsid w:val="00D7428A"/>
    <w:rsid w:val="00D8633B"/>
    <w:rsid w:val="00D949E9"/>
    <w:rsid w:val="00D95C39"/>
    <w:rsid w:val="00DB72AC"/>
    <w:rsid w:val="00DD18A3"/>
    <w:rsid w:val="00DD760E"/>
    <w:rsid w:val="00E14A36"/>
    <w:rsid w:val="00E262A1"/>
    <w:rsid w:val="00ED2E77"/>
    <w:rsid w:val="00ED423F"/>
    <w:rsid w:val="00ED576A"/>
    <w:rsid w:val="00ED68E2"/>
    <w:rsid w:val="00EE7AB1"/>
    <w:rsid w:val="00F02AF9"/>
    <w:rsid w:val="00F11E7C"/>
    <w:rsid w:val="00F13674"/>
    <w:rsid w:val="00F17B55"/>
    <w:rsid w:val="00F310E5"/>
    <w:rsid w:val="00F63D5F"/>
    <w:rsid w:val="00F77BAE"/>
    <w:rsid w:val="00F8459D"/>
    <w:rsid w:val="00F91161"/>
    <w:rsid w:val="00FA075F"/>
    <w:rsid w:val="00FA7492"/>
    <w:rsid w:val="00FC266C"/>
    <w:rsid w:val="00FC7894"/>
    <w:rsid w:val="00FE080B"/>
    <w:rsid w:val="00FE68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13DF"/>
  <w14:defaultImageDpi w14:val="330"/>
  <w15:chartTrackingRefBased/>
  <w15:docId w15:val="{21111B05-5731-AB45-A772-CA5D3B4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23F"/>
    <w:pPr>
      <w:ind w:left="720"/>
      <w:contextualSpacing/>
    </w:pPr>
  </w:style>
  <w:style w:type="paragraph" w:styleId="NormalWeb">
    <w:name w:val="Normal (Web)"/>
    <w:basedOn w:val="Normal"/>
    <w:uiPriority w:val="99"/>
    <w:unhideWhenUsed/>
    <w:rsid w:val="004A29DC"/>
    <w:pPr>
      <w:spacing w:before="100" w:beforeAutospacing="1" w:after="100" w:afterAutospacing="1"/>
    </w:pPr>
    <w:rPr>
      <w:rFonts w:ascii="Times New Roman" w:eastAsia="Times New Roman" w:hAnsi="Times New Roman" w:cs="Times New Roman"/>
      <w:lang w:val="en-AU"/>
    </w:rPr>
  </w:style>
  <w:style w:type="paragraph" w:styleId="FootnoteText">
    <w:name w:val="footnote text"/>
    <w:basedOn w:val="Normal"/>
    <w:link w:val="FootnoteTextChar"/>
    <w:rsid w:val="004A29DC"/>
    <w:rPr>
      <w:rFonts w:ascii="Arial" w:eastAsia="SimSun" w:hAnsi="Arial" w:cs="Arial"/>
      <w:sz w:val="18"/>
      <w:szCs w:val="20"/>
      <w:lang w:val="en-US" w:eastAsia="zh-CN"/>
    </w:rPr>
  </w:style>
  <w:style w:type="character" w:customStyle="1" w:styleId="FootnoteTextChar">
    <w:name w:val="Footnote Text Char"/>
    <w:basedOn w:val="DefaultParagraphFont"/>
    <w:link w:val="FootnoteText"/>
    <w:rsid w:val="004A29DC"/>
    <w:rPr>
      <w:rFonts w:ascii="Arial" w:eastAsia="SimSun" w:hAnsi="Arial" w:cs="Arial"/>
      <w:sz w:val="18"/>
      <w:szCs w:val="20"/>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qFormat/>
    <w:rsid w:val="004A29DC"/>
    <w:rPr>
      <w:vertAlign w:val="superscript"/>
    </w:rPr>
  </w:style>
  <w:style w:type="character" w:customStyle="1" w:styleId="Bold">
    <w:name w:val="Bold"/>
    <w:rsid w:val="004A29DC"/>
    <w:rPr>
      <w:b/>
    </w:rPr>
  </w:style>
  <w:style w:type="character" w:styleId="Hyperlink">
    <w:name w:val="Hyperlink"/>
    <w:rsid w:val="00903A62"/>
    <w:rPr>
      <w:color w:val="0000FF"/>
      <w:u w:val="single"/>
    </w:rPr>
  </w:style>
  <w:style w:type="table" w:styleId="TableGrid">
    <w:name w:val="Table Grid"/>
    <w:basedOn w:val="TableNormal"/>
    <w:uiPriority w:val="59"/>
    <w:unhideWhenUsed/>
    <w:rsid w:val="00903A62"/>
    <w:rPr>
      <w:rFonts w:ascii="Arial" w:eastAsiaTheme="minorEastAsia" w:hAnsi="Arial"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247"/>
    <w:pPr>
      <w:tabs>
        <w:tab w:val="center" w:pos="4680"/>
        <w:tab w:val="right" w:pos="9360"/>
      </w:tabs>
    </w:pPr>
  </w:style>
  <w:style w:type="character" w:customStyle="1" w:styleId="FooterChar">
    <w:name w:val="Footer Char"/>
    <w:basedOn w:val="DefaultParagraphFont"/>
    <w:link w:val="Footer"/>
    <w:uiPriority w:val="99"/>
    <w:rsid w:val="002E7247"/>
  </w:style>
  <w:style w:type="character" w:styleId="PageNumber">
    <w:name w:val="page number"/>
    <w:basedOn w:val="DefaultParagraphFont"/>
    <w:uiPriority w:val="99"/>
    <w:semiHidden/>
    <w:unhideWhenUsed/>
    <w:rsid w:val="002E7247"/>
  </w:style>
  <w:style w:type="paragraph" w:styleId="BalloonText">
    <w:name w:val="Balloon Text"/>
    <w:basedOn w:val="Normal"/>
    <w:link w:val="BalloonTextChar"/>
    <w:uiPriority w:val="99"/>
    <w:semiHidden/>
    <w:unhideWhenUsed/>
    <w:rsid w:val="003C1E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EFC"/>
    <w:rPr>
      <w:rFonts w:ascii="Times New Roman" w:hAnsi="Times New Roman" w:cs="Times New Roman"/>
      <w:sz w:val="18"/>
      <w:szCs w:val="18"/>
    </w:rPr>
  </w:style>
  <w:style w:type="paragraph" w:styleId="Revision">
    <w:name w:val="Revision"/>
    <w:hidden/>
    <w:uiPriority w:val="99"/>
    <w:semiHidden/>
    <w:rsid w:val="00CE36CA"/>
  </w:style>
  <w:style w:type="character" w:styleId="CommentReference">
    <w:name w:val="annotation reference"/>
    <w:basedOn w:val="DefaultParagraphFont"/>
    <w:uiPriority w:val="99"/>
    <w:semiHidden/>
    <w:unhideWhenUsed/>
    <w:rsid w:val="00CE36CA"/>
    <w:rPr>
      <w:sz w:val="16"/>
      <w:szCs w:val="16"/>
    </w:rPr>
  </w:style>
  <w:style w:type="paragraph" w:styleId="CommentText">
    <w:name w:val="annotation text"/>
    <w:basedOn w:val="Normal"/>
    <w:link w:val="CommentTextChar"/>
    <w:uiPriority w:val="99"/>
    <w:semiHidden/>
    <w:unhideWhenUsed/>
    <w:rsid w:val="00CE36CA"/>
    <w:rPr>
      <w:sz w:val="20"/>
      <w:szCs w:val="20"/>
    </w:rPr>
  </w:style>
  <w:style w:type="character" w:customStyle="1" w:styleId="CommentTextChar">
    <w:name w:val="Comment Text Char"/>
    <w:basedOn w:val="DefaultParagraphFont"/>
    <w:link w:val="CommentText"/>
    <w:uiPriority w:val="99"/>
    <w:semiHidden/>
    <w:rsid w:val="00CE36CA"/>
    <w:rPr>
      <w:sz w:val="20"/>
      <w:szCs w:val="20"/>
    </w:rPr>
  </w:style>
  <w:style w:type="paragraph" w:styleId="CommentSubject">
    <w:name w:val="annotation subject"/>
    <w:basedOn w:val="CommentText"/>
    <w:next w:val="CommentText"/>
    <w:link w:val="CommentSubjectChar"/>
    <w:uiPriority w:val="99"/>
    <w:semiHidden/>
    <w:unhideWhenUsed/>
    <w:rsid w:val="00CE36CA"/>
    <w:rPr>
      <w:b/>
      <w:bCs/>
    </w:rPr>
  </w:style>
  <w:style w:type="character" w:customStyle="1" w:styleId="CommentSubjectChar">
    <w:name w:val="Comment Subject Char"/>
    <w:basedOn w:val="CommentTextChar"/>
    <w:link w:val="CommentSubject"/>
    <w:uiPriority w:val="99"/>
    <w:semiHidden/>
    <w:rsid w:val="00CE36CA"/>
    <w:rPr>
      <w:b/>
      <w:bCs/>
      <w:sz w:val="20"/>
      <w:szCs w:val="20"/>
    </w:rPr>
  </w:style>
  <w:style w:type="paragraph" w:styleId="Header">
    <w:name w:val="header"/>
    <w:basedOn w:val="Normal"/>
    <w:link w:val="HeaderChar"/>
    <w:uiPriority w:val="99"/>
    <w:unhideWhenUsed/>
    <w:rsid w:val="00822615"/>
    <w:pPr>
      <w:tabs>
        <w:tab w:val="center" w:pos="4680"/>
        <w:tab w:val="right" w:pos="9360"/>
      </w:tabs>
    </w:pPr>
  </w:style>
  <w:style w:type="character" w:customStyle="1" w:styleId="HeaderChar">
    <w:name w:val="Header Char"/>
    <w:basedOn w:val="DefaultParagraphFont"/>
    <w:link w:val="Header"/>
    <w:uiPriority w:val="99"/>
    <w:rsid w:val="0082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658">
      <w:bodyDiv w:val="1"/>
      <w:marLeft w:val="0"/>
      <w:marRight w:val="0"/>
      <w:marTop w:val="0"/>
      <w:marBottom w:val="0"/>
      <w:divBdr>
        <w:top w:val="none" w:sz="0" w:space="0" w:color="auto"/>
        <w:left w:val="none" w:sz="0" w:space="0" w:color="auto"/>
        <w:bottom w:val="none" w:sz="0" w:space="0" w:color="auto"/>
        <w:right w:val="none" w:sz="0" w:space="0" w:color="auto"/>
      </w:divBdr>
    </w:div>
    <w:div w:id="495069848">
      <w:bodyDiv w:val="1"/>
      <w:marLeft w:val="0"/>
      <w:marRight w:val="0"/>
      <w:marTop w:val="0"/>
      <w:marBottom w:val="0"/>
      <w:divBdr>
        <w:top w:val="none" w:sz="0" w:space="0" w:color="auto"/>
        <w:left w:val="none" w:sz="0" w:space="0" w:color="auto"/>
        <w:bottom w:val="none" w:sz="0" w:space="0" w:color="auto"/>
        <w:right w:val="none" w:sz="0" w:space="0" w:color="auto"/>
      </w:divBdr>
      <w:divsChild>
        <w:div w:id="493110014">
          <w:marLeft w:val="0"/>
          <w:marRight w:val="0"/>
          <w:marTop w:val="0"/>
          <w:marBottom w:val="0"/>
          <w:divBdr>
            <w:top w:val="none" w:sz="0" w:space="0" w:color="auto"/>
            <w:left w:val="none" w:sz="0" w:space="0" w:color="auto"/>
            <w:bottom w:val="none" w:sz="0" w:space="0" w:color="auto"/>
            <w:right w:val="none" w:sz="0" w:space="0" w:color="auto"/>
          </w:divBdr>
          <w:divsChild>
            <w:div w:id="1985815835">
              <w:marLeft w:val="0"/>
              <w:marRight w:val="0"/>
              <w:marTop w:val="0"/>
              <w:marBottom w:val="0"/>
              <w:divBdr>
                <w:top w:val="none" w:sz="0" w:space="0" w:color="auto"/>
                <w:left w:val="none" w:sz="0" w:space="0" w:color="auto"/>
                <w:bottom w:val="none" w:sz="0" w:space="0" w:color="auto"/>
                <w:right w:val="none" w:sz="0" w:space="0" w:color="auto"/>
              </w:divBdr>
              <w:divsChild>
                <w:div w:id="97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7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2446">
          <w:marLeft w:val="0"/>
          <w:marRight w:val="0"/>
          <w:marTop w:val="0"/>
          <w:marBottom w:val="0"/>
          <w:divBdr>
            <w:top w:val="none" w:sz="0" w:space="0" w:color="auto"/>
            <w:left w:val="none" w:sz="0" w:space="0" w:color="auto"/>
            <w:bottom w:val="none" w:sz="0" w:space="0" w:color="auto"/>
            <w:right w:val="none" w:sz="0" w:space="0" w:color="auto"/>
          </w:divBdr>
          <w:divsChild>
            <w:div w:id="536089057">
              <w:marLeft w:val="0"/>
              <w:marRight w:val="0"/>
              <w:marTop w:val="0"/>
              <w:marBottom w:val="0"/>
              <w:divBdr>
                <w:top w:val="none" w:sz="0" w:space="0" w:color="auto"/>
                <w:left w:val="none" w:sz="0" w:space="0" w:color="auto"/>
                <w:bottom w:val="none" w:sz="0" w:space="0" w:color="auto"/>
                <w:right w:val="none" w:sz="0" w:space="0" w:color="auto"/>
              </w:divBdr>
              <w:divsChild>
                <w:div w:id="1143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5413</Words>
  <Characters>29859</Characters>
  <Application>Microsoft Office Word</Application>
  <DocSecurity>0</DocSecurity>
  <Lines>637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Goss</dc:creator>
  <cp:keywords>FOR OFFICIAL USE ONLY</cp:keywords>
  <dc:description/>
  <cp:lastModifiedBy>MORENO PALESTINI Maria del Pilar</cp:lastModifiedBy>
  <cp:revision>2</cp:revision>
  <dcterms:created xsi:type="dcterms:W3CDTF">2022-02-25T09:43:00Z</dcterms:created>
  <dcterms:modified xsi:type="dcterms:W3CDTF">2022-02-25T09:43:00Z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dbdcf2f7-2bdf-4bcf-b04a-afa227496995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