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B80B91" w:rsidRPr="00B80B91" w:rsidTr="00361450">
        <w:tc>
          <w:tcPr>
            <w:tcW w:w="4513" w:type="dxa"/>
            <w:tcBorders>
              <w:bottom w:val="single" w:sz="4" w:space="0" w:color="auto"/>
            </w:tcBorders>
            <w:tcMar>
              <w:bottom w:w="170" w:type="dxa"/>
            </w:tcMar>
          </w:tcPr>
          <w:p w:rsidR="00EC4E49" w:rsidRPr="00B80B91" w:rsidRDefault="00EC4E49" w:rsidP="00916EE2"/>
        </w:tc>
        <w:tc>
          <w:tcPr>
            <w:tcW w:w="4337" w:type="dxa"/>
            <w:tcBorders>
              <w:bottom w:val="single" w:sz="4" w:space="0" w:color="auto"/>
            </w:tcBorders>
            <w:tcMar>
              <w:left w:w="0" w:type="dxa"/>
              <w:right w:w="0" w:type="dxa"/>
            </w:tcMar>
          </w:tcPr>
          <w:p w:rsidR="00EC4E49" w:rsidRPr="00B80B91" w:rsidRDefault="00A37342" w:rsidP="00916EE2">
            <w:r w:rsidRPr="00B80B91">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80B91" w:rsidRDefault="00EC4E49" w:rsidP="00916EE2">
            <w:pPr>
              <w:jc w:val="right"/>
            </w:pPr>
            <w:r w:rsidRPr="00B80B91">
              <w:rPr>
                <w:b/>
                <w:sz w:val="40"/>
                <w:szCs w:val="40"/>
              </w:rPr>
              <w:t>E</w:t>
            </w:r>
          </w:p>
        </w:tc>
      </w:tr>
      <w:tr w:rsidR="00B80B91" w:rsidRPr="00B80B9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80B91" w:rsidRDefault="000D1DD6" w:rsidP="00090C21">
            <w:pPr>
              <w:jc w:val="right"/>
              <w:rPr>
                <w:rFonts w:ascii="Arial Black" w:hAnsi="Arial Black"/>
                <w:caps/>
                <w:sz w:val="15"/>
              </w:rPr>
            </w:pPr>
            <w:r w:rsidRPr="00B80B91">
              <w:rPr>
                <w:rFonts w:ascii="Arial Black" w:hAnsi="Arial Black"/>
                <w:caps/>
                <w:sz w:val="15"/>
              </w:rPr>
              <w:t>WIPO/GRTKF/IC/4</w:t>
            </w:r>
            <w:r w:rsidR="00090C21" w:rsidRPr="00B80B91">
              <w:rPr>
                <w:rFonts w:ascii="Arial Black" w:hAnsi="Arial Black"/>
                <w:caps/>
                <w:sz w:val="15"/>
              </w:rPr>
              <w:t>2</w:t>
            </w:r>
            <w:r w:rsidR="00835695" w:rsidRPr="00B80B91">
              <w:rPr>
                <w:rFonts w:ascii="Arial Black" w:hAnsi="Arial Black"/>
                <w:caps/>
                <w:sz w:val="15"/>
              </w:rPr>
              <w:t>/</w:t>
            </w:r>
            <w:r w:rsidR="00566FC7" w:rsidRPr="00B80B91">
              <w:rPr>
                <w:rFonts w:ascii="Arial Black" w:hAnsi="Arial Black"/>
                <w:caps/>
                <w:sz w:val="15"/>
              </w:rPr>
              <w:t>INF/</w:t>
            </w:r>
            <w:r w:rsidR="001B415F" w:rsidRPr="00B80B91">
              <w:rPr>
                <w:rFonts w:ascii="Arial Black" w:hAnsi="Arial Black"/>
                <w:caps/>
                <w:sz w:val="15"/>
              </w:rPr>
              <w:t>10</w:t>
            </w:r>
            <w:r w:rsidR="008B2CC1" w:rsidRPr="00B80B91">
              <w:rPr>
                <w:rFonts w:ascii="Arial Black" w:hAnsi="Arial Black"/>
                <w:caps/>
                <w:sz w:val="15"/>
              </w:rPr>
              <w:t xml:space="preserve"> </w:t>
            </w:r>
            <w:bookmarkStart w:id="0" w:name="Code"/>
            <w:bookmarkEnd w:id="0"/>
            <w:r w:rsidR="008B2CC1" w:rsidRPr="00B80B91">
              <w:rPr>
                <w:rFonts w:ascii="Arial Black" w:hAnsi="Arial Black"/>
                <w:caps/>
                <w:sz w:val="15"/>
              </w:rPr>
              <w:t xml:space="preserve">  </w:t>
            </w:r>
          </w:p>
        </w:tc>
      </w:tr>
      <w:tr w:rsidR="00B80B91" w:rsidRPr="00B80B91" w:rsidTr="00916EE2">
        <w:trPr>
          <w:trHeight w:hRule="exact" w:val="170"/>
        </w:trPr>
        <w:tc>
          <w:tcPr>
            <w:tcW w:w="9356" w:type="dxa"/>
            <w:gridSpan w:val="3"/>
            <w:noWrap/>
            <w:tcMar>
              <w:left w:w="0" w:type="dxa"/>
              <w:right w:w="0" w:type="dxa"/>
            </w:tcMar>
            <w:vAlign w:val="bottom"/>
          </w:tcPr>
          <w:p w:rsidR="008B2CC1" w:rsidRPr="00B80B91" w:rsidRDefault="008B2CC1" w:rsidP="00CD04F1">
            <w:pPr>
              <w:jc w:val="right"/>
              <w:rPr>
                <w:rFonts w:ascii="Arial Black" w:hAnsi="Arial Black"/>
                <w:caps/>
                <w:sz w:val="15"/>
              </w:rPr>
            </w:pPr>
            <w:r w:rsidRPr="00B80B91">
              <w:rPr>
                <w:rFonts w:ascii="Arial Black" w:hAnsi="Arial Black"/>
                <w:caps/>
                <w:sz w:val="15"/>
              </w:rPr>
              <w:t>ORIGINAL:</w:t>
            </w:r>
            <w:r w:rsidR="000D1DD6" w:rsidRPr="00B80B91">
              <w:rPr>
                <w:rFonts w:ascii="Arial Black" w:hAnsi="Arial Black"/>
                <w:caps/>
                <w:sz w:val="15"/>
              </w:rPr>
              <w:t xml:space="preserve">  English</w:t>
            </w:r>
            <w:r w:rsidR="001647D5" w:rsidRPr="00B80B91">
              <w:rPr>
                <w:rFonts w:ascii="Arial Black" w:hAnsi="Arial Black"/>
                <w:caps/>
                <w:sz w:val="15"/>
              </w:rPr>
              <w:t xml:space="preserve">  </w:t>
            </w:r>
            <w:bookmarkStart w:id="1" w:name="Original"/>
            <w:bookmarkEnd w:id="1"/>
            <w:r w:rsidRPr="00B80B91">
              <w:rPr>
                <w:rFonts w:ascii="Arial Black" w:hAnsi="Arial Black"/>
                <w:caps/>
                <w:sz w:val="15"/>
              </w:rPr>
              <w:t xml:space="preserve"> </w:t>
            </w:r>
          </w:p>
        </w:tc>
      </w:tr>
      <w:tr w:rsidR="008B2CC1" w:rsidRPr="00B80B91" w:rsidTr="00916EE2">
        <w:trPr>
          <w:trHeight w:hRule="exact" w:val="198"/>
        </w:trPr>
        <w:tc>
          <w:tcPr>
            <w:tcW w:w="9356" w:type="dxa"/>
            <w:gridSpan w:val="3"/>
            <w:tcMar>
              <w:left w:w="0" w:type="dxa"/>
              <w:right w:w="0" w:type="dxa"/>
            </w:tcMar>
            <w:vAlign w:val="bottom"/>
          </w:tcPr>
          <w:p w:rsidR="008B2CC1" w:rsidRPr="00B80B91" w:rsidRDefault="008B2CC1" w:rsidP="00B4759F">
            <w:pPr>
              <w:jc w:val="right"/>
              <w:rPr>
                <w:rFonts w:ascii="Arial Black" w:hAnsi="Arial Black"/>
                <w:caps/>
                <w:sz w:val="15"/>
              </w:rPr>
            </w:pPr>
            <w:r w:rsidRPr="00B80B91">
              <w:rPr>
                <w:rFonts w:ascii="Arial Black" w:hAnsi="Arial Black"/>
                <w:caps/>
                <w:sz w:val="15"/>
              </w:rPr>
              <w:t>DATE</w:t>
            </w:r>
            <w:r w:rsidR="000D1DD6" w:rsidRPr="00B80B91">
              <w:rPr>
                <w:rFonts w:ascii="Arial Black" w:hAnsi="Arial Black"/>
                <w:caps/>
                <w:sz w:val="15"/>
              </w:rPr>
              <w:t>:</w:t>
            </w:r>
            <w:r w:rsidR="00566FC7" w:rsidRPr="00B80B91">
              <w:rPr>
                <w:rFonts w:ascii="Arial Black" w:hAnsi="Arial Black"/>
                <w:caps/>
                <w:sz w:val="15"/>
              </w:rPr>
              <w:t xml:space="preserve">  January 28</w:t>
            </w:r>
            <w:r w:rsidR="00835695" w:rsidRPr="00B80B91">
              <w:rPr>
                <w:rFonts w:ascii="Arial Black" w:hAnsi="Arial Black"/>
                <w:caps/>
                <w:sz w:val="15"/>
              </w:rPr>
              <w:t>, 2022</w:t>
            </w:r>
            <w:r w:rsidR="000D1DD6" w:rsidRPr="00B80B91">
              <w:rPr>
                <w:rFonts w:ascii="Arial Black" w:hAnsi="Arial Black"/>
                <w:caps/>
                <w:sz w:val="15"/>
              </w:rPr>
              <w:t xml:space="preserve">    </w:t>
            </w:r>
            <w:r w:rsidR="001647D5" w:rsidRPr="00B80B91">
              <w:rPr>
                <w:rFonts w:ascii="Arial Black" w:hAnsi="Arial Black"/>
                <w:caps/>
                <w:sz w:val="15"/>
              </w:rPr>
              <w:t xml:space="preserve">  </w:t>
            </w:r>
            <w:bookmarkStart w:id="2" w:name="Date"/>
            <w:bookmarkEnd w:id="2"/>
            <w:r w:rsidRPr="00B80B91">
              <w:rPr>
                <w:rFonts w:ascii="Arial Black" w:hAnsi="Arial Black"/>
                <w:caps/>
                <w:sz w:val="15"/>
              </w:rPr>
              <w:t xml:space="preserve"> </w:t>
            </w:r>
          </w:p>
        </w:tc>
      </w:tr>
    </w:tbl>
    <w:p w:rsidR="008B2CC1" w:rsidRPr="00B80B91" w:rsidRDefault="008B2CC1" w:rsidP="008B2CC1"/>
    <w:p w:rsidR="008B2CC1" w:rsidRPr="00B80B91" w:rsidRDefault="008B2CC1" w:rsidP="008B2CC1"/>
    <w:p w:rsidR="008B2CC1" w:rsidRPr="00B80B91" w:rsidRDefault="008B2CC1" w:rsidP="008B2CC1"/>
    <w:p w:rsidR="008B2CC1" w:rsidRPr="00B80B91" w:rsidRDefault="008B2CC1" w:rsidP="008B2CC1"/>
    <w:p w:rsidR="008B2CC1" w:rsidRPr="00B80B91" w:rsidRDefault="008B2CC1" w:rsidP="008B2CC1"/>
    <w:p w:rsidR="000D1DD6" w:rsidRPr="00B80B91" w:rsidRDefault="000D1DD6" w:rsidP="000D1DD6">
      <w:pPr>
        <w:rPr>
          <w:b/>
          <w:sz w:val="28"/>
          <w:szCs w:val="28"/>
        </w:rPr>
      </w:pPr>
      <w:r w:rsidRPr="00B80B91">
        <w:rPr>
          <w:b/>
          <w:sz w:val="28"/>
          <w:szCs w:val="28"/>
        </w:rPr>
        <w:t>Intergovernmental Committee on Intellectual Property and Genetic Resources, Traditional Knowledge and Folklore</w:t>
      </w:r>
    </w:p>
    <w:p w:rsidR="003845C1" w:rsidRPr="00B80B91" w:rsidRDefault="003845C1" w:rsidP="003845C1"/>
    <w:p w:rsidR="003845C1" w:rsidRPr="00B80B91" w:rsidRDefault="003845C1" w:rsidP="003845C1"/>
    <w:p w:rsidR="008B2CC1" w:rsidRPr="00B80B91" w:rsidRDefault="000D1DD6" w:rsidP="008B2CC1">
      <w:pPr>
        <w:rPr>
          <w:b/>
          <w:sz w:val="24"/>
          <w:szCs w:val="24"/>
        </w:rPr>
      </w:pPr>
      <w:r w:rsidRPr="00B80B91">
        <w:rPr>
          <w:b/>
          <w:sz w:val="24"/>
          <w:szCs w:val="24"/>
        </w:rPr>
        <w:t>Forty-</w:t>
      </w:r>
      <w:r w:rsidR="00090C21" w:rsidRPr="00B80B91">
        <w:rPr>
          <w:b/>
          <w:sz w:val="24"/>
          <w:szCs w:val="24"/>
        </w:rPr>
        <w:t>Second</w:t>
      </w:r>
      <w:r w:rsidRPr="00B80B91">
        <w:rPr>
          <w:b/>
          <w:sz w:val="24"/>
          <w:szCs w:val="24"/>
        </w:rPr>
        <w:t xml:space="preserve"> </w:t>
      </w:r>
      <w:r w:rsidR="003845C1" w:rsidRPr="00B80B91">
        <w:rPr>
          <w:b/>
          <w:sz w:val="24"/>
          <w:szCs w:val="24"/>
        </w:rPr>
        <w:t>Session</w:t>
      </w:r>
    </w:p>
    <w:p w:rsidR="008B2CC1" w:rsidRPr="00B80B91" w:rsidRDefault="000D1DD6" w:rsidP="008B2CC1">
      <w:pPr>
        <w:rPr>
          <w:b/>
          <w:sz w:val="24"/>
          <w:szCs w:val="24"/>
        </w:rPr>
      </w:pPr>
      <w:r w:rsidRPr="00B80B91">
        <w:rPr>
          <w:b/>
          <w:sz w:val="24"/>
          <w:szCs w:val="24"/>
        </w:rPr>
        <w:t xml:space="preserve">Geneva, </w:t>
      </w:r>
      <w:r w:rsidR="00090C21" w:rsidRPr="00B80B91">
        <w:rPr>
          <w:b/>
          <w:sz w:val="24"/>
          <w:szCs w:val="24"/>
        </w:rPr>
        <w:t>February</w:t>
      </w:r>
      <w:r w:rsidR="00DD3F47" w:rsidRPr="00B80B91">
        <w:rPr>
          <w:b/>
          <w:sz w:val="24"/>
          <w:szCs w:val="24"/>
        </w:rPr>
        <w:t xml:space="preserve"> </w:t>
      </w:r>
      <w:r w:rsidR="00090C21" w:rsidRPr="00B80B91">
        <w:rPr>
          <w:b/>
          <w:sz w:val="24"/>
          <w:szCs w:val="24"/>
        </w:rPr>
        <w:t>28</w:t>
      </w:r>
      <w:r w:rsidR="00DD3F47" w:rsidRPr="00B80B91">
        <w:rPr>
          <w:b/>
          <w:sz w:val="24"/>
          <w:szCs w:val="24"/>
        </w:rPr>
        <w:t xml:space="preserve"> to </w:t>
      </w:r>
      <w:r w:rsidR="00090C21" w:rsidRPr="00B80B91">
        <w:rPr>
          <w:b/>
          <w:sz w:val="24"/>
          <w:szCs w:val="24"/>
        </w:rPr>
        <w:t>March 4</w:t>
      </w:r>
      <w:r w:rsidR="00B4759F" w:rsidRPr="00B80B91">
        <w:rPr>
          <w:b/>
          <w:sz w:val="24"/>
          <w:szCs w:val="24"/>
        </w:rPr>
        <w:t>, 202</w:t>
      </w:r>
      <w:r w:rsidR="00090C21" w:rsidRPr="00B80B91">
        <w:rPr>
          <w:b/>
          <w:sz w:val="24"/>
          <w:szCs w:val="24"/>
        </w:rPr>
        <w:t>2</w:t>
      </w:r>
    </w:p>
    <w:p w:rsidR="008B2CC1" w:rsidRPr="00B80B91" w:rsidRDefault="008B2CC1" w:rsidP="008B2CC1"/>
    <w:p w:rsidR="008B2CC1" w:rsidRPr="00B80B91" w:rsidRDefault="008B2CC1" w:rsidP="008B2CC1"/>
    <w:p w:rsidR="008B2CC1" w:rsidRPr="00B80B91" w:rsidRDefault="008B2CC1" w:rsidP="008B2CC1"/>
    <w:p w:rsidR="00566FC7" w:rsidRPr="00B80B91" w:rsidRDefault="00566FC7" w:rsidP="00566FC7">
      <w:pPr>
        <w:rPr>
          <w:caps/>
          <w:sz w:val="24"/>
        </w:rPr>
      </w:pPr>
      <w:bookmarkStart w:id="3" w:name="TitleOfDoc"/>
      <w:bookmarkEnd w:id="3"/>
    </w:p>
    <w:p w:rsidR="00B80B91" w:rsidRPr="00B80B91" w:rsidRDefault="00B80B91" w:rsidP="00B80B91">
      <w:pPr>
        <w:rPr>
          <w:caps/>
          <w:sz w:val="24"/>
        </w:rPr>
      </w:pPr>
      <w:r w:rsidRPr="00B80B91">
        <w:rPr>
          <w:caps/>
          <w:sz w:val="24"/>
        </w:rPr>
        <w:t>RESOURCES AVAILABLE ON THE WIPO TRADITIONAL KNOWLEDGE, TRADITIONAL CULTURAL EXPRESSIONS AND GENETIC RESOURCES WEBSITE</w:t>
      </w:r>
    </w:p>
    <w:p w:rsidR="00B80B91" w:rsidRPr="00B80B91" w:rsidRDefault="00B80B91" w:rsidP="00B80B91"/>
    <w:p w:rsidR="00B80B91" w:rsidRPr="00B80B91" w:rsidRDefault="00B80B91" w:rsidP="00B80B91">
      <w:pPr>
        <w:rPr>
          <w:i/>
        </w:rPr>
      </w:pPr>
      <w:bookmarkStart w:id="4" w:name="Prepared"/>
      <w:bookmarkEnd w:id="4"/>
      <w:r w:rsidRPr="00B80B91">
        <w:rPr>
          <w:i/>
        </w:rPr>
        <w:t>Document prepared by the Secretariat</w:t>
      </w:r>
    </w:p>
    <w:p w:rsidR="00B80B91" w:rsidRPr="00B80B91" w:rsidRDefault="00B80B91" w:rsidP="00B80B91"/>
    <w:p w:rsidR="00B80B91" w:rsidRPr="00B80B91" w:rsidRDefault="00B80B91" w:rsidP="00B80B91"/>
    <w:p w:rsidR="00B80B91" w:rsidRPr="00B80B91" w:rsidRDefault="00B80B91" w:rsidP="00B80B91"/>
    <w:p w:rsidR="00B80B91" w:rsidRPr="00B80B91" w:rsidRDefault="00B80B91" w:rsidP="00B80B91"/>
    <w:p w:rsidR="00B80B91" w:rsidRPr="00B80B91" w:rsidRDefault="00B80B91" w:rsidP="00B80B91">
      <w:pPr>
        <w:pStyle w:val="ListParagraph"/>
        <w:numPr>
          <w:ilvl w:val="0"/>
          <w:numId w:val="13"/>
        </w:numPr>
        <w:ind w:left="0" w:firstLine="0"/>
        <w:contextualSpacing w:val="0"/>
        <w:rPr>
          <w:szCs w:val="22"/>
        </w:rPr>
      </w:pPr>
      <w:r w:rsidRPr="00B80B91">
        <w:t>At its Twentieth Session, held from February 14 to 22, 2012, the Intergovernmental Committee on Intellectual Property and Genetic Resources, Traditional Knowledge and Folklore (“the IGC”) invited the Secretariat to produce an information document briefly describing the resources available on the WIPO Traditional Knowledge, Traditional Cultural Expressions and Genetic Resources website (“the WIPO TK website”)</w:t>
      </w:r>
      <w:r w:rsidRPr="00B80B91">
        <w:rPr>
          <w:rStyle w:val="FootnoteReference"/>
          <w:szCs w:val="22"/>
        </w:rPr>
        <w:footnoteReference w:id="2"/>
      </w:r>
      <w:r w:rsidRPr="00B80B91">
        <w:t xml:space="preserve">.  </w:t>
      </w:r>
    </w:p>
    <w:p w:rsidR="00B80B91" w:rsidRPr="00B80B91" w:rsidRDefault="00B80B91" w:rsidP="00B80B91">
      <w:pPr>
        <w:contextualSpacing/>
        <w:rPr>
          <w:szCs w:val="22"/>
          <w:lang w:eastAsia="en-US"/>
        </w:rPr>
      </w:pPr>
    </w:p>
    <w:p w:rsidR="00B80B91" w:rsidRPr="00B80B91" w:rsidRDefault="00B80B91" w:rsidP="00B80B91">
      <w:pPr>
        <w:pStyle w:val="ListParagraph"/>
        <w:numPr>
          <w:ilvl w:val="0"/>
          <w:numId w:val="13"/>
        </w:numPr>
        <w:ind w:left="0" w:firstLine="0"/>
        <w:rPr>
          <w:szCs w:val="22"/>
          <w:lang w:eastAsia="en-US"/>
        </w:rPr>
      </w:pPr>
      <w:r w:rsidRPr="00B80B91">
        <w:rPr>
          <w:szCs w:val="22"/>
          <w:lang w:eastAsia="en-US"/>
        </w:rPr>
        <w:t xml:space="preserve">Pursuant to that decision, a detailed description of the resources available on the WIPO TK website (https://www.wipo.int/tk/en/) was prepared for all subsequent IGC sessions.  The latest version of such description was included in document WIPO/GRTKF/IC/35/INF/8.  </w:t>
      </w:r>
    </w:p>
    <w:p w:rsidR="00B80B91" w:rsidRPr="00B80B91" w:rsidRDefault="00B80B91" w:rsidP="00B80B91">
      <w:pPr>
        <w:contextualSpacing/>
        <w:rPr>
          <w:szCs w:val="22"/>
          <w:lang w:eastAsia="en-US"/>
        </w:rPr>
      </w:pPr>
    </w:p>
    <w:p w:rsidR="00B80B91" w:rsidRPr="00B80B91" w:rsidRDefault="00B80B91" w:rsidP="00B80B91">
      <w:pPr>
        <w:pStyle w:val="ListParagraph"/>
        <w:numPr>
          <w:ilvl w:val="0"/>
          <w:numId w:val="13"/>
        </w:numPr>
        <w:ind w:left="0" w:firstLine="0"/>
        <w:rPr>
          <w:szCs w:val="22"/>
        </w:rPr>
      </w:pPr>
      <w:r w:rsidRPr="00B80B91">
        <w:rPr>
          <w:szCs w:val="22"/>
        </w:rPr>
        <w:t xml:space="preserve">As indicated in document WIPO/GRTKF/IC/30/INF/8 prepared for the Thirtieth Session of the IGC, this information document would only be issued once a year or when significant amendments have been made to the website. </w:t>
      </w:r>
    </w:p>
    <w:p w:rsidR="00B80B91" w:rsidRPr="00B80B91" w:rsidRDefault="00B80B91" w:rsidP="00B80B91">
      <w:pPr>
        <w:contextualSpacing/>
        <w:rPr>
          <w:szCs w:val="22"/>
        </w:rPr>
        <w:sectPr w:rsidR="00B80B91" w:rsidRPr="00B80B91" w:rsidSect="00CD7342">
          <w:headerReference w:type="default" r:id="rId8"/>
          <w:endnotePr>
            <w:numFmt w:val="decimal"/>
          </w:endnotePr>
          <w:pgSz w:w="11907" w:h="16840" w:code="9"/>
          <w:pgMar w:top="567" w:right="1134" w:bottom="1418" w:left="1418" w:header="510" w:footer="1021" w:gutter="0"/>
          <w:pgNumType w:start="1"/>
          <w:cols w:space="720"/>
          <w:titlePg/>
          <w:docGrid w:linePitch="299"/>
        </w:sectPr>
      </w:pPr>
    </w:p>
    <w:p w:rsidR="00B80B91" w:rsidRPr="00B80B91" w:rsidRDefault="00B80B91" w:rsidP="00B80B91">
      <w:pPr>
        <w:pStyle w:val="ListParagraph"/>
        <w:numPr>
          <w:ilvl w:val="0"/>
          <w:numId w:val="13"/>
        </w:numPr>
        <w:ind w:left="0" w:firstLine="0"/>
        <w:rPr>
          <w:szCs w:val="22"/>
        </w:rPr>
      </w:pPr>
      <w:r w:rsidRPr="00B80B91">
        <w:rPr>
          <w:szCs w:val="22"/>
        </w:rPr>
        <w:lastRenderedPageBreak/>
        <w:t xml:space="preserve">The Annex of the current document provides a concise list of main entries of the </w:t>
      </w:r>
      <w:r w:rsidRPr="00B80B91">
        <w:rPr>
          <w:szCs w:val="22"/>
        </w:rPr>
        <w:br/>
        <w:t xml:space="preserve">WIPO TK website and an update on the resources available on the website since January 2018, when such an information document was last prepared. </w:t>
      </w:r>
    </w:p>
    <w:p w:rsidR="00B80B91" w:rsidRPr="00B80B91" w:rsidRDefault="00B80B91" w:rsidP="00B80B91">
      <w:pPr>
        <w:contextualSpacing/>
        <w:rPr>
          <w:szCs w:val="22"/>
        </w:rPr>
      </w:pPr>
    </w:p>
    <w:p w:rsidR="00B80B91" w:rsidRPr="00B80B91" w:rsidRDefault="00B80B91" w:rsidP="00B80B91">
      <w:pPr>
        <w:pStyle w:val="DecisionInvitingPara"/>
        <w:numPr>
          <w:ilvl w:val="0"/>
          <w:numId w:val="13"/>
        </w:numPr>
        <w:ind w:left="5533" w:firstLine="0"/>
        <w:rPr>
          <w:rFonts w:cs="Arial"/>
          <w:sz w:val="22"/>
          <w:szCs w:val="22"/>
        </w:rPr>
      </w:pPr>
      <w:r w:rsidRPr="00B80B91">
        <w:rPr>
          <w:rFonts w:cs="Arial"/>
          <w:sz w:val="22"/>
          <w:szCs w:val="22"/>
        </w:rPr>
        <w:t>The IGC is invited to take note of this document and the Annex to it.</w:t>
      </w:r>
    </w:p>
    <w:p w:rsidR="00B80B91" w:rsidRPr="00B80B91" w:rsidRDefault="00B80B91" w:rsidP="00B80B91">
      <w:pPr>
        <w:spacing w:after="120" w:line="260" w:lineRule="atLeast"/>
        <w:rPr>
          <w:i/>
          <w:szCs w:val="22"/>
        </w:rPr>
      </w:pPr>
    </w:p>
    <w:p w:rsidR="00B80B91" w:rsidRPr="00B80B91" w:rsidRDefault="00B80B91" w:rsidP="00B80B91">
      <w:pPr>
        <w:pStyle w:val="Endofdocument"/>
        <w:spacing w:after="0"/>
        <w:ind w:left="5533"/>
        <w:rPr>
          <w:sz w:val="22"/>
          <w:szCs w:val="22"/>
        </w:rPr>
      </w:pPr>
      <w:r w:rsidRPr="00B80B91">
        <w:rPr>
          <w:sz w:val="22"/>
          <w:szCs w:val="22"/>
        </w:rPr>
        <w:t>[Annex follows]</w:t>
      </w:r>
    </w:p>
    <w:p w:rsidR="00B80B91" w:rsidRPr="00B80B91" w:rsidRDefault="00B80B91" w:rsidP="00B80B91">
      <w:pPr>
        <w:pStyle w:val="Endofdocument"/>
        <w:spacing w:after="0"/>
        <w:ind w:left="0"/>
        <w:sectPr w:rsidR="00B80B91" w:rsidRPr="00B80B91" w:rsidSect="00CD7342">
          <w:headerReference w:type="first" r:id="rId9"/>
          <w:endnotePr>
            <w:numFmt w:val="decimal"/>
          </w:endnotePr>
          <w:pgSz w:w="11907" w:h="16840" w:code="9"/>
          <w:pgMar w:top="567" w:right="1134" w:bottom="1418" w:left="1418" w:header="510" w:footer="1021" w:gutter="0"/>
          <w:pgNumType w:start="1"/>
          <w:cols w:space="720"/>
          <w:titlePg/>
          <w:docGrid w:linePitch="299"/>
        </w:sectPr>
      </w:pPr>
    </w:p>
    <w:p w:rsidR="00B80B91" w:rsidRPr="00B80B91" w:rsidRDefault="00B80B91" w:rsidP="00B80B91">
      <w:pPr>
        <w:spacing w:line="260" w:lineRule="atLeast"/>
        <w:rPr>
          <w:caps/>
          <w:sz w:val="24"/>
        </w:rPr>
      </w:pPr>
    </w:p>
    <w:p w:rsidR="00B80B91" w:rsidRPr="00B80B91" w:rsidRDefault="00B80B91" w:rsidP="00B80B91">
      <w:pPr>
        <w:spacing w:line="260" w:lineRule="atLeast"/>
        <w:rPr>
          <w:szCs w:val="22"/>
        </w:rPr>
      </w:pPr>
      <w:r w:rsidRPr="00B80B91">
        <w:rPr>
          <w:caps/>
          <w:sz w:val="24"/>
        </w:rPr>
        <w:t xml:space="preserve">RESOURCES AVAILABLE ON THE wipo tRADITIONAL KNOWLEDGE, TRADITIONAL CULTURAL EXPRESSIONS AND GENETIC RESOURCES wEBSITE </w:t>
      </w:r>
    </w:p>
    <w:p w:rsidR="00B80B91" w:rsidRPr="00B80B91" w:rsidRDefault="00B80B91" w:rsidP="00B80B91">
      <w:pPr>
        <w:rPr>
          <w:szCs w:val="22"/>
        </w:rPr>
      </w:pPr>
    </w:p>
    <w:p w:rsidR="00B80B91" w:rsidRPr="00B80B91" w:rsidRDefault="00B80B91" w:rsidP="00B80B91">
      <w:pPr>
        <w:rPr>
          <w:szCs w:val="22"/>
        </w:rPr>
      </w:pPr>
    </w:p>
    <w:p w:rsidR="00B80B91" w:rsidRPr="00753DC6" w:rsidRDefault="00B80B91" w:rsidP="00B80B91">
      <w:pPr>
        <w:pStyle w:val="ListParagraph"/>
        <w:numPr>
          <w:ilvl w:val="0"/>
          <w:numId w:val="14"/>
        </w:numPr>
        <w:ind w:left="0" w:firstLine="0"/>
        <w:contextualSpacing w:val="0"/>
        <w:rPr>
          <w:szCs w:val="22"/>
        </w:rPr>
      </w:pPr>
      <w:r w:rsidRPr="00753DC6">
        <w:rPr>
          <w:szCs w:val="22"/>
        </w:rPr>
        <w:t xml:space="preserve">The present Annex provides </w:t>
      </w:r>
      <w:r w:rsidRPr="00753DC6">
        <w:rPr>
          <w:szCs w:val="22"/>
          <w:lang w:eastAsia="en-US"/>
        </w:rPr>
        <w:t xml:space="preserve">a list of the main entries of the WIPO TK website </w:t>
      </w:r>
      <w:r w:rsidRPr="00753DC6">
        <w:rPr>
          <w:szCs w:val="22"/>
          <w:lang w:val="en-GB"/>
        </w:rPr>
        <w:t>(</w:t>
      </w:r>
      <w:hyperlink r:id="rId10" w:history="1">
        <w:r w:rsidRPr="00753DC6">
          <w:rPr>
            <w:szCs w:val="22"/>
            <w:lang w:val="en-GB"/>
          </w:rPr>
          <w:t>https://www.wipo.int/tk/en/</w:t>
        </w:r>
      </w:hyperlink>
      <w:r w:rsidRPr="00753DC6">
        <w:rPr>
          <w:szCs w:val="22"/>
          <w:lang w:val="en-GB"/>
        </w:rPr>
        <w:t xml:space="preserve">) </w:t>
      </w:r>
      <w:r w:rsidRPr="00753DC6">
        <w:rPr>
          <w:szCs w:val="22"/>
          <w:lang w:eastAsia="en-US"/>
        </w:rPr>
        <w:t xml:space="preserve">and </w:t>
      </w:r>
      <w:r w:rsidRPr="00753DC6">
        <w:rPr>
          <w:szCs w:val="22"/>
        </w:rPr>
        <w:t xml:space="preserve">an update on the new resources since January 2018.  </w:t>
      </w:r>
    </w:p>
    <w:p w:rsidR="00B80B91" w:rsidRPr="00753DC6" w:rsidRDefault="00B80B91" w:rsidP="00B80B91">
      <w:pPr>
        <w:rPr>
          <w:szCs w:val="22"/>
        </w:rPr>
      </w:pPr>
    </w:p>
    <w:p w:rsidR="00B80B91" w:rsidRPr="00753DC6" w:rsidRDefault="00B80B91" w:rsidP="00B80B91">
      <w:pPr>
        <w:pStyle w:val="ListParagraph"/>
        <w:numPr>
          <w:ilvl w:val="0"/>
          <w:numId w:val="14"/>
        </w:numPr>
        <w:ind w:left="0" w:firstLine="0"/>
        <w:contextualSpacing w:val="0"/>
        <w:rPr>
          <w:szCs w:val="22"/>
        </w:rPr>
      </w:pPr>
      <w:r w:rsidRPr="00753DC6">
        <w:rPr>
          <w:szCs w:val="22"/>
        </w:rPr>
        <w:t>The WIPO TK website has been redesigned to better reflect the services provided by the Traditional Knowledge Division.  Currently, there are seven main entries of the website:</w:t>
      </w:r>
    </w:p>
    <w:p w:rsidR="00B80B91" w:rsidRPr="00753DC6" w:rsidRDefault="00B80B91" w:rsidP="00B80B91">
      <w:pPr>
        <w:rPr>
          <w:szCs w:val="22"/>
        </w:rPr>
      </w:pPr>
    </w:p>
    <w:p w:rsidR="00B80B91" w:rsidRPr="00753DC6" w:rsidRDefault="00B80B91" w:rsidP="00B80B91">
      <w:pPr>
        <w:numPr>
          <w:ilvl w:val="0"/>
          <w:numId w:val="11"/>
        </w:numPr>
        <w:rPr>
          <w:szCs w:val="22"/>
        </w:rPr>
      </w:pPr>
      <w:r w:rsidRPr="00753DC6">
        <w:rPr>
          <w:szCs w:val="22"/>
        </w:rPr>
        <w:t xml:space="preserve">Facilitation of international negotiations: </w:t>
      </w:r>
      <w:hyperlink r:id="rId11" w:history="1">
        <w:r w:rsidRPr="00753DC6">
          <w:rPr>
            <w:rStyle w:val="Hyperlink"/>
            <w:color w:val="auto"/>
          </w:rPr>
          <w:t>https://www.wipo.int/tk/en/igc/</w:t>
        </w:r>
      </w:hyperlink>
      <w:r w:rsidRPr="00753DC6">
        <w:rPr>
          <w:szCs w:val="22"/>
        </w:rPr>
        <w:t>.  This webpage constitutes the most important gateway to detailed information for IGC participants.</w:t>
      </w:r>
    </w:p>
    <w:p w:rsidR="00B80B91" w:rsidRPr="00753DC6" w:rsidRDefault="00B80B91" w:rsidP="00B80B91">
      <w:pPr>
        <w:ind w:left="720"/>
        <w:rPr>
          <w:szCs w:val="22"/>
        </w:rPr>
      </w:pPr>
    </w:p>
    <w:p w:rsidR="00B80B91" w:rsidRPr="00753DC6" w:rsidRDefault="00B80B91" w:rsidP="00B80B91">
      <w:pPr>
        <w:numPr>
          <w:ilvl w:val="0"/>
          <w:numId w:val="11"/>
        </w:numPr>
        <w:rPr>
          <w:szCs w:val="22"/>
        </w:rPr>
      </w:pPr>
      <w:r w:rsidRPr="00753DC6">
        <w:rPr>
          <w:szCs w:val="22"/>
        </w:rPr>
        <w:t xml:space="preserve">Policy and legislative advice to regional and national authorities: </w:t>
      </w:r>
      <w:hyperlink r:id="rId12" w:history="1">
        <w:r w:rsidRPr="00753DC6">
          <w:rPr>
            <w:rStyle w:val="Hyperlink"/>
            <w:color w:val="auto"/>
          </w:rPr>
          <w:t>https://www.wipo.int/tk/en/policy_and_legislative_advice.html</w:t>
        </w:r>
      </w:hyperlink>
      <w:r w:rsidRPr="00753DC6">
        <w:t xml:space="preserve">.  This webpage includes information and technical assistance provided by the WIPO Traditional Knowledge Division in relation to the development of policies, strategies, action plans and legislation related to intellectual property and genetic resources, traditional knowledge and traditional cultural expressions.  </w:t>
      </w:r>
    </w:p>
    <w:p w:rsidR="00B80B91" w:rsidRPr="00753DC6" w:rsidRDefault="00B80B91" w:rsidP="00B80B91">
      <w:pPr>
        <w:rPr>
          <w:szCs w:val="22"/>
        </w:rPr>
      </w:pPr>
    </w:p>
    <w:p w:rsidR="00B80B91" w:rsidRPr="00753DC6" w:rsidRDefault="00B80B91" w:rsidP="00B80B91">
      <w:pPr>
        <w:numPr>
          <w:ilvl w:val="0"/>
          <w:numId w:val="11"/>
        </w:numPr>
        <w:rPr>
          <w:szCs w:val="22"/>
        </w:rPr>
      </w:pPr>
      <w:r w:rsidRPr="00753DC6">
        <w:rPr>
          <w:szCs w:val="22"/>
        </w:rPr>
        <w:t xml:space="preserve">Indigenous peoples and local communities’ engagement:  </w:t>
      </w:r>
      <w:hyperlink r:id="rId13" w:history="1">
        <w:r w:rsidRPr="00753DC6">
          <w:rPr>
            <w:rStyle w:val="Hyperlink"/>
            <w:color w:val="auto"/>
          </w:rPr>
          <w:t>https://www.wipo.int/tk/en/engagement.html</w:t>
        </w:r>
      </w:hyperlink>
      <w:r w:rsidRPr="00753DC6">
        <w:rPr>
          <w:szCs w:val="22"/>
        </w:rPr>
        <w:t>.  This is part of the WIPO Secretariat’s effort to improve access to available information for and relating specifically to indigenous peoples and local communities.  It offers links to the practical workshops, relevant WIPO resources, information on accreditation to, and participation in, the IGC process and provides access to external links of interest to indigenous peoples and local communities.</w:t>
      </w:r>
    </w:p>
    <w:p w:rsidR="00B80B91" w:rsidRPr="00753DC6" w:rsidRDefault="00B80B91" w:rsidP="00B80B91">
      <w:pPr>
        <w:rPr>
          <w:szCs w:val="22"/>
        </w:rPr>
      </w:pPr>
    </w:p>
    <w:p w:rsidR="00B80B91" w:rsidRPr="00B80B91" w:rsidRDefault="00B80B91" w:rsidP="001539AC">
      <w:pPr>
        <w:numPr>
          <w:ilvl w:val="0"/>
          <w:numId w:val="11"/>
        </w:numPr>
        <w:rPr>
          <w:szCs w:val="22"/>
        </w:rPr>
      </w:pPr>
      <w:r w:rsidRPr="00753DC6">
        <w:rPr>
          <w:szCs w:val="22"/>
        </w:rPr>
        <w:t xml:space="preserve">Indigenous and local community entrepreneurship: </w:t>
      </w:r>
      <w:hyperlink r:id="rId14" w:history="1">
        <w:r w:rsidR="001539AC" w:rsidRPr="00753DC6">
          <w:rPr>
            <w:rStyle w:val="Hyperlink"/>
            <w:color w:val="auto"/>
          </w:rPr>
          <w:t>https://www.wipo.int/tk/en/entrepreneurship/index.html</w:t>
        </w:r>
      </w:hyperlink>
      <w:r w:rsidRPr="00B80B91">
        <w:rPr>
          <w:szCs w:val="22"/>
        </w:rPr>
        <w:t>.</w:t>
      </w:r>
      <w:r w:rsidR="001539AC">
        <w:rPr>
          <w:szCs w:val="22"/>
        </w:rPr>
        <w:t xml:space="preserve">  </w:t>
      </w:r>
      <w:r w:rsidRPr="00B80B91">
        <w:rPr>
          <w:szCs w:val="22"/>
        </w:rPr>
        <w:t>This webpage includes information of the practical workshops and relevant WIPO resources designed to provide assistance to indigenous peoples and local communities in making strategic and effective use of intellectual property tools in their businesses.</w:t>
      </w:r>
    </w:p>
    <w:p w:rsidR="00B80B91" w:rsidRPr="00B80B91" w:rsidRDefault="00B80B91" w:rsidP="00B80B91">
      <w:pPr>
        <w:rPr>
          <w:szCs w:val="22"/>
        </w:rPr>
      </w:pPr>
    </w:p>
    <w:p w:rsidR="00B80B91" w:rsidRPr="00B80B91" w:rsidRDefault="00B80B91" w:rsidP="00B80B91">
      <w:pPr>
        <w:numPr>
          <w:ilvl w:val="0"/>
          <w:numId w:val="11"/>
        </w:numPr>
        <w:rPr>
          <w:szCs w:val="22"/>
        </w:rPr>
      </w:pPr>
      <w:r w:rsidRPr="00B80B91">
        <w:rPr>
          <w:szCs w:val="22"/>
        </w:rPr>
        <w:t xml:space="preserve">Documentation of traditional knowledge and traditional cultural expressions:  </w:t>
      </w:r>
      <w:hyperlink r:id="rId15" w:history="1">
        <w:r w:rsidRPr="00B80B91">
          <w:rPr>
            <w:rStyle w:val="Hyperlink"/>
            <w:color w:val="auto"/>
          </w:rPr>
          <w:t>https://www.wipo.int/tk/en/tk_and_tces.html</w:t>
        </w:r>
      </w:hyperlink>
      <w:r w:rsidRPr="00B80B91">
        <w:rPr>
          <w:szCs w:val="22"/>
        </w:rPr>
        <w:t xml:space="preserve">.  This webpage includes information, practical tools and </w:t>
      </w:r>
      <w:r w:rsidRPr="00B80B91">
        <w:t>technical assistance services provided by the WIPO Traditional Knowledge Division in relation to the documentation of traditional knowledge and traditional cultural expressions</w:t>
      </w:r>
      <w:r w:rsidRPr="00B80B91">
        <w:rPr>
          <w:szCs w:val="22"/>
        </w:rPr>
        <w:t xml:space="preserve">.  </w:t>
      </w:r>
      <w:r w:rsidRPr="00B80B91">
        <w:t>.</w:t>
      </w:r>
    </w:p>
    <w:p w:rsidR="00B80B91" w:rsidRPr="00B80B91" w:rsidRDefault="00B80B91" w:rsidP="00B80B91">
      <w:pPr>
        <w:rPr>
          <w:szCs w:val="22"/>
        </w:rPr>
      </w:pPr>
    </w:p>
    <w:p w:rsidR="00B80B91" w:rsidRPr="00B80B91" w:rsidRDefault="00B80B91" w:rsidP="00B80B91">
      <w:pPr>
        <w:numPr>
          <w:ilvl w:val="0"/>
          <w:numId w:val="11"/>
        </w:numPr>
        <w:rPr>
          <w:szCs w:val="22"/>
        </w:rPr>
      </w:pPr>
      <w:r w:rsidRPr="00B80B91">
        <w:rPr>
          <w:szCs w:val="22"/>
        </w:rPr>
        <w:t xml:space="preserve">IP rights management in genetic resources and data:  </w:t>
      </w:r>
      <w:hyperlink r:id="rId16" w:history="1">
        <w:r w:rsidRPr="00B80B91">
          <w:rPr>
            <w:rStyle w:val="Hyperlink"/>
            <w:color w:val="auto"/>
            <w:szCs w:val="22"/>
          </w:rPr>
          <w:t>https://www.wipo.int/tk/en/ip_rights_management.html</w:t>
        </w:r>
      </w:hyperlink>
      <w:r w:rsidRPr="00B80B91">
        <w:rPr>
          <w:szCs w:val="22"/>
        </w:rPr>
        <w:t xml:space="preserve">.  This webpage includes a concise description of the </w:t>
      </w:r>
      <w:r w:rsidRPr="00B80B91">
        <w:t>technical assistance services provided by the WIPO Traditional Knowledge Division in relation to the management of intellectual property in genetic resources, information and data</w:t>
      </w:r>
      <w:r w:rsidRPr="00B80B91">
        <w:rPr>
          <w:szCs w:val="22"/>
        </w:rPr>
        <w:t xml:space="preserve">.  </w:t>
      </w:r>
      <w:r w:rsidRPr="00B80B91">
        <w:t>This webpage also includes links to relevant resources.</w:t>
      </w:r>
    </w:p>
    <w:p w:rsidR="00B80B91" w:rsidRPr="00B80B91" w:rsidRDefault="00B80B91" w:rsidP="00B80B91">
      <w:pPr>
        <w:rPr>
          <w:szCs w:val="22"/>
        </w:rPr>
      </w:pPr>
    </w:p>
    <w:p w:rsidR="00B80B91" w:rsidRPr="00B80B91" w:rsidRDefault="00B80B91" w:rsidP="00B80B91">
      <w:pPr>
        <w:numPr>
          <w:ilvl w:val="0"/>
          <w:numId w:val="11"/>
        </w:numPr>
        <w:rPr>
          <w:szCs w:val="22"/>
        </w:rPr>
      </w:pPr>
      <w:r w:rsidRPr="00B80B91">
        <w:rPr>
          <w:szCs w:val="22"/>
        </w:rPr>
        <w:t xml:space="preserve">Global reference point on IP and GRs, TK and TCEs:  </w:t>
      </w:r>
      <w:hyperlink r:id="rId17" w:history="1">
        <w:r w:rsidRPr="00B80B91">
          <w:rPr>
            <w:rStyle w:val="Hyperlink"/>
            <w:color w:val="auto"/>
            <w:szCs w:val="22"/>
          </w:rPr>
          <w:t>https://www.wipo.int/tk/en/global_reference.html</w:t>
        </w:r>
      </w:hyperlink>
      <w:r w:rsidRPr="00B80B91">
        <w:rPr>
          <w:szCs w:val="22"/>
        </w:rPr>
        <w:t xml:space="preserve">.  This webpage includes various information resources on intellectual property and genetic resources, traditional knowledge and traditional cultural expressions.  </w:t>
      </w:r>
    </w:p>
    <w:p w:rsidR="00B80B91" w:rsidRPr="00B80B91" w:rsidRDefault="00B80B91" w:rsidP="00B80B91">
      <w:pPr>
        <w:ind w:left="927"/>
        <w:rPr>
          <w:szCs w:val="22"/>
        </w:rPr>
      </w:pPr>
    </w:p>
    <w:p w:rsidR="00B80B91" w:rsidRPr="00B80B91" w:rsidRDefault="00B80B91" w:rsidP="00B80B91">
      <w:pPr>
        <w:rPr>
          <w:szCs w:val="22"/>
        </w:rPr>
      </w:pPr>
    </w:p>
    <w:p w:rsidR="00B80B91" w:rsidRPr="00B80B91" w:rsidRDefault="00B80B91" w:rsidP="00B80B91">
      <w:pPr>
        <w:pStyle w:val="ListParagraph"/>
        <w:numPr>
          <w:ilvl w:val="0"/>
          <w:numId w:val="14"/>
        </w:numPr>
        <w:ind w:left="0" w:firstLine="0"/>
        <w:contextualSpacing w:val="0"/>
        <w:rPr>
          <w:szCs w:val="22"/>
        </w:rPr>
      </w:pPr>
      <w:r w:rsidRPr="00B80B91">
        <w:rPr>
          <w:szCs w:val="22"/>
        </w:rPr>
        <w:lastRenderedPageBreak/>
        <w:t>Below are the main updates since January 2018.</w:t>
      </w:r>
    </w:p>
    <w:p w:rsidR="00B80B91" w:rsidRPr="00B80B91" w:rsidRDefault="00B80B91" w:rsidP="00B80B91">
      <w:pPr>
        <w:ind w:left="720"/>
        <w:rPr>
          <w:szCs w:val="22"/>
        </w:rPr>
      </w:pPr>
    </w:p>
    <w:p w:rsidR="00B80B91" w:rsidRPr="00B80B91" w:rsidRDefault="00B80B91" w:rsidP="00B80B91">
      <w:pPr>
        <w:rPr>
          <w:b/>
          <w:szCs w:val="22"/>
          <w:lang w:val="en-GB"/>
        </w:rPr>
      </w:pPr>
      <w:r w:rsidRPr="00B80B91">
        <w:rPr>
          <w:b/>
          <w:szCs w:val="22"/>
          <w:lang w:val="en-GB"/>
        </w:rPr>
        <w:t>The IGC</w:t>
      </w:r>
    </w:p>
    <w:p w:rsidR="00B80B91" w:rsidRPr="00B80B91" w:rsidRDefault="00B80B91" w:rsidP="00B80B91">
      <w:pPr>
        <w:rPr>
          <w:szCs w:val="22"/>
          <w:lang w:val="en-GB"/>
        </w:rPr>
      </w:pPr>
    </w:p>
    <w:p w:rsidR="00B80B91" w:rsidRDefault="00B80B91" w:rsidP="00B80B91">
      <w:pPr>
        <w:pStyle w:val="ListParagraph"/>
        <w:numPr>
          <w:ilvl w:val="0"/>
          <w:numId w:val="14"/>
        </w:numPr>
        <w:ind w:left="0" w:firstLine="0"/>
        <w:contextualSpacing w:val="0"/>
        <w:rPr>
          <w:szCs w:val="22"/>
          <w:lang w:val="en-GB"/>
        </w:rPr>
      </w:pPr>
      <w:r w:rsidRPr="00B80B91">
        <w:rPr>
          <w:szCs w:val="22"/>
          <w:lang w:val="en-GB"/>
        </w:rPr>
        <w:t xml:space="preserve">The IGC webpage offers direct link to, </w:t>
      </w:r>
      <w:r w:rsidRPr="00B80B91">
        <w:rPr>
          <w:i/>
          <w:szCs w:val="22"/>
          <w:lang w:val="en-GB"/>
        </w:rPr>
        <w:t>inter alia</w:t>
      </w:r>
      <w:r w:rsidRPr="00B80B91">
        <w:rPr>
          <w:szCs w:val="22"/>
          <w:lang w:val="en-GB"/>
        </w:rPr>
        <w:t>, the ren</w:t>
      </w:r>
      <w:r w:rsidR="00A21CFA">
        <w:rPr>
          <w:szCs w:val="22"/>
          <w:lang w:val="en-GB"/>
        </w:rPr>
        <w:t>ewed mandate of the IGC for 2022-2023</w:t>
      </w:r>
      <w:r w:rsidRPr="00B80B91">
        <w:rPr>
          <w:szCs w:val="22"/>
          <w:lang w:val="en-GB"/>
        </w:rPr>
        <w:t>:</w:t>
      </w:r>
      <w:r w:rsidRPr="00B80B91">
        <w:t xml:space="preserve">  </w:t>
      </w:r>
      <w:hyperlink r:id="rId18" w:history="1">
        <w:r w:rsidR="00A21CFA" w:rsidRPr="00A21CFA">
          <w:rPr>
            <w:rStyle w:val="Hyperlink"/>
            <w:color w:val="auto"/>
            <w:szCs w:val="22"/>
            <w:lang w:val="en-GB"/>
          </w:rPr>
          <w:t>https://www.wipo.int/export/sites/www/tk/en/documents/pdf/igc-mandate-2022-2023.pdf</w:t>
        </w:r>
      </w:hyperlink>
      <w:r w:rsidR="00A21CFA" w:rsidRPr="00A21CFA">
        <w:rPr>
          <w:szCs w:val="22"/>
          <w:lang w:val="en-GB"/>
        </w:rPr>
        <w:t xml:space="preserve">. </w:t>
      </w:r>
    </w:p>
    <w:p w:rsidR="00A21CFA" w:rsidRDefault="00A21CFA" w:rsidP="00A21CFA">
      <w:pPr>
        <w:pStyle w:val="ListParagraph"/>
        <w:ind w:left="0"/>
        <w:contextualSpacing w:val="0"/>
        <w:rPr>
          <w:szCs w:val="22"/>
          <w:lang w:val="en-GB"/>
        </w:rPr>
      </w:pPr>
    </w:p>
    <w:p w:rsidR="00A21CFA" w:rsidRPr="00A21CFA" w:rsidRDefault="00A21CFA" w:rsidP="00A21CFA">
      <w:pPr>
        <w:pStyle w:val="ListParagraph"/>
        <w:numPr>
          <w:ilvl w:val="0"/>
          <w:numId w:val="14"/>
        </w:numPr>
        <w:ind w:left="0" w:firstLine="0"/>
        <w:contextualSpacing w:val="0"/>
        <w:rPr>
          <w:szCs w:val="22"/>
          <w:lang w:val="en-GB"/>
        </w:rPr>
      </w:pPr>
      <w:r>
        <w:rPr>
          <w:szCs w:val="22"/>
          <w:lang w:val="en-GB"/>
        </w:rPr>
        <w:t xml:space="preserve">A direct link to all IGC related seminars is added:  </w:t>
      </w:r>
      <w:hyperlink r:id="rId19" w:history="1">
        <w:r w:rsidRPr="00A21CFA">
          <w:rPr>
            <w:u w:val="single"/>
            <w:lang w:val="en-GB"/>
          </w:rPr>
          <w:t>https://www.wipo.int/tk/en/igc/related_seminars.html</w:t>
        </w:r>
      </w:hyperlink>
      <w:r w:rsidRPr="00A21CFA">
        <w:rPr>
          <w:szCs w:val="22"/>
          <w:lang w:val="en-GB"/>
        </w:rPr>
        <w:t xml:space="preserve">. </w:t>
      </w:r>
    </w:p>
    <w:p w:rsidR="00A21CFA" w:rsidRPr="00A21CFA" w:rsidRDefault="00A21CFA" w:rsidP="00A21CFA">
      <w:pPr>
        <w:pStyle w:val="ListParagraph"/>
        <w:ind w:left="0"/>
        <w:contextualSpacing w:val="0"/>
        <w:rPr>
          <w:szCs w:val="22"/>
          <w:lang w:val="en-GB"/>
        </w:rPr>
      </w:pPr>
    </w:p>
    <w:p w:rsidR="00A21CFA" w:rsidRPr="00A21CFA" w:rsidRDefault="00B80B91" w:rsidP="00A21CFA">
      <w:pPr>
        <w:pStyle w:val="ListParagraph"/>
        <w:numPr>
          <w:ilvl w:val="0"/>
          <w:numId w:val="14"/>
        </w:numPr>
        <w:ind w:left="0" w:firstLine="0"/>
        <w:contextualSpacing w:val="0"/>
        <w:rPr>
          <w:szCs w:val="22"/>
          <w:lang w:val="en-GB"/>
        </w:rPr>
      </w:pPr>
      <w:r w:rsidRPr="00B80B91">
        <w:rPr>
          <w:szCs w:val="22"/>
          <w:lang w:val="en-GB"/>
        </w:rPr>
        <w:t>The complete list of available docu</w:t>
      </w:r>
      <w:r w:rsidR="00A21CFA">
        <w:rPr>
          <w:szCs w:val="22"/>
          <w:lang w:val="en-GB"/>
        </w:rPr>
        <w:t>ments related to the Forty-Second</w:t>
      </w:r>
      <w:r w:rsidRPr="00B80B91">
        <w:rPr>
          <w:szCs w:val="22"/>
          <w:lang w:val="en-GB"/>
        </w:rPr>
        <w:t xml:space="preserve"> Sessi</w:t>
      </w:r>
      <w:r w:rsidR="00A21CFA">
        <w:rPr>
          <w:szCs w:val="22"/>
          <w:lang w:val="en-GB"/>
        </w:rPr>
        <w:t xml:space="preserve">on of the IGC is available at:  </w:t>
      </w:r>
      <w:hyperlink r:id="rId20" w:history="1">
        <w:r w:rsidR="00A21CFA" w:rsidRPr="00A21CFA">
          <w:rPr>
            <w:rStyle w:val="Hyperlink"/>
            <w:color w:val="auto"/>
            <w:szCs w:val="22"/>
            <w:lang w:val="en-GB"/>
          </w:rPr>
          <w:t>https://www.wipo.int/meetings/en/details.jsp?meeting_id=68408</w:t>
        </w:r>
      </w:hyperlink>
      <w:r w:rsidR="00A21CFA">
        <w:rPr>
          <w:szCs w:val="22"/>
          <w:lang w:val="en-GB"/>
        </w:rPr>
        <w:t>.</w:t>
      </w:r>
    </w:p>
    <w:p w:rsidR="00B80B91" w:rsidRPr="00B80B91" w:rsidRDefault="00B80B91" w:rsidP="00B80B91">
      <w:pPr>
        <w:rPr>
          <w:b/>
          <w:szCs w:val="22"/>
          <w:lang w:val="en-GB"/>
        </w:rPr>
      </w:pPr>
    </w:p>
    <w:p w:rsidR="00B80B91" w:rsidRPr="00B80B91" w:rsidRDefault="00B80B91" w:rsidP="00B80B91">
      <w:pPr>
        <w:rPr>
          <w:b/>
          <w:szCs w:val="22"/>
          <w:lang w:val="en-GB"/>
        </w:rPr>
      </w:pPr>
      <w:r w:rsidRPr="00B80B91">
        <w:rPr>
          <w:b/>
          <w:szCs w:val="22"/>
          <w:lang w:val="en-GB"/>
        </w:rPr>
        <w:t>WIPO Project-Based Training and Mentoring Program on Intellectual Property for Women Entrepreneurs from Indigenous Peoples and Local Communities</w:t>
      </w:r>
      <w:r w:rsidRPr="00B80B91" w:rsidDel="00D14E22">
        <w:rPr>
          <w:b/>
          <w:szCs w:val="22"/>
          <w:lang w:val="en-GB"/>
        </w:rPr>
        <w:t xml:space="preserve"> </w:t>
      </w:r>
    </w:p>
    <w:p w:rsidR="00B80B91" w:rsidRPr="00B80B91" w:rsidRDefault="00B80B91" w:rsidP="00B80B91">
      <w:pPr>
        <w:rPr>
          <w:szCs w:val="22"/>
          <w:lang w:val="en-GB"/>
        </w:rPr>
      </w:pPr>
    </w:p>
    <w:p w:rsidR="00B80B91" w:rsidRPr="008309AB" w:rsidRDefault="00B80B91" w:rsidP="00B80B91">
      <w:pPr>
        <w:pStyle w:val="ListParagraph"/>
        <w:numPr>
          <w:ilvl w:val="0"/>
          <w:numId w:val="14"/>
        </w:numPr>
        <w:ind w:left="0" w:firstLine="0"/>
        <w:contextualSpacing w:val="0"/>
        <w:rPr>
          <w:szCs w:val="22"/>
          <w:lang w:val="en-GB"/>
        </w:rPr>
      </w:pPr>
      <w:r w:rsidRPr="00B80B91">
        <w:rPr>
          <w:szCs w:val="22"/>
        </w:rPr>
        <w:t xml:space="preserve">The WIPO Secretariat launched a WIPO Project-Based Training and Mentoring Program on Intellectual Property for Women Entrepreneurs from Indigenous Peoples and Local Communities in 2019, aiming at strengthening the capacity of women entrepreneurs from indigenous peoples and local communities to make strategic and effective use of intellectual property rights in support of projects based on traditional knowledge, traditional cultural expressions and genetic resources.  </w:t>
      </w:r>
      <w:r w:rsidR="00A21CFA">
        <w:rPr>
          <w:szCs w:val="22"/>
        </w:rPr>
        <w:t xml:space="preserve">The Program was organized </w:t>
      </w:r>
      <w:r w:rsidR="00E45DA4">
        <w:rPr>
          <w:szCs w:val="22"/>
        </w:rPr>
        <w:t xml:space="preserve">again in 2021.  </w:t>
      </w:r>
      <w:r w:rsidRPr="00B80B91">
        <w:rPr>
          <w:szCs w:val="22"/>
        </w:rPr>
        <w:t xml:space="preserve">Information on this Program is available at:  </w:t>
      </w:r>
      <w:r w:rsidRPr="00B80B91">
        <w:t xml:space="preserve"> </w:t>
      </w:r>
      <w:hyperlink r:id="rId21" w:history="1">
        <w:r w:rsidRPr="00B80B91">
          <w:rPr>
            <w:rStyle w:val="Hyperlink"/>
            <w:color w:val="auto"/>
          </w:rPr>
          <w:t>https://www.wipo.int/tk/en/women_entrepreneurs/</w:t>
        </w:r>
      </w:hyperlink>
      <w:r w:rsidRPr="00B80B91">
        <w:rPr>
          <w:szCs w:val="22"/>
        </w:rPr>
        <w:t xml:space="preserve">. </w:t>
      </w:r>
    </w:p>
    <w:p w:rsidR="008309AB" w:rsidRDefault="008309AB" w:rsidP="008309AB">
      <w:pPr>
        <w:pStyle w:val="ListParagraph"/>
        <w:ind w:left="0"/>
        <w:contextualSpacing w:val="0"/>
        <w:rPr>
          <w:szCs w:val="22"/>
        </w:rPr>
      </w:pPr>
    </w:p>
    <w:p w:rsidR="008309AB" w:rsidRDefault="008309AB" w:rsidP="008309AB">
      <w:pPr>
        <w:pStyle w:val="ListParagraph"/>
        <w:ind w:left="0"/>
        <w:contextualSpacing w:val="0"/>
        <w:rPr>
          <w:szCs w:val="22"/>
        </w:rPr>
      </w:pPr>
      <w:r w:rsidRPr="008309AB">
        <w:rPr>
          <w:b/>
          <w:szCs w:val="22"/>
        </w:rPr>
        <w:t>WIPO Photography Prize for Indigenous Peoples and Local Community Youth 2021-2022</w:t>
      </w:r>
    </w:p>
    <w:p w:rsidR="008309AB" w:rsidRPr="008309AB" w:rsidRDefault="008309AB" w:rsidP="008309AB">
      <w:pPr>
        <w:pStyle w:val="ListParagraph"/>
        <w:ind w:left="0"/>
        <w:contextualSpacing w:val="0"/>
        <w:rPr>
          <w:szCs w:val="22"/>
          <w:lang w:val="en-GB"/>
        </w:rPr>
      </w:pPr>
    </w:p>
    <w:p w:rsidR="008309AB" w:rsidRPr="008309AB" w:rsidRDefault="008309AB" w:rsidP="00B80B91">
      <w:pPr>
        <w:pStyle w:val="ListParagraph"/>
        <w:numPr>
          <w:ilvl w:val="0"/>
          <w:numId w:val="14"/>
        </w:numPr>
        <w:ind w:left="0" w:firstLine="0"/>
        <w:contextualSpacing w:val="0"/>
        <w:rPr>
          <w:szCs w:val="22"/>
          <w:lang w:val="en-GB"/>
        </w:rPr>
      </w:pPr>
      <w:r w:rsidRPr="008309AB">
        <w:rPr>
          <w:szCs w:val="22"/>
        </w:rPr>
        <w:t xml:space="preserve">The WIPO Secretariat launched a WIPO Photography Prize for Indigenous Peoples and Local Community Youth 2021-2022, aiming at celebrating and showcasing the creativity of indigenous peoples and local community youth through photography;  promoting appreciation for copyright protection;  and giving these young people an opportunity to express themselves on climate change and climate action, issues of profound significance for indigenous peoples and local communities around the globe:  </w:t>
      </w:r>
      <w:hyperlink r:id="rId22" w:history="1">
        <w:r w:rsidRPr="008309AB">
          <w:rPr>
            <w:rStyle w:val="Hyperlink"/>
            <w:color w:val="auto"/>
            <w:szCs w:val="22"/>
          </w:rPr>
          <w:t>https://www.wipo.int/tk/en/youth_prize.html</w:t>
        </w:r>
      </w:hyperlink>
      <w:r>
        <w:rPr>
          <w:szCs w:val="22"/>
        </w:rPr>
        <w:t>.</w:t>
      </w:r>
    </w:p>
    <w:p w:rsidR="008309AB" w:rsidRDefault="008309AB" w:rsidP="008309AB">
      <w:pPr>
        <w:pStyle w:val="ListParagraph"/>
        <w:ind w:left="0"/>
        <w:contextualSpacing w:val="0"/>
        <w:rPr>
          <w:szCs w:val="22"/>
        </w:rPr>
      </w:pPr>
    </w:p>
    <w:p w:rsidR="00B80B91" w:rsidRPr="00B80B91" w:rsidRDefault="00B80B91" w:rsidP="00B80B91">
      <w:pPr>
        <w:rPr>
          <w:b/>
          <w:szCs w:val="22"/>
          <w:lang w:val="en-GB"/>
        </w:rPr>
      </w:pPr>
      <w:r w:rsidRPr="00B80B91">
        <w:rPr>
          <w:b/>
          <w:szCs w:val="22"/>
          <w:lang w:val="en-GB"/>
        </w:rPr>
        <w:t>New Resources</w:t>
      </w:r>
    </w:p>
    <w:p w:rsidR="00B80B91" w:rsidRPr="00B80B91" w:rsidRDefault="00B80B91" w:rsidP="00B80B91">
      <w:pPr>
        <w:rPr>
          <w:szCs w:val="22"/>
        </w:rPr>
      </w:pPr>
    </w:p>
    <w:p w:rsidR="00B80B91" w:rsidRDefault="00B80B91" w:rsidP="00B80B91">
      <w:pPr>
        <w:pStyle w:val="ListParagraph"/>
        <w:numPr>
          <w:ilvl w:val="0"/>
          <w:numId w:val="14"/>
        </w:numPr>
        <w:ind w:left="0" w:firstLine="0"/>
        <w:contextualSpacing w:val="0"/>
      </w:pPr>
      <w:r w:rsidRPr="00B80B91">
        <w:rPr>
          <w:szCs w:val="22"/>
        </w:rPr>
        <w:t>“Navigating Traditional Knowledge and IP – ‘The Adventures of the Yakuanoi’”, a short animated film that tells the story of the Yakuanoi people – a fictitious indigenous community – as they work towards protecting the traditional knowledge assets, has been released in various languages</w:t>
      </w:r>
      <w:r w:rsidR="00A21CFA">
        <w:rPr>
          <w:szCs w:val="22"/>
        </w:rPr>
        <w:t>, including several indigenous languages</w:t>
      </w:r>
      <w:r w:rsidRPr="00B80B91">
        <w:rPr>
          <w:szCs w:val="22"/>
        </w:rPr>
        <w:t xml:space="preserve">:  </w:t>
      </w:r>
      <w:hyperlink r:id="rId23" w:history="1">
        <w:r w:rsidRPr="00B80B91">
          <w:rPr>
            <w:rStyle w:val="Hyperlink"/>
            <w:color w:val="auto"/>
          </w:rPr>
          <w:t>https://www.wipo.int/tk/en/tk/yakuanoi.html</w:t>
        </w:r>
      </w:hyperlink>
      <w:r w:rsidRPr="00B80B91">
        <w:t xml:space="preserve">. </w:t>
      </w:r>
    </w:p>
    <w:p w:rsidR="00943D90" w:rsidRDefault="00943D90" w:rsidP="00943D90">
      <w:pPr>
        <w:pStyle w:val="ListParagraph"/>
        <w:ind w:left="0"/>
        <w:contextualSpacing w:val="0"/>
      </w:pPr>
    </w:p>
    <w:p w:rsidR="00613753" w:rsidRDefault="00502F48" w:rsidP="00502F48">
      <w:pPr>
        <w:pStyle w:val="ListParagraph"/>
        <w:numPr>
          <w:ilvl w:val="0"/>
          <w:numId w:val="14"/>
        </w:numPr>
        <w:ind w:left="0" w:firstLine="0"/>
        <w:contextualSpacing w:val="0"/>
        <w:rPr>
          <w:szCs w:val="22"/>
        </w:rPr>
      </w:pPr>
      <w:r>
        <w:rPr>
          <w:szCs w:val="22"/>
        </w:rPr>
        <w:t xml:space="preserve">The WIPO Secretariat organized a </w:t>
      </w:r>
      <w:r w:rsidRPr="00502F48">
        <w:rPr>
          <w:szCs w:val="22"/>
        </w:rPr>
        <w:t>webinar series</w:t>
      </w:r>
      <w:r>
        <w:rPr>
          <w:szCs w:val="22"/>
        </w:rPr>
        <w:t>, focusing</w:t>
      </w:r>
      <w:r w:rsidRPr="00502F48">
        <w:rPr>
          <w:szCs w:val="22"/>
        </w:rPr>
        <w:t xml:space="preserve"> on intellectual propert</w:t>
      </w:r>
      <w:r>
        <w:rPr>
          <w:szCs w:val="22"/>
        </w:rPr>
        <w:t>y tools that can be useful for i</w:t>
      </w:r>
      <w:r w:rsidRPr="00502F48">
        <w:rPr>
          <w:szCs w:val="22"/>
        </w:rPr>
        <w:t>ndigenous peoples and local communities in the protection and promotion of their wealth of traditional knowledge and t</w:t>
      </w:r>
      <w:r>
        <w:rPr>
          <w:szCs w:val="22"/>
        </w:rPr>
        <w:t xml:space="preserve">raditional cultural expressions:  </w:t>
      </w:r>
      <w:hyperlink r:id="rId24" w:history="1">
        <w:r w:rsidRPr="00502F48">
          <w:rPr>
            <w:rStyle w:val="Hyperlink"/>
            <w:color w:val="auto"/>
            <w:szCs w:val="22"/>
          </w:rPr>
          <w:t>https://www.wipo.int/tk/en/protect_and_promote.html</w:t>
        </w:r>
      </w:hyperlink>
      <w:r w:rsidRPr="00502F48">
        <w:rPr>
          <w:szCs w:val="22"/>
        </w:rPr>
        <w:t>.</w:t>
      </w:r>
      <w:r>
        <w:rPr>
          <w:szCs w:val="22"/>
        </w:rPr>
        <w:t xml:space="preserve"> </w:t>
      </w:r>
    </w:p>
    <w:p w:rsidR="00502F48" w:rsidRDefault="00502F48" w:rsidP="00502F48">
      <w:pPr>
        <w:pStyle w:val="ListParagraph"/>
        <w:ind w:left="0"/>
        <w:contextualSpacing w:val="0"/>
        <w:rPr>
          <w:szCs w:val="22"/>
        </w:rPr>
      </w:pPr>
    </w:p>
    <w:p w:rsidR="00943D90" w:rsidRPr="00943D90" w:rsidRDefault="00943D90" w:rsidP="00943D90">
      <w:pPr>
        <w:pStyle w:val="ListParagraph"/>
        <w:numPr>
          <w:ilvl w:val="0"/>
          <w:numId w:val="14"/>
        </w:numPr>
        <w:ind w:left="0" w:firstLine="0"/>
        <w:contextualSpacing w:val="0"/>
        <w:rPr>
          <w:szCs w:val="22"/>
        </w:rPr>
      </w:pPr>
      <w:r w:rsidRPr="00943D90">
        <w:rPr>
          <w:szCs w:val="22"/>
        </w:rPr>
        <w:t xml:space="preserve">The WIPO Secretariat launched a distance learning course on Intellectual Property and Genetic Resources in the Life Sciences, introducing strategic rights management in the commercialization of intellectual property and genetic resources and data, and lays the foundation for advanced WIPO training and use of WIPO’s services on intellectual property management for genetic resources and data in the life sciences:  </w:t>
      </w:r>
      <w:hyperlink r:id="rId25" w:history="1">
        <w:r w:rsidRPr="00943D90">
          <w:rPr>
            <w:rStyle w:val="Hyperlink"/>
            <w:color w:val="auto"/>
            <w:szCs w:val="22"/>
          </w:rPr>
          <w:t>https://welc.wipo.int/dl427/</w:t>
        </w:r>
      </w:hyperlink>
      <w:r>
        <w:rPr>
          <w:szCs w:val="22"/>
        </w:rPr>
        <w:t>.</w:t>
      </w:r>
    </w:p>
    <w:p w:rsidR="00B80B91" w:rsidRPr="00B80B91" w:rsidRDefault="00B80B91" w:rsidP="00B80B91"/>
    <w:p w:rsidR="00B80B91" w:rsidRPr="00B80B91" w:rsidRDefault="00B80B91" w:rsidP="00B80B91">
      <w:pPr>
        <w:pStyle w:val="ListParagraph"/>
        <w:numPr>
          <w:ilvl w:val="0"/>
          <w:numId w:val="14"/>
        </w:numPr>
        <w:ind w:left="0" w:firstLine="0"/>
        <w:contextualSpacing w:val="0"/>
        <w:rPr>
          <w:szCs w:val="22"/>
        </w:rPr>
      </w:pPr>
      <w:r w:rsidRPr="00B80B91">
        <w:rPr>
          <w:szCs w:val="22"/>
        </w:rPr>
        <w:lastRenderedPageBreak/>
        <w:t xml:space="preserve">In October 2019, when the WIPO General Assembly renewed the mandate of the IGC, the Secretariat was requested to continue to collect, compile and make available online information on national and regional sui generis regimes for the intellectual property protection of traditional knowledge and traditional cultural expressions. A preliminary online collection of national and regional sui generis regimes for the intellectual property protection of traditional knowledge and traditional cultural expressions has been prepared:  </w:t>
      </w:r>
      <w:hyperlink r:id="rId26" w:history="1">
        <w:r w:rsidRPr="00E45DA4">
          <w:rPr>
            <w:szCs w:val="22"/>
            <w:u w:val="single"/>
          </w:rPr>
          <w:t>https://www.wipo.int/export/sites/www/tk/en/resources/pdf/compilation_sui_generis_regimes.pdf</w:t>
        </w:r>
      </w:hyperlink>
      <w:r w:rsidRPr="00B80B91">
        <w:rPr>
          <w:szCs w:val="22"/>
        </w:rPr>
        <w:t xml:space="preserve">. </w:t>
      </w:r>
    </w:p>
    <w:p w:rsidR="00B80B91" w:rsidRPr="00B80B91" w:rsidRDefault="00B80B91" w:rsidP="00B80B91">
      <w:pPr>
        <w:pStyle w:val="ListParagraph"/>
        <w:ind w:left="0"/>
        <w:rPr>
          <w:szCs w:val="22"/>
        </w:rPr>
      </w:pPr>
    </w:p>
    <w:p w:rsidR="00B80B91" w:rsidRPr="00B80B91" w:rsidRDefault="00B80B91" w:rsidP="00B80B91">
      <w:pPr>
        <w:pStyle w:val="ListParagraph"/>
        <w:numPr>
          <w:ilvl w:val="0"/>
          <w:numId w:val="14"/>
        </w:numPr>
        <w:ind w:left="0" w:firstLine="0"/>
        <w:contextualSpacing w:val="0"/>
        <w:rPr>
          <w:szCs w:val="22"/>
        </w:rPr>
      </w:pPr>
      <w:r w:rsidRPr="00B80B91">
        <w:rPr>
          <w:szCs w:val="22"/>
        </w:rPr>
        <w:t>The following publications have been updated:</w:t>
      </w:r>
    </w:p>
    <w:p w:rsidR="00B80B91" w:rsidRPr="00B80B91" w:rsidRDefault="00B80B91" w:rsidP="00B80B91">
      <w:pPr>
        <w:rPr>
          <w:szCs w:val="22"/>
        </w:rPr>
      </w:pPr>
    </w:p>
    <w:p w:rsidR="00B80B91" w:rsidRPr="00B80B91" w:rsidRDefault="00B80B91" w:rsidP="00B80B91">
      <w:pPr>
        <w:numPr>
          <w:ilvl w:val="0"/>
          <w:numId w:val="12"/>
        </w:numPr>
        <w:rPr>
          <w:szCs w:val="22"/>
        </w:rPr>
      </w:pPr>
      <w:r w:rsidRPr="00B80B91">
        <w:rPr>
          <w:szCs w:val="22"/>
        </w:rPr>
        <w:t xml:space="preserve">Disclosure requirements table:  </w:t>
      </w:r>
      <w:hyperlink r:id="rId27" w:history="1">
        <w:r w:rsidRPr="00B80B91">
          <w:rPr>
            <w:rStyle w:val="Hyperlink"/>
            <w:color w:val="auto"/>
          </w:rPr>
          <w:t>https://www.wipo.int/export/sites/www/tk/en/documents/pdf/genetic_resources_disclosure.pdf</w:t>
        </w:r>
      </w:hyperlink>
      <w:r w:rsidRPr="00B80B91">
        <w:t xml:space="preserve"> </w:t>
      </w:r>
    </w:p>
    <w:p w:rsidR="00B80B91" w:rsidRPr="00B80B91" w:rsidRDefault="00B80B91" w:rsidP="00B80B91">
      <w:pPr>
        <w:ind w:left="927"/>
        <w:rPr>
          <w:szCs w:val="22"/>
        </w:rPr>
      </w:pPr>
    </w:p>
    <w:p w:rsidR="00B80B91" w:rsidRPr="00B80B91" w:rsidRDefault="00B80B91" w:rsidP="00B80B91">
      <w:pPr>
        <w:numPr>
          <w:ilvl w:val="0"/>
          <w:numId w:val="12"/>
        </w:numPr>
        <w:rPr>
          <w:szCs w:val="22"/>
        </w:rPr>
      </w:pPr>
      <w:r w:rsidRPr="00B80B91">
        <w:rPr>
          <w:szCs w:val="22"/>
        </w:rPr>
        <w:t xml:space="preserve">Key Questions on Patent Disclosure Requirements for Genetic Resources and Traditional Knowledge:  </w:t>
      </w:r>
      <w:hyperlink r:id="rId28" w:history="1">
        <w:r w:rsidRPr="00B80B91">
          <w:rPr>
            <w:rStyle w:val="Hyperlink"/>
            <w:color w:val="auto"/>
          </w:rPr>
          <w:t>https://www.wipo.int/publications/en/details.jsp?id=4194</w:t>
        </w:r>
      </w:hyperlink>
      <w:r w:rsidRPr="00B80B91">
        <w:rPr>
          <w:szCs w:val="22"/>
        </w:rPr>
        <w:t>;  and</w:t>
      </w:r>
    </w:p>
    <w:p w:rsidR="00B80B91" w:rsidRPr="00B80B91" w:rsidRDefault="00B80B91" w:rsidP="00B80B91">
      <w:pPr>
        <w:pStyle w:val="ListParagraph"/>
        <w:rPr>
          <w:szCs w:val="22"/>
        </w:rPr>
      </w:pPr>
    </w:p>
    <w:p w:rsidR="00B80B91" w:rsidRPr="00B80B91" w:rsidRDefault="00B80B91" w:rsidP="00B80B91">
      <w:pPr>
        <w:numPr>
          <w:ilvl w:val="0"/>
          <w:numId w:val="12"/>
        </w:numPr>
        <w:rPr>
          <w:szCs w:val="22"/>
        </w:rPr>
      </w:pPr>
      <w:r w:rsidRPr="00B80B91">
        <w:rPr>
          <w:szCs w:val="22"/>
        </w:rPr>
        <w:t xml:space="preserve">Background Brief – No. 10, Intellectual Property and Genetic Resources:  </w:t>
      </w:r>
      <w:hyperlink r:id="rId29" w:history="1">
        <w:r w:rsidRPr="00B80B91">
          <w:rPr>
            <w:rStyle w:val="Hyperlink"/>
            <w:color w:val="auto"/>
          </w:rPr>
          <w:t>https://www.wipo.int/publications/en/details.jsp?id=4011</w:t>
        </w:r>
      </w:hyperlink>
      <w:r w:rsidRPr="00B80B91">
        <w:rPr>
          <w:szCs w:val="22"/>
        </w:rPr>
        <w:t xml:space="preserve">. </w:t>
      </w:r>
    </w:p>
    <w:p w:rsidR="00B80B91" w:rsidRPr="00B80B91" w:rsidRDefault="00B80B91" w:rsidP="00B80B91">
      <w:pPr>
        <w:pStyle w:val="ListParagraph"/>
        <w:ind w:left="990"/>
        <w:rPr>
          <w:szCs w:val="22"/>
        </w:rPr>
      </w:pPr>
    </w:p>
    <w:p w:rsidR="00B80B91" w:rsidRPr="00B80B91" w:rsidRDefault="00B80B91" w:rsidP="00B80B91"/>
    <w:p w:rsidR="002928D3" w:rsidRPr="00B80B91" w:rsidRDefault="00B80B91" w:rsidP="00753DC6">
      <w:pPr>
        <w:pStyle w:val="Endofdocument"/>
      </w:pPr>
      <w:r w:rsidRPr="00B80B91">
        <w:rPr>
          <w:sz w:val="22"/>
          <w:szCs w:val="22"/>
        </w:rPr>
        <w:t>[End of Annex and of document]</w:t>
      </w:r>
      <w:bookmarkStart w:id="5" w:name="_GoBack"/>
      <w:bookmarkEnd w:id="5"/>
    </w:p>
    <w:sectPr w:rsidR="002928D3" w:rsidRPr="00B80B91" w:rsidSect="006605C7">
      <w:headerReference w:type="even" r:id="rId30"/>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45B" w:rsidRDefault="00F3045B">
      <w:r>
        <w:separator/>
      </w:r>
    </w:p>
  </w:endnote>
  <w:endnote w:type="continuationSeparator" w:id="0">
    <w:p w:rsidR="00F3045B" w:rsidRDefault="00F3045B" w:rsidP="003B38C1">
      <w:r>
        <w:separator/>
      </w:r>
    </w:p>
    <w:p w:rsidR="00F3045B" w:rsidRPr="003B38C1" w:rsidRDefault="00F3045B" w:rsidP="003B38C1">
      <w:pPr>
        <w:spacing w:after="60"/>
        <w:rPr>
          <w:sz w:val="17"/>
        </w:rPr>
      </w:pPr>
      <w:r>
        <w:rPr>
          <w:sz w:val="17"/>
        </w:rPr>
        <w:t>[Endnote continued from previous page]</w:t>
      </w:r>
    </w:p>
  </w:endnote>
  <w:endnote w:type="continuationNotice" w:id="1">
    <w:p w:rsidR="00F3045B" w:rsidRPr="003B38C1" w:rsidRDefault="00F304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45B" w:rsidRDefault="00F3045B">
      <w:r>
        <w:separator/>
      </w:r>
    </w:p>
  </w:footnote>
  <w:footnote w:type="continuationSeparator" w:id="0">
    <w:p w:rsidR="00F3045B" w:rsidRDefault="00F3045B" w:rsidP="008B60B2">
      <w:r>
        <w:separator/>
      </w:r>
    </w:p>
    <w:p w:rsidR="00F3045B" w:rsidRPr="00ED77FB" w:rsidRDefault="00F3045B" w:rsidP="008B60B2">
      <w:pPr>
        <w:spacing w:after="60"/>
        <w:rPr>
          <w:sz w:val="17"/>
          <w:szCs w:val="17"/>
        </w:rPr>
      </w:pPr>
      <w:r w:rsidRPr="00ED77FB">
        <w:rPr>
          <w:sz w:val="17"/>
          <w:szCs w:val="17"/>
        </w:rPr>
        <w:t>[Footnote continued from previous page]</w:t>
      </w:r>
    </w:p>
  </w:footnote>
  <w:footnote w:type="continuationNotice" w:id="1">
    <w:p w:rsidR="00F3045B" w:rsidRPr="00ED77FB" w:rsidRDefault="00F3045B" w:rsidP="008B60B2">
      <w:pPr>
        <w:spacing w:before="60"/>
        <w:jc w:val="right"/>
        <w:rPr>
          <w:sz w:val="17"/>
          <w:szCs w:val="17"/>
        </w:rPr>
      </w:pPr>
      <w:r w:rsidRPr="00ED77FB">
        <w:rPr>
          <w:sz w:val="17"/>
          <w:szCs w:val="17"/>
        </w:rPr>
        <w:t>[Footnote continued on next page]</w:t>
      </w:r>
    </w:p>
  </w:footnote>
  <w:footnote w:id="2">
    <w:p w:rsidR="00B80B91" w:rsidRDefault="00B80B91" w:rsidP="00B80B91">
      <w:pPr>
        <w:pStyle w:val="FootnoteText"/>
      </w:pPr>
      <w:r>
        <w:rPr>
          <w:rStyle w:val="FootnoteReference"/>
        </w:rPr>
        <w:footnoteRef/>
      </w:r>
      <w:r>
        <w:t xml:space="preserve"> See report of the Twentieth Session (WIPO/GRTKF/IC/20/10), paragraph 801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91" w:rsidRDefault="00B80B91" w:rsidP="00CD7342">
    <w:pPr>
      <w:pStyle w:val="Header"/>
      <w:jc w:val="right"/>
    </w:pPr>
    <w:r>
      <w:t>WIPO/GRTKF/IC/35/INF/8</w:t>
    </w:r>
  </w:p>
  <w:p w:rsidR="00B80B91" w:rsidRDefault="00B80B91" w:rsidP="00CD7342">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B80B91" w:rsidRDefault="00B80B91" w:rsidP="00CD7342">
    <w:pPr>
      <w:pStyle w:val="Header"/>
      <w:jc w:val="right"/>
    </w:pPr>
  </w:p>
  <w:p w:rsidR="00B80B91" w:rsidRDefault="00B80B91" w:rsidP="00CD73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B91" w:rsidRDefault="00B80B91" w:rsidP="00B80B91">
    <w:pPr>
      <w:pStyle w:val="Header"/>
      <w:ind w:left="6570" w:hanging="180"/>
      <w:jc w:val="right"/>
    </w:pPr>
    <w:r>
      <w:t>WIPO/GRTKF/IC/42/INF/10</w:t>
    </w:r>
  </w:p>
  <w:p w:rsidR="00B80B91" w:rsidRDefault="00B80B91" w:rsidP="00574486">
    <w:pPr>
      <w:pStyle w:val="Header"/>
      <w:tabs>
        <w:tab w:val="clear" w:pos="9072"/>
        <w:tab w:val="right" w:pos="9270"/>
      </w:tabs>
      <w:ind w:left="6804" w:firstLine="216"/>
      <w:jc w:val="right"/>
    </w:pPr>
    <w:r>
      <w:t>page 2</w:t>
    </w:r>
  </w:p>
  <w:p w:rsidR="00B80B91" w:rsidRDefault="00B80B91" w:rsidP="00CD7342">
    <w:pPr>
      <w:pStyle w:val="Header"/>
      <w:ind w:left="6804"/>
    </w:pPr>
  </w:p>
  <w:p w:rsidR="00B80B91" w:rsidRDefault="00B80B91" w:rsidP="00CD7342">
    <w:pPr>
      <w:pStyle w:val="Header"/>
      <w:ind w:left="680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sidR="006605C7">
      <w:rPr>
        <w:noProof/>
      </w:rPr>
      <w:t>4</w:t>
    </w:r>
    <w:r>
      <w:fldChar w:fldCharType="end"/>
    </w:r>
  </w:p>
  <w:p w:rsidR="000F2AD2" w:rsidRDefault="000F2AD2" w:rsidP="000F2AD2">
    <w:pPr>
      <w:jc w:val="right"/>
    </w:pPr>
  </w:p>
  <w:p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605C7" w:rsidP="00477D6B">
    <w:pPr>
      <w:jc w:val="right"/>
    </w:pPr>
    <w:bookmarkStart w:id="6" w:name="Code2"/>
    <w:bookmarkEnd w:id="6"/>
    <w:r>
      <w:t>WIPO/GRTKF/IC/42/</w:t>
    </w:r>
    <w:r w:rsidR="00566FC7">
      <w:t>INF/</w:t>
    </w:r>
    <w:r w:rsidR="001B415F">
      <w:t>10</w:t>
    </w:r>
  </w:p>
  <w:p w:rsidR="00EC4E49" w:rsidRDefault="00A21CFA"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53DC6">
      <w:rPr>
        <w:noProof/>
      </w:rPr>
      <w:t>3</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CFA" w:rsidRDefault="00A21CFA" w:rsidP="00B80B91">
    <w:pPr>
      <w:pStyle w:val="Header"/>
      <w:ind w:left="6570" w:hanging="180"/>
      <w:jc w:val="right"/>
    </w:pPr>
    <w:r>
      <w:t>WIPO/GRTKF/IC/42/INF/10</w:t>
    </w:r>
  </w:p>
  <w:p w:rsidR="00A21CFA" w:rsidRDefault="00A21CFA" w:rsidP="00574486">
    <w:pPr>
      <w:pStyle w:val="Header"/>
      <w:tabs>
        <w:tab w:val="clear" w:pos="9072"/>
        <w:tab w:val="right" w:pos="9270"/>
      </w:tabs>
      <w:ind w:left="6804" w:firstLine="216"/>
      <w:jc w:val="right"/>
    </w:pPr>
    <w:r>
      <w:t>ANNEX</w:t>
    </w:r>
  </w:p>
  <w:p w:rsidR="00A21CFA" w:rsidRDefault="00A21CFA" w:rsidP="00CD7342">
    <w:pPr>
      <w:pStyle w:val="Header"/>
      <w:ind w:left="6804"/>
    </w:pPr>
  </w:p>
  <w:p w:rsidR="00A21CFA" w:rsidRDefault="00A21CFA" w:rsidP="00CD7342">
    <w:pPr>
      <w:pStyle w:val="Header"/>
      <w:ind w:left="680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F70C3"/>
    <w:multiLevelType w:val="hybridMultilevel"/>
    <w:tmpl w:val="56940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EB2CDB"/>
    <w:multiLevelType w:val="hybridMultilevel"/>
    <w:tmpl w:val="E44E379A"/>
    <w:lvl w:ilvl="0" w:tplc="2674AB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7E1039"/>
    <w:multiLevelType w:val="hybridMultilevel"/>
    <w:tmpl w:val="011ABDC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E3F35"/>
    <w:multiLevelType w:val="hybridMultilevel"/>
    <w:tmpl w:val="2D6CDF4C"/>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FE050F"/>
    <w:multiLevelType w:val="hybridMultilevel"/>
    <w:tmpl w:val="FB4E6760"/>
    <w:lvl w:ilvl="0" w:tplc="6C50979A">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521B23"/>
    <w:multiLevelType w:val="hybridMultilevel"/>
    <w:tmpl w:val="93A6CF66"/>
    <w:lvl w:ilvl="0" w:tplc="393AC1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B53E48"/>
    <w:multiLevelType w:val="hybridMultilevel"/>
    <w:tmpl w:val="D8BC3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0"/>
  </w:num>
  <w:num w:numId="4">
    <w:abstractNumId w:val="13"/>
  </w:num>
  <w:num w:numId="5">
    <w:abstractNumId w:val="1"/>
  </w:num>
  <w:num w:numId="6">
    <w:abstractNumId w:val="6"/>
  </w:num>
  <w:num w:numId="7">
    <w:abstractNumId w:val="7"/>
  </w:num>
  <w:num w:numId="8">
    <w:abstractNumId w:val="12"/>
  </w:num>
  <w:num w:numId="9">
    <w:abstractNumId w:val="11"/>
  </w:num>
  <w:num w:numId="10">
    <w:abstractNumId w:val="4"/>
  </w:num>
  <w:num w:numId="11">
    <w:abstractNumId w:val="5"/>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C2C18"/>
    <w:rsid w:val="000D1DD6"/>
    <w:rsid w:val="000F2AD2"/>
    <w:rsid w:val="000F5E56"/>
    <w:rsid w:val="001362EE"/>
    <w:rsid w:val="00147D7A"/>
    <w:rsid w:val="001539AC"/>
    <w:rsid w:val="001647D5"/>
    <w:rsid w:val="001832A6"/>
    <w:rsid w:val="001B3090"/>
    <w:rsid w:val="001B415F"/>
    <w:rsid w:val="0021217E"/>
    <w:rsid w:val="002634C4"/>
    <w:rsid w:val="002928D3"/>
    <w:rsid w:val="00293276"/>
    <w:rsid w:val="002E1A24"/>
    <w:rsid w:val="002F1FE6"/>
    <w:rsid w:val="002F4E68"/>
    <w:rsid w:val="00312F7F"/>
    <w:rsid w:val="00361450"/>
    <w:rsid w:val="003673CF"/>
    <w:rsid w:val="003845C1"/>
    <w:rsid w:val="003A0A30"/>
    <w:rsid w:val="003A6F89"/>
    <w:rsid w:val="003B38C1"/>
    <w:rsid w:val="00423E3E"/>
    <w:rsid w:val="00427AF4"/>
    <w:rsid w:val="004647DA"/>
    <w:rsid w:val="00474062"/>
    <w:rsid w:val="00477D6B"/>
    <w:rsid w:val="005019FF"/>
    <w:rsid w:val="00502F48"/>
    <w:rsid w:val="00502FA1"/>
    <w:rsid w:val="0053057A"/>
    <w:rsid w:val="00560A29"/>
    <w:rsid w:val="00566FC7"/>
    <w:rsid w:val="005C6649"/>
    <w:rsid w:val="00605827"/>
    <w:rsid w:val="00613753"/>
    <w:rsid w:val="00646050"/>
    <w:rsid w:val="006605C7"/>
    <w:rsid w:val="006713CA"/>
    <w:rsid w:val="00676C5C"/>
    <w:rsid w:val="00753DC6"/>
    <w:rsid w:val="007D1613"/>
    <w:rsid w:val="007E4BBF"/>
    <w:rsid w:val="007E4C0E"/>
    <w:rsid w:val="008309AB"/>
    <w:rsid w:val="00835695"/>
    <w:rsid w:val="008A134B"/>
    <w:rsid w:val="008B2CC1"/>
    <w:rsid w:val="008B60B2"/>
    <w:rsid w:val="0090731E"/>
    <w:rsid w:val="00916EE2"/>
    <w:rsid w:val="00926155"/>
    <w:rsid w:val="00943D90"/>
    <w:rsid w:val="00966A22"/>
    <w:rsid w:val="0096722F"/>
    <w:rsid w:val="00980843"/>
    <w:rsid w:val="009E2791"/>
    <w:rsid w:val="009E3F6F"/>
    <w:rsid w:val="009F499F"/>
    <w:rsid w:val="00A21CFA"/>
    <w:rsid w:val="00A37342"/>
    <w:rsid w:val="00A42DAF"/>
    <w:rsid w:val="00A45BD8"/>
    <w:rsid w:val="00A869B7"/>
    <w:rsid w:val="00AC205C"/>
    <w:rsid w:val="00AC6237"/>
    <w:rsid w:val="00AF0A6B"/>
    <w:rsid w:val="00B05A69"/>
    <w:rsid w:val="00B4759F"/>
    <w:rsid w:val="00B80B91"/>
    <w:rsid w:val="00B9734B"/>
    <w:rsid w:val="00BA30E2"/>
    <w:rsid w:val="00BC7DD2"/>
    <w:rsid w:val="00C11BFE"/>
    <w:rsid w:val="00C5068F"/>
    <w:rsid w:val="00C67768"/>
    <w:rsid w:val="00C86D74"/>
    <w:rsid w:val="00CD04F1"/>
    <w:rsid w:val="00D45252"/>
    <w:rsid w:val="00D71B4D"/>
    <w:rsid w:val="00D93D55"/>
    <w:rsid w:val="00DD3F47"/>
    <w:rsid w:val="00E15015"/>
    <w:rsid w:val="00E335FE"/>
    <w:rsid w:val="00E45DA4"/>
    <w:rsid w:val="00EA7D6E"/>
    <w:rsid w:val="00EC4E49"/>
    <w:rsid w:val="00ED77FB"/>
    <w:rsid w:val="00EE45FA"/>
    <w:rsid w:val="00F3045B"/>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ak"/>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35695"/>
    <w:pPr>
      <w:ind w:left="720"/>
      <w:contextualSpacing/>
    </w:pPr>
  </w:style>
  <w:style w:type="character" w:customStyle="1" w:styleId="FootnoteTextChar">
    <w:name w:val="Footnote Text Char"/>
    <w:aliases w:val="Footnote ak Char"/>
    <w:basedOn w:val="DefaultParagraphFont"/>
    <w:link w:val="FootnoteText"/>
    <w:semiHidden/>
    <w:rsid w:val="00B80B91"/>
    <w:rPr>
      <w:rFonts w:ascii="Arial" w:eastAsia="SimSun" w:hAnsi="Arial" w:cs="Arial"/>
      <w:sz w:val="18"/>
      <w:lang w:val="en-US" w:eastAsia="zh-CN"/>
    </w:rPr>
  </w:style>
  <w:style w:type="character" w:customStyle="1" w:styleId="HeaderChar">
    <w:name w:val="Header Char"/>
    <w:aliases w:val="Heading Char"/>
    <w:basedOn w:val="DefaultParagraphFont"/>
    <w:link w:val="Header"/>
    <w:semiHidden/>
    <w:rsid w:val="00B80B91"/>
    <w:rPr>
      <w:rFonts w:ascii="Arial" w:eastAsia="SimSun" w:hAnsi="Arial" w:cs="Arial"/>
      <w:sz w:val="22"/>
      <w:lang w:val="en-US" w:eastAsia="zh-CN"/>
    </w:rPr>
  </w:style>
  <w:style w:type="paragraph" w:customStyle="1" w:styleId="Endofdocument">
    <w:name w:val="End of document"/>
    <w:basedOn w:val="Normal"/>
    <w:semiHidden/>
    <w:rsid w:val="00B80B91"/>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B80B91"/>
    <w:rPr>
      <w:vertAlign w:val="superscript"/>
    </w:rPr>
  </w:style>
  <w:style w:type="character" w:styleId="PageNumber">
    <w:name w:val="page number"/>
    <w:basedOn w:val="DefaultParagraphFont"/>
    <w:rsid w:val="00B80B91"/>
  </w:style>
  <w:style w:type="character" w:styleId="Hyperlink">
    <w:name w:val="Hyperlink"/>
    <w:unhideWhenUsed/>
    <w:rsid w:val="00B80B91"/>
    <w:rPr>
      <w:color w:val="0000FF"/>
      <w:u w:val="single"/>
    </w:rPr>
  </w:style>
  <w:style w:type="paragraph" w:customStyle="1" w:styleId="DecisionInvitingPara">
    <w:name w:val="Decision Inviting Para."/>
    <w:basedOn w:val="Normal"/>
    <w:rsid w:val="00B80B91"/>
    <w:pPr>
      <w:spacing w:after="120" w:line="260" w:lineRule="atLeast"/>
      <w:ind w:left="5534"/>
      <w:contextualSpacing/>
    </w:pPr>
    <w:rPr>
      <w:rFonts w:eastAsia="Times New Roman" w:cs="Times New Roman"/>
      <w:i/>
      <w:sz w:val="20"/>
      <w:lang w:eastAsia="en-US"/>
    </w:rPr>
  </w:style>
  <w:style w:type="character" w:styleId="FollowedHyperlink">
    <w:name w:val="FollowedHyperlink"/>
    <w:basedOn w:val="DefaultParagraphFont"/>
    <w:semiHidden/>
    <w:unhideWhenUsed/>
    <w:rsid w:val="001539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0920">
      <w:bodyDiv w:val="1"/>
      <w:marLeft w:val="0"/>
      <w:marRight w:val="0"/>
      <w:marTop w:val="0"/>
      <w:marBottom w:val="0"/>
      <w:divBdr>
        <w:top w:val="none" w:sz="0" w:space="0" w:color="auto"/>
        <w:left w:val="none" w:sz="0" w:space="0" w:color="auto"/>
        <w:bottom w:val="none" w:sz="0" w:space="0" w:color="auto"/>
        <w:right w:val="none" w:sz="0" w:space="0" w:color="auto"/>
      </w:divBdr>
    </w:div>
    <w:div w:id="301347098">
      <w:bodyDiv w:val="1"/>
      <w:marLeft w:val="0"/>
      <w:marRight w:val="0"/>
      <w:marTop w:val="0"/>
      <w:marBottom w:val="0"/>
      <w:divBdr>
        <w:top w:val="none" w:sz="0" w:space="0" w:color="auto"/>
        <w:left w:val="none" w:sz="0" w:space="0" w:color="auto"/>
        <w:bottom w:val="none" w:sz="0" w:space="0" w:color="auto"/>
        <w:right w:val="none" w:sz="0" w:space="0" w:color="auto"/>
      </w:divBdr>
    </w:div>
    <w:div w:id="667175860">
      <w:bodyDiv w:val="1"/>
      <w:marLeft w:val="0"/>
      <w:marRight w:val="0"/>
      <w:marTop w:val="0"/>
      <w:marBottom w:val="0"/>
      <w:divBdr>
        <w:top w:val="none" w:sz="0" w:space="0" w:color="auto"/>
        <w:left w:val="none" w:sz="0" w:space="0" w:color="auto"/>
        <w:bottom w:val="none" w:sz="0" w:space="0" w:color="auto"/>
        <w:right w:val="none" w:sz="0" w:space="0" w:color="auto"/>
      </w:divBdr>
    </w:div>
    <w:div w:id="1459252331">
      <w:bodyDiv w:val="1"/>
      <w:marLeft w:val="0"/>
      <w:marRight w:val="0"/>
      <w:marTop w:val="0"/>
      <w:marBottom w:val="0"/>
      <w:divBdr>
        <w:top w:val="none" w:sz="0" w:space="0" w:color="auto"/>
        <w:left w:val="none" w:sz="0" w:space="0" w:color="auto"/>
        <w:bottom w:val="none" w:sz="0" w:space="0" w:color="auto"/>
        <w:right w:val="none" w:sz="0" w:space="0" w:color="auto"/>
      </w:divBdr>
    </w:div>
    <w:div w:id="14709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tk/en/engagement.html" TargetMode="External"/><Relationship Id="rId18" Type="http://schemas.openxmlformats.org/officeDocument/2006/relationships/hyperlink" Target="https://www.wipo.int/export/sites/www/tk/en/documents/pdf/igc-mandate-2022-2023.pdf" TargetMode="External"/><Relationship Id="rId26" Type="http://schemas.openxmlformats.org/officeDocument/2006/relationships/hyperlink" Target="https://www.wipo.int/export/sites/www/tk/en/resources/pdf/compilation_sui_generis_regimes.pdf" TargetMode="External"/><Relationship Id="rId3" Type="http://schemas.openxmlformats.org/officeDocument/2006/relationships/settings" Target="settings.xml"/><Relationship Id="rId21" Type="http://schemas.openxmlformats.org/officeDocument/2006/relationships/hyperlink" Target="https://www.wipo.int/tk/en/women_entrepreneurs/"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wipo.int/tk/en/policy_and_legislative_advice.html" TargetMode="External"/><Relationship Id="rId17" Type="http://schemas.openxmlformats.org/officeDocument/2006/relationships/hyperlink" Target="https://www.wipo.int/tk/en/global_reference.html" TargetMode="External"/><Relationship Id="rId25" Type="http://schemas.openxmlformats.org/officeDocument/2006/relationships/hyperlink" Target="https://welc.wipo.int/dl42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po.int/tk/en/ip_rights_management.html" TargetMode="External"/><Relationship Id="rId20" Type="http://schemas.openxmlformats.org/officeDocument/2006/relationships/hyperlink" Target="https://www.wipo.int/meetings/en/details.jsp?meeting_id=68408" TargetMode="External"/><Relationship Id="rId29" Type="http://schemas.openxmlformats.org/officeDocument/2006/relationships/hyperlink" Target="https://www.wipo.int/publications/en/details.jsp?id=4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tk/en/igc/" TargetMode="External"/><Relationship Id="rId24" Type="http://schemas.openxmlformats.org/officeDocument/2006/relationships/hyperlink" Target="https://www.wipo.int/tk/en/protect_and_promote.html"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wipo.int/tk/en/tk_and_tces.html" TargetMode="External"/><Relationship Id="rId23" Type="http://schemas.openxmlformats.org/officeDocument/2006/relationships/hyperlink" Target="https://www.wipo.int/tk/en/tk/yakuanoi.html" TargetMode="External"/><Relationship Id="rId28" Type="http://schemas.openxmlformats.org/officeDocument/2006/relationships/hyperlink" Target="https://www.wipo.int/publications/en/details.jsp?id=4194" TargetMode="External"/><Relationship Id="rId10" Type="http://schemas.openxmlformats.org/officeDocument/2006/relationships/hyperlink" Target="http://www.wipo.int/tk/en/" TargetMode="External"/><Relationship Id="rId19" Type="http://schemas.openxmlformats.org/officeDocument/2006/relationships/hyperlink" Target="https://www.wipo.int/tk/en/igc/related_seminars.html"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tk/en/entrepreneurship/index.html" TargetMode="External"/><Relationship Id="rId22" Type="http://schemas.openxmlformats.org/officeDocument/2006/relationships/hyperlink" Target="https://www.wipo.int/tk/en/youth_prize.html" TargetMode="External"/><Relationship Id="rId27" Type="http://schemas.openxmlformats.org/officeDocument/2006/relationships/hyperlink" Target="https://www.wipo.int/export/sites/www/tk/en/documents/pdf/genetic_resources_disclosure.pdf" TargetMode="External"/><Relationship Id="rId30" Type="http://schemas.openxmlformats.org/officeDocument/2006/relationships/header" Target="header3.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5</Pages>
  <Words>1104</Words>
  <Characters>7643</Characters>
  <Application>Microsoft Office Word</Application>
  <DocSecurity>0</DocSecurity>
  <Lines>181</Lines>
  <Paragraphs>44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2</cp:revision>
  <cp:lastPrinted>2011-02-15T11:56:00Z</cp:lastPrinted>
  <dcterms:created xsi:type="dcterms:W3CDTF">2022-02-02T16:47:00Z</dcterms:created>
  <dcterms:modified xsi:type="dcterms:W3CDTF">2022-02-02T16:47:00Z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72f89caf-69ac-4686-90bc-664695a0e943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