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EB400D">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EB400D">
              <w:rPr>
                <w:rFonts w:ascii="Arial Black" w:hAnsi="Arial Black"/>
                <w:caps/>
                <w:sz w:val="15"/>
              </w:rPr>
              <w:t xml:space="preserve">  April 28,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EB400D" w:rsidRPr="003845C1" w:rsidRDefault="00EB400D" w:rsidP="00EB400D">
      <w:pPr>
        <w:spacing w:after="360"/>
        <w:outlineLvl w:val="0"/>
        <w:rPr>
          <w:caps/>
          <w:sz w:val="24"/>
        </w:rPr>
      </w:pPr>
      <w:bookmarkStart w:id="3" w:name="TitleOfDoc"/>
      <w:bookmarkEnd w:id="3"/>
      <w:r w:rsidRPr="002528AB">
        <w:rPr>
          <w:caps/>
          <w:sz w:val="24"/>
        </w:rPr>
        <w:t>LEGAL PRINCIPLES RELATED TO AN INTERNATIONAL INSTRUMENT</w:t>
      </w:r>
    </w:p>
    <w:p w:rsidR="00EB400D" w:rsidRPr="00F9165B" w:rsidRDefault="00EB400D" w:rsidP="00EB400D">
      <w:pPr>
        <w:spacing w:after="1040"/>
        <w:rPr>
          <w:i/>
        </w:rPr>
      </w:pPr>
      <w:bookmarkStart w:id="4" w:name="Prepared"/>
      <w:bookmarkEnd w:id="4"/>
      <w:r>
        <w:rPr>
          <w:i/>
        </w:rPr>
        <w:t>Prepared by the Secretariat</w:t>
      </w:r>
    </w:p>
    <w:p w:rsidR="00EB400D" w:rsidRPr="002528AB" w:rsidRDefault="00EB400D" w:rsidP="00EB400D">
      <w:pPr>
        <w:pStyle w:val="onume0"/>
        <w:rPr>
          <w:b w:val="0"/>
          <w:szCs w:val="20"/>
        </w:rPr>
      </w:pPr>
      <w:r>
        <w:rPr>
          <w:b w:val="0"/>
          <w:szCs w:val="20"/>
        </w:rPr>
        <w:fldChar w:fldCharType="begin"/>
      </w:r>
      <w:r>
        <w:rPr>
          <w:b w:val="0"/>
          <w:szCs w:val="20"/>
        </w:rPr>
        <w:instrText xml:space="preserve"> AUTONUM  </w:instrText>
      </w:r>
      <w:r>
        <w:rPr>
          <w:b w:val="0"/>
          <w:szCs w:val="20"/>
        </w:rPr>
        <w:fldChar w:fldCharType="end"/>
      </w:r>
      <w:r>
        <w:rPr>
          <w:b w:val="0"/>
          <w:szCs w:val="20"/>
        </w:rPr>
        <w:tab/>
      </w:r>
      <w:r w:rsidRPr="002528AB">
        <w:rPr>
          <w:b w:val="0"/>
          <w:szCs w:val="20"/>
        </w:rPr>
        <w:t xml:space="preserve">At its Forty-Fifth Session, </w:t>
      </w:r>
      <w:r>
        <w:rPr>
          <w:b w:val="0"/>
          <w:szCs w:val="20"/>
        </w:rPr>
        <w:t xml:space="preserve">which addressed traditional knowledge (TK) and traditional cultural expressions (TCEs), </w:t>
      </w:r>
      <w:r w:rsidRPr="002528AB">
        <w:rPr>
          <w:b w:val="0"/>
          <w:szCs w:val="20"/>
        </w:rPr>
        <w:t xml:space="preserve">the Intergovernmental Committee on Intellectual Property and Genetic Resources, Traditional Knowledge and Folklore (the </w:t>
      </w:r>
      <w:r>
        <w:rPr>
          <w:b w:val="0"/>
          <w:szCs w:val="20"/>
        </w:rPr>
        <w:t>IGC</w:t>
      </w:r>
      <w:r w:rsidRPr="002528AB">
        <w:rPr>
          <w:b w:val="0"/>
          <w:szCs w:val="20"/>
        </w:rPr>
        <w:t>) “requested the Secretariat to update and streamline by IGC 46 some documents from the early years of the IGC on topics such as rights and measures-based approaches, the interplay between national and international instruments, the differences between minimum and maximum standards, and options for the legal nature of i</w:t>
      </w:r>
      <w:r w:rsidR="00603FDB">
        <w:rPr>
          <w:b w:val="0"/>
          <w:szCs w:val="20"/>
        </w:rPr>
        <w:t>nternational instruments.”  A document was</w:t>
      </w:r>
      <w:r w:rsidRPr="002528AB">
        <w:rPr>
          <w:b w:val="0"/>
          <w:szCs w:val="20"/>
        </w:rPr>
        <w:t xml:space="preserve"> prepared</w:t>
      </w:r>
      <w:r>
        <w:rPr>
          <w:b w:val="0"/>
          <w:szCs w:val="20"/>
        </w:rPr>
        <w:t xml:space="preserve"> in relation to an international instrument(s) on TK and TCEs</w:t>
      </w:r>
      <w:r w:rsidRPr="002528AB">
        <w:rPr>
          <w:b w:val="0"/>
          <w:szCs w:val="20"/>
        </w:rPr>
        <w:t xml:space="preserve"> for </w:t>
      </w:r>
      <w:r w:rsidR="00603FDB">
        <w:rPr>
          <w:b w:val="0"/>
          <w:szCs w:val="20"/>
        </w:rPr>
        <w:t>IGC 46</w:t>
      </w:r>
      <w:r w:rsidRPr="002528AB">
        <w:rPr>
          <w:b w:val="0"/>
          <w:szCs w:val="20"/>
        </w:rPr>
        <w:t xml:space="preserve"> pursuant to this decision.</w:t>
      </w:r>
      <w:r>
        <w:rPr>
          <w:b w:val="0"/>
          <w:szCs w:val="20"/>
        </w:rPr>
        <w:t xml:space="preserve">  The </w:t>
      </w:r>
      <w:r w:rsidR="00603FDB">
        <w:rPr>
          <w:b w:val="0"/>
          <w:szCs w:val="20"/>
        </w:rPr>
        <w:t xml:space="preserve">same </w:t>
      </w:r>
      <w:r>
        <w:rPr>
          <w:b w:val="0"/>
          <w:szCs w:val="20"/>
        </w:rPr>
        <w:t xml:space="preserve">document is </w:t>
      </w:r>
      <w:r w:rsidR="00603FDB">
        <w:rPr>
          <w:b w:val="0"/>
          <w:szCs w:val="20"/>
        </w:rPr>
        <w:t>presented for this session</w:t>
      </w:r>
      <w:r>
        <w:rPr>
          <w:b w:val="0"/>
          <w:szCs w:val="20"/>
        </w:rPr>
        <w:t xml:space="preserve"> of the Committee. </w:t>
      </w:r>
    </w:p>
    <w:p w:rsidR="00EB400D" w:rsidRDefault="00EB400D" w:rsidP="00EB400D">
      <w:pPr>
        <w:pStyle w:val="onume0"/>
        <w:rPr>
          <w:b w:val="0"/>
          <w:caps/>
        </w:rPr>
      </w:pPr>
    </w:p>
    <w:p w:rsidR="00EB400D" w:rsidRDefault="00EB400D" w:rsidP="00EB400D">
      <w:pPr>
        <w:pStyle w:val="onume0"/>
        <w:rPr>
          <w:b w:val="0"/>
          <w:caps/>
        </w:rPr>
      </w:pPr>
    </w:p>
    <w:p w:rsidR="00EB400D" w:rsidRPr="00FF6C83" w:rsidRDefault="00EB400D" w:rsidP="00EB400D">
      <w:pPr>
        <w:pStyle w:val="onume0"/>
        <w:rPr>
          <w:b w:val="0"/>
          <w:caps/>
        </w:rPr>
      </w:pPr>
      <w:r w:rsidRPr="00FF6C83">
        <w:rPr>
          <w:b w:val="0"/>
          <w:caps/>
        </w:rPr>
        <w:t>Options for the legal nature of international instruments</w:t>
      </w:r>
    </w:p>
    <w:p w:rsidR="00EB400D" w:rsidRPr="00617098" w:rsidRDefault="00EB400D" w:rsidP="00EB400D">
      <w:pPr>
        <w:rPr>
          <w:rFonts w:eastAsia="Times New Roman"/>
          <w:lang w:eastAsia="en-AU"/>
        </w:rPr>
      </w:pPr>
    </w:p>
    <w:p w:rsidR="00EB400D" w:rsidRPr="00617098" w:rsidRDefault="00EB400D" w:rsidP="00EB400D">
      <w:pPr>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The choice of the legal nature of an international instrument is a</w:t>
      </w:r>
      <w:r>
        <w:rPr>
          <w:rFonts w:eastAsia="Times New Roman"/>
          <w:lang w:eastAsia="en-AU"/>
        </w:rPr>
        <w:t xml:space="preserve"> political question for WIPO’s Member S</w:t>
      </w:r>
      <w:r w:rsidRPr="00617098">
        <w:rPr>
          <w:rFonts w:eastAsia="Times New Roman"/>
          <w:lang w:eastAsia="en-AU"/>
        </w:rPr>
        <w:t xml:space="preserve">tates to consider and determine.  </w:t>
      </w:r>
      <w:r w:rsidRPr="00C5105D">
        <w:rPr>
          <w:rFonts w:eastAsia="Times New Roman"/>
          <w:lang w:eastAsia="en-AU"/>
        </w:rPr>
        <w:t xml:space="preserve">The IGC’s mandate requested the IGC to “continue to expedite its work, with the objective of finalizing an agreement on an international legal instrument(s), without prejudging the nature of the outcome(s).”  </w:t>
      </w:r>
      <w:r w:rsidRPr="00617098">
        <w:rPr>
          <w:rFonts w:eastAsia="Times New Roman"/>
          <w:lang w:eastAsia="en-AU"/>
        </w:rPr>
        <w:t xml:space="preserve">Accordingly, the present document does not seek to promote any particular outcome, but simply aims to catalogue and factually describe </w:t>
      </w:r>
      <w:r>
        <w:rPr>
          <w:rFonts w:eastAsia="Times New Roman"/>
          <w:lang w:eastAsia="en-AU"/>
        </w:rPr>
        <w:t xml:space="preserve">some of </w:t>
      </w:r>
      <w:r w:rsidRPr="00617098">
        <w:rPr>
          <w:rFonts w:eastAsia="Times New Roman"/>
          <w:lang w:eastAsia="en-AU"/>
        </w:rPr>
        <w:t xml:space="preserve">the </w:t>
      </w:r>
      <w:r>
        <w:rPr>
          <w:rFonts w:eastAsia="Times New Roman"/>
          <w:lang w:eastAsia="en-AU"/>
        </w:rPr>
        <w:t xml:space="preserve">main </w:t>
      </w:r>
      <w:r w:rsidRPr="00617098">
        <w:rPr>
          <w:rFonts w:eastAsia="Times New Roman"/>
          <w:lang w:eastAsia="en-AU"/>
        </w:rPr>
        <w:t>available options.  The range of options described below is descriptive and non-exhaustive:</w:t>
      </w:r>
    </w:p>
    <w:p w:rsidR="00EB400D" w:rsidRPr="00617098" w:rsidRDefault="00EB400D" w:rsidP="00EB400D">
      <w:pPr>
        <w:rPr>
          <w:rFonts w:eastAsia="Times New Roman"/>
          <w:lang w:eastAsia="en-AU"/>
        </w:rPr>
      </w:pPr>
    </w:p>
    <w:p w:rsidR="00EB400D" w:rsidRPr="00617098" w:rsidRDefault="00EB400D" w:rsidP="00EB400D">
      <w:pPr>
        <w:keepNext/>
        <w:keepLines/>
        <w:numPr>
          <w:ilvl w:val="1"/>
          <w:numId w:val="7"/>
        </w:numPr>
        <w:ind w:left="1124" w:hanging="562"/>
        <w:rPr>
          <w:rFonts w:eastAsia="Times New Roman"/>
          <w:lang w:eastAsia="en-AU"/>
        </w:rPr>
      </w:pPr>
      <w:r w:rsidRPr="00617098">
        <w:rPr>
          <w:rFonts w:eastAsia="Times New Roman"/>
          <w:lang w:eastAsia="en-AU"/>
        </w:rPr>
        <w:lastRenderedPageBreak/>
        <w:t>a bin</w:t>
      </w:r>
      <w:r>
        <w:rPr>
          <w:rFonts w:eastAsia="Times New Roman"/>
          <w:lang w:eastAsia="en-AU"/>
        </w:rPr>
        <w:t>ding international instrument</w:t>
      </w:r>
      <w:r w:rsidRPr="00617098">
        <w:rPr>
          <w:rFonts w:eastAsia="Times New Roman"/>
          <w:lang w:eastAsia="en-AU"/>
        </w:rPr>
        <w:t>;</w:t>
      </w:r>
    </w:p>
    <w:p w:rsidR="00EB400D" w:rsidRPr="00617098" w:rsidRDefault="00EB400D" w:rsidP="00EB400D">
      <w:pPr>
        <w:keepNext/>
        <w:keepLines/>
        <w:numPr>
          <w:ilvl w:val="1"/>
          <w:numId w:val="7"/>
        </w:numPr>
        <w:ind w:left="1124" w:hanging="562"/>
        <w:rPr>
          <w:rFonts w:eastAsia="Times New Roman"/>
          <w:lang w:eastAsia="en-AU"/>
        </w:rPr>
      </w:pPr>
      <w:r>
        <w:rPr>
          <w:rFonts w:eastAsia="Times New Roman"/>
          <w:lang w:eastAsia="en-AU"/>
        </w:rPr>
        <w:t>a non-binding international instrument (soft law)</w:t>
      </w:r>
      <w:r w:rsidRPr="00617098">
        <w:rPr>
          <w:rFonts w:eastAsia="Times New Roman"/>
          <w:lang w:eastAsia="en-AU"/>
        </w:rPr>
        <w:t>;</w:t>
      </w:r>
    </w:p>
    <w:p w:rsidR="00EB400D" w:rsidRPr="00617098" w:rsidRDefault="00EB400D" w:rsidP="00EB400D">
      <w:pPr>
        <w:keepNext/>
        <w:keepLines/>
        <w:numPr>
          <w:ilvl w:val="1"/>
          <w:numId w:val="7"/>
        </w:numPr>
        <w:ind w:left="1124" w:hanging="562"/>
        <w:rPr>
          <w:rFonts w:eastAsia="Times New Roman"/>
          <w:lang w:eastAsia="en-AU"/>
        </w:rPr>
      </w:pPr>
      <w:r>
        <w:rPr>
          <w:rFonts w:eastAsia="Times New Roman"/>
          <w:lang w:eastAsia="en-AU"/>
        </w:rPr>
        <w:t>model laws or guidelines</w:t>
      </w:r>
      <w:r w:rsidRPr="00617098">
        <w:rPr>
          <w:rFonts w:eastAsia="Times New Roman"/>
          <w:lang w:eastAsia="en-AU"/>
        </w:rPr>
        <w:t>.</w:t>
      </w:r>
    </w:p>
    <w:p w:rsidR="00EB400D" w:rsidRPr="00617098" w:rsidRDefault="00EB400D" w:rsidP="00EB400D">
      <w:pPr>
        <w:rPr>
          <w:rFonts w:eastAsia="Times New Roman"/>
          <w:lang w:eastAsia="en-AU"/>
        </w:rPr>
      </w:pPr>
    </w:p>
    <w:p w:rsidR="00EB400D" w:rsidRPr="00C80413" w:rsidRDefault="00EB400D" w:rsidP="00EB400D">
      <w:pPr>
        <w:keepNext/>
        <w:rPr>
          <w:rFonts w:eastAsia="Times New Roman"/>
          <w:b/>
          <w:lang w:eastAsia="en-AU"/>
        </w:rPr>
      </w:pPr>
      <w:r w:rsidRPr="00C80413">
        <w:rPr>
          <w:rFonts w:eastAsia="Times New Roman"/>
          <w:b/>
          <w:lang w:eastAsia="en-AU"/>
        </w:rPr>
        <w:t>A binding international instrument</w:t>
      </w:r>
    </w:p>
    <w:p w:rsidR="00EB400D" w:rsidRPr="00617098" w:rsidRDefault="00EB400D" w:rsidP="00EB400D">
      <w:pPr>
        <w:keepNext/>
        <w:rPr>
          <w:rFonts w:eastAsia="Times New Roman"/>
          <w:lang w:eastAsia="en-AU"/>
        </w:rPr>
      </w:pPr>
    </w:p>
    <w:p w:rsidR="00EB400D" w:rsidRDefault="00EB400D" w:rsidP="00EB400D">
      <w:pPr>
        <w:keepNext/>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 xml:space="preserve">A binding </w:t>
      </w:r>
      <w:r>
        <w:rPr>
          <w:rFonts w:eastAsia="Times New Roman"/>
          <w:lang w:eastAsia="en-AU"/>
        </w:rPr>
        <w:t xml:space="preserve">international </w:t>
      </w:r>
      <w:r w:rsidRPr="00617098">
        <w:rPr>
          <w:rFonts w:eastAsia="Times New Roman"/>
          <w:lang w:eastAsia="en-AU"/>
        </w:rPr>
        <w:t xml:space="preserve">instrument </w:t>
      </w:r>
      <w:r>
        <w:rPr>
          <w:rFonts w:eastAsia="Times New Roman"/>
          <w:lang w:eastAsia="en-AU"/>
        </w:rPr>
        <w:t>refers to a treaty or convention that creates legally binding obligations for its signatory states.  It would oblige contracting p</w:t>
      </w:r>
      <w:r w:rsidRPr="00617098">
        <w:rPr>
          <w:rFonts w:eastAsia="Times New Roman"/>
          <w:lang w:eastAsia="en-AU"/>
        </w:rPr>
        <w:t xml:space="preserve">arties to apply the prescribed standards in their national law, as an obligation under international law. </w:t>
      </w:r>
      <w:r>
        <w:rPr>
          <w:rFonts w:eastAsia="Times New Roman"/>
          <w:lang w:eastAsia="en-AU"/>
        </w:rPr>
        <w:t xml:space="preserve"> This type of instrument can be used to establish a common set of rules and standards for the protection and enforcement of intellectual property (IP) globally.  </w:t>
      </w:r>
    </w:p>
    <w:p w:rsidR="00EB400D" w:rsidRDefault="00EB400D" w:rsidP="00EB400D">
      <w:pPr>
        <w:rPr>
          <w:rFonts w:eastAsia="Times New Roman"/>
          <w:lang w:eastAsia="en-AU"/>
        </w:rPr>
      </w:pPr>
    </w:p>
    <w:p w:rsidR="00EB400D" w:rsidRPr="00617098"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A distinct treaty-</w:t>
      </w:r>
      <w:r w:rsidRPr="00617098">
        <w:rPr>
          <w:rFonts w:eastAsia="Times New Roman"/>
          <w:lang w:eastAsia="en-AU"/>
        </w:rPr>
        <w:t>making process would be required (typically, a diplomatic conference) to negotiate</w:t>
      </w:r>
      <w:r>
        <w:rPr>
          <w:rFonts w:eastAsia="Times New Roman"/>
          <w:lang w:eastAsia="en-AU"/>
        </w:rPr>
        <w:t xml:space="preserve"> and adopt such an instrument.  The instrument</w:t>
      </w:r>
      <w:r w:rsidRPr="00617098">
        <w:rPr>
          <w:rFonts w:eastAsia="Times New Roman"/>
          <w:lang w:eastAsia="en-AU"/>
        </w:rPr>
        <w:t xml:space="preserve"> would become binding only on those countries which </w:t>
      </w:r>
      <w:r>
        <w:rPr>
          <w:rFonts w:eastAsia="Times New Roman"/>
          <w:lang w:eastAsia="en-AU"/>
        </w:rPr>
        <w:t>decide</w:t>
      </w:r>
      <w:r w:rsidRPr="00617098">
        <w:rPr>
          <w:rFonts w:eastAsia="Times New Roman"/>
          <w:lang w:eastAsia="en-AU"/>
        </w:rPr>
        <w:t xml:space="preserve"> to adhere </w:t>
      </w:r>
      <w:r>
        <w:rPr>
          <w:rFonts w:eastAsia="Times New Roman"/>
          <w:lang w:eastAsia="en-AU"/>
        </w:rPr>
        <w:t xml:space="preserve">to it </w:t>
      </w:r>
      <w:r w:rsidRPr="00617098">
        <w:rPr>
          <w:rFonts w:eastAsia="Times New Roman"/>
          <w:lang w:eastAsia="en-AU"/>
        </w:rPr>
        <w:t>through a distinct act of ratification or accession.</w:t>
      </w:r>
      <w:r>
        <w:rPr>
          <w:rFonts w:eastAsia="Times New Roman"/>
          <w:lang w:eastAsia="en-AU"/>
        </w:rPr>
        <w:t xml:space="preserve"> </w:t>
      </w:r>
      <w:r w:rsidRPr="006A72E8">
        <w:rPr>
          <w:rFonts w:eastAsia="Times New Roman"/>
          <w:lang w:eastAsia="en-AU"/>
        </w:rPr>
        <w:t xml:space="preserve"> </w:t>
      </w:r>
      <w:r>
        <w:rPr>
          <w:rFonts w:eastAsia="Times New Roman"/>
          <w:lang w:eastAsia="en-AU"/>
        </w:rPr>
        <w:t>While other states would</w:t>
      </w:r>
      <w:r w:rsidRPr="00617098">
        <w:rPr>
          <w:rFonts w:eastAsia="Times New Roman"/>
          <w:lang w:eastAsia="en-AU"/>
        </w:rPr>
        <w:t xml:space="preserve"> n</w:t>
      </w:r>
      <w:r>
        <w:rPr>
          <w:rFonts w:eastAsia="Times New Roman"/>
          <w:lang w:eastAsia="en-AU"/>
        </w:rPr>
        <w:t>ot be bound by the treaty as such, they may choose</w:t>
      </w:r>
      <w:r w:rsidRPr="00617098">
        <w:rPr>
          <w:rFonts w:eastAsia="Times New Roman"/>
          <w:lang w:eastAsia="en-AU"/>
        </w:rPr>
        <w:t xml:space="preserve"> to apply the standards created by </w:t>
      </w:r>
      <w:r>
        <w:rPr>
          <w:rFonts w:eastAsia="Times New Roman"/>
          <w:lang w:eastAsia="en-AU"/>
        </w:rPr>
        <w:t>the instrument</w:t>
      </w:r>
      <w:r w:rsidRPr="00617098">
        <w:rPr>
          <w:rFonts w:eastAsia="Times New Roman"/>
          <w:lang w:eastAsia="en-AU"/>
        </w:rPr>
        <w:t xml:space="preserve"> without formally adhering to</w:t>
      </w:r>
      <w:r>
        <w:rPr>
          <w:rFonts w:eastAsia="Times New Roman"/>
          <w:lang w:eastAsia="en-AU"/>
        </w:rPr>
        <w:t xml:space="preserve"> it.</w:t>
      </w:r>
    </w:p>
    <w:p w:rsidR="00EB400D" w:rsidRPr="00617098" w:rsidRDefault="00EB400D" w:rsidP="00EB400D">
      <w:pPr>
        <w:rPr>
          <w:rFonts w:eastAsia="Times New Roman"/>
          <w:lang w:eastAsia="en-AU"/>
        </w:rPr>
      </w:pPr>
    </w:p>
    <w:p w:rsidR="00EB400D" w:rsidRDefault="00EB400D" w:rsidP="00EB400D">
      <w:pPr>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Binding instruments may have the character of framework or policymaking conventions, providing a basis or policy platform for further normative development and for greater convergence and transparency of national policy initiatives.  Specific international legal mechanisms with more precise obligations may then be negotiated as protocols under the original framework agreement.</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Examples of binding international instruments in intellectual property include, amongst others, the Patent Law Treaty (2010), the WIPO Copyright Treaty (1996), the </w:t>
      </w:r>
      <w:r w:rsidRPr="005B1EFC">
        <w:rPr>
          <w:rFonts w:eastAsia="Times New Roman"/>
          <w:lang w:eastAsia="en-AU"/>
        </w:rPr>
        <w:t>WIPO Performan</w:t>
      </w:r>
      <w:r>
        <w:rPr>
          <w:rFonts w:eastAsia="Times New Roman"/>
          <w:lang w:eastAsia="en-AU"/>
        </w:rPr>
        <w:t>ces and Phonograms Treaty (1996) and the Madrid Agreement Concerning the International Registration of Marks (1979).</w:t>
      </w:r>
    </w:p>
    <w:p w:rsidR="00EB400D" w:rsidRPr="00617098" w:rsidRDefault="00EB400D" w:rsidP="00EB400D">
      <w:pPr>
        <w:rPr>
          <w:rFonts w:eastAsia="Times New Roman"/>
          <w:lang w:eastAsia="en-AU"/>
        </w:rPr>
      </w:pPr>
    </w:p>
    <w:p w:rsidR="00EB400D" w:rsidRPr="00C80413" w:rsidRDefault="00EB400D" w:rsidP="00EB400D">
      <w:pPr>
        <w:keepNext/>
        <w:rPr>
          <w:rFonts w:eastAsia="Times New Roman"/>
          <w:b/>
          <w:lang w:eastAsia="en-AU"/>
        </w:rPr>
      </w:pPr>
      <w:r w:rsidRPr="00C80413">
        <w:rPr>
          <w:rFonts w:eastAsia="Times New Roman"/>
          <w:b/>
          <w:lang w:eastAsia="en-AU"/>
        </w:rPr>
        <w:t>A non-binding international instrument</w:t>
      </w:r>
    </w:p>
    <w:p w:rsidR="00EB400D" w:rsidRPr="00617098" w:rsidRDefault="00EB400D" w:rsidP="00EB400D">
      <w:pPr>
        <w:keepNext/>
        <w:rPr>
          <w:rFonts w:eastAsia="Times New Roman"/>
          <w:lang w:eastAsia="en-AU"/>
        </w:rPr>
      </w:pPr>
    </w:p>
    <w:p w:rsidR="00EB400D" w:rsidRDefault="00EB400D" w:rsidP="00EB400D">
      <w:pPr>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A non-</w:t>
      </w:r>
      <w:r>
        <w:rPr>
          <w:rFonts w:eastAsia="Times New Roman"/>
          <w:lang w:eastAsia="en-AU"/>
        </w:rPr>
        <w:t>binding</w:t>
      </w:r>
      <w:r w:rsidRPr="00617098">
        <w:rPr>
          <w:rFonts w:eastAsia="Times New Roman"/>
          <w:lang w:eastAsia="en-AU"/>
        </w:rPr>
        <w:t xml:space="preserve"> </w:t>
      </w:r>
      <w:r>
        <w:rPr>
          <w:rFonts w:eastAsia="Times New Roman"/>
          <w:lang w:eastAsia="en-AU"/>
        </w:rPr>
        <w:t xml:space="preserve">international </w:t>
      </w:r>
      <w:r w:rsidRPr="00617098">
        <w:rPr>
          <w:rFonts w:eastAsia="Times New Roman"/>
          <w:lang w:eastAsia="en-AU"/>
        </w:rPr>
        <w:t xml:space="preserve">instrument </w:t>
      </w:r>
      <w:r>
        <w:rPr>
          <w:rFonts w:eastAsia="Times New Roman"/>
          <w:lang w:eastAsia="en-AU"/>
        </w:rPr>
        <w:t>can take the form of a recommendation, resolution, declaration, decision or any other form of instrument that does not create legally binding obligations for its signatory states (“soft law”).</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Such an instrument can reflect the political will of member states, including agreement on core issues or principles in a given area, or provide guidance on policy issues or best practices and standards.  It could recommend or encourage s</w:t>
      </w:r>
      <w:r w:rsidRPr="00617098">
        <w:rPr>
          <w:rFonts w:eastAsia="Times New Roman"/>
          <w:lang w:eastAsia="en-AU"/>
        </w:rPr>
        <w:t>tates to give effect to certain standards in their national laws and in other administrative and non-legal processes and policies, or could simply provide a framewor</w:t>
      </w:r>
      <w:r>
        <w:rPr>
          <w:rFonts w:eastAsia="Times New Roman"/>
          <w:lang w:eastAsia="en-AU"/>
        </w:rPr>
        <w:t>k for coordination among those s</w:t>
      </w:r>
      <w:r w:rsidRPr="00617098">
        <w:rPr>
          <w:rFonts w:eastAsia="Times New Roman"/>
          <w:lang w:eastAsia="en-AU"/>
        </w:rPr>
        <w:t>tates, which cho</w:t>
      </w:r>
      <w:r>
        <w:rPr>
          <w:rFonts w:eastAsia="Times New Roman"/>
          <w:lang w:eastAsia="en-AU"/>
        </w:rPr>
        <w:t>o</w:t>
      </w:r>
      <w:r w:rsidRPr="00617098">
        <w:rPr>
          <w:rFonts w:eastAsia="Times New Roman"/>
          <w:lang w:eastAsia="en-AU"/>
        </w:rPr>
        <w:t xml:space="preserve">se to follow the agreed approach.  </w:t>
      </w:r>
    </w:p>
    <w:p w:rsidR="00EB400D" w:rsidRPr="00617098"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Examples include t</w:t>
      </w:r>
      <w:r w:rsidRPr="00411137">
        <w:rPr>
          <w:rFonts w:eastAsia="Times New Roman"/>
          <w:lang w:eastAsia="en-AU"/>
        </w:rPr>
        <w:t>he United Nations Declaration on the Right</w:t>
      </w:r>
      <w:r>
        <w:rPr>
          <w:rFonts w:eastAsia="Times New Roman"/>
          <w:lang w:eastAsia="en-AU"/>
        </w:rPr>
        <w:t xml:space="preserve">s of Indigenous Peoples (UNDRIP) (2007) or the </w:t>
      </w:r>
      <w:r w:rsidRPr="006C61F8">
        <w:rPr>
          <w:rFonts w:eastAsia="Times New Roman"/>
          <w:lang w:eastAsia="en-AU"/>
        </w:rPr>
        <w:t>Joint Recommendation Concerning Provisions on the</w:t>
      </w:r>
      <w:r>
        <w:rPr>
          <w:rFonts w:eastAsia="Times New Roman"/>
          <w:lang w:eastAsia="en-AU"/>
        </w:rPr>
        <w:t xml:space="preserve"> Protection of Well-Known Marks adopted in 1999 by the Assembly of the Paris Union for the Protection of Industrial</w:t>
      </w:r>
      <w:r w:rsidRPr="006C61F8">
        <w:rPr>
          <w:rFonts w:eastAsia="Times New Roman"/>
          <w:lang w:eastAsia="en-AU"/>
        </w:rPr>
        <w:t xml:space="preserve"> Property and the General Assembly</w:t>
      </w:r>
      <w:r>
        <w:rPr>
          <w:rFonts w:eastAsia="Times New Roman"/>
          <w:lang w:eastAsia="en-AU"/>
        </w:rPr>
        <w:t>.</w:t>
      </w:r>
    </w:p>
    <w:p w:rsidR="00EB400D" w:rsidRPr="00617098" w:rsidRDefault="00EB400D" w:rsidP="00EB400D">
      <w:pPr>
        <w:rPr>
          <w:rFonts w:eastAsia="Times New Roman"/>
          <w:lang w:eastAsia="en-AU"/>
        </w:rPr>
      </w:pPr>
    </w:p>
    <w:p w:rsidR="00EB400D" w:rsidRDefault="00EB400D" w:rsidP="00EB400D">
      <w:pPr>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r>
      <w:r>
        <w:rPr>
          <w:rFonts w:eastAsia="Times New Roman"/>
          <w:lang w:eastAsia="en-AU"/>
        </w:rPr>
        <w:t>A non-binding international instrument can have a consensus-building effect and provide the basis for future negotiations o</w:t>
      </w:r>
      <w:r w:rsidRPr="00617098">
        <w:rPr>
          <w:rFonts w:eastAsia="Times New Roman"/>
          <w:lang w:eastAsia="en-AU"/>
        </w:rPr>
        <w:t>f binding international law</w:t>
      </w:r>
      <w:r>
        <w:rPr>
          <w:rFonts w:eastAsia="Times New Roman"/>
          <w:lang w:eastAsia="en-AU"/>
        </w:rPr>
        <w:t xml:space="preserve">.  </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In some instances, declarations and other forms of soft law can eventually become legally binding customary international law over time.  Customary international law derives from a general practice accepted as law.  For example, some consider aspects of the Universal Declaration of Human Rights (1948), </w:t>
      </w:r>
      <w:r w:rsidRPr="00814FCC">
        <w:rPr>
          <w:rFonts w:eastAsia="Times New Roman"/>
          <w:lang w:eastAsia="en-AU"/>
        </w:rPr>
        <w:t xml:space="preserve">such as the right not to be subject to torture and the right </w:t>
      </w:r>
      <w:r w:rsidRPr="00814FCC">
        <w:rPr>
          <w:rFonts w:eastAsia="Times New Roman"/>
          <w:lang w:eastAsia="en-AU"/>
        </w:rPr>
        <w:lastRenderedPageBreak/>
        <w:t>against arbitrary imprisonment</w:t>
      </w:r>
      <w:r>
        <w:rPr>
          <w:rFonts w:eastAsia="Times New Roman"/>
          <w:lang w:eastAsia="en-AU"/>
        </w:rPr>
        <w:t>, to be customary international law.  Similarly, several key provisions of UNDRIP are considered by some as part of the quickly evolving area of customary international law.</w:t>
      </w:r>
    </w:p>
    <w:p w:rsidR="00EB400D" w:rsidRPr="00617098" w:rsidRDefault="00EB400D" w:rsidP="00EB400D">
      <w:pPr>
        <w:rPr>
          <w:rFonts w:eastAsia="Times New Roman"/>
          <w:lang w:eastAsia="en-AU"/>
        </w:rPr>
      </w:pPr>
    </w:p>
    <w:p w:rsidR="00EB400D" w:rsidRPr="00617098" w:rsidRDefault="00EB400D" w:rsidP="00EB400D">
      <w:pPr>
        <w:keepNext/>
        <w:rPr>
          <w:rFonts w:eastAsia="Times New Roman"/>
          <w:b/>
          <w:lang w:eastAsia="en-AU"/>
        </w:rPr>
      </w:pPr>
      <w:r>
        <w:rPr>
          <w:rFonts w:eastAsia="Times New Roman"/>
          <w:b/>
          <w:lang w:eastAsia="en-AU"/>
        </w:rPr>
        <w:t>Model laws or guidelines</w:t>
      </w:r>
    </w:p>
    <w:p w:rsidR="00EB400D" w:rsidRPr="00617098" w:rsidRDefault="00EB400D" w:rsidP="00EB400D">
      <w:pPr>
        <w:keepNext/>
        <w:rPr>
          <w:rFonts w:eastAsia="Times New Roman"/>
          <w:lang w:eastAsia="en-AU"/>
        </w:rPr>
      </w:pPr>
    </w:p>
    <w:p w:rsidR="00EB400D" w:rsidRDefault="00EB400D" w:rsidP="00EB400D">
      <w:pPr>
        <w:keepNext/>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 xml:space="preserve">Model laws or guidelines </w:t>
      </w:r>
      <w:r>
        <w:rPr>
          <w:rFonts w:eastAsia="Times New Roman"/>
          <w:lang w:eastAsia="en-AU"/>
        </w:rPr>
        <w:t xml:space="preserve">are a standardized set of legal provisions that can serve as a reference for national legislation.  They are meant to provide guidance for states in developing their own laws or regulations.  They can help ensure a consistent level of protection across countries and promote harmonization of IP laws at the international level.  They are not legally binding and each country remains free to adopt or adjust provisions in a manner that suits them.  </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Such tools </w:t>
      </w:r>
      <w:r w:rsidRPr="00617098">
        <w:rPr>
          <w:rFonts w:eastAsia="Times New Roman"/>
          <w:lang w:eastAsia="en-AU"/>
        </w:rPr>
        <w:t xml:space="preserve">have in the past been used to express a shared international approach </w:t>
      </w:r>
      <w:r>
        <w:rPr>
          <w:rFonts w:eastAsia="Times New Roman"/>
          <w:lang w:eastAsia="en-AU"/>
        </w:rPr>
        <w:t xml:space="preserve">and </w:t>
      </w:r>
      <w:r w:rsidRPr="00617098">
        <w:rPr>
          <w:rFonts w:eastAsia="Times New Roman"/>
          <w:lang w:eastAsia="en-AU"/>
        </w:rPr>
        <w:t xml:space="preserve">to assist in the coordination of national laws and policy development, without the adoption of a specific international instrument.  This can provide the basis for cooperation, convergence and mutual compatibility of national legislative initiatives, and can also lay the groundwork for more formal international instruments.  </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r>
      <w:r w:rsidRPr="00617098">
        <w:rPr>
          <w:rFonts w:eastAsia="Times New Roman"/>
          <w:lang w:eastAsia="en-AU"/>
        </w:rPr>
        <w:t>In practice, it may be difficult to distinguish between model laws or guidelines and the kind of s</w:t>
      </w:r>
      <w:r>
        <w:rPr>
          <w:rFonts w:eastAsia="Times New Roman"/>
          <w:lang w:eastAsia="en-AU"/>
        </w:rPr>
        <w:t>oft law norms discussed above.</w:t>
      </w:r>
    </w:p>
    <w:p w:rsidR="00EB400D" w:rsidRDefault="00EB400D" w:rsidP="00EB400D">
      <w:pPr>
        <w:rPr>
          <w:rFonts w:eastAsia="Times New Roman"/>
          <w:lang w:eastAsia="en-AU"/>
        </w:rPr>
      </w:pPr>
    </w:p>
    <w:p w:rsidR="00EB400D" w:rsidRPr="00617098"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Examples include the </w:t>
      </w:r>
      <w:r w:rsidRPr="003233F1">
        <w:rPr>
          <w:rFonts w:eastAsia="Times New Roman"/>
          <w:lang w:eastAsia="en-AU"/>
        </w:rPr>
        <w:t>WIPO-UNESCO Model Provisions for National Laws on the Protection of Expressions of Folklore against Illicit Exploitation and other Prejudicial Actions</w:t>
      </w:r>
      <w:r>
        <w:rPr>
          <w:rFonts w:eastAsia="Times New Roman"/>
          <w:lang w:eastAsia="en-AU"/>
        </w:rPr>
        <w:t xml:space="preserve"> (1982) and the 2002 Pacific Model Law for the Protection of Traditional Knowledge and Expressions of Culture.</w:t>
      </w:r>
    </w:p>
    <w:p w:rsidR="00EB400D" w:rsidRDefault="00EB400D" w:rsidP="00EB400D">
      <w:pPr>
        <w:rPr>
          <w:rFonts w:eastAsia="Times New Roman"/>
          <w:lang w:eastAsia="en-AU"/>
        </w:rPr>
      </w:pP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t>AN OVERVIEW OF RELEVANT APPROACHES IN DRAFTING AN INTERNATIONAL LEGAL INSTRUMENT(S) ON TRADITIONAL KNOWLEDGE AND TRADITIONAL CULTURAL EXPRESSIONS</w:t>
      </w:r>
    </w:p>
    <w:p w:rsidR="00EB400D" w:rsidRDefault="00EB400D" w:rsidP="00EB400D">
      <w:pPr>
        <w:rPr>
          <w:rFonts w:eastAsia="Times New Roman"/>
          <w:lang w:eastAsia="en-AU"/>
        </w:rPr>
      </w:pPr>
    </w:p>
    <w:p w:rsidR="00EB400D" w:rsidRPr="00CA0CE5" w:rsidRDefault="00EB400D" w:rsidP="00EB400D">
      <w:pPr>
        <w:pStyle w:val="onume0"/>
        <w:rPr>
          <w:bCs/>
        </w:rPr>
      </w:pPr>
      <w:r w:rsidRPr="00CA0CE5">
        <w:rPr>
          <w:bCs/>
        </w:rPr>
        <w:t>Positive and defensive protection approaches</w:t>
      </w:r>
    </w:p>
    <w:p w:rsidR="00EB400D" w:rsidRDefault="00EB400D" w:rsidP="00EB400D">
      <w:pPr>
        <w:pStyle w:val="onume0"/>
        <w:rPr>
          <w:b w:val="0"/>
        </w:rPr>
      </w:pPr>
    </w:p>
    <w:p w:rsidR="00EB400D" w:rsidRPr="004D5EC3" w:rsidRDefault="00EB400D" w:rsidP="00EB400D">
      <w:pPr>
        <w:pStyle w:val="onume0"/>
        <w:rPr>
          <w:b w:val="0"/>
        </w:rPr>
      </w:pPr>
      <w:r>
        <w:rPr>
          <w:b w:val="0"/>
        </w:rPr>
        <w:fldChar w:fldCharType="begin"/>
      </w:r>
      <w:r>
        <w:rPr>
          <w:b w:val="0"/>
        </w:rPr>
        <w:instrText xml:space="preserve"> AUTONUM  </w:instrText>
      </w:r>
      <w:r>
        <w:rPr>
          <w:b w:val="0"/>
        </w:rPr>
        <w:fldChar w:fldCharType="end"/>
      </w:r>
      <w:r>
        <w:rPr>
          <w:b w:val="0"/>
        </w:rPr>
        <w:tab/>
      </w:r>
      <w:r w:rsidRPr="004D5EC3">
        <w:rPr>
          <w:b w:val="0"/>
        </w:rPr>
        <w:t xml:space="preserve">The IP system can be approached from two different angles to ensure protection of </w:t>
      </w:r>
      <w:r>
        <w:rPr>
          <w:b w:val="0"/>
        </w:rPr>
        <w:t>TK and TCEs</w:t>
      </w:r>
      <w:r w:rsidRPr="004D5EC3">
        <w:rPr>
          <w:b w:val="0"/>
        </w:rPr>
        <w:t>.  These two approaches</w:t>
      </w:r>
      <w:r>
        <w:rPr>
          <w:b w:val="0"/>
        </w:rPr>
        <w:t>,</w:t>
      </w:r>
      <w:r w:rsidRPr="004D5EC3">
        <w:rPr>
          <w:b w:val="0"/>
        </w:rPr>
        <w:t xml:space="preserve"> generally referred to as “positive” and “defensive” protection</w:t>
      </w:r>
      <w:r>
        <w:rPr>
          <w:b w:val="0"/>
        </w:rPr>
        <w:t>,</w:t>
      </w:r>
      <w:r w:rsidRPr="004D5EC3">
        <w:rPr>
          <w:b w:val="0"/>
        </w:rPr>
        <w:t xml:space="preserve"> can be undertaken together in a compl</w:t>
      </w:r>
      <w:r>
        <w:rPr>
          <w:b w:val="0"/>
        </w:rPr>
        <w:t>e</w:t>
      </w:r>
      <w:r w:rsidRPr="004D5EC3">
        <w:rPr>
          <w:b w:val="0"/>
        </w:rPr>
        <w:t>mentary way.</w:t>
      </w:r>
    </w:p>
    <w:p w:rsidR="00EB400D" w:rsidRPr="004D5EC3" w:rsidRDefault="00EB400D" w:rsidP="00EB400D">
      <w:pPr>
        <w:pStyle w:val="onume0"/>
        <w:rPr>
          <w:b w:val="0"/>
        </w:rPr>
      </w:pPr>
    </w:p>
    <w:p w:rsidR="00EB400D" w:rsidRPr="004D5EC3" w:rsidRDefault="00EB400D" w:rsidP="00EB400D">
      <w:pPr>
        <w:pStyle w:val="onume0"/>
        <w:rPr>
          <w:b w:val="0"/>
        </w:rPr>
      </w:pPr>
      <w:r>
        <w:rPr>
          <w:b w:val="0"/>
        </w:rPr>
        <w:fldChar w:fldCharType="begin"/>
      </w:r>
      <w:r>
        <w:rPr>
          <w:b w:val="0"/>
        </w:rPr>
        <w:instrText xml:space="preserve"> AUTONUM  </w:instrText>
      </w:r>
      <w:r>
        <w:rPr>
          <w:b w:val="0"/>
        </w:rPr>
        <w:fldChar w:fldCharType="end"/>
      </w:r>
      <w:r>
        <w:rPr>
          <w:b w:val="0"/>
        </w:rPr>
        <w:tab/>
      </w:r>
      <w:r w:rsidRPr="004D5EC3">
        <w:rPr>
          <w:b w:val="0"/>
        </w:rPr>
        <w:t xml:space="preserve">Under the positive protection approach, the IP system is designed to enable holders, if they so wish, to acquire and assert IP rights in their TK/TCEs. </w:t>
      </w:r>
      <w:r>
        <w:rPr>
          <w:b w:val="0"/>
        </w:rPr>
        <w:t xml:space="preserve"> </w:t>
      </w:r>
      <w:r w:rsidRPr="004D5EC3">
        <w:rPr>
          <w:b w:val="0"/>
        </w:rPr>
        <w:t xml:space="preserve">This can allow them to prevent unwanted, unauthorized or inappropriate uses by third parties (including culturally offensive or demeaning use) and/or to exploit TK/TCEs commercially, for example through the granting of licenses, as a contribution to their economic development. </w:t>
      </w:r>
      <w:r>
        <w:rPr>
          <w:b w:val="0"/>
        </w:rPr>
        <w:t xml:space="preserve"> </w:t>
      </w:r>
      <w:r w:rsidRPr="004D5EC3">
        <w:rPr>
          <w:b w:val="0"/>
        </w:rPr>
        <w:t xml:space="preserve">In brief, positive protection is the granting of rights that empower communities to promote their TK/TCEs, control their uses by third parties and benefit from their commercial exploitation. </w:t>
      </w:r>
      <w:r>
        <w:rPr>
          <w:b w:val="0"/>
        </w:rPr>
        <w:t xml:space="preserve">Numerous national and regional laws provide </w:t>
      </w:r>
      <w:r w:rsidRPr="00763942">
        <w:rPr>
          <w:b w:val="0"/>
          <w:i/>
        </w:rPr>
        <w:t>sui generis</w:t>
      </w:r>
      <w:r>
        <w:rPr>
          <w:b w:val="0"/>
        </w:rPr>
        <w:t xml:space="preserve"> IP rights in TK and TCEs – these are examples of a “positive” approach. </w:t>
      </w:r>
    </w:p>
    <w:p w:rsidR="00EB400D" w:rsidRPr="004D5EC3" w:rsidRDefault="00EB400D" w:rsidP="00EB400D">
      <w:pPr>
        <w:pStyle w:val="onume0"/>
        <w:rPr>
          <w:b w:val="0"/>
        </w:rPr>
      </w:pPr>
    </w:p>
    <w:p w:rsidR="00EB400D" w:rsidRDefault="00EB400D" w:rsidP="00EB400D">
      <w:pPr>
        <w:pStyle w:val="onume0"/>
        <w:rPr>
          <w:b w:val="0"/>
        </w:rPr>
      </w:pPr>
      <w:r>
        <w:rPr>
          <w:b w:val="0"/>
        </w:rPr>
        <w:fldChar w:fldCharType="begin"/>
      </w:r>
      <w:r>
        <w:rPr>
          <w:b w:val="0"/>
        </w:rPr>
        <w:instrText xml:space="preserve"> AUTONUM  </w:instrText>
      </w:r>
      <w:r>
        <w:rPr>
          <w:b w:val="0"/>
        </w:rPr>
        <w:fldChar w:fldCharType="end"/>
      </w:r>
      <w:r>
        <w:rPr>
          <w:b w:val="0"/>
        </w:rPr>
        <w:tab/>
      </w:r>
      <w:r w:rsidRPr="004D5EC3">
        <w:rPr>
          <w:b w:val="0"/>
        </w:rPr>
        <w:t xml:space="preserve">The defensive protection approach, on the other hand, is designed to prevent the illegitimate acquisition or maintaining of IP rights by third parties. </w:t>
      </w:r>
      <w:r>
        <w:rPr>
          <w:b w:val="0"/>
        </w:rPr>
        <w:t xml:space="preserve"> </w:t>
      </w:r>
      <w:r w:rsidRPr="004D5EC3">
        <w:rPr>
          <w:b w:val="0"/>
        </w:rPr>
        <w:t xml:space="preserve">Stated otherwise, defensive protection aims to stop people outside the community from acquiring IP rights over TK and TCEs. </w:t>
      </w:r>
      <w:r>
        <w:rPr>
          <w:b w:val="0"/>
        </w:rPr>
        <w:t xml:space="preserve"> Measures that place TK in the public domain aimed at preventing third parties from acquiring patents in inventions closely based on the TK is a good example of a “defensive” approach. </w:t>
      </w:r>
    </w:p>
    <w:p w:rsidR="00EB400D" w:rsidRDefault="00EB400D" w:rsidP="00EB400D">
      <w:pPr>
        <w:rPr>
          <w:rFonts w:eastAsia="Times New Roman"/>
          <w:lang w:eastAsia="en-AU"/>
        </w:rPr>
      </w:pPr>
    </w:p>
    <w:p w:rsidR="00EB400D" w:rsidRPr="004D5EC3" w:rsidRDefault="00EB400D" w:rsidP="00EB400D">
      <w:pPr>
        <w:pStyle w:val="onume0"/>
        <w:keepNext/>
        <w:rPr>
          <w:bCs/>
        </w:rPr>
      </w:pPr>
      <w:r w:rsidRPr="004D5EC3">
        <w:rPr>
          <w:bCs/>
        </w:rPr>
        <w:t>Rights-based and measures-based approaches</w:t>
      </w:r>
    </w:p>
    <w:p w:rsidR="00EB400D" w:rsidRPr="004D5EC3" w:rsidRDefault="00EB400D" w:rsidP="00EB400D">
      <w:pPr>
        <w:pStyle w:val="onume0"/>
        <w:keepNext/>
        <w:rPr>
          <w:b w:val="0"/>
        </w:rPr>
      </w:pPr>
    </w:p>
    <w:p w:rsidR="00EB400D" w:rsidRDefault="00EB400D" w:rsidP="00EB400D">
      <w:pPr>
        <w:pStyle w:val="onume0"/>
        <w:keepNext/>
        <w:rPr>
          <w:b w:val="0"/>
        </w:rPr>
      </w:pPr>
      <w:r>
        <w:rPr>
          <w:b w:val="0"/>
        </w:rPr>
        <w:fldChar w:fldCharType="begin"/>
      </w:r>
      <w:r>
        <w:rPr>
          <w:b w:val="0"/>
        </w:rPr>
        <w:instrText xml:space="preserve"> AUTONUM  </w:instrText>
      </w:r>
      <w:r>
        <w:rPr>
          <w:b w:val="0"/>
        </w:rPr>
        <w:fldChar w:fldCharType="end"/>
      </w:r>
      <w:r>
        <w:rPr>
          <w:b w:val="0"/>
        </w:rPr>
        <w:tab/>
        <w:t xml:space="preserve">The rights-based approach places emphasis on the recognition and protection of IP rights as legal entitlements.  The objective of this approach is to create a legal framework that safeguards the rights of creators and owners of IP.  </w:t>
      </w:r>
      <w:r w:rsidRPr="004D5EC3">
        <w:rPr>
          <w:b w:val="0"/>
        </w:rPr>
        <w:t>In a rights-based approach, the beneficiaries are granted rights, which</w:t>
      </w:r>
      <w:r>
        <w:rPr>
          <w:b w:val="0"/>
        </w:rPr>
        <w:t xml:space="preserve"> they can manage and enforce.  Third parties have a corresponding obligation to respect those rights.  For example, the Berne Convention for the Protection of Literary and Artistic Works (1971) (the Berne Convention) grants authors a range of exclusive economic and moral rights.  </w:t>
      </w:r>
    </w:p>
    <w:p w:rsidR="00EB400D" w:rsidRPr="004D5EC3" w:rsidRDefault="00EB400D" w:rsidP="00EB400D">
      <w:pPr>
        <w:pStyle w:val="onume0"/>
        <w:rPr>
          <w:b w:val="0"/>
        </w:rPr>
      </w:pPr>
    </w:p>
    <w:p w:rsidR="00EB400D" w:rsidRDefault="00EB400D" w:rsidP="00EB400D">
      <w:pPr>
        <w:pStyle w:val="onume0"/>
        <w:rPr>
          <w:b w:val="0"/>
        </w:rPr>
      </w:pPr>
      <w:r>
        <w:rPr>
          <w:b w:val="0"/>
        </w:rPr>
        <w:fldChar w:fldCharType="begin"/>
      </w:r>
      <w:r>
        <w:rPr>
          <w:b w:val="0"/>
        </w:rPr>
        <w:instrText xml:space="preserve"> AUTONUM  </w:instrText>
      </w:r>
      <w:r>
        <w:rPr>
          <w:b w:val="0"/>
        </w:rPr>
        <w:fldChar w:fldCharType="end"/>
      </w:r>
      <w:r>
        <w:rPr>
          <w:b w:val="0"/>
        </w:rPr>
        <w:tab/>
        <w:t>I</w:t>
      </w:r>
      <w:r w:rsidRPr="004D5EC3">
        <w:rPr>
          <w:b w:val="0"/>
        </w:rPr>
        <w:t xml:space="preserve">n a measures-based approach, </w:t>
      </w:r>
      <w:r>
        <w:rPr>
          <w:b w:val="0"/>
        </w:rPr>
        <w:t xml:space="preserve">emphasis is placed on the measures taken to protect IP, rather than the rights themselves.  Contracting </w:t>
      </w:r>
      <w:r w:rsidRPr="004D5EC3">
        <w:rPr>
          <w:b w:val="0"/>
        </w:rPr>
        <w:t xml:space="preserve">states are enjoined only to provide “measures” </w:t>
      </w:r>
      <w:r>
        <w:rPr>
          <w:b w:val="0"/>
        </w:rPr>
        <w:t xml:space="preserve">to, for example, ensure the protection of TK/TCEs, or prevent the occurrence of certain acts.  Such measures can be legal, administrative or </w:t>
      </w:r>
      <w:r w:rsidRPr="004D5EC3">
        <w:rPr>
          <w:b w:val="0"/>
        </w:rPr>
        <w:t>practica</w:t>
      </w:r>
      <w:r>
        <w:rPr>
          <w:b w:val="0"/>
        </w:rPr>
        <w:t xml:space="preserve">l in nature.  </w:t>
      </w:r>
    </w:p>
    <w:p w:rsidR="00EB400D" w:rsidRDefault="00EB400D" w:rsidP="00EB400D">
      <w:pPr>
        <w:pStyle w:val="onume0"/>
        <w:rPr>
          <w:b w:val="0"/>
        </w:rPr>
      </w:pPr>
    </w:p>
    <w:p w:rsidR="00EB400D" w:rsidRDefault="00EB400D" w:rsidP="00EB400D">
      <w:pPr>
        <w:pStyle w:val="onume0"/>
        <w:rPr>
          <w:b w:val="0"/>
        </w:rPr>
      </w:pPr>
      <w:r>
        <w:rPr>
          <w:b w:val="0"/>
        </w:rPr>
        <w:fldChar w:fldCharType="begin"/>
      </w:r>
      <w:r>
        <w:rPr>
          <w:b w:val="0"/>
        </w:rPr>
        <w:instrText xml:space="preserve"> AUTONUM  </w:instrText>
      </w:r>
      <w:r>
        <w:rPr>
          <w:b w:val="0"/>
        </w:rPr>
        <w:fldChar w:fldCharType="end"/>
      </w:r>
      <w:r>
        <w:rPr>
          <w:b w:val="0"/>
        </w:rPr>
        <w:tab/>
        <w:t>For example, the Brussels Convention Relating to the Distribution of Programme-Carrying Signals Transmitted by Satellite (1974)</w:t>
      </w:r>
      <w:r w:rsidRPr="007C6BC8">
        <w:rPr>
          <w:b w:val="0"/>
        </w:rPr>
        <w:t xml:space="preserve"> </w:t>
      </w:r>
      <w:r>
        <w:rPr>
          <w:b w:val="0"/>
        </w:rPr>
        <w:t>requires contracting s</w:t>
      </w:r>
      <w:r w:rsidRPr="007C6BC8">
        <w:rPr>
          <w:b w:val="0"/>
        </w:rPr>
        <w:t xml:space="preserve">tates to take adequate measures to prevent the </w:t>
      </w:r>
      <w:r w:rsidRPr="00C86354">
        <w:rPr>
          <w:b w:val="0"/>
        </w:rPr>
        <w:t>unauthorized distribution on or from its territory of any programme-carrying signal transmitted by satellite</w:t>
      </w:r>
      <w:r>
        <w:rPr>
          <w:b w:val="0"/>
        </w:rPr>
        <w:t xml:space="preserve">.  </w:t>
      </w:r>
    </w:p>
    <w:p w:rsidR="00EB400D" w:rsidRDefault="00EB400D" w:rsidP="00EB400D">
      <w:pPr>
        <w:pStyle w:val="onume0"/>
        <w:rPr>
          <w:b w:val="0"/>
        </w:rPr>
      </w:pPr>
    </w:p>
    <w:p w:rsidR="00EB400D" w:rsidRDefault="00EB400D" w:rsidP="00EB400D">
      <w:pPr>
        <w:pStyle w:val="onume0"/>
        <w:rPr>
          <w:b w:val="0"/>
        </w:rPr>
      </w:pPr>
      <w:r>
        <w:rPr>
          <w:b w:val="0"/>
        </w:rPr>
        <w:fldChar w:fldCharType="begin"/>
      </w:r>
      <w:r>
        <w:rPr>
          <w:b w:val="0"/>
        </w:rPr>
        <w:instrText xml:space="preserve"> AUTONUM  </w:instrText>
      </w:r>
      <w:r>
        <w:rPr>
          <w:b w:val="0"/>
        </w:rPr>
        <w:fldChar w:fldCharType="end"/>
      </w:r>
      <w:r>
        <w:rPr>
          <w:b w:val="0"/>
        </w:rPr>
        <w:tab/>
        <w:t>Rights-based and measures-based approaches are not mutually exclusive and there are examples of international instruments containing both approaches.  For example, the WIPO Copyright Treaty (1996) establishes the right of reproduction, distribution, and communication to the public as exclusive rights of the copyright holder (rights-based), but it also prohibits the circumvention of technological protection measures and the distribution of tools to circumvent them (measures-based).</w:t>
      </w:r>
    </w:p>
    <w:p w:rsidR="00EB400D" w:rsidRPr="00206E9B" w:rsidRDefault="00EB400D" w:rsidP="00EB400D">
      <w:pPr>
        <w:pStyle w:val="onume0"/>
        <w:rPr>
          <w:b w:val="0"/>
        </w:rPr>
      </w:pPr>
    </w:p>
    <w:p w:rsidR="00EB400D" w:rsidRPr="00206E9B" w:rsidRDefault="00EB400D" w:rsidP="00EB400D">
      <w:pPr>
        <w:rPr>
          <w:rFonts w:eastAsia="Times New Roman"/>
          <w:b/>
          <w:lang w:eastAsia="en-AU"/>
        </w:rPr>
      </w:pPr>
      <w:r w:rsidRPr="00206E9B">
        <w:rPr>
          <w:rFonts w:eastAsia="Times New Roman"/>
          <w:b/>
          <w:lang w:eastAsia="en-AU"/>
        </w:rPr>
        <w:t xml:space="preserve">Minimum and maximum </w:t>
      </w:r>
      <w:r>
        <w:rPr>
          <w:rFonts w:eastAsia="Times New Roman"/>
          <w:b/>
          <w:lang w:eastAsia="en-AU"/>
        </w:rPr>
        <w:t>standards of protection</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Minimum standards of protection refer to the basic level of protection that must be adhered to by all signatories to an international legal instrument in their national law.  While ensuring a common basic level of protection, this approach also allows for some degree of variation in the levels and specifics of protection between countries, as countries may enact higher standards in their national laws.</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For example, under the Berne Convention certain minimum standards of protection have been prescribed relating to the duration of protection.  According to Article 7, the minimum term of protection is the life of the author plus 50 years after his or her death.  However, a number of countries have chosen to go beyond this minimum term of protection.</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On the other hand, maximum standards of protection refer to the highest level of protection that can be granted under national law.</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For example, in the context of the Trademark Law Treaty (1994), Article 5 of the Treaty provides for the maximum information that an Office may require for the grant of a filing date;  Article 12 contains the maximum requirements that an Office may request for the correction of mistakes made by an applicant or holder in any communication to the Office, and Article 13 enumerates the maximum requirements that an Office may impose with respect to renewal.</w:t>
      </w:r>
    </w:p>
    <w:p w:rsidR="00EB400D" w:rsidRDefault="00EB400D" w:rsidP="00EB400D">
      <w:pPr>
        <w:rPr>
          <w:rFonts w:eastAsia="Times New Roman"/>
          <w:lang w:eastAsia="en-AU"/>
        </w:rPr>
      </w:pP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t>THE INTERPLAY BETWEEN NATIONAL AND INTERNATIONAL LAW</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The evolution and development of international IP law has built on a number of core elements.  These included the recognition of national treatment, the overall independence of rights granted under different national laws, the national discretion to implement international standards through a variety of legal doctrines and mechanisms, a focus on addressing practical hurdles faced by right holders when their rights were obtained through formal procedures, and a need for administrative coordination.  The following paragraphs focus on the principle of national discretion in applying international standards.</w:t>
      </w:r>
    </w:p>
    <w:p w:rsidR="00EB400D" w:rsidRDefault="00EB400D" w:rsidP="00EB400D">
      <w:pPr>
        <w:rPr>
          <w:rFonts w:eastAsia="Times New Roman"/>
          <w:lang w:eastAsia="en-AU"/>
        </w:rPr>
      </w:pPr>
    </w:p>
    <w:p w:rsidR="00EB400D" w:rsidRPr="003B1ECD" w:rsidRDefault="00EB400D" w:rsidP="00EB400D">
      <w:pPr>
        <w:rPr>
          <w:rFonts w:eastAsia="Times New Roman"/>
          <w:b/>
          <w:lang w:eastAsia="en-AU"/>
        </w:rPr>
      </w:pPr>
      <w:r w:rsidRPr="003B1ECD">
        <w:rPr>
          <w:rFonts w:eastAsia="Times New Roman"/>
          <w:b/>
          <w:lang w:eastAsia="en-AU"/>
        </w:rPr>
        <w:t>National discretion in applying international standards</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I</w:t>
      </w:r>
      <w:r w:rsidRPr="003B1ECD">
        <w:rPr>
          <w:rFonts w:eastAsia="Times New Roman"/>
          <w:lang w:eastAsia="en-AU"/>
        </w:rPr>
        <w:t xml:space="preserve">nternational IP law </w:t>
      </w:r>
      <w:r>
        <w:rPr>
          <w:rFonts w:eastAsia="Times New Roman"/>
          <w:lang w:eastAsia="en-AU"/>
        </w:rPr>
        <w:t xml:space="preserve">makes a distinction </w:t>
      </w:r>
      <w:r w:rsidRPr="003B1ECD">
        <w:rPr>
          <w:rFonts w:eastAsia="Times New Roman"/>
          <w:lang w:eastAsia="en-AU"/>
        </w:rPr>
        <w:t xml:space="preserve">between the articulation of international standards and principles, and the choice of national legal mechanism to give effect to what has been agreed.  This </w:t>
      </w:r>
      <w:r>
        <w:rPr>
          <w:rFonts w:eastAsia="Times New Roman"/>
          <w:lang w:eastAsia="en-AU"/>
        </w:rPr>
        <w:t xml:space="preserve">often </w:t>
      </w:r>
      <w:r w:rsidRPr="003B1ECD">
        <w:rPr>
          <w:rFonts w:eastAsia="Times New Roman"/>
          <w:lang w:eastAsia="en-AU"/>
        </w:rPr>
        <w:t xml:space="preserve">gives </w:t>
      </w:r>
      <w:r>
        <w:rPr>
          <w:rFonts w:eastAsia="Times New Roman"/>
          <w:lang w:eastAsia="en-AU"/>
        </w:rPr>
        <w:t>contracting states</w:t>
      </w:r>
      <w:r w:rsidRPr="003B1ECD">
        <w:rPr>
          <w:rFonts w:eastAsia="Times New Roman"/>
          <w:lang w:eastAsia="en-AU"/>
        </w:rPr>
        <w:t xml:space="preserve"> wide areas of discretion in how and by what legal tools and doctrines they give effe</w:t>
      </w:r>
      <w:r>
        <w:rPr>
          <w:rFonts w:eastAsia="Times New Roman"/>
          <w:lang w:eastAsia="en-AU"/>
        </w:rPr>
        <w:t>ct to international standards</w:t>
      </w:r>
      <w:r w:rsidRPr="003B1ECD">
        <w:rPr>
          <w:rFonts w:eastAsia="Times New Roman"/>
          <w:lang w:eastAsia="en-AU"/>
        </w:rPr>
        <w:t xml:space="preserve">.  </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r>
      <w:r w:rsidRPr="003B1ECD">
        <w:rPr>
          <w:rFonts w:eastAsia="Times New Roman"/>
          <w:lang w:eastAsia="en-AU"/>
        </w:rPr>
        <w:t xml:space="preserve">In some instances, international instruments explicitly set out the range of </w:t>
      </w:r>
      <w:r>
        <w:rPr>
          <w:rFonts w:eastAsia="Times New Roman"/>
          <w:lang w:eastAsia="en-AU"/>
        </w:rPr>
        <w:t xml:space="preserve">legal mechanisms under national law to give effect to general protection standards articulated at the international level.  </w:t>
      </w:r>
      <w:r w:rsidRPr="003B1ECD">
        <w:rPr>
          <w:rFonts w:eastAsia="Times New Roman"/>
          <w:lang w:eastAsia="en-AU"/>
        </w:rPr>
        <w:t xml:space="preserve">Protection requirements may </w:t>
      </w:r>
      <w:r>
        <w:rPr>
          <w:rFonts w:eastAsia="Times New Roman"/>
          <w:lang w:eastAsia="en-AU"/>
        </w:rPr>
        <w:t xml:space="preserve">also </w:t>
      </w:r>
      <w:r w:rsidRPr="003B1ECD">
        <w:rPr>
          <w:rFonts w:eastAsia="Times New Roman"/>
          <w:lang w:eastAsia="en-AU"/>
        </w:rPr>
        <w:t>simply be articulated in terms of those entitled to initiate legal action or to seek remedies in line with the general standards set out in the international instrument.</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r>
      <w:r w:rsidRPr="003F5EEF">
        <w:rPr>
          <w:rFonts w:eastAsia="Times New Roman"/>
          <w:lang w:eastAsia="en-AU"/>
        </w:rPr>
        <w:t xml:space="preserve">While national discretion is an important aspect of the </w:t>
      </w:r>
      <w:r>
        <w:rPr>
          <w:rFonts w:eastAsia="Times New Roman"/>
          <w:lang w:eastAsia="en-AU"/>
        </w:rPr>
        <w:t>international IP</w:t>
      </w:r>
      <w:r w:rsidRPr="003F5EEF">
        <w:rPr>
          <w:rFonts w:eastAsia="Times New Roman"/>
          <w:lang w:eastAsia="en-AU"/>
        </w:rPr>
        <w:t xml:space="preserve"> system, it must be exercised in a manner that is consistent with international obligations and does not undermine the </w:t>
      </w:r>
      <w:r>
        <w:rPr>
          <w:rFonts w:eastAsia="Times New Roman"/>
          <w:lang w:eastAsia="en-AU"/>
        </w:rPr>
        <w:t>general standards set by the international instrument</w:t>
      </w:r>
      <w:r w:rsidRPr="003F5EEF">
        <w:rPr>
          <w:rFonts w:eastAsia="Times New Roman"/>
          <w:lang w:eastAsia="en-AU"/>
        </w:rPr>
        <w:t>.</w:t>
      </w:r>
      <w:r>
        <w:rPr>
          <w:rFonts w:eastAsia="Times New Roman"/>
          <w:lang w:eastAsia="en-AU"/>
        </w:rPr>
        <w:t xml:space="preserve"> </w:t>
      </w:r>
      <w:r w:rsidRPr="003F5EEF">
        <w:rPr>
          <w:rFonts w:eastAsia="Times New Roman"/>
          <w:lang w:eastAsia="en-AU"/>
        </w:rPr>
        <w:t xml:space="preserve"> The goal of national discretion is to ensure that each country can tailor its </w:t>
      </w:r>
      <w:r>
        <w:rPr>
          <w:rFonts w:eastAsia="Times New Roman"/>
          <w:lang w:eastAsia="en-AU"/>
        </w:rPr>
        <w:t>IP</w:t>
      </w:r>
      <w:r w:rsidRPr="003F5EEF">
        <w:rPr>
          <w:rFonts w:eastAsia="Times New Roman"/>
          <w:lang w:eastAsia="en-AU"/>
        </w:rPr>
        <w:t xml:space="preserve"> laws to its own needs, while also contributing to the overall stability and predictability of the international system.</w:t>
      </w:r>
    </w:p>
    <w:p w:rsidR="00EB400D" w:rsidRDefault="00EB400D" w:rsidP="00EB400D">
      <w:pPr>
        <w:rPr>
          <w:rFonts w:eastAsia="Times New Roman"/>
          <w:lang w:eastAsia="en-AU"/>
        </w:rPr>
      </w:pPr>
    </w:p>
    <w:p w:rsidR="00EB400D" w:rsidRDefault="00EB400D" w:rsidP="00EB400D">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For example, under the WTO Agreement on the Trade-Related Aspects of Intellectual Property Rights (TRIPS Agreement) (1994), members are free to determine the appropriate method of implementing the provisions of the Agreement within their own legal system and practice, and may implement more extensive protection than what is required, provided that such additional protection does not contravene other provisions of the Agreement (Article 1).  Under the </w:t>
      </w:r>
      <w:r w:rsidRPr="005721AF">
        <w:rPr>
          <w:rFonts w:eastAsia="Times New Roman"/>
          <w:lang w:eastAsia="en-AU"/>
        </w:rPr>
        <w:t>Convention for the Protection of Producers of Phonograms Against Unauthorized Duplication of Their Phonograms (1971)</w:t>
      </w:r>
      <w:r>
        <w:rPr>
          <w:rFonts w:eastAsia="Times New Roman"/>
          <w:lang w:eastAsia="en-AU"/>
        </w:rPr>
        <w:t xml:space="preserve">, the means of implementation of the Convention is a matter of domestic law.  Contracting parties can choose one or more methods of implementation, which include </w:t>
      </w:r>
      <w:r w:rsidRPr="005721AF">
        <w:rPr>
          <w:rFonts w:eastAsia="Times New Roman"/>
          <w:lang w:eastAsia="en-AU"/>
        </w:rPr>
        <w:t>protection by means of the grant of a co</w:t>
      </w:r>
      <w:r>
        <w:rPr>
          <w:rFonts w:eastAsia="Times New Roman"/>
          <w:lang w:eastAsia="en-AU"/>
        </w:rPr>
        <w:t>pyright or other specific right,</w:t>
      </w:r>
      <w:r w:rsidRPr="005721AF">
        <w:rPr>
          <w:rFonts w:eastAsia="Times New Roman"/>
          <w:lang w:eastAsia="en-AU"/>
        </w:rPr>
        <w:t xml:space="preserve"> protection by means of the law</w:t>
      </w:r>
      <w:r>
        <w:rPr>
          <w:rFonts w:eastAsia="Times New Roman"/>
          <w:lang w:eastAsia="en-AU"/>
        </w:rPr>
        <w:t xml:space="preserve"> relating to unfair competition, or</w:t>
      </w:r>
      <w:r w:rsidRPr="005721AF">
        <w:rPr>
          <w:rFonts w:eastAsia="Times New Roman"/>
          <w:lang w:eastAsia="en-AU"/>
        </w:rPr>
        <w:t xml:space="preserve"> protection by means of penal sanctions</w:t>
      </w:r>
      <w:r>
        <w:rPr>
          <w:rFonts w:eastAsia="Times New Roman"/>
          <w:lang w:eastAsia="en-AU"/>
        </w:rPr>
        <w:t xml:space="preserve"> (Article 3)</w:t>
      </w:r>
      <w:r w:rsidRPr="005721AF">
        <w:rPr>
          <w:rFonts w:eastAsia="Times New Roman"/>
          <w:lang w:eastAsia="en-AU"/>
        </w:rPr>
        <w:t>.</w:t>
      </w:r>
    </w:p>
    <w:p w:rsidR="00EB400D" w:rsidRDefault="00EB400D" w:rsidP="00EB400D">
      <w:pPr>
        <w:rPr>
          <w:rFonts w:eastAsia="Times New Roman"/>
          <w:lang w:eastAsia="en-AU"/>
        </w:rPr>
      </w:pPr>
    </w:p>
    <w:p w:rsidR="00EB400D" w:rsidRDefault="00EB400D" w:rsidP="00EB400D">
      <w:pPr>
        <w:ind w:left="4488"/>
        <w:rPr>
          <w:rFonts w:eastAsia="Times New Roman"/>
          <w:i/>
          <w:lang w:eastAsia="en-AU"/>
        </w:rPr>
      </w:pPr>
      <w:r w:rsidRPr="00617098">
        <w:rPr>
          <w:rFonts w:eastAsia="Times New Roman"/>
          <w:i/>
          <w:lang w:eastAsia="en-AU"/>
        </w:rPr>
        <w:fldChar w:fldCharType="begin"/>
      </w:r>
      <w:r w:rsidRPr="00617098">
        <w:rPr>
          <w:rFonts w:eastAsia="Times New Roman"/>
          <w:i/>
          <w:lang w:eastAsia="en-AU"/>
        </w:rPr>
        <w:instrText xml:space="preserve"> AUTONUM  </w:instrText>
      </w:r>
      <w:r w:rsidRPr="00617098">
        <w:rPr>
          <w:rFonts w:eastAsia="Times New Roman"/>
          <w:i/>
          <w:lang w:eastAsia="en-AU"/>
        </w:rPr>
        <w:fldChar w:fldCharType="end"/>
      </w:r>
      <w:r w:rsidRPr="00617098">
        <w:rPr>
          <w:rFonts w:eastAsia="Times New Roman"/>
          <w:i/>
          <w:lang w:eastAsia="en-AU"/>
        </w:rPr>
        <w:tab/>
        <w:t xml:space="preserve">The </w:t>
      </w:r>
      <w:r>
        <w:rPr>
          <w:rFonts w:eastAsia="Times New Roman"/>
          <w:i/>
          <w:lang w:eastAsia="en-AU"/>
        </w:rPr>
        <w:t>IGC</w:t>
      </w:r>
      <w:r w:rsidRPr="00617098">
        <w:rPr>
          <w:rFonts w:eastAsia="Times New Roman"/>
          <w:i/>
          <w:lang w:eastAsia="en-AU"/>
        </w:rPr>
        <w:t xml:space="preserve"> is invited to take note of this document</w:t>
      </w:r>
      <w:r>
        <w:rPr>
          <w:rFonts w:eastAsia="Times New Roman"/>
          <w:i/>
          <w:lang w:eastAsia="en-AU"/>
        </w:rPr>
        <w:t>, and provide comments, as it may wish, towards the Secretariat developing a revised version thereof</w:t>
      </w:r>
      <w:r w:rsidRPr="00617098">
        <w:rPr>
          <w:rFonts w:eastAsia="Times New Roman"/>
          <w:i/>
          <w:lang w:eastAsia="en-AU"/>
        </w:rPr>
        <w:t>.</w:t>
      </w:r>
    </w:p>
    <w:p w:rsidR="00EB400D" w:rsidRDefault="00EB400D" w:rsidP="00EB400D">
      <w:pPr>
        <w:ind w:left="4488"/>
        <w:rPr>
          <w:rFonts w:eastAsia="Times New Roman"/>
          <w:i/>
          <w:lang w:eastAsia="en-AU"/>
        </w:rPr>
      </w:pPr>
    </w:p>
    <w:p w:rsidR="00EB400D" w:rsidRDefault="00EB400D" w:rsidP="00EB400D">
      <w:pPr>
        <w:ind w:left="4488"/>
        <w:rPr>
          <w:rFonts w:eastAsia="Times New Roman"/>
          <w:i/>
          <w:lang w:eastAsia="en-AU"/>
        </w:rPr>
      </w:pPr>
    </w:p>
    <w:p w:rsidR="002928D3" w:rsidRDefault="00EB400D" w:rsidP="00C0398A">
      <w:pPr>
        <w:ind w:left="4488"/>
      </w:pPr>
      <w:r>
        <w:rPr>
          <w:rFonts w:eastAsia="Times New Roman"/>
          <w:lang w:eastAsia="en-AU"/>
        </w:rPr>
        <w:t>[End of document]</w:t>
      </w:r>
      <w:bookmarkStart w:id="5" w:name="_GoBack"/>
      <w:bookmarkEnd w:id="5"/>
    </w:p>
    <w:sectPr w:rsidR="002928D3" w:rsidSect="00EB400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8A" w:rsidRDefault="00C03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8A" w:rsidRDefault="00C0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sidR="00EB400D">
      <w:rPr>
        <w:noProof/>
      </w:rPr>
      <w:t>4</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B400D" w:rsidP="00477D6B">
    <w:pPr>
      <w:jc w:val="right"/>
    </w:pPr>
    <w:bookmarkStart w:id="6" w:name="Code2"/>
    <w:bookmarkEnd w:id="6"/>
    <w:r>
      <w:t>WIPO/GRTKF/IC/47/12</w:t>
    </w:r>
  </w:p>
  <w:p w:rsidR="00EC4E49" w:rsidRDefault="00EC4E49" w:rsidP="00477D6B">
    <w:pPr>
      <w:jc w:val="right"/>
    </w:pPr>
    <w:r>
      <w:t xml:space="preserve">page </w:t>
    </w:r>
    <w:r>
      <w:fldChar w:fldCharType="begin"/>
    </w:r>
    <w:r>
      <w:instrText xml:space="preserve"> PAGE  \* MERGEFORMAT </w:instrText>
    </w:r>
    <w:r>
      <w:fldChar w:fldCharType="separate"/>
    </w:r>
    <w:r w:rsidR="00C0398A">
      <w:rPr>
        <w:noProof/>
      </w:rPr>
      <w:t>3</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8A" w:rsidRDefault="00C03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415A48"/>
    <w:multiLevelType w:val="multilevel"/>
    <w:tmpl w:val="1856E66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647D5"/>
    <w:rsid w:val="001832A6"/>
    <w:rsid w:val="001F1ACB"/>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3FDB"/>
    <w:rsid w:val="00605827"/>
    <w:rsid w:val="00646050"/>
    <w:rsid w:val="006713CA"/>
    <w:rsid w:val="00676C5C"/>
    <w:rsid w:val="007D1613"/>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0398A"/>
    <w:rsid w:val="00C11BFE"/>
    <w:rsid w:val="00C5068F"/>
    <w:rsid w:val="00C86D74"/>
    <w:rsid w:val="00CD04F1"/>
    <w:rsid w:val="00CE356E"/>
    <w:rsid w:val="00D2341F"/>
    <w:rsid w:val="00D45252"/>
    <w:rsid w:val="00D62EAA"/>
    <w:rsid w:val="00D71B4D"/>
    <w:rsid w:val="00D93D55"/>
    <w:rsid w:val="00DD3F47"/>
    <w:rsid w:val="00E15015"/>
    <w:rsid w:val="00E335FE"/>
    <w:rsid w:val="00EA7D6E"/>
    <w:rsid w:val="00EB400D"/>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e0">
    <w:name w:val="onume"/>
    <w:basedOn w:val="Normal"/>
    <w:qFormat/>
    <w:rsid w:val="00EB400D"/>
    <w:rPr>
      <w:rFonts w:eastAsia="Times New Roman"/>
      <w:b/>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F1C8-3916-48AA-85CA-69E1630B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7</TotalTime>
  <Pages>5</Pages>
  <Words>2160</Words>
  <Characters>12192</Characters>
  <Application>Microsoft Office Word</Application>
  <DocSecurity>0</DocSecurity>
  <Lines>249</Lines>
  <Paragraphs>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6</cp:revision>
  <cp:lastPrinted>2011-02-15T11:56:00Z</cp:lastPrinted>
  <dcterms:created xsi:type="dcterms:W3CDTF">2023-04-28T14:15:00Z</dcterms:created>
  <dcterms:modified xsi:type="dcterms:W3CDTF">2023-04-28T15:39:00Z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