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063FCA">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063FCA">
              <w:rPr>
                <w:rFonts w:ascii="Arial Black" w:hAnsi="Arial Black"/>
                <w:caps/>
                <w:sz w:val="15"/>
              </w:rPr>
              <w:t xml:space="preserve"> March 21,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063FCA" w:rsidP="008B2CC1">
      <w:r>
        <w:t xml:space="preserve"> </w:t>
      </w: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063FCA" w:rsidRPr="004F28B8" w:rsidRDefault="00063FCA" w:rsidP="00063FCA">
      <w:pPr>
        <w:spacing w:after="720"/>
      </w:pPr>
      <w:bookmarkStart w:id="3" w:name="TitleOfDoc"/>
      <w:bookmarkEnd w:id="3"/>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rsidR="00063FCA" w:rsidRPr="008B2CC1" w:rsidRDefault="00063FCA" w:rsidP="00063FCA">
      <w:pPr>
        <w:spacing w:after="960"/>
        <w:rPr>
          <w:i/>
        </w:rPr>
      </w:pPr>
      <w:bookmarkStart w:id="4" w:name="Prepared"/>
      <w:bookmarkEnd w:id="4"/>
      <w:r>
        <w:rPr>
          <w:i/>
        </w:rPr>
        <w:t>Document prepared by the Secretariat</w:t>
      </w:r>
    </w:p>
    <w:p w:rsidR="00063FCA" w:rsidRDefault="00063FCA" w:rsidP="00063FCA">
      <w:pPr>
        <w:pStyle w:val="ONUME"/>
      </w:pPr>
      <w:proofErr w:type="gramStart"/>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roofErr w:type="gramEnd"/>
    </w:p>
    <w:p w:rsidR="00063FCA" w:rsidRDefault="00063FCA" w:rsidP="00063FCA">
      <w:pPr>
        <w:pStyle w:val="ONUME"/>
      </w:pPr>
      <w:r>
        <w:t xml:space="preserve">Pursuant to the decision above, </w:t>
      </w:r>
      <w:r w:rsidRPr="00124087">
        <w:t>Ms. Neva Collings</w:t>
      </w:r>
      <w:r>
        <w:t>, Board Director, NSW Aboriginal Housing Office, Department of Family and Community Services, Australia, and Mr. </w:t>
      </w:r>
      <w:proofErr w:type="spellStart"/>
      <w:r w:rsidRPr="00124087">
        <w:t>Elifuraha</w:t>
      </w:r>
      <w:proofErr w:type="spellEnd"/>
      <w:r>
        <w:t> </w:t>
      </w:r>
      <w:proofErr w:type="spellStart"/>
      <w:r w:rsidRPr="00124087">
        <w:t>Laltaika</w:t>
      </w:r>
      <w:proofErr w:type="spellEnd"/>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lastRenderedPageBreak/>
        <w:t>blind peer reviewed by two indigenous experts</w:t>
      </w:r>
      <w:r>
        <w:t>.  The Annex to this document contains the Updated Technical Review</w:t>
      </w:r>
      <w:r w:rsidRPr="004E599A">
        <w:t xml:space="preserve"> provided by the commissioned indigenous experts</w:t>
      </w:r>
      <w:r>
        <w:t xml:space="preserve">. </w:t>
      </w:r>
    </w:p>
    <w:p w:rsidR="00063FCA" w:rsidRPr="00975206" w:rsidRDefault="00063FCA" w:rsidP="00063FCA">
      <w:pPr>
        <w:pStyle w:val="ONUME"/>
        <w:ind w:left="5533"/>
        <w:rPr>
          <w:i/>
        </w:rPr>
      </w:pPr>
      <w:r w:rsidRPr="00975206">
        <w:rPr>
          <w:i/>
        </w:rPr>
        <w:t xml:space="preserve">The Committee </w:t>
      </w:r>
      <w:proofErr w:type="gramStart"/>
      <w:r w:rsidRPr="00975206">
        <w:rPr>
          <w:i/>
        </w:rPr>
        <w:t>is invited</w:t>
      </w:r>
      <w:proofErr w:type="gramEnd"/>
      <w:r w:rsidRPr="00975206">
        <w:rPr>
          <w:i/>
        </w:rPr>
        <w:t xml:space="preserve"> to take note of the Annex to this document.</w:t>
      </w:r>
    </w:p>
    <w:p w:rsidR="00063FCA" w:rsidRDefault="00063FCA" w:rsidP="00063FCA">
      <w:pPr>
        <w:spacing w:before="240"/>
        <w:ind w:left="5530"/>
      </w:pPr>
      <w:r>
        <w:t>[Annex follows]</w:t>
      </w:r>
    </w:p>
    <w:p w:rsidR="00063FCA" w:rsidRDefault="00063FCA" w:rsidP="00063FCA">
      <w:pPr>
        <w:ind w:left="5533"/>
        <w:sectPr w:rsidR="00063FCA"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063FCA" w:rsidRDefault="00063FCA" w:rsidP="00063FCA">
      <w:pPr>
        <w:spacing w:before="240"/>
        <w:jc w:val="center"/>
        <w:rPr>
          <w:b/>
          <w:lang w:val="en-GB"/>
        </w:rPr>
      </w:pPr>
      <w:r w:rsidRPr="008B5CD1">
        <w:rPr>
          <w:b/>
          <w:lang w:val="en-GB"/>
        </w:rPr>
        <w:lastRenderedPageBreak/>
        <w:t>Update of the Technical Review of Key Intellectual Property-Related Issues of the WIPO</w:t>
      </w:r>
      <w:r>
        <w:rPr>
          <w:b/>
          <w:lang w:val="en-GB"/>
        </w:rPr>
        <w:t> </w:t>
      </w:r>
      <w:r w:rsidRPr="008B5CD1">
        <w:rPr>
          <w:b/>
          <w:lang w:val="en-GB"/>
        </w:rPr>
        <w:t>Draft Instruments on Genetic Resources, Traditional Knowledge and Traditional</w:t>
      </w:r>
      <w:r>
        <w:rPr>
          <w:b/>
          <w:lang w:val="en-GB"/>
        </w:rPr>
        <w:t> </w:t>
      </w:r>
      <w:r w:rsidRPr="008B5CD1">
        <w:rPr>
          <w:b/>
          <w:lang w:val="en-GB"/>
        </w:rPr>
        <w:t>Cultural Expressions within the Framework of Indigenous Human Rights</w:t>
      </w:r>
    </w:p>
    <w:p w:rsidR="00063FCA" w:rsidRPr="008B5CD1" w:rsidRDefault="00063FCA" w:rsidP="00063FCA">
      <w:pPr>
        <w:spacing w:before="480"/>
        <w:jc w:val="center"/>
        <w:rPr>
          <w:lang w:val="en-GB"/>
        </w:rPr>
      </w:pPr>
      <w:r w:rsidRPr="008B5CD1">
        <w:rPr>
          <w:lang w:val="en-GB"/>
        </w:rPr>
        <w:t xml:space="preserve">By Mr. </w:t>
      </w:r>
      <w:proofErr w:type="spellStart"/>
      <w:r w:rsidRPr="008B5CD1">
        <w:rPr>
          <w:lang w:val="en-GB"/>
        </w:rPr>
        <w:t>Elifuraha</w:t>
      </w:r>
      <w:proofErr w:type="spellEnd"/>
      <w:r w:rsidRPr="008B5CD1">
        <w:rPr>
          <w:lang w:val="en-GB"/>
        </w:rPr>
        <w:t xml:space="preserve"> </w:t>
      </w:r>
      <w:proofErr w:type="spellStart"/>
      <w:r w:rsidRPr="008B5CD1">
        <w:rPr>
          <w:lang w:val="en-GB"/>
        </w:rPr>
        <w:t>Laltaika</w:t>
      </w:r>
      <w:proofErr w:type="spellEnd"/>
      <w:r w:rsidRPr="008B5CD1">
        <w:rPr>
          <w:lang w:val="en-GB"/>
        </w:rPr>
        <w:t xml:space="preserve"> and Ms. Neva Collings</w:t>
      </w:r>
    </w:p>
    <w:p w:rsidR="00063FCA" w:rsidRDefault="00063FCA" w:rsidP="00063FCA">
      <w:pPr>
        <w:keepNext/>
        <w:spacing w:before="480" w:after="180"/>
        <w:rPr>
          <w:b/>
          <w:lang w:val="en-GB"/>
        </w:rPr>
      </w:pPr>
      <w:r w:rsidRPr="008B5CD1">
        <w:rPr>
          <w:b/>
          <w:lang w:val="en-GB"/>
        </w:rPr>
        <w:t>B</w:t>
      </w:r>
      <w:r>
        <w:rPr>
          <w:b/>
          <w:lang w:val="en-GB"/>
        </w:rPr>
        <w:t>ACKGROUND AND INTRODUCTION</w:t>
      </w:r>
    </w:p>
    <w:p w:rsidR="00063FCA" w:rsidRPr="00A876D6" w:rsidRDefault="00063FCA" w:rsidP="00063FCA">
      <w:pPr>
        <w:pStyle w:val="ONUME"/>
        <w:numPr>
          <w:ilvl w:val="0"/>
          <w:numId w:val="7"/>
        </w:numPr>
        <w:rPr>
          <w:lang w:val="en-GB"/>
        </w:rPr>
      </w:pPr>
      <w:proofErr w:type="gramStart"/>
      <w:r w:rsidRPr="00A876D6">
        <w:rPr>
          <w:lang w:val="en-GB"/>
        </w:rPr>
        <w:t>During the 18</w:t>
      </w:r>
      <w:r w:rsidRPr="00A876D6">
        <w:rPr>
          <w:vertAlign w:val="superscript"/>
          <w:lang w:val="en-GB"/>
        </w:rPr>
        <w:t>th</w:t>
      </w:r>
      <w:r w:rsidRPr="00A876D6">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A876D6">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roofErr w:type="gramEnd"/>
    </w:p>
    <w:p w:rsidR="00063FCA" w:rsidRDefault="00063FCA" w:rsidP="00063FCA">
      <w:pPr>
        <w:pStyle w:val="ONUME"/>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063FCA" w:rsidRDefault="00063FCA" w:rsidP="00063FCA">
      <w:pPr>
        <w:pStyle w:val="ONUME"/>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063FCA" w:rsidRDefault="00063FCA" w:rsidP="00063FCA">
      <w:pPr>
        <w:pStyle w:val="ONUME"/>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063FCA" w:rsidRDefault="00063FCA" w:rsidP="00063FCA">
      <w:pPr>
        <w:pStyle w:val="ONUME"/>
        <w:rPr>
          <w:lang w:val="en-GB"/>
        </w:rPr>
      </w:pPr>
      <w:r w:rsidRPr="00F63EBF">
        <w:rPr>
          <w:lang w:val="en-GB"/>
        </w:rPr>
        <w:t xml:space="preserve">In terms of organization, this Update </w:t>
      </w:r>
      <w:proofErr w:type="gramStart"/>
      <w:r w:rsidRPr="00F63EBF">
        <w:rPr>
          <w:lang w:val="en-GB"/>
        </w:rPr>
        <w:t>is divided</w:t>
      </w:r>
      <w:proofErr w:type="gramEnd"/>
      <w:r w:rsidRPr="00F63EBF">
        <w:rPr>
          <w:lang w:val="en-GB"/>
        </w:rPr>
        <w:t xml:space="preserve">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review of the Consolidated Document Relating to Intellectual Property and GRs (hereinafter the </w:t>
      </w:r>
      <w:r w:rsidRPr="00F63EBF">
        <w:rPr>
          <w:lang w:val="en-GB"/>
        </w:rPr>
        <w:lastRenderedPageBreak/>
        <w:t>“Consolidated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w:t>
      </w:r>
      <w:proofErr w:type="gramStart"/>
      <w:r w:rsidRPr="00F63EBF">
        <w:rPr>
          <w:lang w:val="en-GB"/>
        </w:rPr>
        <w:t>three</w:t>
      </w:r>
      <w:proofErr w:type="gramEnd"/>
      <w:r w:rsidRPr="00F63EBF">
        <w:rPr>
          <w:lang w:val="en-GB"/>
        </w:rPr>
        <w:t xml:space="preserve"> covers final considerations. </w:t>
      </w:r>
    </w:p>
    <w:p w:rsidR="00063FCA" w:rsidRDefault="00063FCA" w:rsidP="00063FCA">
      <w:pPr>
        <w:pStyle w:val="ONUME"/>
        <w:rPr>
          <w:lang w:val="en-GB"/>
        </w:rPr>
      </w:pPr>
      <w:r w:rsidRPr="00DE4616">
        <w:rPr>
          <w:lang w:val="en-GB"/>
        </w:rPr>
        <w:t>The authors are solely responsible for the preparation of this Update.</w:t>
      </w:r>
      <w:r>
        <w:rPr>
          <w:lang w:val="en-GB"/>
        </w:rPr>
        <w:t xml:space="preserve"> </w:t>
      </w:r>
      <w:r w:rsidRPr="00DE4616">
        <w:rPr>
          <w:lang w:val="en-GB"/>
        </w:rPr>
        <w:t xml:space="preserve"> It </w:t>
      </w:r>
      <w:proofErr w:type="gramStart"/>
      <w:r w:rsidRPr="00DE4616">
        <w:rPr>
          <w:lang w:val="en-GB"/>
        </w:rPr>
        <w:t>does not in any way reflect</w:t>
      </w:r>
      <w:proofErr w:type="gramEnd"/>
      <w:r w:rsidRPr="00DE4616">
        <w:rPr>
          <w:lang w:val="en-GB"/>
        </w:rPr>
        <w:t xml:space="preserve"> the views of the WIPO Secretariat, WIPO’s Member States or Observers. </w:t>
      </w:r>
    </w:p>
    <w:p w:rsidR="00063FCA" w:rsidRDefault="00063FCA" w:rsidP="00063FCA">
      <w:pPr>
        <w:keepNext/>
        <w:spacing w:before="240" w:after="220"/>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063FCA" w:rsidRPr="00A876D6" w:rsidRDefault="00063FCA" w:rsidP="00063FCA">
      <w:pPr>
        <w:keepNext/>
        <w:spacing w:after="180"/>
        <w:rPr>
          <w:b/>
          <w:bCs/>
          <w:iCs/>
          <w:lang w:val="en-GB"/>
        </w:rPr>
      </w:pPr>
      <w:r w:rsidRPr="00A876D6">
        <w:rPr>
          <w:b/>
          <w:bCs/>
          <w:iCs/>
          <w:lang w:val="en-GB"/>
        </w:rPr>
        <w:t xml:space="preserve">Balancing </w:t>
      </w:r>
    </w:p>
    <w:p w:rsidR="00063FCA" w:rsidRDefault="00063FCA" w:rsidP="00063FCA">
      <w:pPr>
        <w:pStyle w:val="ONUME"/>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 xml:space="preserve">It </w:t>
      </w:r>
      <w:proofErr w:type="gramStart"/>
      <w:r w:rsidRPr="00DE4616">
        <w:rPr>
          <w:lang w:val="en-GB"/>
        </w:rPr>
        <w:t>provides:</w:t>
      </w:r>
      <w:proofErr w:type="gramEnd"/>
      <w:r w:rsidRPr="00DE4616">
        <w:rPr>
          <w:lang w:val="en-GB"/>
        </w:rPr>
        <w:t xml:space="preserve">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063FCA" w:rsidRDefault="00063FCA" w:rsidP="00063FCA">
      <w:pPr>
        <w:pStyle w:val="ONUME"/>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w:t>
      </w:r>
      <w:proofErr w:type="gramStart"/>
      <w:r w:rsidRPr="00DE4616">
        <w:rPr>
          <w:lang w:val="en-GB"/>
        </w:rPr>
        <w:t>are not meant to be commoditised</w:t>
      </w:r>
      <w:proofErr w:type="gramEnd"/>
      <w:r w:rsidRPr="00DE4616">
        <w:rPr>
          <w:lang w:val="en-GB"/>
        </w:rPr>
        <w:t xml:space="preserve">. </w:t>
      </w:r>
    </w:p>
    <w:p w:rsidR="00063FCA" w:rsidRDefault="00063FCA" w:rsidP="00063FCA">
      <w:pPr>
        <w:pStyle w:val="ONUME"/>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063FCA" w:rsidRDefault="00063FCA" w:rsidP="00063FCA">
      <w:pPr>
        <w:pStyle w:val="ONUME"/>
        <w:rPr>
          <w:lang w:val="en-GB"/>
        </w:rPr>
      </w:pPr>
      <w:r w:rsidRPr="00DE4616">
        <w:rPr>
          <w:lang w:val="en-GB"/>
        </w:rPr>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Accordingly, since human rights are 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063FCA" w:rsidRDefault="00063FCA" w:rsidP="00063FCA">
      <w:pPr>
        <w:pStyle w:val="ONUME"/>
        <w:rPr>
          <w:lang w:val="en-GB"/>
        </w:rPr>
      </w:pPr>
      <w:r w:rsidRPr="00DE4616">
        <w:rPr>
          <w:lang w:val="en-GB"/>
        </w:rPr>
        <w:lastRenderedPageBreak/>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rsidR="00063FCA" w:rsidRDefault="00063FCA" w:rsidP="00063FCA">
      <w:pPr>
        <w:pStyle w:val="ONUME"/>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063FCA" w:rsidRDefault="00063FCA" w:rsidP="00063FCA">
      <w:pPr>
        <w:pStyle w:val="ONUME"/>
        <w:rPr>
          <w:lang w:val="en-GB"/>
        </w:rPr>
      </w:pPr>
      <w:proofErr w:type="gramStart"/>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proofErr w:type="gramEnd"/>
      <w:r w:rsidRPr="00DE4616">
        <w:rPr>
          <w:lang w:val="en-GB"/>
        </w:rPr>
        <w:t xml:space="preserve"> </w:t>
      </w:r>
    </w:p>
    <w:p w:rsidR="00063FCA" w:rsidRPr="00A876D6" w:rsidRDefault="00063FCA" w:rsidP="00063FCA">
      <w:pPr>
        <w:keepNext/>
        <w:spacing w:after="220"/>
        <w:rPr>
          <w:b/>
          <w:bCs/>
          <w:iCs/>
          <w:lang w:val="en-GB"/>
        </w:rPr>
      </w:pPr>
      <w:r w:rsidRPr="00A876D6">
        <w:rPr>
          <w:b/>
          <w:bCs/>
          <w:iCs/>
          <w:lang w:val="en-GB"/>
        </w:rPr>
        <w:t>Redress</w:t>
      </w:r>
    </w:p>
    <w:p w:rsidR="00063FCA" w:rsidRDefault="00063FCA" w:rsidP="00063FCA">
      <w:pPr>
        <w:pStyle w:val="ONUME"/>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063FCA" w:rsidRDefault="00063FCA" w:rsidP="00063FCA">
      <w:pPr>
        <w:pStyle w:val="ONUME"/>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t xml:space="preserve">Another element of redress is repatriation. </w:t>
      </w:r>
      <w:r>
        <w:rPr>
          <w:lang w:val="en-GB"/>
        </w:rPr>
        <w:t xml:space="preserve"> </w:t>
      </w:r>
      <w:r w:rsidRPr="00DE4616">
        <w:rPr>
          <w:lang w:val="en-GB"/>
        </w:rPr>
        <w:t>As the indigenous caucus has stated before, the legal instrument should include repatriation on the basis that ‘negotiations could not just address future practices related to patent issues’ but should also address ‘historical misappropriations and wrongdoings’.</w:t>
      </w:r>
      <w:r w:rsidRPr="008B5CD1">
        <w:rPr>
          <w:vertAlign w:val="superscript"/>
          <w:lang w:val="en-GB"/>
        </w:rPr>
        <w:footnoteReference w:id="20"/>
      </w:r>
    </w:p>
    <w:p w:rsidR="00063FCA" w:rsidRDefault="00063FCA" w:rsidP="00063FCA">
      <w:pPr>
        <w:pStyle w:val="ONUME"/>
        <w:rPr>
          <w:lang w:val="en-GB"/>
        </w:rPr>
      </w:pPr>
      <w:r w:rsidRPr="00D63A1C">
        <w:rPr>
          <w:lang w:val="en-GB"/>
        </w:rPr>
        <w:lastRenderedPageBreak/>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 xml:space="preserve">which provide guidance on repatriation efforts including on </w:t>
      </w:r>
      <w:proofErr w:type="gramStart"/>
      <w:r w:rsidRPr="00D63A1C">
        <w:rPr>
          <w:lang w:val="en-GB"/>
        </w:rPr>
        <w:t>benefit-sharing</w:t>
      </w:r>
      <w:proofErr w:type="gramEnd"/>
      <w:r w:rsidRPr="00D63A1C">
        <w:rPr>
          <w:lang w:val="en-GB"/>
        </w:rPr>
        <w:t>.</w:t>
      </w:r>
      <w:r w:rsidRPr="008B5CD1">
        <w:rPr>
          <w:vertAlign w:val="superscript"/>
          <w:lang w:val="en-GB"/>
        </w:rPr>
        <w:footnoteReference w:id="21"/>
      </w:r>
      <w:r w:rsidRPr="00D63A1C">
        <w:rPr>
          <w:lang w:val="en-GB"/>
        </w:rPr>
        <w:t xml:space="preserve"> </w:t>
      </w:r>
    </w:p>
    <w:p w:rsidR="00063FCA" w:rsidRDefault="00063FCA" w:rsidP="00063FCA">
      <w:pPr>
        <w:pStyle w:val="ONUME"/>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063FCA" w:rsidRPr="00A876D6" w:rsidRDefault="00063FCA" w:rsidP="00063FCA">
      <w:pPr>
        <w:keepNext/>
        <w:spacing w:after="220"/>
        <w:rPr>
          <w:b/>
          <w:bCs/>
          <w:iCs/>
          <w:lang w:val="en-GB"/>
        </w:rPr>
      </w:pPr>
      <w:r w:rsidRPr="00A876D6">
        <w:rPr>
          <w:b/>
          <w:bCs/>
          <w:iCs/>
          <w:lang w:val="en-GB"/>
        </w:rPr>
        <w:t xml:space="preserve">Public Domain </w:t>
      </w:r>
    </w:p>
    <w:p w:rsidR="00063FCA" w:rsidRDefault="00063FCA" w:rsidP="00063FCA">
      <w:pPr>
        <w:pStyle w:val="ONUME"/>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w:t>
      </w:r>
      <w:r>
        <w:rPr>
          <w:lang w:val="en-GB"/>
        </w:rPr>
        <w:t xml:space="preserve"> </w:t>
      </w:r>
      <w:r w:rsidRPr="00D63A1C">
        <w:rPr>
          <w:lang w:val="en-GB"/>
        </w:rPr>
        <w:t xml:space="preserve"> The intention is to foster access to information and materials needed for future creative works.</w:t>
      </w:r>
      <w:r w:rsidRPr="008B5CD1">
        <w:rPr>
          <w:vertAlign w:val="superscript"/>
          <w:lang w:val="en-GB"/>
        </w:rPr>
        <w:footnoteReference w:id="24"/>
      </w:r>
    </w:p>
    <w:p w:rsidR="00063FCA" w:rsidRDefault="00063FCA" w:rsidP="00063FCA">
      <w:pPr>
        <w:pStyle w:val="ONUME"/>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063FCA" w:rsidRDefault="00063FCA" w:rsidP="00063FCA">
      <w:pPr>
        <w:pStyle w:val="ONUME"/>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 xml:space="preserve">It is difficult for this kind of innovations to enter the public domain when TK and TCEs </w:t>
      </w:r>
      <w:proofErr w:type="gramStart"/>
      <w:r w:rsidRPr="00D63A1C">
        <w:rPr>
          <w:lang w:val="en-GB"/>
        </w:rPr>
        <w:t>are so closely tied</w:t>
      </w:r>
      <w:proofErr w:type="gramEnd"/>
      <w:r w:rsidRPr="00D63A1C">
        <w:rPr>
          <w:lang w:val="en-GB"/>
        </w:rPr>
        <w:t xml:space="preserve"> to a nation, group or community identity.</w:t>
      </w:r>
    </w:p>
    <w:p w:rsidR="00063FCA" w:rsidRDefault="00063FCA" w:rsidP="00063FCA">
      <w:pPr>
        <w:pStyle w:val="ONUME"/>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063FCA" w:rsidRDefault="00063FCA" w:rsidP="00063FCA">
      <w:pPr>
        <w:pStyle w:val="ONUME"/>
        <w:rPr>
          <w:lang w:val="en-GB"/>
        </w:rPr>
      </w:pPr>
      <w:r w:rsidRPr="00D63A1C">
        <w:rPr>
          <w:lang w:val="en-GB"/>
        </w:rPr>
        <w:t xml:space="preserve">Examined from the indigenous peoples’ perspectives, public domain is at odds with indigenous peoples’ human rights enshrined in authoritative international instruments such as 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 xml:space="preserve">While the concept is premised on time-limited rights, indigenous peoples regard </w:t>
      </w:r>
      <w:proofErr w:type="gramStart"/>
      <w:r w:rsidRPr="00D63A1C">
        <w:rPr>
          <w:lang w:val="en-GB"/>
        </w:rPr>
        <w:t>TK and TCEs and human rights associated to them, such as the right to self-determination, the principle of FPIC</w:t>
      </w:r>
      <w:r w:rsidRPr="008B5CD1">
        <w:rPr>
          <w:vertAlign w:val="superscript"/>
          <w:lang w:val="en-GB"/>
        </w:rPr>
        <w:footnoteReference w:id="27"/>
      </w:r>
      <w:proofErr w:type="gramEnd"/>
      <w:r w:rsidRPr="00D63A1C">
        <w:rPr>
          <w:lang w:val="en-GB"/>
        </w:rPr>
        <w:t xml:space="preserve">, and associated rights to lands, territories and resources, to be timeless. </w:t>
      </w:r>
      <w:r>
        <w:rPr>
          <w:lang w:val="en-GB"/>
        </w:rPr>
        <w:t xml:space="preserve"> </w:t>
      </w:r>
      <w:r w:rsidRPr="00D63A1C">
        <w:rPr>
          <w:lang w:val="en-GB"/>
        </w:rPr>
        <w:t>Correspondingly, subjecting indigenous peoples’ TK and TCEs to time limitation negates the limitless and trans-generational nature of rights associated with TK and T</w:t>
      </w:r>
      <w:r>
        <w:rPr>
          <w:lang w:val="en-GB"/>
        </w:rPr>
        <w:t xml:space="preserve">CEs among indigenous peoples.  </w:t>
      </w:r>
    </w:p>
    <w:p w:rsidR="00063FCA" w:rsidRDefault="00063FCA" w:rsidP="00063FCA">
      <w:pPr>
        <w:pStyle w:val="ONUME"/>
        <w:keepLines/>
        <w:rPr>
          <w:lang w:val="en-GB"/>
        </w:rPr>
      </w:pPr>
      <w:r w:rsidRPr="00D63A1C">
        <w:rPr>
          <w:lang w:val="en-GB"/>
        </w:rPr>
        <w:lastRenderedPageBreak/>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063FCA" w:rsidRDefault="00063FCA" w:rsidP="00063FCA">
      <w:pPr>
        <w:pStyle w:val="ONUME"/>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 xml:space="preserve">As a response, some indigenous representatives in the IGC have argued that some knowledge </w:t>
      </w:r>
      <w:proofErr w:type="gramStart"/>
      <w:r w:rsidRPr="00D63A1C">
        <w:rPr>
          <w:lang w:val="en-GB"/>
        </w:rPr>
        <w:t>should be withdrawn from circulation and repatriated to the indigenous groups who created the TK or TCEs</w:t>
      </w:r>
      <w:proofErr w:type="gramEnd"/>
      <w:r w:rsidRPr="00D63A1C">
        <w:rPr>
          <w:lang w:val="en-GB"/>
        </w:rPr>
        <w:t>.</w:t>
      </w:r>
    </w:p>
    <w:p w:rsidR="00063FCA" w:rsidRPr="00A876D6" w:rsidRDefault="00063FCA" w:rsidP="00063FCA">
      <w:pPr>
        <w:keepNext/>
        <w:spacing w:after="220"/>
        <w:rPr>
          <w:b/>
          <w:bCs/>
          <w:iCs/>
          <w:lang w:val="en-GB"/>
        </w:rPr>
      </w:pPr>
      <w:r w:rsidRPr="00A876D6">
        <w:rPr>
          <w:b/>
          <w:bCs/>
          <w:iCs/>
          <w:lang w:val="en-GB"/>
        </w:rPr>
        <w:t xml:space="preserve">Exceptions and Limitations </w:t>
      </w:r>
    </w:p>
    <w:p w:rsidR="00063FCA" w:rsidRDefault="00063FCA" w:rsidP="00063FCA">
      <w:pPr>
        <w:pStyle w:val="ONUME"/>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 xml:space="preserve">The practice </w:t>
      </w:r>
      <w:proofErr w:type="gramStart"/>
      <w:r w:rsidRPr="00D63A1C">
        <w:rPr>
          <w:lang w:val="en-GB"/>
        </w:rPr>
        <w:t>is referred</w:t>
      </w:r>
      <w:proofErr w:type="gramEnd"/>
      <w:r w:rsidRPr="00D63A1C">
        <w:rPr>
          <w:lang w:val="en-GB"/>
        </w:rPr>
        <w:t xml:space="preserve">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063FCA" w:rsidRDefault="00063FCA" w:rsidP="00063FCA">
      <w:pPr>
        <w:pStyle w:val="ONUME"/>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w:t>
      </w:r>
      <w:proofErr w:type="gramStart"/>
      <w:r w:rsidRPr="00D63A1C">
        <w:rPr>
          <w:lang w:val="en-GB"/>
        </w:rPr>
        <w:t>are excluded</w:t>
      </w:r>
      <w:proofErr w:type="gramEnd"/>
      <w:r w:rsidRPr="00D63A1C">
        <w:rPr>
          <w:lang w:val="en-GB"/>
        </w:rPr>
        <w:t xml:space="preserve">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063FCA" w:rsidRDefault="00063FCA" w:rsidP="00063FCA">
      <w:pPr>
        <w:pStyle w:val="ONUME"/>
        <w:rPr>
          <w:lang w:val="en-GB"/>
        </w:rPr>
      </w:pPr>
      <w:proofErr w:type="gramStart"/>
      <w:r w:rsidRPr="00D63A1C">
        <w:rPr>
          <w:lang w:val="en-GB"/>
        </w:rPr>
        <w:t>With regards to</w:t>
      </w:r>
      <w:proofErr w:type="gramEnd"/>
      <w:r w:rsidRPr="00D63A1C">
        <w:rPr>
          <w:lang w:val="en-GB"/>
        </w:rPr>
        <w:t xml:space="preserve">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063FCA" w:rsidRDefault="00063FCA" w:rsidP="00063FCA">
      <w:pPr>
        <w:pStyle w:val="ONUME"/>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 xml:space="preserve">Accordingly, FPIC </w:t>
      </w:r>
      <w:proofErr w:type="gramStart"/>
      <w:r w:rsidRPr="00D63A1C">
        <w:rPr>
          <w:lang w:val="en-GB"/>
        </w:rPr>
        <w:t>must be obtained</w:t>
      </w:r>
      <w:proofErr w:type="gramEnd"/>
      <w:r w:rsidRPr="00D63A1C">
        <w:rPr>
          <w:lang w:val="en-GB"/>
        </w:rPr>
        <w:t xml:space="preserve"> prior to drafting exceptions and limitations touching on indigenous peoples’ TK and TCEs.</w:t>
      </w:r>
    </w:p>
    <w:p w:rsidR="00063FCA" w:rsidRDefault="00063FCA" w:rsidP="00063FCA">
      <w:pPr>
        <w:pStyle w:val="ONUME"/>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peoples to protect their culture through TK and TCEs and demonstrate that reforms to the intellectual property regime </w:t>
      </w:r>
      <w:proofErr w:type="gramStart"/>
      <w:r w:rsidRPr="00D63A1C">
        <w:rPr>
          <w:lang w:val="en-GB"/>
        </w:rPr>
        <w:t>can be achieved</w:t>
      </w:r>
      <w:proofErr w:type="gramEnd"/>
      <w:r w:rsidRPr="00D63A1C">
        <w:rPr>
          <w:lang w:val="en-GB"/>
        </w:rPr>
        <w:t xml:space="preserve"> while enabling indigenous peoples to maintain their identity and cultural sovereignty. </w:t>
      </w:r>
      <w:r>
        <w:rPr>
          <w:lang w:val="en-GB"/>
        </w:rPr>
        <w:t xml:space="preserve"> </w:t>
      </w:r>
      <w:r w:rsidRPr="00D63A1C">
        <w:rPr>
          <w:lang w:val="en-GB"/>
        </w:rPr>
        <w:t xml:space="preserve">This type of exception </w:t>
      </w:r>
      <w:proofErr w:type="gramStart"/>
      <w:r w:rsidRPr="00D63A1C">
        <w:rPr>
          <w:lang w:val="en-GB"/>
        </w:rPr>
        <w:t>is found</w:t>
      </w:r>
      <w:proofErr w:type="gramEnd"/>
      <w:r w:rsidRPr="00D63A1C">
        <w:rPr>
          <w:lang w:val="en-GB"/>
        </w:rPr>
        <w:t xml:space="preserve">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063FCA" w:rsidRPr="00A876D6" w:rsidRDefault="00063FCA" w:rsidP="00063FCA">
      <w:pPr>
        <w:keepNext/>
        <w:spacing w:after="220"/>
        <w:rPr>
          <w:b/>
          <w:bCs/>
          <w:iCs/>
          <w:lang w:val="en-GB"/>
        </w:rPr>
      </w:pPr>
      <w:r w:rsidRPr="00A876D6">
        <w:rPr>
          <w:b/>
          <w:bCs/>
          <w:iCs/>
          <w:lang w:val="en-GB"/>
        </w:rPr>
        <w:lastRenderedPageBreak/>
        <w:t xml:space="preserve">Scope of protection: The Tiered Approach </w:t>
      </w:r>
    </w:p>
    <w:p w:rsidR="00063FCA" w:rsidRDefault="00063FCA" w:rsidP="00063FCA">
      <w:pPr>
        <w:pStyle w:val="ONUME"/>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063FCA" w:rsidRDefault="00063FCA" w:rsidP="00063FCA">
      <w:pPr>
        <w:pStyle w:val="ONUME"/>
        <w:rPr>
          <w:lang w:val="en-GB"/>
        </w:rPr>
      </w:pPr>
      <w:r w:rsidRPr="00D63A1C">
        <w:rPr>
          <w:lang w:val="en-GB"/>
        </w:rPr>
        <w:t xml:space="preserve">Conceptually, the tiered approach </w:t>
      </w:r>
      <w:proofErr w:type="gramStart"/>
      <w:r w:rsidRPr="00D63A1C">
        <w:rPr>
          <w:lang w:val="en-GB"/>
        </w:rPr>
        <w:t>is more aligned</w:t>
      </w:r>
      <w:proofErr w:type="gramEnd"/>
      <w:r w:rsidRPr="00D63A1C">
        <w:rPr>
          <w:lang w:val="en-GB"/>
        </w:rPr>
        <w:t xml:space="preserve">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 xml:space="preserve">Additionally, the approach </w:t>
      </w:r>
      <w:proofErr w:type="gramStart"/>
      <w:r w:rsidRPr="00D63A1C">
        <w:rPr>
          <w:lang w:val="en-GB"/>
        </w:rPr>
        <w:t>is premised</w:t>
      </w:r>
      <w:proofErr w:type="gramEnd"/>
      <w:r w:rsidRPr="00D63A1C">
        <w:rPr>
          <w:lang w:val="en-GB"/>
        </w:rPr>
        <w:t xml:space="preserve"> on the recognition that indigenous peoples do not consider all TK and TCEs types to be of the same value or requiring the same level of treatment.</w:t>
      </w:r>
    </w:p>
    <w:p w:rsidR="00063FCA" w:rsidRDefault="00063FCA" w:rsidP="00063FCA">
      <w:pPr>
        <w:pStyle w:val="ONUME"/>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063FCA" w:rsidRDefault="00063FCA" w:rsidP="00063FCA">
      <w:pPr>
        <w:pStyle w:val="ONUME"/>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t>
      </w:r>
      <w:proofErr w:type="gramStart"/>
      <w:r w:rsidRPr="00D63A1C">
        <w:rPr>
          <w:lang w:val="en-GB"/>
        </w:rPr>
        <w:t>were diffused</w:t>
      </w:r>
      <w:proofErr w:type="gramEnd"/>
      <w:r w:rsidRPr="00D63A1C">
        <w:rPr>
          <w:lang w:val="en-GB"/>
        </w:rPr>
        <w:t xml:space="preserve"> should not be determinative. </w:t>
      </w:r>
      <w:r>
        <w:rPr>
          <w:lang w:val="en-GB"/>
        </w:rPr>
        <w:t xml:space="preserve"> </w:t>
      </w:r>
      <w:r w:rsidRPr="00D63A1C">
        <w:rPr>
          <w:lang w:val="en-GB"/>
        </w:rPr>
        <w:t xml:space="preserve">Where such TK and TCEs </w:t>
      </w:r>
      <w:proofErr w:type="gramStart"/>
      <w:r w:rsidRPr="00D63A1C">
        <w:rPr>
          <w:lang w:val="en-GB"/>
        </w:rPr>
        <w:t>have been illegally taken</w:t>
      </w:r>
      <w:proofErr w:type="gramEnd"/>
      <w:r w:rsidRPr="00D63A1C">
        <w:rPr>
          <w:lang w:val="en-GB"/>
        </w:rPr>
        <w:t xml:space="preserve">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063FCA" w:rsidRPr="00A876D6" w:rsidRDefault="00063FCA" w:rsidP="00063FCA">
      <w:pPr>
        <w:keepNext/>
        <w:spacing w:after="220"/>
        <w:rPr>
          <w:b/>
          <w:bCs/>
          <w:iCs/>
          <w:lang w:val="en-GB"/>
        </w:rPr>
      </w:pPr>
      <w:r w:rsidRPr="00A876D6">
        <w:rPr>
          <w:b/>
          <w:bCs/>
          <w:iCs/>
          <w:lang w:val="en-GB"/>
        </w:rPr>
        <w:t xml:space="preserve">Databases and Knowledge Registers </w:t>
      </w:r>
    </w:p>
    <w:p w:rsidR="00063FCA" w:rsidRDefault="00063FCA" w:rsidP="00063FCA">
      <w:pPr>
        <w:pStyle w:val="ONUME"/>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063FCA" w:rsidRDefault="00063FCA" w:rsidP="00063FCA">
      <w:pPr>
        <w:pStyle w:val="ONUME"/>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063FCA" w:rsidRDefault="00063FCA" w:rsidP="00063FCA">
      <w:pPr>
        <w:pStyle w:val="ONUME"/>
        <w:rPr>
          <w:lang w:val="en-GB"/>
        </w:rPr>
      </w:pPr>
      <w:r w:rsidRPr="004D65FB">
        <w:rPr>
          <w:lang w:val="en-GB"/>
        </w:rPr>
        <w:t xml:space="preserve">While registers and databases play the above crucial role, </w:t>
      </w:r>
      <w:proofErr w:type="gramStart"/>
      <w:r w:rsidRPr="004D65FB">
        <w:rPr>
          <w:lang w:val="en-GB"/>
        </w:rPr>
        <w:t>they cannot be solely controlled by national governments</w:t>
      </w:r>
      <w:proofErr w:type="gramEnd"/>
      <w:r w:rsidRPr="004D65FB">
        <w:rPr>
          <w:lang w:val="en-GB"/>
        </w:rPr>
        <w:t xml:space="preserve">.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Indigenous peoples are hence emphatic that any documentation and recording of TK 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063FCA" w:rsidRDefault="00063FCA" w:rsidP="00063FCA">
      <w:pPr>
        <w:pStyle w:val="ONUME"/>
        <w:rPr>
          <w:lang w:val="en-GB"/>
        </w:rPr>
      </w:pPr>
      <w:r w:rsidRPr="004D65FB">
        <w:rPr>
          <w:lang w:val="en-GB"/>
        </w:rPr>
        <w:lastRenderedPageBreak/>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w:t>
      </w:r>
      <w:proofErr w:type="gramStart"/>
      <w:r w:rsidRPr="004D65FB">
        <w:rPr>
          <w:lang w:val="en-GB"/>
        </w:rPr>
        <w:t>being used</w:t>
      </w:r>
      <w:proofErr w:type="gramEnd"/>
      <w:r w:rsidRPr="004D65FB">
        <w:rPr>
          <w:lang w:val="en-GB"/>
        </w:rPr>
        <w:t xml:space="preserve">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063FCA" w:rsidRDefault="00063FCA" w:rsidP="00063FCA">
      <w:pPr>
        <w:pStyle w:val="ONUME"/>
        <w:rPr>
          <w:lang w:val="en-GB"/>
        </w:rPr>
      </w:pPr>
      <w:r w:rsidRPr="004D65FB">
        <w:rPr>
          <w:lang w:val="en-GB"/>
        </w:rPr>
        <w:t xml:space="preserve">Significantly, for instance, where a patent application </w:t>
      </w:r>
      <w:proofErr w:type="gramStart"/>
      <w:r w:rsidRPr="004D65FB">
        <w:rPr>
          <w:lang w:val="en-GB"/>
        </w:rPr>
        <w:t>is rejected</w:t>
      </w:r>
      <w:proofErr w:type="gramEnd"/>
      <w:r w:rsidRPr="004D65FB">
        <w:rPr>
          <w:lang w:val="en-GB"/>
        </w:rPr>
        <w:t xml:space="preserve">,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063FCA" w:rsidRDefault="00063FCA" w:rsidP="00063FCA">
      <w:pPr>
        <w:keepNext/>
        <w:spacing w:before="240" w:after="220"/>
        <w:rPr>
          <w:b/>
          <w:lang w:val="en-GB"/>
        </w:rPr>
      </w:pPr>
      <w:r w:rsidRPr="008B5CD1">
        <w:rPr>
          <w:b/>
          <w:lang w:val="en-GB"/>
        </w:rPr>
        <w:t xml:space="preserve">PART 2: DRAFT TEXTS ON GENETIC RESOURCES (GRS) </w:t>
      </w:r>
    </w:p>
    <w:p w:rsidR="00063FCA" w:rsidRPr="00A876D6" w:rsidRDefault="00063FCA" w:rsidP="00063FCA">
      <w:pPr>
        <w:keepNext/>
        <w:spacing w:after="220"/>
        <w:rPr>
          <w:b/>
          <w:bCs/>
          <w:iCs/>
          <w:lang w:val="en-GB"/>
        </w:rPr>
      </w:pPr>
      <w:r w:rsidRPr="00A876D6">
        <w:rPr>
          <w:b/>
          <w:bCs/>
          <w:iCs/>
          <w:lang w:val="en-GB"/>
        </w:rPr>
        <w:t>Indigenous peoples’ rights to genetic resources</w:t>
      </w:r>
    </w:p>
    <w:p w:rsidR="00063FCA" w:rsidRDefault="00063FCA" w:rsidP="00063FCA">
      <w:pPr>
        <w:pStyle w:val="ONUME"/>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 xml:space="preserve">affirms the right of indigenous peoples to ‘own, use, control and develop’ the resources they possess </w:t>
      </w:r>
      <w:proofErr w:type="gramStart"/>
      <w:r w:rsidRPr="00CB512C">
        <w:rPr>
          <w:lang w:val="en-GB"/>
        </w:rPr>
        <w:t>by reason of</w:t>
      </w:r>
      <w:proofErr w:type="gramEnd"/>
      <w:r w:rsidRPr="00CB512C">
        <w:rPr>
          <w:lang w:val="en-GB"/>
        </w:rPr>
        <w:t xml:space="preserve">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063FCA" w:rsidRDefault="00063FCA" w:rsidP="00063FCA">
      <w:pPr>
        <w:pStyle w:val="ONUME"/>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063FCA" w:rsidRDefault="00063FCA" w:rsidP="00063FCA">
      <w:pPr>
        <w:pStyle w:val="ONUME"/>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w:t>
      </w:r>
      <w:proofErr w:type="gramStart"/>
      <w:r w:rsidRPr="00CB512C">
        <w:rPr>
          <w:lang w:val="en-GB"/>
        </w:rPr>
        <w:t>are also affirmed</w:t>
      </w:r>
      <w:proofErr w:type="gramEnd"/>
      <w:r w:rsidRPr="00CB512C">
        <w:rPr>
          <w:lang w:val="en-GB"/>
        </w:rPr>
        <w:t xml:space="preserve">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063FCA" w:rsidRDefault="00063FCA" w:rsidP="00063FCA">
      <w:pPr>
        <w:pStyle w:val="ONUME"/>
        <w:keepLines/>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 xml:space="preserve">Indigenous peoples’ property rights to own and control GRs </w:t>
      </w:r>
      <w:proofErr w:type="gramStart"/>
      <w:r w:rsidRPr="00CB512C">
        <w:rPr>
          <w:lang w:val="en-GB"/>
        </w:rPr>
        <w:t>may be adversely impacted</w:t>
      </w:r>
      <w:proofErr w:type="gramEnd"/>
      <w:r w:rsidRPr="00CB512C">
        <w:rPr>
          <w:lang w:val="en-GB"/>
        </w:rPr>
        <w:t xml:space="preserve">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063FCA" w:rsidRDefault="00063FCA" w:rsidP="00063FCA">
      <w:pPr>
        <w:pStyle w:val="ONUME"/>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 xml:space="preserve">This impact </w:t>
      </w:r>
      <w:proofErr w:type="gramStart"/>
      <w:r w:rsidRPr="00CB512C">
        <w:rPr>
          <w:lang w:val="en-GB"/>
        </w:rPr>
        <w:t>is acknowledged</w:t>
      </w:r>
      <w:proofErr w:type="gramEnd"/>
      <w:r w:rsidRPr="00CB512C">
        <w:rPr>
          <w:lang w:val="en-GB"/>
        </w:rPr>
        <w:t xml:space="preserve">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 xml:space="preserve">The impact of emerging technologies that enable GRs to </w:t>
      </w:r>
      <w:proofErr w:type="gramStart"/>
      <w:r w:rsidRPr="00CB512C">
        <w:rPr>
          <w:lang w:val="en-GB"/>
        </w:rPr>
        <w:t>be digitally sequenced</w:t>
      </w:r>
      <w:proofErr w:type="gramEnd"/>
      <w:r w:rsidRPr="00CB512C">
        <w:rPr>
          <w:lang w:val="en-GB"/>
        </w:rPr>
        <w:t xml:space="preserve">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063FCA" w:rsidRDefault="00063FCA" w:rsidP="00063FCA">
      <w:pPr>
        <w:keepNext/>
        <w:spacing w:after="220"/>
        <w:rPr>
          <w:b/>
          <w:bCs/>
          <w:iCs/>
          <w:lang w:val="en-GB"/>
        </w:rPr>
      </w:pPr>
      <w:r w:rsidRPr="008B5CD1">
        <w:rPr>
          <w:b/>
          <w:bCs/>
          <w:iCs/>
          <w:lang w:val="en-GB"/>
        </w:rPr>
        <w:t>Mandatory disclosure</w:t>
      </w:r>
    </w:p>
    <w:p w:rsidR="00063FCA" w:rsidRDefault="00063FCA" w:rsidP="00063FCA">
      <w:pPr>
        <w:pStyle w:val="ONUME"/>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063FCA" w:rsidRDefault="00063FCA" w:rsidP="00063FCA">
      <w:pPr>
        <w:pStyle w:val="ONUME"/>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w:t>
      </w:r>
      <w:proofErr w:type="gramStart"/>
      <w:r w:rsidRPr="00CB512C">
        <w:rPr>
          <w:lang w:val="en-GB"/>
        </w:rPr>
        <w:t>is based</w:t>
      </w:r>
      <w:proofErr w:type="gramEnd"/>
      <w:r w:rsidRPr="00CB512C">
        <w:rPr>
          <w:lang w:val="en-GB"/>
        </w:rPr>
        <w:t xml:space="preserve"> on GRs and associated TK. </w:t>
      </w:r>
      <w:r>
        <w:rPr>
          <w:lang w:val="en-GB"/>
        </w:rPr>
        <w:t xml:space="preserve"> </w:t>
      </w:r>
      <w:proofErr w:type="gramStart"/>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As proposed by the draft Consolidated Document, the information required to be disclosed would include the country of origin or the source of the GRs and associated TK and/or evidence that ABS agreements are in place.</w:t>
      </w:r>
      <w:proofErr w:type="gramEnd"/>
      <w:r w:rsidRPr="00CB512C">
        <w:rPr>
          <w:lang w:val="en-GB"/>
        </w:rPr>
        <w:t xml:space="preserv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063FCA" w:rsidRDefault="00063FCA" w:rsidP="00063FCA">
      <w:pPr>
        <w:pStyle w:val="ONUME"/>
        <w:rPr>
          <w:lang w:val="en-GB"/>
        </w:rPr>
      </w:pPr>
      <w:r w:rsidRPr="00CB512C">
        <w:rPr>
          <w:lang w:val="en-GB"/>
        </w:rPr>
        <w:lastRenderedPageBreak/>
        <w:t xml:space="preserve">The indigenous caucus at the IGC has broadly supported the proposal for mandatory disclosure </w:t>
      </w:r>
      <w:proofErr w:type="gramStart"/>
      <w:r w:rsidRPr="00CB512C">
        <w:rPr>
          <w:lang w:val="en-GB"/>
        </w:rPr>
        <w:t>provided that</w:t>
      </w:r>
      <w:proofErr w:type="gramEnd"/>
      <w:r w:rsidRPr="00CB512C">
        <w:rPr>
          <w:lang w:val="en-GB"/>
        </w:rPr>
        <w:t xml:space="preserve">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063FCA" w:rsidRDefault="00063FCA" w:rsidP="00063FCA">
      <w:pPr>
        <w:pStyle w:val="ONUME"/>
        <w:keepLines/>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063FCA" w:rsidRDefault="00063FCA" w:rsidP="00063FCA">
      <w:pPr>
        <w:keepNext/>
        <w:spacing w:after="220"/>
        <w:rPr>
          <w:b/>
          <w:bCs/>
          <w:iCs/>
          <w:lang w:val="en-GB"/>
        </w:rPr>
      </w:pPr>
      <w:r>
        <w:rPr>
          <w:b/>
          <w:bCs/>
          <w:iCs/>
          <w:lang w:val="en-GB"/>
        </w:rPr>
        <w:t>Dispute resolution</w:t>
      </w:r>
    </w:p>
    <w:p w:rsidR="00063FCA" w:rsidRDefault="00063FCA" w:rsidP="00063FCA">
      <w:pPr>
        <w:pStyle w:val="ONUME"/>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 xml:space="preserve">The Chair’s text proposes a mandatory national </w:t>
      </w:r>
      <w:proofErr w:type="gramStart"/>
      <w:r w:rsidRPr="00CB512C">
        <w:rPr>
          <w:lang w:val="en-GB"/>
        </w:rPr>
        <w:t>level dispute resolution mechanism</w:t>
      </w:r>
      <w:proofErr w:type="gramEnd"/>
      <w:r w:rsidRPr="00CB512C">
        <w:rPr>
          <w:lang w:val="en-GB"/>
        </w:rPr>
        <w:t xml:space="preserve">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063FCA" w:rsidRDefault="00063FCA" w:rsidP="00063FCA">
      <w:pPr>
        <w:pStyle w:val="ONUME"/>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063FCA" w:rsidRPr="00A876D6" w:rsidRDefault="00063FCA" w:rsidP="00063FCA">
      <w:pPr>
        <w:keepNext/>
        <w:spacing w:after="220"/>
        <w:rPr>
          <w:b/>
          <w:bCs/>
          <w:iCs/>
          <w:lang w:val="en-GB"/>
        </w:rPr>
      </w:pPr>
      <w:r w:rsidRPr="00A876D6">
        <w:rPr>
          <w:b/>
          <w:bCs/>
          <w:iCs/>
          <w:lang w:val="en-GB"/>
        </w:rPr>
        <w:t>Traceability</w:t>
      </w:r>
    </w:p>
    <w:p w:rsidR="00063FCA" w:rsidRDefault="00063FCA" w:rsidP="00063FCA">
      <w:pPr>
        <w:pStyle w:val="ONUME"/>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w:t>
      </w:r>
      <w:proofErr w:type="gramStart"/>
      <w:r w:rsidRPr="00CB512C">
        <w:rPr>
          <w:lang w:val="en-GB"/>
        </w:rPr>
        <w:t>is digitally sequenced</w:t>
      </w:r>
      <w:proofErr w:type="gramEnd"/>
      <w:r w:rsidRPr="00CB512C">
        <w:rPr>
          <w:lang w:val="en-GB"/>
        </w:rPr>
        <w:t xml:space="preserve">.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 xml:space="preserve">Traceability </w:t>
      </w:r>
      <w:proofErr w:type="gramStart"/>
      <w:r w:rsidRPr="00CB512C">
        <w:rPr>
          <w:lang w:val="en-GB"/>
        </w:rPr>
        <w:t>may be assisted</w:t>
      </w:r>
      <w:proofErr w:type="gramEnd"/>
      <w:r w:rsidRPr="00CB512C">
        <w:rPr>
          <w:lang w:val="en-GB"/>
        </w:rPr>
        <w:t xml:space="preserve">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063FCA" w:rsidRDefault="00063FCA" w:rsidP="00063FCA">
      <w:pPr>
        <w:rPr>
          <w:b/>
          <w:bCs/>
          <w:lang w:val="en-GB"/>
        </w:rPr>
      </w:pPr>
      <w:r>
        <w:rPr>
          <w:b/>
          <w:bCs/>
          <w:lang w:val="en-GB"/>
        </w:rPr>
        <w:br w:type="page"/>
      </w:r>
    </w:p>
    <w:p w:rsidR="00063FCA" w:rsidRDefault="00063FCA" w:rsidP="00063FCA">
      <w:pPr>
        <w:keepNext/>
        <w:spacing w:before="440" w:after="220"/>
        <w:rPr>
          <w:b/>
          <w:lang w:val="en-GB"/>
        </w:rPr>
      </w:pPr>
      <w:r w:rsidRPr="008B5CD1">
        <w:rPr>
          <w:b/>
          <w:lang w:val="en-GB"/>
        </w:rPr>
        <w:lastRenderedPageBreak/>
        <w:t xml:space="preserve">Part 3: FINAL CONSIDERATIONS </w:t>
      </w:r>
    </w:p>
    <w:p w:rsidR="00063FCA" w:rsidRDefault="00063FCA" w:rsidP="00063FCA">
      <w:pPr>
        <w:pStyle w:val="ONUME"/>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063FCA" w:rsidRDefault="00063FCA" w:rsidP="00063FCA">
      <w:pPr>
        <w:pStyle w:val="ONUME"/>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w:t>
      </w:r>
      <w:proofErr w:type="gramStart"/>
      <w:r w:rsidRPr="00CB512C">
        <w:rPr>
          <w:lang w:val="en-GB"/>
        </w:rPr>
        <w:t>should thus be incorporated</w:t>
      </w:r>
      <w:proofErr w:type="gramEnd"/>
      <w:r w:rsidRPr="00CB512C">
        <w:rPr>
          <w:lang w:val="en-GB"/>
        </w:rPr>
        <w:t xml:space="preserve"> in the framing of legal texts touching on indigenous peoples’ TK, TCEs and GRs. </w:t>
      </w:r>
      <w:r>
        <w:rPr>
          <w:lang w:val="en-GB"/>
        </w:rPr>
        <w:t xml:space="preserve"> </w:t>
      </w:r>
      <w:proofErr w:type="gramStart"/>
      <w:r w:rsidRPr="00CB512C">
        <w:rPr>
          <w:lang w:val="en-GB"/>
        </w:rPr>
        <w:t>And</w:t>
      </w:r>
      <w:proofErr w:type="gramEnd"/>
      <w:r w:rsidRPr="00CB512C">
        <w:rPr>
          <w:lang w:val="en-GB"/>
        </w:rPr>
        <w:t xml:space="preserve"> based on its universal acceptance, universal implementation of its provisions is logically expected. </w:t>
      </w:r>
    </w:p>
    <w:p w:rsidR="00063FCA" w:rsidRDefault="00063FCA" w:rsidP="00063FCA">
      <w:pPr>
        <w:pStyle w:val="ONUME"/>
        <w:rPr>
          <w:lang w:val="en-GB"/>
        </w:rPr>
      </w:pPr>
      <w:r w:rsidRPr="00CB512C">
        <w:rPr>
          <w:lang w:val="en-GB"/>
        </w:rPr>
        <w:t xml:space="preserve">Whereas States can balance the interests of groups within their countries, rights of indigenous peoples remain valid and </w:t>
      </w:r>
      <w:proofErr w:type="gramStart"/>
      <w:r w:rsidRPr="00CB512C">
        <w:rPr>
          <w:lang w:val="en-GB"/>
        </w:rPr>
        <w:t>must be respected</w:t>
      </w:r>
      <w:proofErr w:type="gramEnd"/>
      <w:r w:rsidRPr="00CB512C">
        <w:rPr>
          <w:lang w:val="en-GB"/>
        </w:rPr>
        <w:t>.</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2928D3" w:rsidRDefault="00063FCA" w:rsidP="00A0509A">
      <w:pPr>
        <w:spacing w:before="600"/>
        <w:ind w:left="5530"/>
      </w:pPr>
      <w:r>
        <w:t>[End of Annex and of document]</w:t>
      </w:r>
    </w:p>
    <w:sectPr w:rsidR="002928D3" w:rsidSect="00A0509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E9" w:rsidRDefault="0074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E9" w:rsidRDefault="0074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EE5BBD">
    <w:pPr>
      <w:pStyle w:val="Footer"/>
      <w:tabs>
        <w:tab w:val="clear" w:pos="4320"/>
        <w:tab w:val="clear" w:pos="8640"/>
        <w:tab w:val="left" w:pos="692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rsidR="00063FCA" w:rsidRPr="002A671B"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hyperlink r:id="rId1" w:history="1">
        <w:r w:rsidRPr="00635BB7">
          <w:rPr>
            <w:rStyle w:val="Hyperlink"/>
            <w:color w:val="0033CC"/>
            <w:szCs w:val="18"/>
          </w:rPr>
          <w:t>https://www.un.org/development/desa/indigenouspeoples/news/2019/06/18-session-report/</w:t>
        </w:r>
      </w:hyperlink>
      <w:r w:rsidRPr="00635BB7">
        <w:rPr>
          <w:rStyle w:val="Hyperlink"/>
          <w:color w:val="0033CC"/>
          <w:szCs w:val="18"/>
        </w:rPr>
        <w:t>.</w:t>
      </w:r>
      <w:r>
        <w:rPr>
          <w:rStyle w:val="Hyperlink"/>
          <w:color w:val="auto"/>
          <w:szCs w:val="18"/>
          <w:u w:val="none"/>
        </w:rPr>
        <w:t xml:space="preserve"> </w:t>
      </w:r>
      <w:r w:rsidRPr="002A671B">
        <w:rPr>
          <w:szCs w:val="18"/>
        </w:rPr>
        <w:t xml:space="preserve"> </w:t>
      </w:r>
    </w:p>
  </w:footnote>
  <w:footnote w:id="4">
    <w:p w:rsidR="00063FCA" w:rsidRPr="008B5CD1" w:rsidRDefault="00063FCA" w:rsidP="00063FCA">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Document WIPO/GRTKF/IC/29/INF/10, available at </w:t>
      </w:r>
      <w:hyperlink r:id="rId2" w:history="1">
        <w:r w:rsidRPr="00635BB7">
          <w:rPr>
            <w:rStyle w:val="Hyperlink"/>
            <w:color w:val="0033CC"/>
            <w:szCs w:val="18"/>
          </w:rPr>
          <w:t>https://www.wipo.int/edocs/mdocs/tk/en/wipo_grtkf_ic_29/wipo_grtkf_ic_29_inf_10.pdf</w:t>
        </w:r>
      </w:hyperlink>
      <w:r w:rsidRPr="002A671B">
        <w:rPr>
          <w:rStyle w:val="Hyperlink"/>
          <w:color w:val="auto"/>
          <w:szCs w:val="18"/>
          <w:u w:val="none"/>
        </w:rPr>
        <w:t xml:space="preserve">. </w:t>
      </w:r>
    </w:p>
  </w:footnote>
  <w:footnote w:id="5">
    <w:p w:rsidR="00063FCA" w:rsidRPr="008B5CD1" w:rsidRDefault="00063FCA" w:rsidP="00063FCA">
      <w:pPr>
        <w:pStyle w:val="FootnoteText"/>
        <w:rPr>
          <w:szCs w:val="18"/>
          <w:lang w:val="uz-Cyrl-UZ"/>
        </w:rPr>
      </w:pPr>
      <w:r w:rsidRPr="008B5CD1">
        <w:rPr>
          <w:rStyle w:val="FootnoteReference"/>
          <w:szCs w:val="18"/>
        </w:rPr>
        <w:footnoteRef/>
      </w:r>
      <w:r w:rsidRPr="008B5CD1">
        <w:rPr>
          <w:szCs w:val="18"/>
          <w:lang w:val="uz-Cyrl-UZ"/>
        </w:rPr>
        <w:t xml:space="preserve"> </w:t>
      </w:r>
      <w:r>
        <w:rPr>
          <w:szCs w:val="18"/>
          <w:lang w:val="uz-Cyrl-UZ"/>
        </w:rPr>
        <w:tab/>
      </w:r>
      <w:r w:rsidRPr="008B5CD1">
        <w:rPr>
          <w:szCs w:val="18"/>
          <w:lang w:val="uz-Cyrl-UZ"/>
        </w:rPr>
        <w:t>E/2019/43-E/C.19/1</w:t>
      </w:r>
      <w:r w:rsidRPr="008B5CD1">
        <w:rPr>
          <w:szCs w:val="18"/>
        </w:rPr>
        <w:t>0</w:t>
      </w:r>
      <w:r w:rsidRPr="008B5CD1">
        <w:rPr>
          <w:szCs w:val="18"/>
          <w:lang w:val="uz-Cyrl-UZ"/>
        </w:rPr>
        <w:t xml:space="preserve"> at para 10.</w:t>
      </w:r>
    </w:p>
  </w:footnote>
  <w:footnote w:id="6">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bookmarkStart w:id="6" w:name="_Hlk49439221"/>
      <w:r>
        <w:rPr>
          <w:szCs w:val="18"/>
        </w:rPr>
        <w:tab/>
      </w:r>
      <w:r w:rsidRPr="008B5CD1">
        <w:rPr>
          <w:szCs w:val="18"/>
        </w:rPr>
        <w:t>WIPO/GRTKF/IC/29/INF/10 at para 11</w:t>
      </w:r>
      <w:bookmarkEnd w:id="6"/>
      <w:r w:rsidRPr="008B5CD1">
        <w:rPr>
          <w:szCs w:val="18"/>
        </w:rPr>
        <w:t>.</w:t>
      </w:r>
    </w:p>
  </w:footnote>
  <w:footnote w:id="7">
    <w:p w:rsidR="00063FCA" w:rsidRPr="002A671B"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hyperlink r:id="rId3" w:history="1">
        <w:r w:rsidRPr="00635BB7">
          <w:rPr>
            <w:rStyle w:val="Hyperlink"/>
            <w:color w:val="0033CC"/>
            <w:szCs w:val="18"/>
          </w:rPr>
          <w:t>https://www.wipo.int/meetings/en/doc_details.jsp?doc_id=  3934</w:t>
        </w:r>
      </w:hyperlink>
      <w:r w:rsidRPr="002A671B">
        <w:rPr>
          <w:szCs w:val="18"/>
        </w:rPr>
        <w:t xml:space="preserve">. </w:t>
      </w:r>
    </w:p>
  </w:footnote>
  <w:footnote w:id="8">
    <w:p w:rsidR="00063FCA" w:rsidRPr="008B5CD1" w:rsidRDefault="00063FCA" w:rsidP="00063FCA">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The Fifty-First (24 Ordinary) Session of the WIPO General Assembly:  Report on the Intergovernmental Committee on Intellectual Property and Genetic Resources, Traditional Knowledge and Folklore (IGC) (WO/GA/51/12), Annex II:  The Protection of Traditional Cultural Expressions: Draft Articles, Facilitators Rev. (June 19, 2019), available at </w:t>
      </w:r>
      <w:hyperlink r:id="rId4" w:history="1">
        <w:r w:rsidRPr="00635BB7">
          <w:rPr>
            <w:rStyle w:val="Hyperlink"/>
            <w:color w:val="0033CC"/>
            <w:szCs w:val="18"/>
          </w:rPr>
          <w:t>https://www.wipo.int/meetings/en/doc_details.jsp?doc_id=443934</w:t>
        </w:r>
      </w:hyperlink>
      <w:r w:rsidRPr="002A671B">
        <w:rPr>
          <w:szCs w:val="18"/>
        </w:rPr>
        <w:t xml:space="preserve">. </w:t>
      </w:r>
    </w:p>
  </w:footnote>
  <w:footnote w:id="9">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hyperlink r:id="rId5" w:history="1">
        <w:r w:rsidRPr="00635BB7">
          <w:rPr>
            <w:rStyle w:val="Hyperlink"/>
            <w:color w:val="0033CC"/>
            <w:szCs w:val="18"/>
          </w:rPr>
          <w:t>https://www.wipo.int/meetings/en/doc_details.jsp?doc_id=443934</w:t>
        </w:r>
      </w:hyperlink>
      <w:r w:rsidRPr="00DE4616">
        <w:rPr>
          <w:rStyle w:val="Hyperlink"/>
          <w:rFonts w:eastAsia="Times New Roman"/>
          <w:color w:val="auto"/>
          <w:szCs w:val="18"/>
          <w:u w:val="none"/>
        </w:rPr>
        <w:t>,</w:t>
      </w:r>
      <w:r>
        <w:rPr>
          <w:rStyle w:val="Hyperlink"/>
          <w:rFonts w:eastAsia="Times New Roman"/>
          <w:color w:val="auto"/>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hyperlink r:id="rId6" w:history="1">
        <w:r w:rsidRPr="00635BB7">
          <w:rPr>
            <w:rStyle w:val="Hyperlink"/>
            <w:color w:val="0033CC"/>
            <w:szCs w:val="18"/>
          </w:rPr>
          <w:t>https://www.wipo.int/meetings/en/doc_details.jsp?doc_id=443934</w:t>
        </w:r>
      </w:hyperlink>
      <w:r w:rsidRPr="002A671B">
        <w:rPr>
          <w:rStyle w:val="Hyperlink"/>
          <w:rFonts w:eastAsia="Times New Roman"/>
          <w:color w:val="auto"/>
          <w:szCs w:val="18"/>
          <w:u w:val="none"/>
        </w:rPr>
        <w:t>.</w:t>
      </w:r>
      <w:proofErr w:type="gramEnd"/>
      <w:r w:rsidRPr="002A671B">
        <w:rPr>
          <w:rStyle w:val="Hyperlink"/>
          <w:rFonts w:eastAsia="Times New Roman"/>
          <w:color w:val="auto"/>
          <w:szCs w:val="18"/>
          <w:u w:val="none"/>
        </w:rPr>
        <w:t xml:space="preserve"> </w:t>
      </w:r>
    </w:p>
  </w:footnote>
  <w:footnote w:id="10">
    <w:p w:rsidR="00063FCA" w:rsidRPr="008B5CD1" w:rsidRDefault="00063FCA" w:rsidP="00063FCA">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See Annex C1, available at </w:t>
      </w:r>
      <w:hyperlink r:id="rId7" w:history="1">
        <w:r w:rsidRPr="00635BB7">
          <w:rPr>
            <w:rStyle w:val="Hyperlink"/>
            <w:rFonts w:eastAsia="Times New Roman"/>
            <w:color w:val="0033CC"/>
            <w:sz w:val="18"/>
            <w:szCs w:val="18"/>
          </w:rPr>
          <w:t>https://www.wto.org/english/docs_e/legal_e/27-trips.pdf</w:t>
        </w:r>
      </w:hyperlink>
      <w:r w:rsidRPr="002A671B">
        <w:rPr>
          <w:rStyle w:val="Hyperlink"/>
          <w:rFonts w:eastAsia="Times New Roman"/>
          <w:color w:val="auto"/>
          <w:sz w:val="18"/>
          <w:szCs w:val="18"/>
          <w:u w:val="none"/>
        </w:rPr>
        <w:t xml:space="preserve">. </w:t>
      </w:r>
    </w:p>
  </w:footnote>
  <w:footnote w:id="11">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United Nations Declaration on the Rights of Indigenous Peoples (UNDRIP), Article 4, available at </w:t>
      </w:r>
      <w:hyperlink r:id="rId8" w:history="1">
        <w:r w:rsidRPr="00635BB7">
          <w:rPr>
            <w:rStyle w:val="Hyperlink"/>
            <w:color w:val="0033CC"/>
            <w:szCs w:val="18"/>
          </w:rPr>
          <w:t>https://undocs.org/A/RES/61/295</w:t>
        </w:r>
      </w:hyperlink>
      <w:r w:rsidRPr="008B5CD1">
        <w:rPr>
          <w:szCs w:val="18"/>
        </w:rPr>
        <w:t>.</w:t>
      </w:r>
      <w:r>
        <w:rPr>
          <w:szCs w:val="18"/>
        </w:rPr>
        <w:t xml:space="preserve"> </w:t>
      </w:r>
    </w:p>
  </w:footnote>
  <w:footnote w:id="12">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 19. </w:t>
      </w:r>
    </w:p>
  </w:footnote>
  <w:footnote w:id="13">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i/>
          <w:szCs w:val="18"/>
        </w:rPr>
        <w:t>Sui Generis</w:t>
      </w:r>
      <w:r w:rsidRPr="008B5CD1">
        <w:rPr>
          <w:szCs w:val="18"/>
        </w:rPr>
        <w:t xml:space="preserve"> according to Black’s Law Dictionary means of its own kind or class, unique or peculiar. </w:t>
      </w:r>
    </w:p>
  </w:footnote>
  <w:footnote w:id="14">
    <w:p w:rsidR="00063FCA" w:rsidRPr="008B5CD1" w:rsidRDefault="00063FCA" w:rsidP="00063FCA">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Pr>
          <w:rFonts w:eastAsia="Times New Roman"/>
          <w:i/>
          <w:iCs/>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9" w:history="1">
        <w:r w:rsidRPr="00635BB7">
          <w:rPr>
            <w:rStyle w:val="Hyperlink"/>
            <w:rFonts w:eastAsia="Times New Roman"/>
            <w:color w:val="0033CC"/>
            <w:sz w:val="18"/>
            <w:szCs w:val="18"/>
            <w:lang w:val="en-AU" w:eastAsia="en-GB"/>
          </w:rPr>
          <w:t>https://papers.ssrn.com/abstract=2765827</w:t>
        </w:r>
      </w:hyperlink>
      <w:r>
        <w:rPr>
          <w:rFonts w:eastAsia="Times New Roman"/>
          <w:sz w:val="18"/>
          <w:szCs w:val="18"/>
          <w:lang w:val="en-AU" w:eastAsia="en-GB"/>
        </w:rPr>
        <w:t>&gt;</w:t>
      </w:r>
      <w:r w:rsidRPr="008B5CD1">
        <w:rPr>
          <w:sz w:val="18"/>
          <w:szCs w:val="18"/>
        </w:rPr>
        <w:t>;</w:t>
      </w:r>
      <w:r>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063FCA" w:rsidRPr="008B5CD1" w:rsidRDefault="00063FCA" w:rsidP="00063FCA">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w:t>
      </w:r>
      <w:proofErr w:type="gramStart"/>
      <w:r w:rsidRPr="008B5CD1">
        <w:rPr>
          <w:rFonts w:eastAsia="Times New Roman"/>
          <w:sz w:val="18"/>
          <w:szCs w:val="18"/>
          <w:lang w:val="en-AU" w:eastAsia="en-GB"/>
        </w:rPr>
        <w:t>28</w:t>
      </w:r>
      <w:proofErr w:type="gramEnd"/>
      <w:r w:rsidRPr="008B5CD1">
        <w:rPr>
          <w:rFonts w:eastAsia="Times New Roman"/>
          <w:sz w:val="18"/>
          <w:szCs w:val="18"/>
          <w:lang w:val="en-AU" w:eastAsia="en-GB"/>
        </w:rPr>
        <w:t>(12).</w:t>
      </w:r>
    </w:p>
  </w:footnote>
  <w:footnote w:id="16">
    <w:p w:rsidR="00063FCA" w:rsidRPr="008B5CD1" w:rsidRDefault="00063FCA" w:rsidP="00063FCA">
      <w:pPr>
        <w:ind w:firstLine="567"/>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10" w:history="1">
        <w:r w:rsidRPr="00635BB7">
          <w:rPr>
            <w:rStyle w:val="Hyperlink"/>
            <w:rFonts w:eastAsia="Times New Roman"/>
            <w:color w:val="0033CC"/>
            <w:sz w:val="18"/>
            <w:szCs w:val="18"/>
            <w:lang w:val="en-AU" w:eastAsia="en-GB"/>
          </w:rPr>
          <w:t>https://papers.ssrn.com/abstract=2765827</w:t>
        </w:r>
      </w:hyperlink>
      <w:r>
        <w:rPr>
          <w:rFonts w:eastAsia="Times New Roman"/>
          <w:sz w:val="18"/>
          <w:szCs w:val="18"/>
          <w:lang w:val="en-AU" w:eastAsia="en-GB"/>
        </w:rPr>
        <w:t xml:space="preserve">&gt;. </w:t>
      </w:r>
    </w:p>
  </w:footnote>
  <w:footnote w:id="17">
    <w:p w:rsidR="00063FCA" w:rsidRPr="008B5CD1" w:rsidRDefault="00063FCA" w:rsidP="00063FCA">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11(2), art 28; International Convention on the Elimination of All Forms of Racial Discrimination (</w:t>
      </w:r>
      <w:r w:rsidRPr="008B5CD1">
        <w:rPr>
          <w:i/>
          <w:iCs/>
          <w:szCs w:val="18"/>
        </w:rPr>
        <w:t>ICERD)</w:t>
      </w:r>
      <w:r w:rsidRPr="008B5CD1">
        <w:rPr>
          <w:szCs w:val="18"/>
        </w:rPr>
        <w:t>, art. 2(2).</w:t>
      </w:r>
    </w:p>
  </w:footnote>
  <w:footnote w:id="19">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11(2).</w:t>
      </w:r>
    </w:p>
  </w:footnote>
  <w:footnote w:id="20">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bookmarkStart w:id="7" w:name="_Hlk49439119"/>
      <w:r>
        <w:rPr>
          <w:szCs w:val="18"/>
        </w:rPr>
        <w:tab/>
      </w:r>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bookmarkEnd w:id="7"/>
    </w:p>
  </w:footnote>
  <w:footnote w:id="21">
    <w:p w:rsidR="00063FCA" w:rsidRPr="009E308A"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Refer </w:t>
      </w:r>
      <w:proofErr w:type="gramStart"/>
      <w:r w:rsidRPr="008B5CD1">
        <w:rPr>
          <w:szCs w:val="18"/>
        </w:rPr>
        <w:t>to:</w:t>
      </w:r>
      <w:proofErr w:type="gramEnd"/>
      <w:r w:rsidRPr="008B5CD1">
        <w:rPr>
          <w:szCs w:val="18"/>
        </w:rPr>
        <w:t xml:space="preserve"> </w:t>
      </w:r>
      <w:hyperlink r:id="rId11" w:history="1">
        <w:r w:rsidRPr="00635BB7">
          <w:rPr>
            <w:rStyle w:val="Hyperlink"/>
            <w:rFonts w:eastAsia="Times New Roman"/>
            <w:color w:val="0033CC"/>
            <w:szCs w:val="18"/>
            <w:lang w:val="en-AU" w:eastAsia="en-GB"/>
          </w:rPr>
          <w:t>https://www.cbd.int/doc/guidelines/cbd-RutzolijirisaxikGuidelines-en.pdf</w:t>
        </w:r>
      </w:hyperlink>
      <w:r w:rsidRPr="009E308A">
        <w:rPr>
          <w:rFonts w:eastAsia="Times New Roman"/>
          <w:szCs w:val="18"/>
          <w:lang w:val="en-AU" w:eastAsia="en-GB"/>
        </w:rPr>
        <w:t xml:space="preserve">. </w:t>
      </w:r>
    </w:p>
  </w:footnote>
  <w:footnote w:id="22">
    <w:p w:rsidR="00063FCA" w:rsidRPr="009E308A" w:rsidRDefault="00063FCA" w:rsidP="00063FCA">
      <w:pPr>
        <w:pStyle w:val="FootnoteText"/>
        <w:rPr>
          <w:szCs w:val="18"/>
        </w:rPr>
      </w:pPr>
      <w:r w:rsidRPr="009E308A">
        <w:rPr>
          <w:rStyle w:val="FootnoteReference"/>
          <w:szCs w:val="18"/>
        </w:rPr>
        <w:footnoteRef/>
      </w:r>
      <w:r w:rsidRPr="009E308A">
        <w:rPr>
          <w:szCs w:val="18"/>
        </w:rPr>
        <w:t xml:space="preserve">  </w:t>
      </w:r>
      <w:r>
        <w:rPr>
          <w:szCs w:val="18"/>
        </w:rPr>
        <w:tab/>
      </w:r>
      <w:proofErr w:type="spellStart"/>
      <w:r w:rsidRPr="009E308A">
        <w:rPr>
          <w:szCs w:val="18"/>
        </w:rPr>
        <w:t>Rutzolijirisaxik</w:t>
      </w:r>
      <w:proofErr w:type="spellEnd"/>
      <w:r w:rsidRPr="009E308A">
        <w:rPr>
          <w:szCs w:val="18"/>
        </w:rPr>
        <w:t xml:space="preserve"> Guidelines, par. 11(k).</w:t>
      </w:r>
    </w:p>
  </w:footnote>
  <w:footnote w:id="23">
    <w:p w:rsidR="00063FCA" w:rsidRPr="009E308A" w:rsidRDefault="00063FCA" w:rsidP="00063FCA">
      <w:pPr>
        <w:pStyle w:val="FootnoteText"/>
        <w:rPr>
          <w:szCs w:val="18"/>
        </w:rPr>
      </w:pPr>
      <w:r w:rsidRPr="009E308A">
        <w:rPr>
          <w:rStyle w:val="FootnoteReference"/>
          <w:szCs w:val="18"/>
        </w:rPr>
        <w:footnoteRef/>
      </w:r>
      <w:r w:rsidRPr="009E308A">
        <w:rPr>
          <w:szCs w:val="18"/>
        </w:rPr>
        <w:t xml:space="preserve"> </w:t>
      </w:r>
      <w:r>
        <w:rPr>
          <w:szCs w:val="18"/>
        </w:rPr>
        <w:tab/>
      </w:r>
      <w:r w:rsidRPr="009E308A">
        <w:rPr>
          <w:szCs w:val="18"/>
        </w:rPr>
        <w:t xml:space="preserve">See the discussion in Patricia L. Judd, The Difficulties in Harmonizing Legal Protections for Traditional Knowledge and Intellectual Property. </w:t>
      </w:r>
      <w:r w:rsidRPr="009E308A">
        <w:rPr>
          <w:i/>
          <w:szCs w:val="18"/>
        </w:rPr>
        <w:t xml:space="preserve">The Washburn Law Journal. </w:t>
      </w:r>
      <w:r w:rsidRPr="009E308A">
        <w:rPr>
          <w:szCs w:val="18"/>
        </w:rPr>
        <w:t xml:space="preserve">Vol. 58, 2019. p. 249-270. </w:t>
      </w:r>
    </w:p>
  </w:footnote>
  <w:footnote w:id="24">
    <w:p w:rsidR="00063FCA" w:rsidRPr="00D63A1C" w:rsidRDefault="00063FCA" w:rsidP="00063FCA">
      <w:pPr>
        <w:rPr>
          <w:sz w:val="18"/>
          <w:szCs w:val="18"/>
        </w:rPr>
      </w:pPr>
      <w:r w:rsidRPr="009E308A">
        <w:rPr>
          <w:rStyle w:val="FootnoteReference"/>
          <w:sz w:val="18"/>
          <w:szCs w:val="18"/>
        </w:rPr>
        <w:footnoteRef/>
      </w:r>
      <w:r w:rsidRPr="009E308A">
        <w:rPr>
          <w:sz w:val="18"/>
          <w:szCs w:val="18"/>
        </w:rPr>
        <w:t xml:space="preserve"> </w:t>
      </w:r>
      <w:r>
        <w:rPr>
          <w:sz w:val="18"/>
          <w:szCs w:val="18"/>
        </w:rPr>
        <w:tab/>
      </w:r>
      <w:r w:rsidRPr="009E308A">
        <w:rPr>
          <w:sz w:val="18"/>
          <w:szCs w:val="18"/>
        </w:rPr>
        <w:t xml:space="preserve">Ruth L. </w:t>
      </w:r>
      <w:proofErr w:type="spellStart"/>
      <w:r w:rsidRPr="009E308A">
        <w:rPr>
          <w:sz w:val="18"/>
          <w:szCs w:val="18"/>
        </w:rPr>
        <w:t>Okediji</w:t>
      </w:r>
      <w:proofErr w:type="spellEnd"/>
      <w:r w:rsidRPr="009E308A">
        <w:rPr>
          <w:sz w:val="18"/>
          <w:szCs w:val="18"/>
        </w:rPr>
        <w:t xml:space="preserve">, Traditional Knowledge and the Public Domain.  </w:t>
      </w:r>
      <w:r w:rsidRPr="009E308A">
        <w:rPr>
          <w:i/>
          <w:sz w:val="18"/>
          <w:szCs w:val="18"/>
        </w:rPr>
        <w:t xml:space="preserve">CIGI Paper No. 176 June 2018 </w:t>
      </w:r>
      <w:r w:rsidRPr="009E308A">
        <w:rPr>
          <w:sz w:val="18"/>
          <w:szCs w:val="18"/>
        </w:rPr>
        <w:t xml:space="preserve">at p. 8 available at </w:t>
      </w:r>
      <w:hyperlink r:id="rId12" w:history="1">
        <w:r w:rsidRPr="00635BB7">
          <w:rPr>
            <w:rStyle w:val="Hyperlink"/>
            <w:rFonts w:eastAsia="Times New Roman"/>
            <w:color w:val="0033CC"/>
            <w:sz w:val="18"/>
            <w:szCs w:val="18"/>
          </w:rPr>
          <w:t>https://www.cigionline.org/sites/default/files/documents/Paper%20no.176web.pdf</w:t>
        </w:r>
      </w:hyperlink>
      <w:r w:rsidRPr="009E308A">
        <w:rPr>
          <w:rStyle w:val="Hyperlink"/>
          <w:rFonts w:eastAsia="Times New Roman"/>
          <w:color w:val="auto"/>
          <w:sz w:val="18"/>
          <w:szCs w:val="18"/>
          <w:u w:val="none"/>
        </w:rPr>
        <w:t xml:space="preserve">. </w:t>
      </w:r>
    </w:p>
  </w:footnote>
  <w:footnote w:id="25">
    <w:p w:rsidR="00063FCA" w:rsidRPr="00D63A1C" w:rsidRDefault="00063FCA" w:rsidP="00063FCA">
      <w:pPr>
        <w:pStyle w:val="FootnoteText"/>
        <w:rPr>
          <w:szCs w:val="18"/>
        </w:rPr>
      </w:pPr>
      <w:r w:rsidRPr="00D63A1C">
        <w:rPr>
          <w:rStyle w:val="FootnoteReference"/>
          <w:szCs w:val="18"/>
        </w:rPr>
        <w:footnoteRef/>
      </w:r>
      <w:r w:rsidRPr="00D63A1C">
        <w:rPr>
          <w:szCs w:val="18"/>
        </w:rPr>
        <w:t xml:space="preserve"> </w:t>
      </w:r>
      <w:bookmarkStart w:id="8" w:name="_Hlk49439153"/>
      <w:r>
        <w:rPr>
          <w:szCs w:val="18"/>
        </w:rPr>
        <w:tab/>
        <w:t xml:space="preserve">See </w:t>
      </w:r>
      <w:r w:rsidRPr="00D63A1C">
        <w:rPr>
          <w:szCs w:val="18"/>
        </w:rPr>
        <w:t xml:space="preserve">paragraphs 4 to 6 of the “Technical Review” available at </w:t>
      </w:r>
      <w:hyperlink r:id="rId13" w:history="1">
        <w:r w:rsidRPr="00635BB7">
          <w:rPr>
            <w:rStyle w:val="Hyperlink"/>
            <w:color w:val="0033CC"/>
            <w:szCs w:val="18"/>
          </w:rPr>
          <w:t>https://www.wipo.int/edocs/mdocs/tk/en/wipo_grtkf_ic_29/wipo_grtkf_ic_29_inf_10.pdf</w:t>
        </w:r>
      </w:hyperlink>
      <w:r w:rsidRPr="00D63A1C">
        <w:rPr>
          <w:rStyle w:val="Hyperlink"/>
          <w:color w:val="auto"/>
          <w:szCs w:val="18"/>
          <w:u w:val="none"/>
        </w:rPr>
        <w:t>.</w:t>
      </w:r>
      <w:r>
        <w:rPr>
          <w:rStyle w:val="Hyperlink"/>
          <w:color w:val="auto"/>
          <w:szCs w:val="18"/>
          <w:u w:val="none"/>
        </w:rPr>
        <w:t xml:space="preserve"> </w:t>
      </w:r>
    </w:p>
    <w:bookmarkEnd w:id="8"/>
  </w:footnote>
  <w:footnote w:id="26">
    <w:p w:rsidR="00063FCA" w:rsidRPr="00D63A1C" w:rsidRDefault="00063FCA" w:rsidP="00063FCA">
      <w:pPr>
        <w:pStyle w:val="FootnoteText"/>
        <w:rPr>
          <w:szCs w:val="18"/>
        </w:rPr>
      </w:pPr>
      <w:r w:rsidRPr="00D63A1C">
        <w:rPr>
          <w:rStyle w:val="FootnoteReference"/>
          <w:szCs w:val="18"/>
        </w:rPr>
        <w:footnoteRef/>
      </w:r>
      <w:r w:rsidRPr="00D63A1C">
        <w:rPr>
          <w:szCs w:val="18"/>
        </w:rPr>
        <w:t xml:space="preserve"> </w:t>
      </w:r>
      <w:r>
        <w:rPr>
          <w:szCs w:val="18"/>
        </w:rPr>
        <w:tab/>
      </w:r>
      <w:r w:rsidRPr="00D63A1C">
        <w:rPr>
          <w:szCs w:val="18"/>
        </w:rPr>
        <w:t xml:space="preserve">Bagley, ibid. </w:t>
      </w:r>
    </w:p>
  </w:footnote>
  <w:footnote w:id="27">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UNDRIP, article 19.</w:t>
      </w:r>
    </w:p>
  </w:footnote>
  <w:footnote w:id="28">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See WIPO Study on Limitations and Exceptions of Copyright and Related Rights in the Digital Environment. Standing Committee on Copyright and Related Rights. Geneva, June 23 to 27, 2003, available at </w:t>
      </w:r>
      <w:hyperlink r:id="rId14" w:history="1">
        <w:r w:rsidRPr="00635BB7">
          <w:rPr>
            <w:rStyle w:val="Hyperlink"/>
            <w:color w:val="0033CC"/>
            <w:szCs w:val="18"/>
          </w:rPr>
          <w:t>https://www.wipo.int/edocs/mdocs/copyright/en/sccr_9/sccr_9_7.pdf</w:t>
        </w:r>
      </w:hyperlink>
      <w:r w:rsidRPr="009E308A">
        <w:rPr>
          <w:rStyle w:val="Hyperlink"/>
          <w:color w:val="auto"/>
          <w:szCs w:val="18"/>
          <w:u w:val="none"/>
        </w:rPr>
        <w:t>.</w:t>
      </w:r>
      <w:r w:rsidRPr="009E308A">
        <w:rPr>
          <w:szCs w:val="18"/>
        </w:rPr>
        <w:t xml:space="preserve"> </w:t>
      </w:r>
    </w:p>
  </w:footnote>
  <w:footnote w:id="29">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bookmarkStart w:id="9" w:name="_Hlk49439170"/>
      <w:r>
        <w:rPr>
          <w:szCs w:val="18"/>
        </w:rPr>
        <w:tab/>
      </w:r>
      <w:r w:rsidRPr="008B5CD1">
        <w:rPr>
          <w:szCs w:val="18"/>
        </w:rPr>
        <w:t>See WO/GA/51/12 Annex I on page 18 on “Exceptions and Limitations”.</w:t>
      </w:r>
      <w:bookmarkEnd w:id="9"/>
    </w:p>
  </w:footnote>
  <w:footnote w:id="30">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Articles 11(2) and 19. </w:t>
      </w:r>
    </w:p>
  </w:footnote>
  <w:footnote w:id="31">
    <w:p w:rsidR="00063FCA" w:rsidRPr="00D63A1C" w:rsidRDefault="00063FCA" w:rsidP="00063FCA">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 xml:space="preserve">See Article 32.5, available at </w:t>
      </w:r>
      <w:hyperlink r:id="rId15" w:history="1">
        <w:r w:rsidRPr="00635BB7">
          <w:rPr>
            <w:rStyle w:val="Hyperlink"/>
            <w:rFonts w:eastAsia="Times New Roman"/>
            <w:color w:val="0033CC"/>
            <w:sz w:val="18"/>
            <w:szCs w:val="18"/>
          </w:rPr>
          <w:t>https://ustr.gov/sites/default/files/files/agreements/FTA/USMCA/Text/32_Exceptions_and_General_Provisions.pdf</w:t>
        </w:r>
      </w:hyperlink>
      <w:r w:rsidRPr="00635BB7">
        <w:rPr>
          <w:rStyle w:val="Hyperlink"/>
          <w:rFonts w:eastAsia="Times New Roman"/>
          <w:color w:val="auto"/>
          <w:sz w:val="18"/>
          <w:szCs w:val="18"/>
          <w:u w:val="none"/>
        </w:rPr>
        <w:t>.</w:t>
      </w:r>
    </w:p>
  </w:footnote>
  <w:footnote w:id="32">
    <w:p w:rsidR="00063FCA" w:rsidRPr="00D63A1C" w:rsidRDefault="00063FCA" w:rsidP="00063FCA">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063FCA" w:rsidRPr="00CB512C"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063FCA" w:rsidRPr="00CB512C" w:rsidRDefault="00063FCA" w:rsidP="00063FCA">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063FCA" w:rsidRPr="00CB512C" w:rsidRDefault="00063FCA" w:rsidP="00063FCA">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063FCA" w:rsidRPr="00CB512C" w:rsidRDefault="00063FCA" w:rsidP="00063FCA">
      <w:pPr>
        <w:pStyle w:val="FootnoteText"/>
        <w:rPr>
          <w:szCs w:val="18"/>
        </w:rPr>
      </w:pPr>
      <w:r w:rsidRPr="00CB512C">
        <w:rPr>
          <w:rStyle w:val="FootnoteReference"/>
          <w:szCs w:val="18"/>
        </w:rPr>
        <w:footnoteRef/>
      </w:r>
      <w:r w:rsidRPr="00CB512C">
        <w:rPr>
          <w:i/>
          <w:iCs/>
          <w:szCs w:val="18"/>
        </w:rPr>
        <w:t xml:space="preserve"> </w:t>
      </w:r>
      <w:r>
        <w:rPr>
          <w:i/>
          <w:iCs/>
          <w:szCs w:val="18"/>
        </w:rPr>
        <w:tab/>
      </w:r>
      <w:proofErr w:type="gramStart"/>
      <w:r w:rsidRPr="00CB512C">
        <w:rPr>
          <w:iCs/>
          <w:szCs w:val="18"/>
        </w:rPr>
        <w:t>UNDRIP</w:t>
      </w:r>
      <w:r w:rsidRPr="00CB512C">
        <w:rPr>
          <w:szCs w:val="18"/>
        </w:rPr>
        <w:t>,</w:t>
      </w:r>
      <w:proofErr w:type="gramEnd"/>
      <w:r w:rsidRPr="00CB512C">
        <w:rPr>
          <w:szCs w:val="18"/>
        </w:rPr>
        <w:t xml:space="preserve"> art 31.</w:t>
      </w:r>
    </w:p>
  </w:footnote>
  <w:footnote w:id="37">
    <w:p w:rsidR="00063FCA" w:rsidRPr="00CB512C" w:rsidRDefault="00063FCA" w:rsidP="00063FCA">
      <w:pPr>
        <w:pStyle w:val="FootnoteText"/>
        <w:rPr>
          <w:szCs w:val="18"/>
        </w:rPr>
      </w:pPr>
      <w:r w:rsidRPr="00CB512C">
        <w:rPr>
          <w:rStyle w:val="FootnoteReference"/>
          <w:szCs w:val="18"/>
        </w:rPr>
        <w:footnoteRef/>
      </w:r>
      <w:r w:rsidRPr="00CB512C">
        <w:rPr>
          <w:iCs/>
          <w:szCs w:val="18"/>
        </w:rPr>
        <w:t xml:space="preserve"> </w:t>
      </w:r>
      <w:r>
        <w:rPr>
          <w:iCs/>
          <w:szCs w:val="18"/>
        </w:rPr>
        <w:tab/>
      </w:r>
      <w:proofErr w:type="gramStart"/>
      <w:r w:rsidRPr="00CB512C">
        <w:rPr>
          <w:iCs/>
          <w:szCs w:val="18"/>
        </w:rPr>
        <w:t>UNDRIP</w:t>
      </w:r>
      <w:r>
        <w:rPr>
          <w:szCs w:val="18"/>
        </w:rPr>
        <w:t>,</w:t>
      </w:r>
      <w:proofErr w:type="gramEnd"/>
      <w:r>
        <w:rPr>
          <w:szCs w:val="18"/>
        </w:rPr>
        <w:t xml:space="preserve"> art.</w:t>
      </w:r>
      <w:r w:rsidRPr="00CB512C">
        <w:rPr>
          <w:szCs w:val="18"/>
        </w:rPr>
        <w:t xml:space="preserve"> </w:t>
      </w:r>
      <w:proofErr w:type="gramStart"/>
      <w:r w:rsidRPr="00CB512C">
        <w:rPr>
          <w:szCs w:val="18"/>
        </w:rPr>
        <w:t>4</w:t>
      </w:r>
      <w:proofErr w:type="gramEnd"/>
      <w:r w:rsidRPr="00CB512C">
        <w:rPr>
          <w:szCs w:val="18"/>
        </w:rPr>
        <w:t xml:space="preserve">, art. </w:t>
      </w:r>
      <w:proofErr w:type="gramStart"/>
      <w:r w:rsidRPr="00CB512C">
        <w:rPr>
          <w:szCs w:val="18"/>
        </w:rPr>
        <w:t>32</w:t>
      </w:r>
      <w:proofErr w:type="gramEnd"/>
      <w:r w:rsidRPr="00CB512C">
        <w:rPr>
          <w:szCs w:val="18"/>
        </w:rPr>
        <w:t xml:space="preserve">; Document WIPO/GRTKF/IC/29/INF/10, available at </w:t>
      </w:r>
      <w:hyperlink r:id="rId16" w:history="1">
        <w:r w:rsidRPr="00635BB7">
          <w:rPr>
            <w:rStyle w:val="Hyperlink"/>
            <w:color w:val="0033CC"/>
            <w:szCs w:val="18"/>
          </w:rPr>
          <w:t>https://www.wipo.int/edocs/mdocs/tk/en/wipo_grtkf_ic_29/wipo_grtkf_ic_29_inf_10.pdf</w:t>
        </w:r>
      </w:hyperlink>
      <w:r w:rsidRPr="00957002">
        <w:rPr>
          <w:rStyle w:val="Hyperlink"/>
          <w:color w:val="auto"/>
          <w:szCs w:val="18"/>
          <w:u w:val="none"/>
        </w:rPr>
        <w:t>.</w:t>
      </w:r>
    </w:p>
  </w:footnote>
  <w:footnote w:id="38">
    <w:p w:rsidR="00063FCA" w:rsidRPr="00CB512C" w:rsidRDefault="00063FCA" w:rsidP="00063FCA">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Document WIPO/GRTKF/IC/29/INF/10, available at </w:t>
      </w:r>
      <w:hyperlink r:id="rId17" w:history="1">
        <w:r w:rsidRPr="00635BB7">
          <w:rPr>
            <w:rStyle w:val="Hyperlink"/>
            <w:color w:val="0033CC"/>
            <w:szCs w:val="18"/>
          </w:rPr>
          <w:t>https://www.wipo.int/edocs/mdocs/tk/en/wipo_grtkf_ic_29/wipo_grtkf_ic_29_inf_10.pdf</w:t>
        </w:r>
      </w:hyperlink>
      <w:r w:rsidRPr="00CB512C">
        <w:rPr>
          <w:szCs w:val="18"/>
        </w:rPr>
        <w:t>.</w:t>
      </w:r>
    </w:p>
  </w:footnote>
  <w:footnote w:id="39">
    <w:p w:rsidR="00063FCA" w:rsidRPr="00CB512C" w:rsidRDefault="00063FCA" w:rsidP="00063FCA">
      <w:pPr>
        <w:pStyle w:val="FootnoteText"/>
        <w:rPr>
          <w:szCs w:val="18"/>
        </w:rPr>
      </w:pPr>
      <w:r w:rsidRPr="00CB512C">
        <w:rPr>
          <w:rStyle w:val="FootnoteReference"/>
          <w:szCs w:val="18"/>
        </w:rPr>
        <w:footnoteRef/>
      </w:r>
      <w:r w:rsidRPr="00CB512C">
        <w:rPr>
          <w:szCs w:val="18"/>
        </w:rPr>
        <w:t xml:space="preserve"> </w:t>
      </w:r>
      <w:r>
        <w:rPr>
          <w:szCs w:val="18"/>
        </w:rPr>
        <w:tab/>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18" w:history="1">
        <w:r w:rsidRPr="00635BB7">
          <w:rPr>
            <w:rStyle w:val="Hyperlink"/>
            <w:color w:val="0033CC"/>
            <w:szCs w:val="18"/>
          </w:rPr>
          <w:t>https://absch.cbd.int/reports/analyzer</w:t>
        </w:r>
      </w:hyperlink>
      <w:r w:rsidRPr="00635BB7">
        <w:rPr>
          <w:szCs w:val="18"/>
        </w:rPr>
        <w:t xml:space="preserve"> at </w:t>
      </w:r>
      <w:proofErr w:type="gramStart"/>
      <w:r w:rsidRPr="00635BB7">
        <w:rPr>
          <w:szCs w:val="18"/>
        </w:rPr>
        <w:t>11</w:t>
      </w:r>
      <w:r w:rsidRPr="00635BB7">
        <w:rPr>
          <w:szCs w:val="18"/>
          <w:vertAlign w:val="superscript"/>
        </w:rPr>
        <w:t>th</w:t>
      </w:r>
      <w:proofErr w:type="gramEnd"/>
      <w:r w:rsidRPr="00635BB7">
        <w:rPr>
          <w:szCs w:val="18"/>
        </w:rPr>
        <w:t xml:space="preserve"> May 2020</w:t>
      </w:r>
      <w:r w:rsidRPr="00CB512C">
        <w:rPr>
          <w:szCs w:val="18"/>
        </w:rPr>
        <w:t>.</w:t>
      </w:r>
    </w:p>
  </w:footnote>
  <w:footnote w:id="40">
    <w:p w:rsidR="00063FCA" w:rsidRPr="00CB512C" w:rsidRDefault="00063FCA" w:rsidP="00063FCA">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19" w:history="1">
        <w:r w:rsidRPr="00635BB7">
          <w:rPr>
            <w:rStyle w:val="Hyperlink"/>
            <w:color w:val="0033CC"/>
            <w:szCs w:val="18"/>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 </w:t>
      </w:r>
    </w:p>
    <w:p w:rsidR="00063FCA" w:rsidRPr="00CB512C" w:rsidRDefault="00063FCA" w:rsidP="00063FCA">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063FCA" w:rsidRPr="008B5CD1" w:rsidRDefault="00063FCA" w:rsidP="00063FCA">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w:t>
      </w:r>
      <w:proofErr w:type="gramStart"/>
      <w:r w:rsidRPr="00CB512C">
        <w:rPr>
          <w:szCs w:val="18"/>
        </w:rPr>
        <w:t>&lt;</w:t>
      </w:r>
      <w:hyperlink r:id="rId20" w:history="1">
        <w:r w:rsidRPr="00635BB7">
          <w:rPr>
            <w:rStyle w:val="Hyperlink"/>
            <w:color w:val="0033CC"/>
            <w:szCs w:val="18"/>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roofErr w:type="gramEnd"/>
    </w:p>
  </w:footnote>
  <w:footnote w:id="42">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szCs w:val="18"/>
        </w:rPr>
        <w:t>UNDRIP,</w:t>
      </w:r>
      <w:proofErr w:type="gramEnd"/>
      <w:r w:rsidRPr="008B5CD1">
        <w:rPr>
          <w:szCs w:val="18"/>
        </w:rPr>
        <w:t xml:space="preserve"> art 31, art 23.</w:t>
      </w:r>
    </w:p>
  </w:footnote>
  <w:footnote w:id="43">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063FCA" w:rsidRPr="008B5CD1" w:rsidRDefault="00063FCA" w:rsidP="00063FCA">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063FCA" w:rsidRPr="008B5CD1" w:rsidRDefault="00063FCA" w:rsidP="00063FCA">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Chair’s text, art. </w:t>
      </w:r>
      <w:proofErr w:type="gramStart"/>
      <w:r w:rsidRPr="008B5CD1">
        <w:rPr>
          <w:szCs w:val="18"/>
        </w:rPr>
        <w:t>3.1</w:t>
      </w:r>
      <w:proofErr w:type="gramEnd"/>
      <w:r w:rsidRPr="008B5CD1">
        <w:rPr>
          <w:szCs w:val="18"/>
        </w:rPr>
        <w:t xml:space="preserve">, art. </w:t>
      </w:r>
      <w:proofErr w:type="gramStart"/>
      <w:r w:rsidRPr="008B5CD1">
        <w:rPr>
          <w:szCs w:val="18"/>
        </w:rPr>
        <w:t>3.2</w:t>
      </w:r>
      <w:proofErr w:type="gramEnd"/>
      <w:r w:rsidRPr="008B5CD1">
        <w:rPr>
          <w:szCs w:val="18"/>
        </w:rPr>
        <w:t>; Consolidated text, art.10.4.</w:t>
      </w:r>
    </w:p>
  </w:footnote>
  <w:footnote w:id="47">
    <w:p w:rsidR="00063FCA" w:rsidRPr="008B5CD1" w:rsidRDefault="00063FCA" w:rsidP="00063FCA">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r w:rsidRPr="008B5CD1">
        <w:rPr>
          <w:rFonts w:eastAsia="Times New Roman"/>
          <w:sz w:val="18"/>
          <w:szCs w:val="18"/>
          <w:lang w:val="en-AU" w:eastAsia="en-GB"/>
        </w:rPr>
        <w:t xml:space="preserve">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063FCA" w:rsidRPr="008B5CD1" w:rsidRDefault="00063FCA" w:rsidP="00063FCA">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CBD AHTEG DSI, 13-16 February 2018, CBD/DSI/AHTEG/2018/1/4, para 29.</w:t>
      </w:r>
    </w:p>
  </w:footnote>
  <w:footnote w:id="50">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Chair’s text, art. 6.5.</w:t>
      </w:r>
    </w:p>
  </w:footnote>
  <w:footnote w:id="51">
    <w:p w:rsidR="00063FCA" w:rsidRPr="008B5CD1" w:rsidRDefault="00063FCA" w:rsidP="00063FCA">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Consolidated text, art. 6.4</w:t>
      </w:r>
    </w:p>
  </w:footnote>
  <w:footnote w:id="52">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063FCA" w:rsidRPr="008B5CD1" w:rsidRDefault="00063FCA" w:rsidP="00063FCA">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6C3950">
        <w:rPr>
          <w:sz w:val="18"/>
          <w:szCs w:val="18"/>
        </w:rPr>
        <w:t>CBD AHTEG DSI, 13-16 February 2018, CBD/DSI/AHTEG/2018/1/4, para 29.</w:t>
      </w:r>
      <w:r>
        <w:rPr>
          <w:sz w:val="18"/>
          <w:szCs w:val="18"/>
        </w:rPr>
        <w:t xml:space="preserve"> </w:t>
      </w:r>
      <w:r w:rsidRPr="006C3950">
        <w:rPr>
          <w:sz w:val="18"/>
          <w:szCs w:val="18"/>
        </w:rPr>
        <w:t xml:space="preserve">Frederic Perron-Welch, </w:t>
      </w:r>
      <w:proofErr w:type="spellStart"/>
      <w:r w:rsidRPr="006C3950">
        <w:rPr>
          <w:sz w:val="18"/>
          <w:szCs w:val="18"/>
        </w:rPr>
        <w:t>Blockchain</w:t>
      </w:r>
      <w:proofErr w:type="spellEnd"/>
      <w:r w:rsidRPr="006C3950">
        <w:rPr>
          <w:sz w:val="18"/>
          <w:szCs w:val="18"/>
        </w:rPr>
        <w:t xml:space="preserve"> Technology and Access and Benefit Sharing, </w:t>
      </w:r>
      <w:proofErr w:type="gramStart"/>
      <w:r w:rsidRPr="006C3950">
        <w:rPr>
          <w:sz w:val="18"/>
          <w:szCs w:val="18"/>
        </w:rPr>
        <w:t>7</w:t>
      </w:r>
      <w:r w:rsidRPr="006C3950">
        <w:rPr>
          <w:sz w:val="18"/>
          <w:szCs w:val="18"/>
          <w:vertAlign w:val="superscript"/>
        </w:rPr>
        <w:t>th</w:t>
      </w:r>
      <w:proofErr w:type="gramEnd"/>
      <w:r w:rsidRPr="006C3950">
        <w:rPr>
          <w:sz w:val="18"/>
          <w:szCs w:val="18"/>
        </w:rPr>
        <w:t xml:space="preserve"> August 2018</w:t>
      </w:r>
      <w:r>
        <w:rPr>
          <w:sz w:val="18"/>
          <w:szCs w:val="18"/>
        </w:rPr>
        <w:t>.</w:t>
      </w:r>
      <w:r w:rsidRPr="006C3950">
        <w:rPr>
          <w:sz w:val="18"/>
          <w:szCs w:val="18"/>
        </w:rPr>
        <w:t xml:space="preserve"> </w:t>
      </w:r>
    </w:p>
  </w:footnote>
  <w:footnote w:id="54">
    <w:p w:rsidR="00063FCA" w:rsidRPr="008B5CD1" w:rsidRDefault="00063FCA" w:rsidP="00063FCA">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0F2AD2">
    <w:pPr>
      <w:jc w:val="right"/>
    </w:pPr>
    <w:r>
      <w:t>WIPO/GRTKF/IC/47/INF/8</w:t>
    </w:r>
  </w:p>
  <w:p w:rsidR="00063FCA" w:rsidRDefault="00063FCA" w:rsidP="000F2AD2">
    <w:pPr>
      <w:jc w:val="right"/>
    </w:pPr>
    <w:bookmarkStart w:id="5" w:name="_GoBack"/>
    <w:bookmarkEnd w:id="5"/>
    <w:r>
      <w:t xml:space="preserve">page </w:t>
    </w:r>
    <w:r>
      <w:fldChar w:fldCharType="begin"/>
    </w:r>
    <w:r>
      <w:instrText xml:space="preserve"> PAGE  \* MERGEFORMAT </w:instrText>
    </w:r>
    <w:r>
      <w:fldChar w:fldCharType="separate"/>
    </w:r>
    <w:r w:rsidR="00067F2E">
      <w:rPr>
        <w:noProof/>
      </w:rPr>
      <w:t>2</w:t>
    </w:r>
    <w:r>
      <w:fldChar w:fldCharType="end"/>
    </w:r>
  </w:p>
  <w:p w:rsidR="00063FCA" w:rsidRDefault="00063FC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477D6B">
    <w:pPr>
      <w:jc w:val="right"/>
    </w:pPr>
    <w:r>
      <w:t>WIPO/GRTKF/IC/46/INF/8</w:t>
    </w:r>
  </w:p>
  <w:p w:rsidR="00063FCA" w:rsidRDefault="00063FCA"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063FCA" w:rsidRDefault="00063FCA" w:rsidP="00477D6B">
    <w:pPr>
      <w:jc w:val="right"/>
    </w:pPr>
  </w:p>
  <w:p w:rsidR="00063FCA" w:rsidRDefault="00063FC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E9" w:rsidRDefault="00746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E" w:rsidRDefault="00067F2E" w:rsidP="000F2AD2">
    <w:pPr>
      <w:jc w:val="right"/>
    </w:pPr>
    <w:r>
      <w:t>WIPO/GRTKF/IC/47/INF/8</w:t>
    </w:r>
  </w:p>
  <w:p w:rsidR="00067F2E" w:rsidRDefault="00067F2E" w:rsidP="000F2AD2">
    <w:pPr>
      <w:jc w:val="right"/>
    </w:pPr>
    <w:r>
      <w:t xml:space="preserve">Annex, page </w:t>
    </w:r>
    <w:r>
      <w:fldChar w:fldCharType="begin"/>
    </w:r>
    <w:r>
      <w:instrText xml:space="preserve"> PAGE  \* MERGEFORMAT </w:instrText>
    </w:r>
    <w:r>
      <w:fldChar w:fldCharType="separate"/>
    </w:r>
    <w:r>
      <w:rPr>
        <w:noProof/>
      </w:rPr>
      <w:t>6</w:t>
    </w:r>
    <w:r>
      <w:fldChar w:fldCharType="end"/>
    </w:r>
  </w:p>
  <w:p w:rsidR="00067F2E" w:rsidRDefault="00067F2E"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063FCA">
    <w:pPr>
      <w:jc w:val="right"/>
    </w:pPr>
    <w:r>
      <w:t>WIPO/GRTKF/IC/47/INF/8</w:t>
    </w:r>
  </w:p>
  <w:p w:rsidR="00071A34" w:rsidRDefault="00063FCA" w:rsidP="00063FCA">
    <w:pPr>
      <w:jc w:val="right"/>
    </w:pPr>
    <w:r>
      <w:t xml:space="preserve">Annex, page </w:t>
    </w:r>
    <w:r>
      <w:fldChar w:fldCharType="begin"/>
    </w:r>
    <w:r>
      <w:instrText xml:space="preserve"> PAGE   \* MERGEFORMAT </w:instrText>
    </w:r>
    <w:r>
      <w:fldChar w:fldCharType="separate"/>
    </w:r>
    <w:r w:rsidR="00067F2E">
      <w:rPr>
        <w:noProof/>
      </w:rPr>
      <w:t>5</w:t>
    </w:r>
    <w:r>
      <w:rPr>
        <w:noProof/>
      </w:rPr>
      <w:fldChar w:fldCharType="end"/>
    </w:r>
  </w:p>
  <w:p w:rsidR="00063FCA" w:rsidRDefault="00063FCA" w:rsidP="00063FCA">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063FCA">
    <w:pPr>
      <w:jc w:val="right"/>
    </w:pPr>
    <w:r>
      <w:t>WIPO/GRTKF/IC/47/INF/8</w:t>
    </w:r>
  </w:p>
  <w:p w:rsidR="00063FCA" w:rsidRDefault="00063FCA" w:rsidP="00063FCA">
    <w:pPr>
      <w:jc w:val="right"/>
    </w:pPr>
    <w:r>
      <w:t>ANNEX</w:t>
    </w: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3FCA"/>
    <w:rsid w:val="00067F2E"/>
    <w:rsid w:val="00071A34"/>
    <w:rsid w:val="00075432"/>
    <w:rsid w:val="00090C21"/>
    <w:rsid w:val="000968ED"/>
    <w:rsid w:val="000D1DD6"/>
    <w:rsid w:val="000F2AD2"/>
    <w:rsid w:val="000F5E56"/>
    <w:rsid w:val="001307BE"/>
    <w:rsid w:val="001362EE"/>
    <w:rsid w:val="001647D5"/>
    <w:rsid w:val="001832A6"/>
    <w:rsid w:val="001F1ACB"/>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46EE9"/>
    <w:rsid w:val="00757702"/>
    <w:rsid w:val="007D1613"/>
    <w:rsid w:val="007E4C0E"/>
    <w:rsid w:val="008A134B"/>
    <w:rsid w:val="008B2CC1"/>
    <w:rsid w:val="008B60B2"/>
    <w:rsid w:val="008C1180"/>
    <w:rsid w:val="008C5C51"/>
    <w:rsid w:val="0090731E"/>
    <w:rsid w:val="00916EE2"/>
    <w:rsid w:val="00966A22"/>
    <w:rsid w:val="0096722F"/>
    <w:rsid w:val="00980843"/>
    <w:rsid w:val="00996229"/>
    <w:rsid w:val="009E2791"/>
    <w:rsid w:val="009E3F6F"/>
    <w:rsid w:val="009F499F"/>
    <w:rsid w:val="00A0509A"/>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C43796"/>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063FCA"/>
    <w:rPr>
      <w:vertAlign w:val="superscript"/>
    </w:rPr>
  </w:style>
  <w:style w:type="character" w:styleId="Hyperlink">
    <w:name w:val="Hyperlink"/>
    <w:basedOn w:val="DefaultParagraphFont"/>
    <w:uiPriority w:val="99"/>
    <w:unhideWhenUsed/>
    <w:rsid w:val="00063FCA"/>
    <w:rPr>
      <w:color w:val="0000FF" w:themeColor="hyperlink"/>
      <w:u w:val="single"/>
    </w:rPr>
  </w:style>
  <w:style w:type="character" w:customStyle="1" w:styleId="HeaderChar">
    <w:name w:val="Header Char"/>
    <w:aliases w:val="Heading Char"/>
    <w:basedOn w:val="DefaultParagraphFont"/>
    <w:link w:val="Header"/>
    <w:uiPriority w:val="99"/>
    <w:rsid w:val="00063FC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TotalTime>
  <Pages>12</Pages>
  <Words>4199</Words>
  <Characters>24538</Characters>
  <Application>Microsoft Office Word</Application>
  <DocSecurity>0</DocSecurity>
  <Lines>371</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7</cp:revision>
  <cp:lastPrinted>2011-02-15T11:56:00Z</cp:lastPrinted>
  <dcterms:created xsi:type="dcterms:W3CDTF">2023-03-21T15:26:00Z</dcterms:created>
  <dcterms:modified xsi:type="dcterms:W3CDTF">2023-03-22T17:06:00Z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092af52c-e013-4508-a91d-f63df381c38b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