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9191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91916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91916" w:rsidRDefault="006449B9" w:rsidP="00916EE2">
            <w:pPr>
              <w:rPr>
                <w:lang w:val="es-ES"/>
              </w:rPr>
            </w:pPr>
            <w:r w:rsidRPr="00391916">
              <w:rPr>
                <w:noProof/>
                <w:color w:val="808080"/>
                <w:lang w:eastAsia="en-US"/>
              </w:rPr>
              <w:drawing>
                <wp:inline distT="0" distB="0" distL="0" distR="0" wp14:anchorId="1B3E4207" wp14:editId="3E77B58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91916" w:rsidRDefault="006449B9" w:rsidP="00916EE2">
            <w:pPr>
              <w:jc w:val="right"/>
              <w:rPr>
                <w:lang w:val="es-ES"/>
              </w:rPr>
            </w:pPr>
            <w:r w:rsidRPr="0039191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39191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91916" w:rsidRDefault="00CC261B" w:rsidP="00916EE2">
            <w:pPr>
              <w:jc w:val="right"/>
              <w:rPr>
                <w:rFonts w:ascii="Arial Black" w:hAnsi="Arial Black"/>
                <w:caps/>
                <w:sz w:val="15"/>
                <w:highlight w:val="yellow"/>
                <w:lang w:val="es-ES"/>
              </w:rPr>
            </w:pPr>
            <w:bookmarkStart w:id="0" w:name="Code"/>
            <w:bookmarkEnd w:id="0"/>
            <w:r w:rsidRPr="00391916">
              <w:rPr>
                <w:rFonts w:ascii="Arial Black" w:hAnsi="Arial Black"/>
                <w:caps/>
                <w:sz w:val="15"/>
                <w:lang w:val="es-ES"/>
              </w:rPr>
              <w:t>WIPO/EXP/GR/GE/18</w:t>
            </w:r>
            <w:r w:rsidR="00973CA7" w:rsidRPr="00391916">
              <w:rPr>
                <w:rFonts w:ascii="Arial Black" w:hAnsi="Arial Black"/>
                <w:caps/>
                <w:sz w:val="15"/>
                <w:lang w:val="es-ES"/>
              </w:rPr>
              <w:t>/2</w:t>
            </w:r>
            <w:r w:rsidR="008B2CC1" w:rsidRPr="00391916">
              <w:rPr>
                <w:rFonts w:ascii="Arial Black" w:hAnsi="Arial Black"/>
                <w:caps/>
                <w:sz w:val="15"/>
                <w:highlight w:val="yellow"/>
                <w:lang w:val="es-ES"/>
              </w:rPr>
              <w:t xml:space="preserve">  </w:t>
            </w:r>
          </w:p>
        </w:tc>
      </w:tr>
      <w:tr w:rsidR="008B2CC1" w:rsidRPr="0039191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91916" w:rsidRDefault="006449B9" w:rsidP="00CD04F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91916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Pr="0039191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3919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91916" w:rsidRDefault="006449B9" w:rsidP="00B218B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91916">
              <w:rPr>
                <w:rFonts w:ascii="Arial Black" w:hAnsi="Arial Black"/>
                <w:caps/>
                <w:sz w:val="15"/>
                <w:lang w:val="es-ES"/>
              </w:rPr>
              <w:t>FEC</w:t>
            </w:r>
            <w:bookmarkStart w:id="2" w:name="Date"/>
            <w:bookmarkEnd w:id="2"/>
            <w:r w:rsidRPr="00391916">
              <w:rPr>
                <w:rFonts w:ascii="Arial Black" w:hAnsi="Arial Black"/>
                <w:caps/>
                <w:sz w:val="15"/>
                <w:lang w:val="es-ES"/>
              </w:rPr>
              <w:t>HA: 14 DE JUNIO DE 2018</w:t>
            </w:r>
          </w:p>
        </w:tc>
      </w:tr>
    </w:tbl>
    <w:p w:rsidR="008B2CC1" w:rsidRPr="00391916" w:rsidRDefault="008B2CC1" w:rsidP="008B2CC1">
      <w:pPr>
        <w:rPr>
          <w:lang w:val="es-ES"/>
        </w:rPr>
      </w:pPr>
    </w:p>
    <w:p w:rsidR="008B2CC1" w:rsidRPr="00391916" w:rsidRDefault="008B2CC1" w:rsidP="008B2CC1">
      <w:pPr>
        <w:rPr>
          <w:lang w:val="es-ES"/>
        </w:rPr>
      </w:pPr>
    </w:p>
    <w:p w:rsidR="008B2CC1" w:rsidRPr="00391916" w:rsidRDefault="008B2CC1" w:rsidP="008B2CC1">
      <w:pPr>
        <w:rPr>
          <w:lang w:val="es-ES"/>
        </w:rPr>
      </w:pPr>
    </w:p>
    <w:p w:rsidR="008B2CC1" w:rsidRPr="00391916" w:rsidRDefault="008B2CC1" w:rsidP="008B2CC1">
      <w:pPr>
        <w:rPr>
          <w:lang w:val="es-ES"/>
        </w:rPr>
      </w:pPr>
    </w:p>
    <w:p w:rsidR="008B2CC1" w:rsidRPr="00391916" w:rsidRDefault="008B2CC1" w:rsidP="008B2CC1">
      <w:pPr>
        <w:rPr>
          <w:lang w:val="es-ES"/>
        </w:rPr>
      </w:pPr>
    </w:p>
    <w:p w:rsidR="006449B9" w:rsidRPr="00391916" w:rsidRDefault="006449B9" w:rsidP="006449B9">
      <w:pPr>
        <w:rPr>
          <w:b/>
          <w:i/>
          <w:sz w:val="28"/>
          <w:szCs w:val="28"/>
          <w:lang w:val="es-ES"/>
        </w:rPr>
      </w:pPr>
      <w:r w:rsidRPr="00391916">
        <w:rPr>
          <w:b/>
          <w:sz w:val="28"/>
          <w:szCs w:val="28"/>
          <w:lang w:val="es-ES"/>
        </w:rPr>
        <w:t>Grupo de expertos</w:t>
      </w:r>
      <w:r w:rsidRPr="00391916">
        <w:rPr>
          <w:b/>
          <w:i/>
          <w:sz w:val="28"/>
          <w:szCs w:val="28"/>
          <w:lang w:val="es-ES"/>
        </w:rPr>
        <w:t xml:space="preserve"> ad hoc </w:t>
      </w:r>
      <w:r w:rsidRPr="00391916">
        <w:rPr>
          <w:b/>
          <w:sz w:val="28"/>
          <w:szCs w:val="28"/>
          <w:lang w:val="es-ES"/>
        </w:rPr>
        <w:t>sobre recursos genéticos</w:t>
      </w:r>
    </w:p>
    <w:p w:rsidR="003845C1" w:rsidRPr="00391916" w:rsidRDefault="003845C1" w:rsidP="003845C1">
      <w:pPr>
        <w:rPr>
          <w:lang w:val="es-ES"/>
        </w:rPr>
      </w:pPr>
    </w:p>
    <w:p w:rsidR="003845C1" w:rsidRPr="00391916" w:rsidRDefault="003845C1" w:rsidP="003845C1">
      <w:pPr>
        <w:rPr>
          <w:lang w:val="es-ES"/>
        </w:rPr>
      </w:pPr>
    </w:p>
    <w:p w:rsidR="006449B9" w:rsidRPr="00391916" w:rsidRDefault="006449B9" w:rsidP="006449B9">
      <w:pPr>
        <w:rPr>
          <w:b/>
          <w:sz w:val="24"/>
          <w:szCs w:val="24"/>
          <w:lang w:val="es-ES"/>
        </w:rPr>
      </w:pPr>
      <w:r w:rsidRPr="00391916">
        <w:rPr>
          <w:b/>
          <w:sz w:val="24"/>
          <w:szCs w:val="24"/>
          <w:lang w:val="es-ES"/>
        </w:rPr>
        <w:t>Ginebra, 24 de junio de 2018</w:t>
      </w:r>
    </w:p>
    <w:p w:rsidR="008B2CC1" w:rsidRPr="00391916" w:rsidRDefault="008B2CC1" w:rsidP="008B2CC1">
      <w:pPr>
        <w:rPr>
          <w:lang w:val="es-ES"/>
        </w:rPr>
      </w:pPr>
    </w:p>
    <w:p w:rsidR="008B2CC1" w:rsidRPr="00391916" w:rsidRDefault="008B2CC1" w:rsidP="008B2CC1">
      <w:pPr>
        <w:rPr>
          <w:lang w:val="es-ES"/>
        </w:rPr>
      </w:pPr>
    </w:p>
    <w:p w:rsidR="008B2CC1" w:rsidRPr="00391916" w:rsidRDefault="008B2CC1" w:rsidP="008B2CC1">
      <w:pPr>
        <w:rPr>
          <w:lang w:val="es-ES"/>
        </w:rPr>
      </w:pPr>
    </w:p>
    <w:p w:rsidR="008B2CC1" w:rsidRPr="00391916" w:rsidRDefault="006449B9" w:rsidP="008B2CC1">
      <w:pPr>
        <w:rPr>
          <w:lang w:val="es-ES"/>
        </w:rPr>
      </w:pPr>
      <w:bookmarkStart w:id="3" w:name="TitleOfDoc"/>
      <w:bookmarkEnd w:id="3"/>
      <w:r w:rsidRPr="00391916">
        <w:rPr>
          <w:lang w:val="es-ES"/>
        </w:rPr>
        <w:t xml:space="preserve">NOTA </w:t>
      </w:r>
      <w:r w:rsidR="005113D5" w:rsidRPr="00391916">
        <w:rPr>
          <w:lang w:val="es-ES"/>
        </w:rPr>
        <w:t>DE ANTECEDENTES SOBRE ELEMENTOS SUSTANTIVOS</w:t>
      </w:r>
    </w:p>
    <w:p w:rsidR="006449B9" w:rsidRPr="00391916" w:rsidRDefault="006449B9" w:rsidP="008B2CC1">
      <w:pPr>
        <w:rPr>
          <w:lang w:val="es-ES"/>
        </w:rPr>
      </w:pPr>
    </w:p>
    <w:p w:rsidR="006449B9" w:rsidRPr="00391916" w:rsidRDefault="006449B9" w:rsidP="006449B9">
      <w:pPr>
        <w:rPr>
          <w:i/>
          <w:lang w:val="es-ES"/>
        </w:rPr>
      </w:pPr>
      <w:bookmarkStart w:id="4" w:name="Prepared"/>
      <w:bookmarkEnd w:id="4"/>
      <w:r w:rsidRPr="00391916">
        <w:rPr>
          <w:i/>
          <w:lang w:val="es-ES"/>
        </w:rPr>
        <w:t>preparada por la Oficina Internacional de la OMPI</w:t>
      </w:r>
    </w:p>
    <w:p w:rsidR="00AC205C" w:rsidRPr="00391916" w:rsidRDefault="00AC205C">
      <w:pPr>
        <w:rPr>
          <w:lang w:val="es-ES"/>
        </w:rPr>
      </w:pPr>
    </w:p>
    <w:p w:rsidR="000F5E56" w:rsidRPr="00391916" w:rsidRDefault="000F5E56">
      <w:pPr>
        <w:rPr>
          <w:lang w:val="es-ES"/>
        </w:rPr>
      </w:pPr>
    </w:p>
    <w:p w:rsidR="002928D3" w:rsidRPr="00391916" w:rsidRDefault="002928D3">
      <w:pPr>
        <w:rPr>
          <w:lang w:val="es-ES"/>
        </w:rPr>
      </w:pPr>
    </w:p>
    <w:p w:rsidR="002928D3" w:rsidRPr="00391916" w:rsidRDefault="002928D3" w:rsidP="0053057A">
      <w:pPr>
        <w:rPr>
          <w:lang w:val="es-ES"/>
        </w:rPr>
      </w:pPr>
    </w:p>
    <w:p w:rsidR="00EA2B1E" w:rsidRPr="00391916" w:rsidRDefault="00EA2B1E">
      <w:pPr>
        <w:rPr>
          <w:lang w:val="es-ES"/>
        </w:rPr>
      </w:pPr>
      <w:r w:rsidRPr="00391916">
        <w:rPr>
          <w:lang w:val="es-ES"/>
        </w:rPr>
        <w:br w:type="page"/>
      </w:r>
    </w:p>
    <w:p w:rsidR="002928D3" w:rsidRPr="00391916" w:rsidRDefault="00EA2B1E" w:rsidP="000728DF">
      <w:pPr>
        <w:rPr>
          <w:lang w:val="es-ES"/>
        </w:rPr>
      </w:pPr>
      <w:r w:rsidRPr="00391916">
        <w:rPr>
          <w:lang w:val="es-ES"/>
        </w:rPr>
        <w:lastRenderedPageBreak/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="00596D83" w:rsidRPr="00391916">
        <w:rPr>
          <w:lang w:val="es-ES"/>
        </w:rPr>
        <w:tab/>
      </w:r>
      <w:r w:rsidR="005F47D0" w:rsidRPr="00391916">
        <w:rPr>
          <w:lang w:val="es-ES"/>
        </w:rPr>
        <w:t xml:space="preserve">El objetivo general del grupo de expertos </w:t>
      </w:r>
      <w:r w:rsidR="005F47D0" w:rsidRPr="00391916">
        <w:rPr>
          <w:i/>
          <w:lang w:val="es-ES"/>
        </w:rPr>
        <w:t>ad hoc</w:t>
      </w:r>
      <w:r w:rsidR="005F47D0" w:rsidRPr="00391916">
        <w:rPr>
          <w:lang w:val="es-ES"/>
        </w:rPr>
        <w:t xml:space="preserve"> sobre recursos genéticos es, como se </w:t>
      </w:r>
      <w:r w:rsidR="000A6ACC" w:rsidRPr="00391916">
        <w:rPr>
          <w:lang w:val="es-ES"/>
        </w:rPr>
        <w:t>desprende d</w:t>
      </w:r>
      <w:r w:rsidR="005F47D0" w:rsidRPr="00391916">
        <w:rPr>
          <w:lang w:val="es-ES"/>
        </w:rPr>
        <w:t xml:space="preserve">el mandato del Comité Intergubernamental sobre Propiedad Intelectual y Recursos Genéticos, Conocimientos Tradicionales y Folclore (“CIG”) y </w:t>
      </w:r>
      <w:r w:rsidR="00B52CD8">
        <w:rPr>
          <w:lang w:val="es-ES"/>
        </w:rPr>
        <w:t>d</w:t>
      </w:r>
      <w:r w:rsidR="005F47D0" w:rsidRPr="00391916">
        <w:rPr>
          <w:lang w:val="es-ES"/>
        </w:rPr>
        <w:t xml:space="preserve">e las decisiones </w:t>
      </w:r>
      <w:r w:rsidR="00B85DAA" w:rsidRPr="00391916">
        <w:rPr>
          <w:lang w:val="es-ES"/>
        </w:rPr>
        <w:t>tomadas en</w:t>
      </w:r>
      <w:r w:rsidR="005F47D0" w:rsidRPr="00391916">
        <w:rPr>
          <w:lang w:val="es-ES"/>
        </w:rPr>
        <w:t xml:space="preserve"> la trigésima quinta sesión del CIG</w:t>
      </w:r>
      <w:r w:rsidR="00B52CD8">
        <w:rPr>
          <w:lang w:val="es-ES"/>
        </w:rPr>
        <w:t>,</w:t>
      </w:r>
      <w:r w:rsidR="005F47D0" w:rsidRPr="00391916">
        <w:rPr>
          <w:lang w:val="es-ES"/>
        </w:rPr>
        <w:t xml:space="preserve"> celebrada del 19 al 23 de mayo de 2018, dar respuesta a cuestiones específicas de carácter jurídico, normativo o técnico. Los resultados de su labor se comunicarán al CIG, que los examinará en mayor profundidad</w:t>
      </w:r>
      <w:r w:rsidR="000728DF" w:rsidRPr="00391916">
        <w:rPr>
          <w:szCs w:val="22"/>
          <w:lang w:val="es-ES"/>
        </w:rPr>
        <w:t xml:space="preserve">. </w:t>
      </w:r>
    </w:p>
    <w:p w:rsidR="00D33D96" w:rsidRPr="00391916" w:rsidRDefault="00D33D96">
      <w:pPr>
        <w:rPr>
          <w:szCs w:val="22"/>
          <w:lang w:val="es-ES"/>
        </w:rPr>
      </w:pPr>
    </w:p>
    <w:p w:rsidR="005F47D0" w:rsidRPr="00391916" w:rsidRDefault="00D33D96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5F47D0" w:rsidRPr="00391916">
        <w:rPr>
          <w:lang w:val="es-ES"/>
        </w:rPr>
        <w:t xml:space="preserve">De acuerdo con las decisiones </w:t>
      </w:r>
      <w:r w:rsidR="00B85DAA" w:rsidRPr="00391916">
        <w:rPr>
          <w:lang w:val="es-ES"/>
        </w:rPr>
        <w:t>tomadas en</w:t>
      </w:r>
      <w:r w:rsidR="005F47D0" w:rsidRPr="00391916">
        <w:rPr>
          <w:lang w:val="es-ES"/>
        </w:rPr>
        <w:t xml:space="preserve"> la trigésima quinta sesión del CIG, se invitó a los Estados miembros, por medio de los coordinadores regionales, a que propusieran las cuestiones específicas que debían someterse al examen del grupo de expertos </w:t>
      </w:r>
      <w:r w:rsidR="005F47D0" w:rsidRPr="00391916">
        <w:rPr>
          <w:i/>
          <w:lang w:val="es-ES"/>
        </w:rPr>
        <w:t>ad hoc</w:t>
      </w:r>
      <w:r w:rsidR="005F47D0" w:rsidRPr="00391916">
        <w:rPr>
          <w:lang w:val="es-ES"/>
        </w:rPr>
        <w:t>. El presidente y los vicepresidentes del CIG establecieron una lista de cuestiones a partir de las propuestas presentadas por los Estados miembros</w:t>
      </w:r>
      <w:r w:rsidR="002B6424" w:rsidRPr="00391916">
        <w:rPr>
          <w:lang w:val="es-ES"/>
        </w:rPr>
        <w:t>,</w:t>
      </w:r>
      <w:r w:rsidR="005F47D0" w:rsidRPr="00391916">
        <w:rPr>
          <w:lang w:val="es-ES"/>
        </w:rPr>
        <w:t xml:space="preserve"> y la pusieron a disposición de los coordinadores regionales para que formularan comentarios. </w:t>
      </w:r>
      <w:r w:rsidR="00E70FC9" w:rsidRPr="00391916">
        <w:rPr>
          <w:lang w:val="es-ES"/>
        </w:rPr>
        <w:t>En consecuencia</w:t>
      </w:r>
      <w:r w:rsidR="005F47D0" w:rsidRPr="00391916">
        <w:rPr>
          <w:lang w:val="es-ES"/>
        </w:rPr>
        <w:t xml:space="preserve">, el grupo de expertos </w:t>
      </w:r>
      <w:r w:rsidR="005F47D0" w:rsidRPr="00391916">
        <w:rPr>
          <w:i/>
          <w:lang w:val="es-ES"/>
        </w:rPr>
        <w:t>ad hoc</w:t>
      </w:r>
      <w:r w:rsidR="005F47D0" w:rsidRPr="00391916">
        <w:rPr>
          <w:lang w:val="es-ES"/>
        </w:rPr>
        <w:t xml:space="preserve"> examinará las cuestiones siguientes:</w:t>
      </w:r>
    </w:p>
    <w:p w:rsidR="00973CA7" w:rsidRPr="00391916" w:rsidRDefault="00973CA7">
      <w:pPr>
        <w:rPr>
          <w:lang w:val="es-ES"/>
        </w:rPr>
      </w:pPr>
    </w:p>
    <w:p w:rsidR="003A74C7" w:rsidRPr="00391916" w:rsidRDefault="003A74C7" w:rsidP="003A74C7">
      <w:pPr>
        <w:numPr>
          <w:ilvl w:val="0"/>
          <w:numId w:val="8"/>
        </w:numPr>
        <w:rPr>
          <w:lang w:val="es-ES"/>
        </w:rPr>
      </w:pPr>
      <w:r w:rsidRPr="00391916">
        <w:rPr>
          <w:u w:val="single"/>
          <w:lang w:val="es-ES"/>
        </w:rPr>
        <w:t>Materia</w:t>
      </w:r>
      <w:r w:rsidRPr="00391916">
        <w:rPr>
          <w:lang w:val="es-ES"/>
        </w:rPr>
        <w:t xml:space="preserve">: ámbito (propiedad intelectual o patentes) y utilización de </w:t>
      </w:r>
      <w:r w:rsidR="00B85DAA" w:rsidRPr="00391916">
        <w:rPr>
          <w:lang w:val="es-ES"/>
        </w:rPr>
        <w:t xml:space="preserve">los </w:t>
      </w:r>
      <w:r w:rsidRPr="00391916">
        <w:rPr>
          <w:lang w:val="es-ES"/>
        </w:rPr>
        <w:t>términos (recursos genéticos, conocimientos tradicionales relacionados con los recursos genéticos, derivados);</w:t>
      </w:r>
    </w:p>
    <w:p w:rsidR="003A74C7" w:rsidRPr="00391916" w:rsidRDefault="003A74C7" w:rsidP="003A74C7">
      <w:pPr>
        <w:numPr>
          <w:ilvl w:val="0"/>
          <w:numId w:val="8"/>
        </w:numPr>
        <w:rPr>
          <w:lang w:val="es-ES"/>
        </w:rPr>
      </w:pPr>
      <w:r w:rsidRPr="00391916">
        <w:rPr>
          <w:u w:val="single"/>
          <w:lang w:val="es-ES"/>
        </w:rPr>
        <w:t>Divulgación</w:t>
      </w:r>
      <w:r w:rsidRPr="00391916">
        <w:rPr>
          <w:lang w:val="es-ES"/>
        </w:rPr>
        <w:t>:</w:t>
      </w:r>
    </w:p>
    <w:p w:rsidR="003A74C7" w:rsidRPr="00391916" w:rsidRDefault="003A74C7" w:rsidP="003A74C7">
      <w:pPr>
        <w:pStyle w:val="ListParagraph"/>
        <w:numPr>
          <w:ilvl w:val="0"/>
          <w:numId w:val="9"/>
        </w:numPr>
        <w:rPr>
          <w:lang w:val="es-ES"/>
        </w:rPr>
      </w:pPr>
      <w:r w:rsidRPr="00391916">
        <w:rPr>
          <w:lang w:val="es-ES"/>
        </w:rPr>
        <w:t xml:space="preserve">Motivo y utilización de </w:t>
      </w:r>
      <w:r w:rsidR="00B85DAA" w:rsidRPr="00391916">
        <w:rPr>
          <w:lang w:val="es-ES"/>
        </w:rPr>
        <w:t xml:space="preserve">los </w:t>
      </w:r>
      <w:r w:rsidRPr="00391916">
        <w:rPr>
          <w:lang w:val="es-ES"/>
        </w:rPr>
        <w:t>términos (basada directamente en, utilización).</w:t>
      </w:r>
    </w:p>
    <w:p w:rsidR="003A74C7" w:rsidRPr="00391916" w:rsidRDefault="003A74C7" w:rsidP="003A74C7">
      <w:pPr>
        <w:pStyle w:val="ListParagraph"/>
        <w:numPr>
          <w:ilvl w:val="0"/>
          <w:numId w:val="9"/>
        </w:numPr>
        <w:rPr>
          <w:lang w:val="es-ES"/>
        </w:rPr>
      </w:pPr>
      <w:r w:rsidRPr="00391916">
        <w:rPr>
          <w:lang w:val="es-ES"/>
        </w:rPr>
        <w:t>Contenido y utilización de</w:t>
      </w:r>
      <w:r w:rsidR="00B85DAA" w:rsidRPr="00391916">
        <w:rPr>
          <w:lang w:val="es-ES"/>
        </w:rPr>
        <w:t xml:space="preserve"> los</w:t>
      </w:r>
      <w:r w:rsidRPr="00391916">
        <w:rPr>
          <w:lang w:val="es-ES"/>
        </w:rPr>
        <w:t xml:space="preserve"> términos (fuente, país proveedor, país de origen).</w:t>
      </w:r>
    </w:p>
    <w:p w:rsidR="003A74C7" w:rsidRPr="00391916" w:rsidRDefault="0076779A" w:rsidP="003A74C7">
      <w:pPr>
        <w:pStyle w:val="ListParagraph"/>
        <w:numPr>
          <w:ilvl w:val="0"/>
          <w:numId w:val="9"/>
        </w:numPr>
        <w:rPr>
          <w:lang w:val="es-ES"/>
        </w:rPr>
      </w:pPr>
      <w:r w:rsidRPr="00391916">
        <w:rPr>
          <w:lang w:val="es-ES"/>
        </w:rPr>
        <w:t xml:space="preserve">Consecuencias del incumplimiento </w:t>
      </w:r>
      <w:r w:rsidR="003A74C7" w:rsidRPr="00391916">
        <w:rPr>
          <w:lang w:val="es-ES"/>
        </w:rPr>
        <w:t>(sanciones, recursos);</w:t>
      </w:r>
    </w:p>
    <w:p w:rsidR="003A74C7" w:rsidRPr="00391916" w:rsidRDefault="003A74C7" w:rsidP="003A74C7">
      <w:pPr>
        <w:pStyle w:val="ListParagraph"/>
        <w:numPr>
          <w:ilvl w:val="0"/>
          <w:numId w:val="8"/>
        </w:numPr>
        <w:rPr>
          <w:lang w:val="es-ES"/>
        </w:rPr>
      </w:pPr>
      <w:r w:rsidRPr="00391916">
        <w:rPr>
          <w:u w:val="single"/>
          <w:lang w:val="es-ES"/>
        </w:rPr>
        <w:t>Bases de datos</w:t>
      </w:r>
      <w:r w:rsidRPr="00391916">
        <w:rPr>
          <w:lang w:val="es-ES"/>
        </w:rPr>
        <w:t>: cuestiones técnicas como las salvaguardias y aspectos p</w:t>
      </w:r>
      <w:r w:rsidR="00B85DAA" w:rsidRPr="00391916">
        <w:rPr>
          <w:lang w:val="es-ES"/>
        </w:rPr>
        <w:t xml:space="preserve">rácticos relativos al establecimiento </w:t>
      </w:r>
      <w:r w:rsidRPr="00391916">
        <w:rPr>
          <w:lang w:val="es-ES"/>
        </w:rPr>
        <w:t>y el funcionamiento de las bases de datos;</w:t>
      </w:r>
    </w:p>
    <w:p w:rsidR="003A74C7" w:rsidRPr="00391916" w:rsidRDefault="003A74C7" w:rsidP="003A74C7">
      <w:pPr>
        <w:numPr>
          <w:ilvl w:val="0"/>
          <w:numId w:val="7"/>
        </w:numPr>
        <w:rPr>
          <w:lang w:val="es-ES"/>
        </w:rPr>
      </w:pPr>
      <w:r w:rsidRPr="00391916">
        <w:rPr>
          <w:u w:val="single"/>
          <w:lang w:val="es-ES"/>
        </w:rPr>
        <w:t>Mecanismos de diligencia debida</w:t>
      </w:r>
      <w:r w:rsidRPr="00391916">
        <w:rPr>
          <w:lang w:val="es-ES"/>
        </w:rPr>
        <w:t xml:space="preserve">: </w:t>
      </w:r>
      <w:r w:rsidR="00B85DAA" w:rsidRPr="00391916">
        <w:rPr>
          <w:lang w:val="es-ES"/>
        </w:rPr>
        <w:t>cuestiones técnicas relativas</w:t>
      </w:r>
      <w:r w:rsidRPr="00391916">
        <w:rPr>
          <w:lang w:val="es-ES"/>
        </w:rPr>
        <w:t xml:space="preserve"> a la creación y el funcionamiento de los distintos tipos de mecanismos de diligencia debida.</w:t>
      </w:r>
    </w:p>
    <w:p w:rsidR="00B50079" w:rsidRPr="00391916" w:rsidRDefault="00B50079">
      <w:pPr>
        <w:rPr>
          <w:lang w:val="es-ES"/>
        </w:rPr>
      </w:pPr>
    </w:p>
    <w:p w:rsidR="0076779A" w:rsidRPr="00391916" w:rsidRDefault="00B50079" w:rsidP="00973CA7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76779A" w:rsidRPr="00391916">
        <w:rPr>
          <w:lang w:val="es-ES"/>
        </w:rPr>
        <w:t xml:space="preserve">En la presente nota </w:t>
      </w:r>
      <w:r w:rsidR="00E70FC9" w:rsidRPr="00391916">
        <w:rPr>
          <w:lang w:val="es-ES"/>
        </w:rPr>
        <w:t>de antecedentes sobre elementos</w:t>
      </w:r>
      <w:r w:rsidR="0076779A" w:rsidRPr="00391916">
        <w:rPr>
          <w:lang w:val="es-ES"/>
        </w:rPr>
        <w:t xml:space="preserve"> sustantivo</w:t>
      </w:r>
      <w:r w:rsidR="00E70FC9" w:rsidRPr="00391916">
        <w:rPr>
          <w:lang w:val="es-ES"/>
        </w:rPr>
        <w:t>s</w:t>
      </w:r>
      <w:r w:rsidR="0076779A" w:rsidRPr="00391916">
        <w:rPr>
          <w:lang w:val="es-ES"/>
        </w:rPr>
        <w:t xml:space="preserve"> se </w:t>
      </w:r>
      <w:r w:rsidR="00E70FC9" w:rsidRPr="00391916">
        <w:rPr>
          <w:lang w:val="es-ES"/>
        </w:rPr>
        <w:t>aportan antecedentes</w:t>
      </w:r>
      <w:r w:rsidR="0076779A" w:rsidRPr="00391916">
        <w:rPr>
          <w:lang w:val="es-ES"/>
        </w:rPr>
        <w:t xml:space="preserve"> sobre la lista de cuestiones y se proponen algunos aspectos para que el grupo de expertos </w:t>
      </w:r>
      <w:r w:rsidR="0076779A" w:rsidRPr="00391916">
        <w:rPr>
          <w:i/>
          <w:lang w:val="es-ES"/>
        </w:rPr>
        <w:t xml:space="preserve">ad hoc </w:t>
      </w:r>
      <w:r w:rsidR="0076779A" w:rsidRPr="00391916">
        <w:rPr>
          <w:lang w:val="es-ES"/>
        </w:rPr>
        <w:t>los examine.</w:t>
      </w:r>
    </w:p>
    <w:p w:rsidR="007F1806" w:rsidRPr="00391916" w:rsidRDefault="007F1806" w:rsidP="007F1806">
      <w:pPr>
        <w:rPr>
          <w:lang w:val="es-ES"/>
        </w:rPr>
      </w:pPr>
    </w:p>
    <w:p w:rsidR="00D33D96" w:rsidRPr="00391916" w:rsidRDefault="00B85DAA">
      <w:pPr>
        <w:rPr>
          <w:b/>
          <w:lang w:val="es-ES"/>
        </w:rPr>
      </w:pPr>
      <w:r w:rsidRPr="00391916">
        <w:rPr>
          <w:b/>
          <w:lang w:val="es-ES"/>
        </w:rPr>
        <w:t>Materia</w:t>
      </w:r>
    </w:p>
    <w:p w:rsidR="00D33D96" w:rsidRPr="00391916" w:rsidRDefault="00D33D96">
      <w:pPr>
        <w:rPr>
          <w:lang w:val="es-ES"/>
        </w:rPr>
      </w:pPr>
    </w:p>
    <w:p w:rsidR="00575F9A" w:rsidRPr="00391916" w:rsidRDefault="00D33D96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575F9A" w:rsidRPr="00391916">
        <w:rPr>
          <w:lang w:val="es-ES"/>
        </w:rPr>
        <w:t>La determinación de la materia del instrum</w:t>
      </w:r>
      <w:r w:rsidR="002B6424" w:rsidRPr="00391916">
        <w:rPr>
          <w:lang w:val="es-ES"/>
        </w:rPr>
        <w:t xml:space="preserve">ento que negociará el CIG es un </w:t>
      </w:r>
      <w:r w:rsidR="00B52CD8">
        <w:rPr>
          <w:lang w:val="es-ES"/>
        </w:rPr>
        <w:t xml:space="preserve">asunto </w:t>
      </w:r>
      <w:r w:rsidR="00575F9A" w:rsidRPr="00391916">
        <w:rPr>
          <w:lang w:val="es-ES"/>
        </w:rPr>
        <w:t xml:space="preserve">importante. </w:t>
      </w:r>
      <w:r w:rsidR="00E70FC9" w:rsidRPr="00391916">
        <w:rPr>
          <w:lang w:val="es-ES"/>
        </w:rPr>
        <w:t>D</w:t>
      </w:r>
      <w:r w:rsidR="00575F9A" w:rsidRPr="00391916">
        <w:rPr>
          <w:lang w:val="es-ES"/>
        </w:rPr>
        <w:t>os</w:t>
      </w:r>
      <w:r w:rsidR="00E70FC9" w:rsidRPr="00391916">
        <w:rPr>
          <w:lang w:val="es-ES"/>
        </w:rPr>
        <w:t xml:space="preserve"> de las</w:t>
      </w:r>
      <w:r w:rsidR="00575F9A" w:rsidRPr="00391916">
        <w:rPr>
          <w:lang w:val="es-ES"/>
        </w:rPr>
        <w:t xml:space="preserve"> cuestiones que se proponen para el examen por parte del grupo de expertos </w:t>
      </w:r>
      <w:r w:rsidR="00575F9A" w:rsidRPr="00391916">
        <w:rPr>
          <w:i/>
          <w:lang w:val="es-ES"/>
        </w:rPr>
        <w:t>ad hoc</w:t>
      </w:r>
      <w:r w:rsidR="00575F9A" w:rsidRPr="00391916">
        <w:rPr>
          <w:lang w:val="es-ES"/>
        </w:rPr>
        <w:t xml:space="preserve"> son las siguientes:</w:t>
      </w:r>
    </w:p>
    <w:p w:rsidR="00575F9A" w:rsidRPr="00391916" w:rsidRDefault="00575F9A">
      <w:pPr>
        <w:rPr>
          <w:lang w:val="es-ES"/>
        </w:rPr>
      </w:pPr>
    </w:p>
    <w:p w:rsidR="00575F9A" w:rsidRPr="00391916" w:rsidRDefault="00575F9A" w:rsidP="00B31BA5">
      <w:pPr>
        <w:pStyle w:val="ListParagraph"/>
        <w:numPr>
          <w:ilvl w:val="0"/>
          <w:numId w:val="13"/>
        </w:numPr>
        <w:rPr>
          <w:lang w:val="es-ES"/>
        </w:rPr>
      </w:pPr>
      <w:r w:rsidRPr="00391916">
        <w:rPr>
          <w:bCs/>
          <w:lang w:val="es-ES"/>
        </w:rPr>
        <w:t>Si b</w:t>
      </w:r>
      <w:r w:rsidR="00817823" w:rsidRPr="00391916">
        <w:rPr>
          <w:bCs/>
          <w:lang w:val="es-ES"/>
        </w:rPr>
        <w:t xml:space="preserve">ien existe consenso sobre el </w:t>
      </w:r>
      <w:r w:rsidR="00391916" w:rsidRPr="00391916">
        <w:rPr>
          <w:bCs/>
          <w:lang w:val="es-ES"/>
        </w:rPr>
        <w:t>hecho de que el instrumento debe</w:t>
      </w:r>
      <w:r w:rsidR="00817823" w:rsidRPr="00391916">
        <w:rPr>
          <w:bCs/>
          <w:lang w:val="es-ES"/>
        </w:rPr>
        <w:t xml:space="preserve"> aplicarse a los recursos genéticos (RR.GG.), </w:t>
      </w:r>
      <w:r w:rsidR="00391916" w:rsidRPr="00391916">
        <w:rPr>
          <w:bCs/>
          <w:lang w:val="es-ES"/>
        </w:rPr>
        <w:t xml:space="preserve">cabe estudiar si </w:t>
      </w:r>
      <w:r w:rsidR="0080161F" w:rsidRPr="00391916">
        <w:rPr>
          <w:bCs/>
          <w:lang w:val="es-ES"/>
        </w:rPr>
        <w:t>debe aplicarse</w:t>
      </w:r>
      <w:r w:rsidR="00391916" w:rsidRPr="00391916">
        <w:rPr>
          <w:bCs/>
          <w:lang w:val="es-ES"/>
        </w:rPr>
        <w:t xml:space="preserve"> también</w:t>
      </w:r>
      <w:r w:rsidR="0080161F" w:rsidRPr="00391916">
        <w:rPr>
          <w:bCs/>
          <w:lang w:val="es-ES"/>
        </w:rPr>
        <w:t xml:space="preserve"> a los conocimientos tradicionales (CC.TT.)</w:t>
      </w:r>
      <w:r w:rsidR="00A83610" w:rsidRPr="00391916">
        <w:rPr>
          <w:bCs/>
          <w:lang w:val="es-ES"/>
        </w:rPr>
        <w:t xml:space="preserve"> asociados a </w:t>
      </w:r>
      <w:r w:rsidR="0020507B" w:rsidRPr="00391916">
        <w:rPr>
          <w:bCs/>
          <w:lang w:val="es-ES"/>
        </w:rPr>
        <w:t xml:space="preserve">los </w:t>
      </w:r>
      <w:r w:rsidR="00A83610" w:rsidRPr="00391916">
        <w:rPr>
          <w:bCs/>
          <w:lang w:val="es-ES"/>
        </w:rPr>
        <w:t>RR.GG.</w:t>
      </w:r>
      <w:r w:rsidR="0074175D" w:rsidRPr="00391916">
        <w:rPr>
          <w:bCs/>
          <w:lang w:val="es-ES"/>
        </w:rPr>
        <w:t xml:space="preserve">, teniendo en cuenta que los CC.TT. no siempre están asociados a </w:t>
      </w:r>
      <w:r w:rsidR="00B52CD8">
        <w:rPr>
          <w:bCs/>
          <w:lang w:val="es-ES"/>
        </w:rPr>
        <w:t>un recurso genético</w:t>
      </w:r>
      <w:r w:rsidR="0074175D" w:rsidRPr="00391916">
        <w:rPr>
          <w:bCs/>
          <w:lang w:val="es-ES"/>
        </w:rPr>
        <w:t>. Los CC.TT. se estudian en otro proyecto de documento del CIG que contiene, entre otros aspectos, una propues</w:t>
      </w:r>
      <w:r w:rsidR="00B52CD8">
        <w:rPr>
          <w:bCs/>
          <w:lang w:val="es-ES"/>
        </w:rPr>
        <w:t>ta de requisito de divulgación.</w:t>
      </w:r>
    </w:p>
    <w:p w:rsidR="0074175D" w:rsidRPr="00391916" w:rsidRDefault="005113D5" w:rsidP="00B31BA5">
      <w:pPr>
        <w:pStyle w:val="ListParagraph"/>
        <w:numPr>
          <w:ilvl w:val="0"/>
          <w:numId w:val="13"/>
        </w:numPr>
        <w:rPr>
          <w:lang w:val="es-ES"/>
        </w:rPr>
      </w:pPr>
      <w:r w:rsidRPr="00391916">
        <w:rPr>
          <w:bCs/>
          <w:lang w:val="es-ES"/>
        </w:rPr>
        <w:t>¿D</w:t>
      </w:r>
      <w:r w:rsidR="0074175D" w:rsidRPr="00391916">
        <w:rPr>
          <w:bCs/>
          <w:lang w:val="es-ES"/>
        </w:rPr>
        <w:t>ebe aplicarse</w:t>
      </w:r>
      <w:r w:rsidRPr="00391916">
        <w:rPr>
          <w:bCs/>
          <w:lang w:val="es-ES"/>
        </w:rPr>
        <w:t xml:space="preserve"> el instrumento</w:t>
      </w:r>
      <w:r w:rsidR="0074175D" w:rsidRPr="00391916">
        <w:rPr>
          <w:bCs/>
          <w:lang w:val="es-ES"/>
        </w:rPr>
        <w:t xml:space="preserve"> a cualquier derecho de propiedad intelectual (PI) o solamente a los derechos de patente?</w:t>
      </w:r>
    </w:p>
    <w:p w:rsidR="000728DF" w:rsidRPr="00B52CD8" w:rsidRDefault="000728DF" w:rsidP="00B52CD8">
      <w:pPr>
        <w:rPr>
          <w:lang w:val="es-ES"/>
        </w:rPr>
      </w:pPr>
    </w:p>
    <w:p w:rsidR="0094239F" w:rsidRPr="00391916" w:rsidRDefault="00B31BA5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94239F" w:rsidRPr="00391916">
        <w:rPr>
          <w:lang w:val="es-ES"/>
        </w:rPr>
        <w:t xml:space="preserve">En relación con esta cuestión, el grupo de expertos </w:t>
      </w:r>
      <w:r w:rsidR="0094239F" w:rsidRPr="00391916">
        <w:rPr>
          <w:i/>
          <w:lang w:val="es-ES"/>
        </w:rPr>
        <w:t>ad hoc</w:t>
      </w:r>
      <w:r w:rsidR="0094239F" w:rsidRPr="00391916">
        <w:rPr>
          <w:lang w:val="es-ES"/>
        </w:rPr>
        <w:t xml:space="preserve"> debe examinar la utilización </w:t>
      </w:r>
      <w:r w:rsidR="00B52CD8">
        <w:rPr>
          <w:lang w:val="es-ES"/>
        </w:rPr>
        <w:t xml:space="preserve">de los </w:t>
      </w:r>
      <w:r w:rsidR="0094239F" w:rsidRPr="00391916">
        <w:rPr>
          <w:lang w:val="es-ES"/>
        </w:rPr>
        <w:t>términos</w:t>
      </w:r>
      <w:r w:rsidR="00B52CD8">
        <w:rPr>
          <w:lang w:val="es-ES"/>
        </w:rPr>
        <w:t>, por ejemplo</w:t>
      </w:r>
      <w:r w:rsidR="0094239F" w:rsidRPr="00391916">
        <w:rPr>
          <w:lang w:val="es-ES"/>
        </w:rPr>
        <w:t xml:space="preserve"> “recursos genéticos” (en particular, si los “deriva</w:t>
      </w:r>
      <w:r w:rsidR="005113D5" w:rsidRPr="00391916">
        <w:rPr>
          <w:lang w:val="es-ES"/>
        </w:rPr>
        <w:t>dos” deben incluirse en la definici</w:t>
      </w:r>
      <w:r w:rsidR="00B52CD8">
        <w:rPr>
          <w:lang w:val="es-ES"/>
        </w:rPr>
        <w:t>ón de RR.GG) y</w:t>
      </w:r>
      <w:r w:rsidR="00391916" w:rsidRPr="00391916">
        <w:rPr>
          <w:lang w:val="es-ES"/>
        </w:rPr>
        <w:t xml:space="preserve"> </w:t>
      </w:r>
      <w:r w:rsidR="005113D5" w:rsidRPr="00391916">
        <w:rPr>
          <w:lang w:val="es-ES"/>
        </w:rPr>
        <w:t>“CC.TT. asociados a</w:t>
      </w:r>
      <w:r w:rsidR="0020507B" w:rsidRPr="00391916">
        <w:rPr>
          <w:lang w:val="es-ES"/>
        </w:rPr>
        <w:t xml:space="preserve"> los</w:t>
      </w:r>
      <w:r w:rsidR="005113D5" w:rsidRPr="00391916">
        <w:rPr>
          <w:lang w:val="es-ES"/>
        </w:rPr>
        <w:t xml:space="preserve"> RR.GG.”.</w:t>
      </w:r>
    </w:p>
    <w:p w:rsidR="00B31BA5" w:rsidRPr="00391916" w:rsidRDefault="00B31BA5">
      <w:pPr>
        <w:rPr>
          <w:lang w:val="es-ES"/>
        </w:rPr>
      </w:pPr>
    </w:p>
    <w:p w:rsidR="000728DF" w:rsidRPr="00391916" w:rsidRDefault="0076779A" w:rsidP="000728DF">
      <w:pPr>
        <w:rPr>
          <w:b/>
          <w:lang w:val="es-ES"/>
        </w:rPr>
      </w:pPr>
      <w:r w:rsidRPr="00391916">
        <w:rPr>
          <w:b/>
          <w:lang w:val="es-ES"/>
        </w:rPr>
        <w:t>Divulgación</w:t>
      </w:r>
    </w:p>
    <w:p w:rsidR="000728DF" w:rsidRPr="00391916" w:rsidRDefault="000728DF" w:rsidP="000728DF">
      <w:pPr>
        <w:rPr>
          <w:lang w:val="es-ES"/>
        </w:rPr>
      </w:pPr>
    </w:p>
    <w:p w:rsidR="005306C9" w:rsidRPr="00391916" w:rsidRDefault="000728DF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5306C9" w:rsidRPr="00391916">
        <w:rPr>
          <w:lang w:val="es-ES"/>
        </w:rPr>
        <w:t xml:space="preserve">Los requisitos de divulgación son disposiciones según las cuales los solicitantes de derechos de PI o de patentes deben incluir en su solicitud varias categorías de información, </w:t>
      </w:r>
      <w:r w:rsidR="005306C9" w:rsidRPr="00391916">
        <w:rPr>
          <w:lang w:val="es-ES"/>
        </w:rPr>
        <w:lastRenderedPageBreak/>
        <w:t>como la fuente o el origen de los RR.GG.</w:t>
      </w:r>
      <w:r w:rsidR="00B52CD8">
        <w:rPr>
          <w:lang w:val="es-ES"/>
        </w:rPr>
        <w:t>, así com</w:t>
      </w:r>
      <w:r w:rsidR="005306C9" w:rsidRPr="00391916">
        <w:rPr>
          <w:lang w:val="es-ES"/>
        </w:rPr>
        <w:t>o una prueba de</w:t>
      </w:r>
      <w:r w:rsidR="00B05F0B" w:rsidRPr="00391916">
        <w:rPr>
          <w:lang w:val="es-ES"/>
        </w:rPr>
        <w:t xml:space="preserve"> que se ha obtenido e</w:t>
      </w:r>
      <w:r w:rsidR="005306C9" w:rsidRPr="00391916">
        <w:rPr>
          <w:lang w:val="es-ES"/>
        </w:rPr>
        <w:t xml:space="preserve">l consentimiento </w:t>
      </w:r>
      <w:r w:rsidR="00B05F0B" w:rsidRPr="00391916">
        <w:rPr>
          <w:lang w:val="es-ES"/>
        </w:rPr>
        <w:t>fundamentado</w:t>
      </w:r>
      <w:r w:rsidR="005306C9" w:rsidRPr="00391916">
        <w:rPr>
          <w:lang w:val="es-ES"/>
        </w:rPr>
        <w:t xml:space="preserve"> previo y un acuerdo de participació</w:t>
      </w:r>
      <w:r w:rsidR="00B52CD8">
        <w:rPr>
          <w:lang w:val="es-ES"/>
        </w:rPr>
        <w:t>n en los beneficios. Si bien el </w:t>
      </w:r>
      <w:r w:rsidR="005306C9" w:rsidRPr="00391916">
        <w:rPr>
          <w:lang w:val="es-ES"/>
        </w:rPr>
        <w:t>CIG debe determinar</w:t>
      </w:r>
      <w:r w:rsidR="00B93354" w:rsidRPr="00391916">
        <w:rPr>
          <w:lang w:val="es-ES"/>
        </w:rPr>
        <w:t xml:space="preserve">, como parte de sus </w:t>
      </w:r>
      <w:r w:rsidR="005306C9" w:rsidRPr="00391916">
        <w:rPr>
          <w:lang w:val="es-ES"/>
        </w:rPr>
        <w:t>políticas</w:t>
      </w:r>
      <w:r w:rsidR="00B93354" w:rsidRPr="00391916">
        <w:rPr>
          <w:lang w:val="es-ES"/>
        </w:rPr>
        <w:t>,</w:t>
      </w:r>
      <w:r w:rsidR="005306C9" w:rsidRPr="00391916">
        <w:rPr>
          <w:lang w:val="es-ES"/>
        </w:rPr>
        <w:t xml:space="preserve"> si es necesario un requisito de divulgación</w:t>
      </w:r>
      <w:r w:rsidR="00B93354" w:rsidRPr="00391916">
        <w:rPr>
          <w:lang w:val="es-ES"/>
        </w:rPr>
        <w:t xml:space="preserve"> a escala internacional, se invita al grupo de expertos</w:t>
      </w:r>
      <w:r w:rsidR="00B93354" w:rsidRPr="00391916">
        <w:rPr>
          <w:i/>
          <w:lang w:val="es-ES"/>
        </w:rPr>
        <w:t xml:space="preserve"> ad hoc</w:t>
      </w:r>
      <w:r w:rsidR="00B93354" w:rsidRPr="00391916">
        <w:rPr>
          <w:lang w:val="es-ES"/>
        </w:rPr>
        <w:t xml:space="preserve"> a debatir sobre algunos </w:t>
      </w:r>
      <w:r w:rsidR="00526EDA" w:rsidRPr="00391916">
        <w:rPr>
          <w:lang w:val="es-ES"/>
        </w:rPr>
        <w:t>subtemas relativos a</w:t>
      </w:r>
      <w:r w:rsidR="00B93354" w:rsidRPr="00391916">
        <w:rPr>
          <w:lang w:val="es-ES"/>
        </w:rPr>
        <w:t xml:space="preserve"> los requisitos de divulgación.</w:t>
      </w:r>
    </w:p>
    <w:p w:rsidR="00575F9A" w:rsidRPr="00391916" w:rsidRDefault="00575F9A">
      <w:pPr>
        <w:rPr>
          <w:bCs/>
          <w:szCs w:val="22"/>
          <w:lang w:val="es-ES"/>
        </w:rPr>
      </w:pPr>
    </w:p>
    <w:p w:rsidR="00C9716D" w:rsidRPr="00391916" w:rsidRDefault="0076779A" w:rsidP="00C9716D">
      <w:pPr>
        <w:ind w:left="567"/>
        <w:rPr>
          <w:bCs/>
          <w:i/>
          <w:szCs w:val="22"/>
          <w:u w:val="single"/>
          <w:lang w:val="es-ES"/>
        </w:rPr>
      </w:pPr>
      <w:r w:rsidRPr="00391916">
        <w:rPr>
          <w:bCs/>
          <w:i/>
          <w:szCs w:val="22"/>
          <w:u w:val="single"/>
          <w:lang w:val="es-ES"/>
        </w:rPr>
        <w:t>Motivo</w:t>
      </w:r>
    </w:p>
    <w:p w:rsidR="00C9716D" w:rsidRPr="00391916" w:rsidRDefault="00C9716D" w:rsidP="00973CA7">
      <w:pPr>
        <w:rPr>
          <w:bCs/>
          <w:szCs w:val="22"/>
          <w:lang w:val="es-ES"/>
        </w:rPr>
      </w:pPr>
    </w:p>
    <w:p w:rsidR="00B93354" w:rsidRPr="00391916" w:rsidRDefault="00C9716D" w:rsidP="00973CA7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B93354" w:rsidRPr="00391916">
        <w:rPr>
          <w:lang w:val="es-ES"/>
        </w:rPr>
        <w:t xml:space="preserve">Se invita al grupo de expertos </w:t>
      </w:r>
      <w:r w:rsidR="00B93354" w:rsidRPr="00391916">
        <w:rPr>
          <w:i/>
          <w:lang w:val="es-ES"/>
        </w:rPr>
        <w:t>ad hoc</w:t>
      </w:r>
      <w:r w:rsidR="00B93354" w:rsidRPr="00391916">
        <w:rPr>
          <w:lang w:val="es-ES"/>
        </w:rPr>
        <w:t xml:space="preserve"> a que estudie cuál debe ser la relación o “vínculo” entre la materia de la divulgación (por ejemplo, </w:t>
      </w:r>
      <w:r w:rsidR="00526EDA" w:rsidRPr="00391916">
        <w:rPr>
          <w:lang w:val="es-ES"/>
        </w:rPr>
        <w:t xml:space="preserve">los </w:t>
      </w:r>
      <w:r w:rsidR="00B93354" w:rsidRPr="00391916">
        <w:rPr>
          <w:lang w:val="es-ES"/>
        </w:rPr>
        <w:t>RR.GG) y la invenci</w:t>
      </w:r>
      <w:r w:rsidR="000A0508" w:rsidRPr="00391916">
        <w:rPr>
          <w:lang w:val="es-ES"/>
        </w:rPr>
        <w:t>ón reivindicada, con la finalidad de</w:t>
      </w:r>
      <w:r w:rsidR="00526EDA" w:rsidRPr="00391916">
        <w:rPr>
          <w:lang w:val="es-ES"/>
        </w:rPr>
        <w:t xml:space="preserve"> motivar la aplicación de un requisito </w:t>
      </w:r>
      <w:r w:rsidR="000A0508" w:rsidRPr="00391916">
        <w:rPr>
          <w:lang w:val="es-ES"/>
        </w:rPr>
        <w:t xml:space="preserve">de divulgación </w:t>
      </w:r>
      <w:r w:rsidR="00526EDA" w:rsidRPr="00391916">
        <w:rPr>
          <w:lang w:val="es-ES"/>
        </w:rPr>
        <w:t>respecto de los derechos de PI o la patente</w:t>
      </w:r>
      <w:r w:rsidR="000A0508" w:rsidRPr="00391916">
        <w:rPr>
          <w:lang w:val="es-ES"/>
        </w:rPr>
        <w:t>. Esa relación puede definirse con expresiones como “la utilización de” o “basad</w:t>
      </w:r>
      <w:r w:rsidR="007343F9">
        <w:rPr>
          <w:lang w:val="es-ES"/>
        </w:rPr>
        <w:t>a</w:t>
      </w:r>
      <w:r w:rsidR="000A0508" w:rsidRPr="00391916">
        <w:rPr>
          <w:lang w:val="es-ES"/>
        </w:rPr>
        <w:t xml:space="preserve"> directamente en”, entre otras.</w:t>
      </w:r>
    </w:p>
    <w:p w:rsidR="00C9716D" w:rsidRPr="00391916" w:rsidRDefault="00C9716D" w:rsidP="00973CA7">
      <w:pPr>
        <w:rPr>
          <w:bCs/>
          <w:szCs w:val="22"/>
          <w:lang w:val="es-ES"/>
        </w:rPr>
      </w:pPr>
    </w:p>
    <w:p w:rsidR="000A0508" w:rsidRPr="00391916" w:rsidRDefault="00C9716D" w:rsidP="00973CA7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526EDA" w:rsidRPr="00391916">
        <w:rPr>
          <w:lang w:val="es-ES"/>
        </w:rPr>
        <w:t>La</w:t>
      </w:r>
      <w:r w:rsidR="007343F9">
        <w:rPr>
          <w:lang w:val="es-ES"/>
        </w:rPr>
        <w:t>s definiciones</w:t>
      </w:r>
      <w:r w:rsidR="00526EDA" w:rsidRPr="00391916">
        <w:rPr>
          <w:lang w:val="es-ES"/>
        </w:rPr>
        <w:t xml:space="preserve"> </w:t>
      </w:r>
      <w:r w:rsidR="000A0508" w:rsidRPr="00391916">
        <w:rPr>
          <w:lang w:val="es-ES"/>
        </w:rPr>
        <w:t>de “utilización de”, “basad</w:t>
      </w:r>
      <w:r w:rsidR="007343F9">
        <w:rPr>
          <w:lang w:val="es-ES"/>
        </w:rPr>
        <w:t>a</w:t>
      </w:r>
      <w:r w:rsidR="000A0508" w:rsidRPr="00391916">
        <w:rPr>
          <w:lang w:val="es-ES"/>
        </w:rPr>
        <w:t xml:space="preserve"> directamente en” o cualquier otra expresi</w:t>
      </w:r>
      <w:r w:rsidR="004C03D3" w:rsidRPr="00391916">
        <w:rPr>
          <w:lang w:val="es-ES"/>
        </w:rPr>
        <w:t xml:space="preserve">ón que </w:t>
      </w:r>
      <w:r w:rsidR="007343F9">
        <w:rPr>
          <w:lang w:val="es-ES"/>
        </w:rPr>
        <w:t>constituya el</w:t>
      </w:r>
      <w:r w:rsidR="004C03D3" w:rsidRPr="00391916">
        <w:rPr>
          <w:lang w:val="es-ES"/>
        </w:rPr>
        <w:t xml:space="preserve"> motivo</w:t>
      </w:r>
      <w:r w:rsidR="007343F9">
        <w:rPr>
          <w:lang w:val="es-ES"/>
        </w:rPr>
        <w:t xml:space="preserve"> son otros</w:t>
      </w:r>
      <w:r w:rsidR="004C03D3" w:rsidRPr="00391916">
        <w:rPr>
          <w:lang w:val="es-ES"/>
        </w:rPr>
        <w:t xml:space="preserve"> elementos que deben examinarse.</w:t>
      </w:r>
    </w:p>
    <w:p w:rsidR="004C03D3" w:rsidRPr="00391916" w:rsidRDefault="004C03D3" w:rsidP="00973CA7">
      <w:pPr>
        <w:rPr>
          <w:szCs w:val="22"/>
          <w:lang w:val="es-ES"/>
        </w:rPr>
      </w:pPr>
    </w:p>
    <w:p w:rsidR="00C9716D" w:rsidRPr="00391916" w:rsidRDefault="0076779A" w:rsidP="00C9716D">
      <w:pPr>
        <w:ind w:left="567"/>
        <w:rPr>
          <w:i/>
          <w:szCs w:val="22"/>
          <w:u w:val="single"/>
          <w:lang w:val="es-ES"/>
        </w:rPr>
      </w:pPr>
      <w:r w:rsidRPr="00391916">
        <w:rPr>
          <w:i/>
          <w:szCs w:val="22"/>
          <w:u w:val="single"/>
          <w:lang w:val="es-ES"/>
        </w:rPr>
        <w:t>Contenido</w:t>
      </w:r>
    </w:p>
    <w:p w:rsidR="00C9716D" w:rsidRPr="00391916" w:rsidRDefault="00C9716D" w:rsidP="00973CA7">
      <w:pPr>
        <w:rPr>
          <w:szCs w:val="22"/>
          <w:lang w:val="es-ES"/>
        </w:rPr>
      </w:pPr>
    </w:p>
    <w:p w:rsidR="004C03D3" w:rsidRPr="00391916" w:rsidRDefault="00C9716D" w:rsidP="00973CA7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4C03D3" w:rsidRPr="00391916">
        <w:rPr>
          <w:lang w:val="es-ES"/>
        </w:rPr>
        <w:t xml:space="preserve">En lo que respecta al contenido, se invita al grupo de expertos </w:t>
      </w:r>
      <w:r w:rsidR="004C03D3" w:rsidRPr="00391916">
        <w:rPr>
          <w:i/>
          <w:lang w:val="es-ES"/>
        </w:rPr>
        <w:t>ad hoc</w:t>
      </w:r>
      <w:r w:rsidR="004C03D3" w:rsidRPr="00391916">
        <w:rPr>
          <w:lang w:val="es-ES"/>
        </w:rPr>
        <w:t xml:space="preserve"> a determinar </w:t>
      </w:r>
      <w:r w:rsidR="007343F9">
        <w:rPr>
          <w:lang w:val="es-ES"/>
        </w:rPr>
        <w:t>qué sería necesario divulgar</w:t>
      </w:r>
      <w:r w:rsidR="004C03D3" w:rsidRPr="00391916">
        <w:rPr>
          <w:lang w:val="es-ES"/>
        </w:rPr>
        <w:t xml:space="preserve"> en la solicitud de derechos de PI o de patente.</w:t>
      </w:r>
      <w:r w:rsidR="00526EDA" w:rsidRPr="00391916">
        <w:rPr>
          <w:lang w:val="es-ES"/>
        </w:rPr>
        <w:t xml:space="preserve"> </w:t>
      </w:r>
      <w:r w:rsidR="00B05F0B" w:rsidRPr="00391916">
        <w:rPr>
          <w:lang w:val="es-ES"/>
        </w:rPr>
        <w:t>¿D</w:t>
      </w:r>
      <w:r w:rsidR="004C03D3" w:rsidRPr="00391916">
        <w:rPr>
          <w:lang w:val="es-ES"/>
        </w:rPr>
        <w:t>ebe ser</w:t>
      </w:r>
      <w:r w:rsidR="00B05F0B" w:rsidRPr="00391916">
        <w:rPr>
          <w:lang w:val="es-ES"/>
        </w:rPr>
        <w:t>, por ejemplo,</w:t>
      </w:r>
      <w:r w:rsidR="004C03D3" w:rsidRPr="00391916">
        <w:rPr>
          <w:lang w:val="es-ES"/>
        </w:rPr>
        <w:t xml:space="preserve"> la fuente de los RR.GG., </w:t>
      </w:r>
      <w:r w:rsidR="00B05F0B" w:rsidRPr="00391916">
        <w:rPr>
          <w:lang w:val="es-ES"/>
        </w:rPr>
        <w:t>su origen, la prueba de que se ha obtenido el consentimiento fundamentado previo o la prueba de que la participación en los beneficios se rige por condiciones mutualmente convenidas?</w:t>
      </w:r>
    </w:p>
    <w:p w:rsidR="00686125" w:rsidRPr="00391916" w:rsidRDefault="00686125" w:rsidP="00973CA7">
      <w:pPr>
        <w:rPr>
          <w:bCs/>
          <w:szCs w:val="22"/>
          <w:lang w:val="es-ES"/>
        </w:rPr>
      </w:pPr>
    </w:p>
    <w:p w:rsidR="008A633D" w:rsidRPr="00391916" w:rsidRDefault="00686125" w:rsidP="00973CA7">
      <w:pPr>
        <w:rPr>
          <w:b/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8A633D" w:rsidRPr="00391916">
        <w:rPr>
          <w:lang w:val="es-ES"/>
        </w:rPr>
        <w:t xml:space="preserve">En relación con esta cuestión, se invita al grupo de expertos </w:t>
      </w:r>
      <w:r w:rsidR="008A633D" w:rsidRPr="00391916">
        <w:rPr>
          <w:i/>
          <w:lang w:val="es-ES"/>
        </w:rPr>
        <w:t>ad hoc</w:t>
      </w:r>
      <w:r w:rsidR="008A633D" w:rsidRPr="00391916">
        <w:rPr>
          <w:lang w:val="es-ES"/>
        </w:rPr>
        <w:t xml:space="preserve"> a proporcionar asesoramiento y realizar análisis sobre la utilización de términos como “fuente”, “país proveedor” o “país de origen”.</w:t>
      </w:r>
    </w:p>
    <w:p w:rsidR="00686125" w:rsidRPr="00391916" w:rsidRDefault="00686125" w:rsidP="00973CA7">
      <w:pPr>
        <w:rPr>
          <w:szCs w:val="22"/>
          <w:lang w:val="es-ES"/>
        </w:rPr>
      </w:pPr>
    </w:p>
    <w:p w:rsidR="00686125" w:rsidRPr="00391916" w:rsidRDefault="0076779A" w:rsidP="00686125">
      <w:pPr>
        <w:ind w:left="567"/>
        <w:rPr>
          <w:i/>
          <w:szCs w:val="22"/>
          <w:u w:val="single"/>
          <w:lang w:val="es-ES"/>
        </w:rPr>
      </w:pPr>
      <w:r w:rsidRPr="00391916">
        <w:rPr>
          <w:i/>
          <w:szCs w:val="22"/>
          <w:u w:val="single"/>
          <w:lang w:val="es-ES"/>
        </w:rPr>
        <w:t>C</w:t>
      </w:r>
      <w:r w:rsidR="00B942B0">
        <w:rPr>
          <w:i/>
          <w:szCs w:val="22"/>
          <w:u w:val="single"/>
          <w:lang w:val="es-ES"/>
        </w:rPr>
        <w:t>onsecuencias del incumplimiento</w:t>
      </w:r>
      <w:bookmarkStart w:id="5" w:name="_GoBack"/>
      <w:bookmarkEnd w:id="5"/>
    </w:p>
    <w:p w:rsidR="00686125" w:rsidRPr="00391916" w:rsidRDefault="00686125" w:rsidP="00973CA7">
      <w:pPr>
        <w:rPr>
          <w:szCs w:val="22"/>
          <w:lang w:val="es-ES"/>
        </w:rPr>
      </w:pPr>
    </w:p>
    <w:p w:rsidR="008A633D" w:rsidRPr="00391916" w:rsidRDefault="00686125" w:rsidP="00973CA7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8A633D" w:rsidRPr="00391916">
        <w:rPr>
          <w:lang w:val="es-ES"/>
        </w:rPr>
        <w:t xml:space="preserve">Una cuestión importante relativa a los requisitos de divulgación es determinar el tratamiento de las situaciones de incumplimiento. Se invita al grupo de expertos </w:t>
      </w:r>
      <w:r w:rsidR="008A633D" w:rsidRPr="00391916">
        <w:rPr>
          <w:i/>
          <w:lang w:val="es-ES"/>
        </w:rPr>
        <w:t>ad hoc</w:t>
      </w:r>
      <w:r w:rsidR="008A633D" w:rsidRPr="00391916">
        <w:rPr>
          <w:lang w:val="es-ES"/>
        </w:rPr>
        <w:t xml:space="preserve"> </w:t>
      </w:r>
      <w:r w:rsidR="0020507B" w:rsidRPr="00391916">
        <w:rPr>
          <w:lang w:val="es-ES"/>
        </w:rPr>
        <w:t xml:space="preserve">a </w:t>
      </w:r>
      <w:r w:rsidR="008A633D" w:rsidRPr="00391916">
        <w:rPr>
          <w:lang w:val="es-ES"/>
        </w:rPr>
        <w:t>que examine las dos siguientes cuestiones:</w:t>
      </w:r>
    </w:p>
    <w:p w:rsidR="008A633D" w:rsidRPr="007343F9" w:rsidRDefault="008A633D" w:rsidP="007343F9">
      <w:pPr>
        <w:rPr>
          <w:lang w:val="es-ES"/>
        </w:rPr>
      </w:pPr>
    </w:p>
    <w:p w:rsidR="008A633D" w:rsidRPr="00391916" w:rsidRDefault="008A633D" w:rsidP="00686125">
      <w:pPr>
        <w:pStyle w:val="ListParagraph"/>
        <w:numPr>
          <w:ilvl w:val="0"/>
          <w:numId w:val="14"/>
        </w:numPr>
        <w:rPr>
          <w:lang w:val="es-ES"/>
        </w:rPr>
      </w:pPr>
      <w:r w:rsidRPr="00391916">
        <w:rPr>
          <w:lang w:val="es-ES"/>
        </w:rPr>
        <w:t>¿Qué medidas jurídicas y administrativas deben adoptarse para dar respuesta a las situaciones de incumplimiento?</w:t>
      </w:r>
    </w:p>
    <w:p w:rsidR="008A633D" w:rsidRPr="00391916" w:rsidRDefault="008A633D" w:rsidP="00686125">
      <w:pPr>
        <w:pStyle w:val="ListParagraph"/>
        <w:numPr>
          <w:ilvl w:val="0"/>
          <w:numId w:val="14"/>
        </w:numPr>
        <w:rPr>
          <w:lang w:val="es-ES"/>
        </w:rPr>
      </w:pPr>
      <w:r w:rsidRPr="00391916">
        <w:rPr>
          <w:lang w:val="es-ES"/>
        </w:rPr>
        <w:t>¿Deberían esas medidas poder afectar a la validez de una patente concedida? En caso afirmativo, ¿cuáles serían las condiciones admisibles para la revocación? Aparte de la revocación, ¿qué otras opciones son posibles?</w:t>
      </w:r>
    </w:p>
    <w:p w:rsidR="001203CF" w:rsidRPr="00391916" w:rsidRDefault="001203CF">
      <w:pPr>
        <w:rPr>
          <w:lang w:val="es-ES"/>
        </w:rPr>
      </w:pPr>
    </w:p>
    <w:p w:rsidR="003E7073" w:rsidRPr="00391916" w:rsidRDefault="0076779A">
      <w:pPr>
        <w:rPr>
          <w:b/>
          <w:lang w:val="es-ES"/>
        </w:rPr>
      </w:pPr>
      <w:r w:rsidRPr="00391916">
        <w:rPr>
          <w:b/>
          <w:lang w:val="es-ES"/>
        </w:rPr>
        <w:t>Bases de datos</w:t>
      </w:r>
    </w:p>
    <w:p w:rsidR="003E7073" w:rsidRPr="00391916" w:rsidRDefault="003E7073">
      <w:pPr>
        <w:rPr>
          <w:lang w:val="es-ES"/>
        </w:rPr>
      </w:pPr>
    </w:p>
    <w:p w:rsidR="00607245" w:rsidRPr="00391916" w:rsidRDefault="00580A9D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607245" w:rsidRPr="00391916">
        <w:rPr>
          <w:lang w:val="es-ES"/>
        </w:rPr>
        <w:t>Muchos consideran que las bases de datos y otros sistemas de información relativos a los RR.GG. desempeñan un papel fundamental para ayudar a los examinadores de patentes a encontrar información sobre el estado de la técnica y evitar la concesión errónea de patentes.</w:t>
      </w:r>
    </w:p>
    <w:p w:rsidR="00032D27" w:rsidRPr="00391916" w:rsidRDefault="00032D27">
      <w:pPr>
        <w:rPr>
          <w:lang w:val="es-ES"/>
        </w:rPr>
      </w:pPr>
    </w:p>
    <w:p w:rsidR="00AA1E72" w:rsidRPr="00391916" w:rsidRDefault="00032D27" w:rsidP="00AA1E72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607245" w:rsidRPr="00391916">
        <w:rPr>
          <w:lang w:val="es-ES"/>
        </w:rPr>
        <w:t xml:space="preserve">Se invita al grupo de expertos </w:t>
      </w:r>
      <w:r w:rsidR="00607245" w:rsidRPr="00391916">
        <w:rPr>
          <w:i/>
          <w:lang w:val="es-ES"/>
        </w:rPr>
        <w:t>ad hoc</w:t>
      </w:r>
      <w:r w:rsidR="00607245" w:rsidRPr="00391916">
        <w:rPr>
          <w:lang w:val="es-ES"/>
        </w:rPr>
        <w:t xml:space="preserve"> a que proporcione asesoramiento y realice análisis sobre si es necesario establecer salvaguardias y, de ser así, </w:t>
      </w:r>
      <w:r w:rsidR="0020507B" w:rsidRPr="00391916">
        <w:rPr>
          <w:lang w:val="es-ES"/>
        </w:rPr>
        <w:t xml:space="preserve">señale </w:t>
      </w:r>
      <w:r w:rsidR="00607245" w:rsidRPr="00391916">
        <w:rPr>
          <w:lang w:val="es-ES"/>
        </w:rPr>
        <w:t>cuáles son las necesarias en relación con las bases de datos centradas en la información relativa a los RR.</w:t>
      </w:r>
      <w:r w:rsidR="00B85DAA" w:rsidRPr="00391916">
        <w:rPr>
          <w:lang w:val="es-ES"/>
        </w:rPr>
        <w:t xml:space="preserve">GG. Si el instrumento también se aplica a los CC.TT. asociados a </w:t>
      </w:r>
      <w:r w:rsidR="0020507B" w:rsidRPr="00391916">
        <w:rPr>
          <w:lang w:val="es-ES"/>
        </w:rPr>
        <w:t xml:space="preserve">los </w:t>
      </w:r>
      <w:r w:rsidR="00B85DAA" w:rsidRPr="00391916">
        <w:rPr>
          <w:lang w:val="es-ES"/>
        </w:rPr>
        <w:t>RR.GG, ¿qué tipo de salvaguardias adicionales pueden ser necesarias pa</w:t>
      </w:r>
      <w:r w:rsidR="000A6ACC" w:rsidRPr="00391916">
        <w:rPr>
          <w:lang w:val="es-ES"/>
        </w:rPr>
        <w:t>ra los CC.TT. de posesión generalizada o que están disponibles al público?</w:t>
      </w:r>
    </w:p>
    <w:p w:rsidR="000A6ACC" w:rsidRPr="00391916" w:rsidRDefault="000A6ACC" w:rsidP="00AA1E72">
      <w:pPr>
        <w:rPr>
          <w:lang w:val="es-ES"/>
        </w:rPr>
      </w:pPr>
    </w:p>
    <w:p w:rsidR="000A6ACC" w:rsidRPr="00391916" w:rsidRDefault="00AA1E72" w:rsidP="00AA1E72">
      <w:pPr>
        <w:rPr>
          <w:szCs w:val="22"/>
          <w:lang w:val="es-ES"/>
        </w:rPr>
      </w:pPr>
      <w:r w:rsidRPr="00391916">
        <w:rPr>
          <w:szCs w:val="22"/>
          <w:lang w:val="es-ES"/>
        </w:rPr>
        <w:lastRenderedPageBreak/>
        <w:fldChar w:fldCharType="begin"/>
      </w:r>
      <w:r w:rsidRPr="00391916">
        <w:rPr>
          <w:szCs w:val="22"/>
          <w:lang w:val="es-ES"/>
        </w:rPr>
        <w:instrText xml:space="preserve"> AUTONUM  </w:instrText>
      </w:r>
      <w:r w:rsidRPr="00391916">
        <w:rPr>
          <w:szCs w:val="22"/>
          <w:lang w:val="es-ES"/>
        </w:rPr>
        <w:fldChar w:fldCharType="end"/>
      </w:r>
      <w:r w:rsidRPr="00391916">
        <w:rPr>
          <w:szCs w:val="22"/>
          <w:lang w:val="es-ES"/>
        </w:rPr>
        <w:tab/>
      </w:r>
      <w:r w:rsidR="000A6ACC" w:rsidRPr="00391916">
        <w:rPr>
          <w:szCs w:val="22"/>
          <w:lang w:val="es-ES"/>
        </w:rPr>
        <w:t xml:space="preserve">Asimismo, se invita al grupo de expertos </w:t>
      </w:r>
      <w:r w:rsidR="000A6ACC" w:rsidRPr="00391916">
        <w:rPr>
          <w:i/>
          <w:szCs w:val="22"/>
          <w:lang w:val="es-ES"/>
        </w:rPr>
        <w:t>ad hoc</w:t>
      </w:r>
      <w:r w:rsidR="000A6ACC" w:rsidRPr="00391916">
        <w:rPr>
          <w:szCs w:val="22"/>
          <w:lang w:val="es-ES"/>
        </w:rPr>
        <w:t xml:space="preserve"> a que examine algunas cuestiones prácticas que deben tenerse en cuenta al estudiar el establecimiento y el funcionamiento de dichas bases de datos, en particular las siguientes:</w:t>
      </w:r>
    </w:p>
    <w:p w:rsidR="000A6ACC" w:rsidRPr="00391916" w:rsidRDefault="000A6ACC" w:rsidP="00576D54">
      <w:pPr>
        <w:pStyle w:val="ListParagraph"/>
        <w:numPr>
          <w:ilvl w:val="0"/>
          <w:numId w:val="16"/>
        </w:numPr>
        <w:rPr>
          <w:szCs w:val="22"/>
          <w:lang w:val="es-ES"/>
        </w:rPr>
      </w:pPr>
      <w:r w:rsidRPr="00391916">
        <w:rPr>
          <w:bCs/>
          <w:szCs w:val="22"/>
          <w:lang w:val="es-ES"/>
        </w:rPr>
        <w:t>la responsabilidad de alimentar y mantener las bases de datos;</w:t>
      </w:r>
    </w:p>
    <w:p w:rsidR="000A6ACC" w:rsidRPr="00391916" w:rsidRDefault="000A6ACC" w:rsidP="00576D54">
      <w:pPr>
        <w:pStyle w:val="ListParagraph"/>
        <w:numPr>
          <w:ilvl w:val="0"/>
          <w:numId w:val="16"/>
        </w:numPr>
        <w:rPr>
          <w:szCs w:val="22"/>
          <w:lang w:val="es-ES"/>
        </w:rPr>
      </w:pPr>
      <w:r w:rsidRPr="00391916">
        <w:rPr>
          <w:bCs/>
          <w:szCs w:val="22"/>
          <w:lang w:val="es-ES"/>
        </w:rPr>
        <w:t>la estructura y el contenido de la</w:t>
      </w:r>
      <w:r w:rsidR="0020507B" w:rsidRPr="00391916">
        <w:rPr>
          <w:bCs/>
          <w:szCs w:val="22"/>
          <w:lang w:val="es-ES"/>
        </w:rPr>
        <w:t>s</w:t>
      </w:r>
      <w:r w:rsidRPr="00391916">
        <w:rPr>
          <w:bCs/>
          <w:szCs w:val="22"/>
          <w:lang w:val="es-ES"/>
        </w:rPr>
        <w:t xml:space="preserve"> base</w:t>
      </w:r>
      <w:r w:rsidR="0020507B" w:rsidRPr="00391916">
        <w:rPr>
          <w:bCs/>
          <w:szCs w:val="22"/>
          <w:lang w:val="es-ES"/>
        </w:rPr>
        <w:t>s</w:t>
      </w:r>
      <w:r w:rsidRPr="00391916">
        <w:rPr>
          <w:bCs/>
          <w:szCs w:val="22"/>
          <w:lang w:val="es-ES"/>
        </w:rPr>
        <w:t xml:space="preserve"> de datos;</w:t>
      </w:r>
    </w:p>
    <w:p w:rsidR="000A6ACC" w:rsidRPr="00391916" w:rsidRDefault="000A6ACC" w:rsidP="00576D54">
      <w:pPr>
        <w:pStyle w:val="ListParagraph"/>
        <w:numPr>
          <w:ilvl w:val="0"/>
          <w:numId w:val="16"/>
        </w:numPr>
        <w:rPr>
          <w:szCs w:val="22"/>
          <w:lang w:val="es-ES"/>
        </w:rPr>
      </w:pPr>
      <w:r w:rsidRPr="00391916">
        <w:rPr>
          <w:bCs/>
          <w:szCs w:val="22"/>
          <w:lang w:val="es-ES"/>
        </w:rPr>
        <w:t>la manera de expresar el contenido;</w:t>
      </w:r>
    </w:p>
    <w:p w:rsidR="000A6ACC" w:rsidRPr="00391916" w:rsidRDefault="00E56FED" w:rsidP="00576D54">
      <w:pPr>
        <w:pStyle w:val="ListParagraph"/>
        <w:numPr>
          <w:ilvl w:val="0"/>
          <w:numId w:val="16"/>
        </w:numPr>
        <w:rPr>
          <w:szCs w:val="22"/>
          <w:lang w:val="es-ES"/>
        </w:rPr>
      </w:pPr>
      <w:r w:rsidRPr="00391916">
        <w:rPr>
          <w:szCs w:val="22"/>
          <w:lang w:val="es-ES"/>
        </w:rPr>
        <w:t>su interoperabilidad con otras bases de datos nacionales e internacionales;</w:t>
      </w:r>
    </w:p>
    <w:p w:rsidR="00E56FED" w:rsidRPr="00391916" w:rsidRDefault="00E56FED" w:rsidP="00576D54">
      <w:pPr>
        <w:pStyle w:val="ListParagraph"/>
        <w:numPr>
          <w:ilvl w:val="0"/>
          <w:numId w:val="16"/>
        </w:numPr>
        <w:rPr>
          <w:szCs w:val="22"/>
          <w:lang w:val="es-ES"/>
        </w:rPr>
      </w:pPr>
      <w:r w:rsidRPr="00391916">
        <w:rPr>
          <w:szCs w:val="22"/>
          <w:lang w:val="es-ES"/>
        </w:rPr>
        <w:t>la determinación de la categoría de personas autorizadas a acceder al contenido de la base de datos; y</w:t>
      </w:r>
    </w:p>
    <w:p w:rsidR="00E56FED" w:rsidRPr="00391916" w:rsidRDefault="00E56FED" w:rsidP="00576D54">
      <w:pPr>
        <w:pStyle w:val="ListParagraph"/>
        <w:numPr>
          <w:ilvl w:val="0"/>
          <w:numId w:val="16"/>
        </w:numPr>
        <w:rPr>
          <w:szCs w:val="22"/>
          <w:lang w:val="es-ES"/>
        </w:rPr>
      </w:pPr>
      <w:r w:rsidRPr="00391916">
        <w:rPr>
          <w:szCs w:val="22"/>
          <w:lang w:val="es-ES"/>
        </w:rPr>
        <w:t>el tipo de protección conferida a la información incluida en la base de datos y la gestión de los derechos relativos a la base de datos.</w:t>
      </w:r>
    </w:p>
    <w:p w:rsidR="000A6ACC" w:rsidRPr="00391916" w:rsidRDefault="000A6ACC" w:rsidP="000A6ACC">
      <w:pPr>
        <w:rPr>
          <w:b/>
          <w:lang w:val="es-ES"/>
        </w:rPr>
      </w:pPr>
    </w:p>
    <w:p w:rsidR="007F1806" w:rsidRPr="00391916" w:rsidRDefault="0076779A" w:rsidP="000A6ACC">
      <w:pPr>
        <w:rPr>
          <w:lang w:val="es-ES"/>
        </w:rPr>
      </w:pPr>
      <w:r w:rsidRPr="00391916">
        <w:rPr>
          <w:b/>
          <w:lang w:val="es-ES"/>
        </w:rPr>
        <w:t>Mecanismos de diligencia debida</w:t>
      </w:r>
    </w:p>
    <w:p w:rsidR="00580A9D" w:rsidRPr="00391916" w:rsidRDefault="00580A9D">
      <w:pPr>
        <w:rPr>
          <w:lang w:val="es-ES"/>
        </w:rPr>
      </w:pPr>
    </w:p>
    <w:p w:rsidR="00E56FED" w:rsidRPr="00391916" w:rsidRDefault="00973CA7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FB76C3">
        <w:rPr>
          <w:lang w:val="es-ES"/>
        </w:rPr>
        <w:t xml:space="preserve">Algunos participantes en </w:t>
      </w:r>
      <w:r w:rsidR="00E56FED" w:rsidRPr="00391916">
        <w:rPr>
          <w:lang w:val="es-ES"/>
        </w:rPr>
        <w:t xml:space="preserve">el CIG consideran que los mecanismos de diligencia debida como </w:t>
      </w:r>
      <w:r w:rsidR="0020507B" w:rsidRPr="00391916">
        <w:rPr>
          <w:lang w:val="es-ES"/>
        </w:rPr>
        <w:t xml:space="preserve">las </w:t>
      </w:r>
      <w:r w:rsidR="00E56FED" w:rsidRPr="00391916">
        <w:rPr>
          <w:lang w:val="es-ES"/>
        </w:rPr>
        <w:t>bases de datos, los códigos de conducta voluntarios o las directrices son necesarios como medidas complementarias o preventivas para evaluar y verificar el acceso a los RR.GG. de conformidad con los sistema</w:t>
      </w:r>
      <w:r w:rsidR="009973A0" w:rsidRPr="00391916">
        <w:rPr>
          <w:lang w:val="es-ES"/>
        </w:rPr>
        <w:t>s vigentes</w:t>
      </w:r>
      <w:r w:rsidR="0020507B" w:rsidRPr="00391916">
        <w:rPr>
          <w:lang w:val="es-ES"/>
        </w:rPr>
        <w:t>, nacionales e internacionales, de</w:t>
      </w:r>
      <w:r w:rsidR="009973A0" w:rsidRPr="00391916">
        <w:rPr>
          <w:lang w:val="es-ES"/>
        </w:rPr>
        <w:t xml:space="preserve"> acceso y participación en los beneficios.</w:t>
      </w:r>
    </w:p>
    <w:p w:rsidR="00032D27" w:rsidRPr="00391916" w:rsidRDefault="00032D27">
      <w:pPr>
        <w:rPr>
          <w:szCs w:val="22"/>
          <w:lang w:val="es-ES"/>
        </w:rPr>
      </w:pPr>
    </w:p>
    <w:p w:rsidR="003A4209" w:rsidRPr="00391916" w:rsidRDefault="00032D27" w:rsidP="003A4209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9973A0" w:rsidRPr="00391916">
        <w:rPr>
          <w:lang w:val="es-ES"/>
        </w:rPr>
        <w:t xml:space="preserve">Se invita al grupo de expertos </w:t>
      </w:r>
      <w:r w:rsidR="009973A0" w:rsidRPr="00391916">
        <w:rPr>
          <w:i/>
          <w:lang w:val="es-ES"/>
        </w:rPr>
        <w:t>ad hoc</w:t>
      </w:r>
      <w:r w:rsidR="009973A0" w:rsidRPr="00391916">
        <w:rPr>
          <w:lang w:val="es-ES"/>
        </w:rPr>
        <w:t xml:space="preserve"> </w:t>
      </w:r>
      <w:r w:rsidR="0020507B" w:rsidRPr="00391916">
        <w:rPr>
          <w:lang w:val="es-ES"/>
        </w:rPr>
        <w:t>a debatir sobre cuáles son</w:t>
      </w:r>
      <w:r w:rsidR="009973A0" w:rsidRPr="00391916">
        <w:rPr>
          <w:lang w:val="es-ES"/>
        </w:rPr>
        <w:t xml:space="preserve"> los mecanismos necesarios, así como</w:t>
      </w:r>
      <w:r w:rsidR="0020507B" w:rsidRPr="00391916">
        <w:rPr>
          <w:lang w:val="es-ES"/>
        </w:rPr>
        <w:t xml:space="preserve"> sobre</w:t>
      </w:r>
      <w:r w:rsidR="009973A0" w:rsidRPr="00391916">
        <w:rPr>
          <w:lang w:val="es-ES"/>
        </w:rPr>
        <w:t xml:space="preserve"> las cuestiones técnicas relativas al establecimiento y el funcionamiento de dichos mecanismos.</w:t>
      </w:r>
    </w:p>
    <w:p w:rsidR="00047DAC" w:rsidRPr="00391916" w:rsidRDefault="00047DAC" w:rsidP="003A4209">
      <w:pPr>
        <w:rPr>
          <w:b/>
          <w:lang w:val="es-ES"/>
        </w:rPr>
      </w:pPr>
    </w:p>
    <w:p w:rsidR="00EA0D5F" w:rsidRDefault="0076779A">
      <w:pPr>
        <w:rPr>
          <w:b/>
          <w:lang w:val="es-ES"/>
        </w:rPr>
      </w:pPr>
      <w:r w:rsidRPr="00391916">
        <w:rPr>
          <w:b/>
          <w:lang w:val="es-ES"/>
        </w:rPr>
        <w:t>Otras cuestiones</w:t>
      </w:r>
    </w:p>
    <w:p w:rsidR="00397104" w:rsidRPr="00391916" w:rsidRDefault="00397104">
      <w:pPr>
        <w:rPr>
          <w:b/>
          <w:lang w:val="es-ES"/>
        </w:rPr>
      </w:pPr>
    </w:p>
    <w:p w:rsidR="009973A0" w:rsidRPr="00391916" w:rsidRDefault="00EA0D5F">
      <w:pPr>
        <w:rPr>
          <w:lang w:val="es-ES"/>
        </w:rPr>
      </w:pPr>
      <w:r w:rsidRPr="00391916">
        <w:rPr>
          <w:lang w:val="es-ES"/>
        </w:rPr>
        <w:fldChar w:fldCharType="begin"/>
      </w:r>
      <w:r w:rsidRPr="00391916">
        <w:rPr>
          <w:lang w:val="es-ES"/>
        </w:rPr>
        <w:instrText xml:space="preserve"> AUTONUM  </w:instrText>
      </w:r>
      <w:r w:rsidRPr="00391916">
        <w:rPr>
          <w:lang w:val="es-ES"/>
        </w:rPr>
        <w:fldChar w:fldCharType="end"/>
      </w:r>
      <w:r w:rsidRPr="00391916">
        <w:rPr>
          <w:lang w:val="es-ES"/>
        </w:rPr>
        <w:tab/>
      </w:r>
      <w:r w:rsidR="009973A0" w:rsidRPr="00391916">
        <w:rPr>
          <w:lang w:val="es-ES"/>
        </w:rPr>
        <w:t xml:space="preserve">Se invita al grupo de expertos </w:t>
      </w:r>
      <w:r w:rsidR="009973A0" w:rsidRPr="00391916">
        <w:rPr>
          <w:i/>
          <w:lang w:val="es-ES"/>
        </w:rPr>
        <w:t>ad hoc</w:t>
      </w:r>
      <w:r w:rsidR="009973A0" w:rsidRPr="00391916">
        <w:rPr>
          <w:lang w:val="es-ES"/>
        </w:rPr>
        <w:t xml:space="preserve"> a señalar cualquier otra cuestión de carácter jurídico, normativo o técnico que el CIG deba estudiar, así como a ofrecer al CIG análisis, asesoramiento o recomendaciones sobre cualquier otro aspecto que considere oportuno.</w:t>
      </w:r>
    </w:p>
    <w:p w:rsidR="00032D27" w:rsidRPr="00391916" w:rsidRDefault="00032D27">
      <w:pPr>
        <w:rPr>
          <w:lang w:val="es-ES"/>
        </w:rPr>
      </w:pPr>
    </w:p>
    <w:p w:rsidR="004944BF" w:rsidRPr="00391916" w:rsidRDefault="004944BF">
      <w:pPr>
        <w:rPr>
          <w:lang w:val="es-ES"/>
        </w:rPr>
      </w:pPr>
    </w:p>
    <w:p w:rsidR="004944BF" w:rsidRPr="00391916" w:rsidRDefault="001203CF" w:rsidP="001E64F6">
      <w:pPr>
        <w:ind w:left="5670"/>
        <w:rPr>
          <w:lang w:val="es-ES"/>
        </w:rPr>
      </w:pPr>
      <w:r w:rsidRPr="00391916">
        <w:rPr>
          <w:lang w:val="es-ES"/>
        </w:rPr>
        <w:t>[</w:t>
      </w:r>
      <w:r w:rsidR="009973A0" w:rsidRPr="00391916">
        <w:rPr>
          <w:lang w:val="es-ES"/>
        </w:rPr>
        <w:t>Fin del documento</w:t>
      </w:r>
      <w:r w:rsidRPr="00391916">
        <w:rPr>
          <w:lang w:val="es-ES"/>
        </w:rPr>
        <w:t>]</w:t>
      </w:r>
    </w:p>
    <w:sectPr w:rsidR="004944BF" w:rsidRPr="00391916" w:rsidSect="002366C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8C" w:rsidRDefault="00DF378C">
      <w:r>
        <w:separator/>
      </w:r>
    </w:p>
  </w:endnote>
  <w:endnote w:type="continuationSeparator" w:id="0">
    <w:p w:rsidR="00DF378C" w:rsidRDefault="00DF378C" w:rsidP="003B38C1">
      <w:r>
        <w:separator/>
      </w:r>
    </w:p>
    <w:p w:rsidR="00DF378C" w:rsidRPr="003B38C1" w:rsidRDefault="00DF37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378C" w:rsidRPr="003B38C1" w:rsidRDefault="00DF37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8C" w:rsidRDefault="00DF378C">
      <w:r>
        <w:separator/>
      </w:r>
    </w:p>
  </w:footnote>
  <w:footnote w:type="continuationSeparator" w:id="0">
    <w:p w:rsidR="00DF378C" w:rsidRDefault="00DF378C" w:rsidP="008B60B2">
      <w:r>
        <w:separator/>
      </w:r>
    </w:p>
    <w:p w:rsidR="00DF378C" w:rsidRPr="00ED77FB" w:rsidRDefault="00DF37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378C" w:rsidRPr="00ED77FB" w:rsidRDefault="00DF37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CC261B" w:rsidRDefault="00CC261B" w:rsidP="00477D6B">
    <w:pPr>
      <w:jc w:val="right"/>
      <w:rPr>
        <w:lang w:val="es-ES_tradnl"/>
      </w:rPr>
    </w:pPr>
    <w:r w:rsidRPr="00CC261B">
      <w:rPr>
        <w:lang w:val="es-ES_tradnl"/>
      </w:rPr>
      <w:t>WIPO/EXP/GR/GE/18</w:t>
    </w:r>
    <w:r w:rsidR="00973CA7">
      <w:rPr>
        <w:lang w:val="es-ES_tradnl"/>
      </w:rPr>
      <w:t>/2</w:t>
    </w:r>
  </w:p>
  <w:p w:rsidR="00EC4E49" w:rsidRPr="00CC261B" w:rsidRDefault="00EC4E49" w:rsidP="00477D6B">
    <w:pPr>
      <w:jc w:val="right"/>
      <w:rPr>
        <w:lang w:val="es-ES_tradnl"/>
      </w:rPr>
    </w:pPr>
    <w:r w:rsidRPr="00CC261B">
      <w:rPr>
        <w:lang w:val="es-ES_tradnl"/>
      </w:rPr>
      <w:t>p</w:t>
    </w:r>
    <w:r w:rsidR="005306C9">
      <w:rPr>
        <w:lang w:val="es-ES_tradnl"/>
      </w:rPr>
      <w:t>ágina</w:t>
    </w:r>
    <w:r w:rsidRPr="00CC261B">
      <w:rPr>
        <w:lang w:val="es-ES_tradnl"/>
      </w:rPr>
      <w:t xml:space="preserve"> </w:t>
    </w:r>
    <w:r>
      <w:fldChar w:fldCharType="begin"/>
    </w:r>
    <w:r w:rsidRPr="00CC261B">
      <w:rPr>
        <w:lang w:val="es-ES_tradnl"/>
      </w:rPr>
      <w:instrText xml:space="preserve"> PAGE  \* MERGEFORMAT </w:instrText>
    </w:r>
    <w:r>
      <w:fldChar w:fldCharType="separate"/>
    </w:r>
    <w:r w:rsidR="00B942B0">
      <w:rPr>
        <w:noProof/>
        <w:lang w:val="es-ES_tradnl"/>
      </w:rPr>
      <w:t>3</w:t>
    </w:r>
    <w:r>
      <w:fldChar w:fldCharType="end"/>
    </w:r>
  </w:p>
  <w:p w:rsidR="00EC4E49" w:rsidRPr="00CC261B" w:rsidRDefault="00EC4E49" w:rsidP="00477D6B">
    <w:pPr>
      <w:jc w:val="right"/>
      <w:rPr>
        <w:lang w:val="es-ES_tradnl"/>
      </w:rPr>
    </w:pPr>
  </w:p>
  <w:p w:rsidR="008A134B" w:rsidRPr="00CC261B" w:rsidRDefault="008A134B" w:rsidP="00477D6B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BC1EEE"/>
    <w:multiLevelType w:val="hybridMultilevel"/>
    <w:tmpl w:val="A5D2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0681EF0"/>
    <w:multiLevelType w:val="hybridMultilevel"/>
    <w:tmpl w:val="279E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A465187"/>
    <w:multiLevelType w:val="hybridMultilevel"/>
    <w:tmpl w:val="C866864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328111E"/>
    <w:multiLevelType w:val="hybridMultilevel"/>
    <w:tmpl w:val="CB6ECA5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91F7C"/>
    <w:multiLevelType w:val="hybridMultilevel"/>
    <w:tmpl w:val="02C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EB323D"/>
    <w:multiLevelType w:val="hybridMultilevel"/>
    <w:tmpl w:val="136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92A06"/>
    <w:multiLevelType w:val="hybridMultilevel"/>
    <w:tmpl w:val="D7C0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1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C8"/>
    <w:rsid w:val="00001225"/>
    <w:rsid w:val="00001F27"/>
    <w:rsid w:val="0001564D"/>
    <w:rsid w:val="00032D27"/>
    <w:rsid w:val="00043CAA"/>
    <w:rsid w:val="000455C7"/>
    <w:rsid w:val="00047DAC"/>
    <w:rsid w:val="00064EE6"/>
    <w:rsid w:val="000728DF"/>
    <w:rsid w:val="00075432"/>
    <w:rsid w:val="000916CE"/>
    <w:rsid w:val="00096371"/>
    <w:rsid w:val="000968ED"/>
    <w:rsid w:val="000A0508"/>
    <w:rsid w:val="000A4458"/>
    <w:rsid w:val="000A6ACC"/>
    <w:rsid w:val="000A6F1D"/>
    <w:rsid w:val="000F467F"/>
    <w:rsid w:val="000F5E56"/>
    <w:rsid w:val="00106B2E"/>
    <w:rsid w:val="001203CF"/>
    <w:rsid w:val="001362EE"/>
    <w:rsid w:val="00137957"/>
    <w:rsid w:val="001425CF"/>
    <w:rsid w:val="00153FC0"/>
    <w:rsid w:val="001647D5"/>
    <w:rsid w:val="00164C87"/>
    <w:rsid w:val="001832A6"/>
    <w:rsid w:val="001B1D8B"/>
    <w:rsid w:val="001E64F6"/>
    <w:rsid w:val="0020507B"/>
    <w:rsid w:val="0021217E"/>
    <w:rsid w:val="002366C8"/>
    <w:rsid w:val="002401EA"/>
    <w:rsid w:val="002634C4"/>
    <w:rsid w:val="00271EB2"/>
    <w:rsid w:val="00285849"/>
    <w:rsid w:val="002928D3"/>
    <w:rsid w:val="002B3598"/>
    <w:rsid w:val="002B6424"/>
    <w:rsid w:val="002F1FE6"/>
    <w:rsid w:val="002F28BB"/>
    <w:rsid w:val="002F4E68"/>
    <w:rsid w:val="00312F7F"/>
    <w:rsid w:val="00346ACD"/>
    <w:rsid w:val="00361450"/>
    <w:rsid w:val="003673CF"/>
    <w:rsid w:val="003845C1"/>
    <w:rsid w:val="00391916"/>
    <w:rsid w:val="00397104"/>
    <w:rsid w:val="003A4209"/>
    <w:rsid w:val="003A6F89"/>
    <w:rsid w:val="003A74C7"/>
    <w:rsid w:val="003B38C1"/>
    <w:rsid w:val="003D41D5"/>
    <w:rsid w:val="003E267E"/>
    <w:rsid w:val="003E7073"/>
    <w:rsid w:val="003F17A3"/>
    <w:rsid w:val="0041630A"/>
    <w:rsid w:val="00417FA1"/>
    <w:rsid w:val="00423E3E"/>
    <w:rsid w:val="00427AF4"/>
    <w:rsid w:val="004647DA"/>
    <w:rsid w:val="00474062"/>
    <w:rsid w:val="00476FE1"/>
    <w:rsid w:val="00477D6B"/>
    <w:rsid w:val="004944BF"/>
    <w:rsid w:val="004C03D3"/>
    <w:rsid w:val="004C48BB"/>
    <w:rsid w:val="004C7E2F"/>
    <w:rsid w:val="005019FF"/>
    <w:rsid w:val="005113D5"/>
    <w:rsid w:val="00526EDA"/>
    <w:rsid w:val="0053057A"/>
    <w:rsid w:val="005306C9"/>
    <w:rsid w:val="005369CE"/>
    <w:rsid w:val="00540CC9"/>
    <w:rsid w:val="00560A29"/>
    <w:rsid w:val="00562265"/>
    <w:rsid w:val="00575F9A"/>
    <w:rsid w:val="00576D54"/>
    <w:rsid w:val="00580A9D"/>
    <w:rsid w:val="005901EA"/>
    <w:rsid w:val="00596D83"/>
    <w:rsid w:val="005C6649"/>
    <w:rsid w:val="005F47D0"/>
    <w:rsid w:val="00605827"/>
    <w:rsid w:val="00607245"/>
    <w:rsid w:val="006449B9"/>
    <w:rsid w:val="00646050"/>
    <w:rsid w:val="006713CA"/>
    <w:rsid w:val="00676C5C"/>
    <w:rsid w:val="00686125"/>
    <w:rsid w:val="00695AB4"/>
    <w:rsid w:val="006C0B93"/>
    <w:rsid w:val="006C7753"/>
    <w:rsid w:val="00704D6F"/>
    <w:rsid w:val="007112E8"/>
    <w:rsid w:val="007343F9"/>
    <w:rsid w:val="0074175D"/>
    <w:rsid w:val="00763E8B"/>
    <w:rsid w:val="0076547F"/>
    <w:rsid w:val="0076779A"/>
    <w:rsid w:val="0079773F"/>
    <w:rsid w:val="007A2A06"/>
    <w:rsid w:val="007D1613"/>
    <w:rsid w:val="007E0D7B"/>
    <w:rsid w:val="007E4C0E"/>
    <w:rsid w:val="007F1806"/>
    <w:rsid w:val="007F731E"/>
    <w:rsid w:val="0080161F"/>
    <w:rsid w:val="00817823"/>
    <w:rsid w:val="00885E30"/>
    <w:rsid w:val="008A134B"/>
    <w:rsid w:val="008A633D"/>
    <w:rsid w:val="008B2CC1"/>
    <w:rsid w:val="008B60B2"/>
    <w:rsid w:val="0090731E"/>
    <w:rsid w:val="00916EE2"/>
    <w:rsid w:val="00924F46"/>
    <w:rsid w:val="0093186E"/>
    <w:rsid w:val="0093271A"/>
    <w:rsid w:val="00934356"/>
    <w:rsid w:val="0094105A"/>
    <w:rsid w:val="0094239F"/>
    <w:rsid w:val="0094779F"/>
    <w:rsid w:val="009658ED"/>
    <w:rsid w:val="00966A22"/>
    <w:rsid w:val="0096722F"/>
    <w:rsid w:val="00973CA7"/>
    <w:rsid w:val="00980843"/>
    <w:rsid w:val="009973A0"/>
    <w:rsid w:val="009D6D01"/>
    <w:rsid w:val="009E2791"/>
    <w:rsid w:val="009E3F6F"/>
    <w:rsid w:val="009F499F"/>
    <w:rsid w:val="00A23C65"/>
    <w:rsid w:val="00A35BC8"/>
    <w:rsid w:val="00A37342"/>
    <w:rsid w:val="00A41344"/>
    <w:rsid w:val="00A42DAF"/>
    <w:rsid w:val="00A45BD8"/>
    <w:rsid w:val="00A470AE"/>
    <w:rsid w:val="00A6248C"/>
    <w:rsid w:val="00A83610"/>
    <w:rsid w:val="00A869B7"/>
    <w:rsid w:val="00A94AF4"/>
    <w:rsid w:val="00AA1E72"/>
    <w:rsid w:val="00AC205C"/>
    <w:rsid w:val="00AD3CB6"/>
    <w:rsid w:val="00AE1C35"/>
    <w:rsid w:val="00AF0A6B"/>
    <w:rsid w:val="00B04684"/>
    <w:rsid w:val="00B05A69"/>
    <w:rsid w:val="00B05F0B"/>
    <w:rsid w:val="00B218B1"/>
    <w:rsid w:val="00B31BA5"/>
    <w:rsid w:val="00B50079"/>
    <w:rsid w:val="00B52CD8"/>
    <w:rsid w:val="00B73C3F"/>
    <w:rsid w:val="00B85DAA"/>
    <w:rsid w:val="00B93354"/>
    <w:rsid w:val="00B942B0"/>
    <w:rsid w:val="00B9734B"/>
    <w:rsid w:val="00BA30E2"/>
    <w:rsid w:val="00BB49F0"/>
    <w:rsid w:val="00BC7B93"/>
    <w:rsid w:val="00BE0B0E"/>
    <w:rsid w:val="00BE1719"/>
    <w:rsid w:val="00BF4858"/>
    <w:rsid w:val="00C11BFE"/>
    <w:rsid w:val="00C12B10"/>
    <w:rsid w:val="00C5068F"/>
    <w:rsid w:val="00C52C67"/>
    <w:rsid w:val="00C562F3"/>
    <w:rsid w:val="00C81FEB"/>
    <w:rsid w:val="00C86D74"/>
    <w:rsid w:val="00C9716D"/>
    <w:rsid w:val="00CB1329"/>
    <w:rsid w:val="00CB63A8"/>
    <w:rsid w:val="00CC261B"/>
    <w:rsid w:val="00CD04F1"/>
    <w:rsid w:val="00D33090"/>
    <w:rsid w:val="00D33D96"/>
    <w:rsid w:val="00D45252"/>
    <w:rsid w:val="00D71B4D"/>
    <w:rsid w:val="00D93D55"/>
    <w:rsid w:val="00D94448"/>
    <w:rsid w:val="00DF378C"/>
    <w:rsid w:val="00E15015"/>
    <w:rsid w:val="00E335FE"/>
    <w:rsid w:val="00E50840"/>
    <w:rsid w:val="00E56FED"/>
    <w:rsid w:val="00E64710"/>
    <w:rsid w:val="00E70FC9"/>
    <w:rsid w:val="00E71C6B"/>
    <w:rsid w:val="00E840BC"/>
    <w:rsid w:val="00EA0D5F"/>
    <w:rsid w:val="00EA2B1E"/>
    <w:rsid w:val="00EA7D6E"/>
    <w:rsid w:val="00EC4E49"/>
    <w:rsid w:val="00ED77FB"/>
    <w:rsid w:val="00EE45FA"/>
    <w:rsid w:val="00EE7EEB"/>
    <w:rsid w:val="00F43329"/>
    <w:rsid w:val="00F66152"/>
    <w:rsid w:val="00F67CF9"/>
    <w:rsid w:val="00F93974"/>
    <w:rsid w:val="00FB76C3"/>
    <w:rsid w:val="00FD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36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6C8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AD3CB6"/>
    <w:pPr>
      <w:ind w:left="720"/>
      <w:contextualSpacing/>
    </w:pPr>
  </w:style>
  <w:style w:type="table" w:styleId="TableGrid">
    <w:name w:val="Table Grid"/>
    <w:basedOn w:val="TableNormal"/>
    <w:rsid w:val="0076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728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8D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8D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728DF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36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6C8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AD3CB6"/>
    <w:pPr>
      <w:ind w:left="720"/>
      <w:contextualSpacing/>
    </w:pPr>
  </w:style>
  <w:style w:type="table" w:styleId="TableGrid">
    <w:name w:val="Table Grid"/>
    <w:basedOn w:val="TableNormal"/>
    <w:rsid w:val="0076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728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28D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28D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728DF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A4D3-968A-4597-B18A-1D78AEB5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7024</Characters>
  <Application>Microsoft Office Word</Application>
  <DocSecurity>0</DocSecurity>
  <Lines>1756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lastModifiedBy>MIGLIORE Liliana</cp:lastModifiedBy>
  <cp:revision>3</cp:revision>
  <cp:lastPrinted>2018-06-15T12:07:00Z</cp:lastPrinted>
  <dcterms:created xsi:type="dcterms:W3CDTF">2018-06-20T13:42:00Z</dcterms:created>
  <dcterms:modified xsi:type="dcterms:W3CDTF">2018-06-20T13:44:00Z</dcterms:modified>
</cp:coreProperties>
</file>