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06C61" w14:paraId="5E76A8C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9B47CD4" w14:textId="77777777" w:rsidR="00EC4E49" w:rsidRPr="00E06C61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25AA2E" w14:textId="710BD169" w:rsidR="00EC4E49" w:rsidRPr="00E06C61" w:rsidRDefault="001337DB" w:rsidP="00916EE2">
            <w:pPr>
              <w:rPr>
                <w:lang w:val="es-ES"/>
              </w:rPr>
            </w:pPr>
            <w:r w:rsidRPr="00E06C61">
              <w:rPr>
                <w:noProof/>
                <w:lang w:val="es-ES" w:eastAsia="es-ES"/>
              </w:rPr>
              <w:drawing>
                <wp:inline distT="0" distB="0" distL="0" distR="0" wp14:anchorId="6D6D914B" wp14:editId="1F6BD6AB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FE8665" w14:textId="21BF8D2C" w:rsidR="00EC4E49" w:rsidRPr="00E06C61" w:rsidRDefault="001337DB" w:rsidP="001337DB">
            <w:pPr>
              <w:jc w:val="right"/>
              <w:rPr>
                <w:lang w:val="es-ES"/>
              </w:rPr>
            </w:pPr>
            <w:r w:rsidRPr="00E06C61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E06C61" w14:paraId="180B562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936D80E" w14:textId="1FD7BCAF" w:rsidR="008B2CC1" w:rsidRPr="00E06C61" w:rsidRDefault="007C48E8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E06C61">
              <w:rPr>
                <w:rFonts w:ascii="Arial Black" w:hAnsi="Arial Black"/>
                <w:caps/>
                <w:sz w:val="15"/>
                <w:lang w:val="es-ES"/>
              </w:rPr>
              <w:t>WIPO/EXP/IPTK/GE/19</w:t>
            </w:r>
            <w:r w:rsidR="00610789" w:rsidRPr="00E06C61">
              <w:rPr>
                <w:rFonts w:ascii="Arial Black" w:hAnsi="Arial Black"/>
                <w:caps/>
                <w:sz w:val="15"/>
                <w:lang w:val="es-ES"/>
              </w:rPr>
              <w:t>/2</w:t>
            </w:r>
          </w:p>
        </w:tc>
      </w:tr>
      <w:tr w:rsidR="008B2CC1" w:rsidRPr="00E06C61" w14:paraId="3A5EE63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5F59B99" w14:textId="4E0F830D" w:rsidR="008B2CC1" w:rsidRPr="00E06C61" w:rsidRDefault="008B2CC1" w:rsidP="001337D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06C61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E06C6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1337DB" w:rsidRPr="00E06C61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E06C6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E06C61" w14:paraId="39C2EBFA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5B3B210" w14:textId="508182AD" w:rsidR="008B2CC1" w:rsidRPr="00E06C61" w:rsidRDefault="001337DB" w:rsidP="001337D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06C61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E06C61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E06C6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E06C61">
              <w:rPr>
                <w:rFonts w:ascii="Arial Black" w:hAnsi="Arial Black"/>
                <w:caps/>
                <w:sz w:val="15"/>
                <w:lang w:val="es-ES"/>
              </w:rPr>
              <w:t>5 DE MARZO DE</w:t>
            </w:r>
            <w:r w:rsidR="007C48E8" w:rsidRPr="00E06C61">
              <w:rPr>
                <w:rFonts w:ascii="Arial Black" w:hAnsi="Arial Black"/>
                <w:caps/>
                <w:sz w:val="15"/>
                <w:lang w:val="es-ES"/>
              </w:rPr>
              <w:t xml:space="preserve"> 2019</w:t>
            </w:r>
            <w:r w:rsidR="008B2CC1" w:rsidRPr="00E06C6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14:paraId="0E7139A7" w14:textId="77777777" w:rsidR="0037248B" w:rsidRPr="00E06C61" w:rsidRDefault="0037248B" w:rsidP="008B2CC1">
      <w:pPr>
        <w:rPr>
          <w:lang w:val="es-ES"/>
        </w:rPr>
      </w:pPr>
    </w:p>
    <w:p w14:paraId="28BD71B1" w14:textId="77777777" w:rsidR="0037248B" w:rsidRPr="00E06C61" w:rsidRDefault="0037248B" w:rsidP="008B2CC1">
      <w:pPr>
        <w:rPr>
          <w:lang w:val="es-ES"/>
        </w:rPr>
      </w:pPr>
    </w:p>
    <w:p w14:paraId="06BF6BB8" w14:textId="77777777" w:rsidR="0037248B" w:rsidRPr="00E06C61" w:rsidRDefault="0037248B" w:rsidP="008B2CC1">
      <w:pPr>
        <w:rPr>
          <w:lang w:val="es-ES"/>
        </w:rPr>
      </w:pPr>
    </w:p>
    <w:p w14:paraId="78943234" w14:textId="77777777" w:rsidR="0037248B" w:rsidRPr="00E06C61" w:rsidRDefault="0037248B" w:rsidP="008B2CC1">
      <w:pPr>
        <w:rPr>
          <w:lang w:val="es-ES"/>
        </w:rPr>
      </w:pPr>
    </w:p>
    <w:p w14:paraId="6856F637" w14:textId="77777777" w:rsidR="0037248B" w:rsidRPr="00E06C61" w:rsidRDefault="0037248B" w:rsidP="008B2CC1">
      <w:pPr>
        <w:rPr>
          <w:lang w:val="es-ES"/>
        </w:rPr>
      </w:pPr>
    </w:p>
    <w:p w14:paraId="401BA8D2" w14:textId="77777777" w:rsidR="0037248B" w:rsidRPr="00E06C61" w:rsidRDefault="00C26DD4" w:rsidP="00C26DD4">
      <w:pPr>
        <w:rPr>
          <w:b/>
          <w:sz w:val="28"/>
          <w:szCs w:val="28"/>
          <w:lang w:val="es-ES"/>
        </w:rPr>
      </w:pPr>
      <w:r w:rsidRPr="00E06C61">
        <w:rPr>
          <w:b/>
          <w:sz w:val="28"/>
          <w:szCs w:val="28"/>
          <w:lang w:val="es-ES"/>
        </w:rPr>
        <w:t xml:space="preserve">Grupo de especialistas </w:t>
      </w:r>
      <w:r w:rsidRPr="00E06C61">
        <w:rPr>
          <w:b/>
          <w:i/>
          <w:sz w:val="28"/>
          <w:szCs w:val="28"/>
          <w:lang w:val="es-ES"/>
        </w:rPr>
        <w:t>ad hoc</w:t>
      </w:r>
      <w:r w:rsidRPr="00E06C61">
        <w:rPr>
          <w:b/>
          <w:sz w:val="28"/>
          <w:szCs w:val="28"/>
          <w:lang w:val="es-ES"/>
        </w:rPr>
        <w:t xml:space="preserve"> en conocimientos tradicionales y expresiones culturales tradicionales</w:t>
      </w:r>
    </w:p>
    <w:p w14:paraId="00284C0C" w14:textId="77777777" w:rsidR="0037248B" w:rsidRPr="00E06C61" w:rsidRDefault="0037248B" w:rsidP="000D4BD5">
      <w:pPr>
        <w:rPr>
          <w:lang w:val="es-ES"/>
        </w:rPr>
      </w:pPr>
    </w:p>
    <w:p w14:paraId="24FA0DFA" w14:textId="77777777" w:rsidR="0037248B" w:rsidRPr="00E06C61" w:rsidRDefault="0037248B" w:rsidP="000D4BD5">
      <w:pPr>
        <w:rPr>
          <w:lang w:val="es-ES"/>
        </w:rPr>
      </w:pPr>
    </w:p>
    <w:p w14:paraId="4688EE83" w14:textId="77777777" w:rsidR="0037248B" w:rsidRPr="00E06C61" w:rsidRDefault="00C26DD4" w:rsidP="00C26DD4">
      <w:pPr>
        <w:rPr>
          <w:b/>
          <w:sz w:val="24"/>
          <w:szCs w:val="24"/>
          <w:lang w:val="es-ES"/>
        </w:rPr>
      </w:pPr>
      <w:r w:rsidRPr="00E06C61">
        <w:rPr>
          <w:b/>
          <w:sz w:val="24"/>
          <w:szCs w:val="24"/>
          <w:lang w:val="es-ES"/>
        </w:rPr>
        <w:t>Ginebra, 17 de marzo de 2019</w:t>
      </w:r>
    </w:p>
    <w:p w14:paraId="0E32E871" w14:textId="77777777" w:rsidR="0037248B" w:rsidRPr="00E06C61" w:rsidRDefault="0037248B" w:rsidP="000D4BD5">
      <w:pPr>
        <w:rPr>
          <w:lang w:val="es-ES"/>
        </w:rPr>
      </w:pPr>
    </w:p>
    <w:p w14:paraId="520BEA27" w14:textId="77777777" w:rsidR="0037248B" w:rsidRPr="00E06C61" w:rsidRDefault="0037248B" w:rsidP="000D4BD5">
      <w:pPr>
        <w:rPr>
          <w:lang w:val="es-ES"/>
        </w:rPr>
      </w:pPr>
    </w:p>
    <w:p w14:paraId="2E22AF5D" w14:textId="77777777" w:rsidR="0037248B" w:rsidRPr="00E06C61" w:rsidRDefault="0037248B" w:rsidP="000D4BD5">
      <w:pPr>
        <w:rPr>
          <w:lang w:val="es-ES"/>
        </w:rPr>
      </w:pPr>
    </w:p>
    <w:p w14:paraId="5069B739" w14:textId="77777777" w:rsidR="0037248B" w:rsidRPr="00E06C61" w:rsidRDefault="00C26DD4" w:rsidP="00C26DD4">
      <w:pPr>
        <w:rPr>
          <w:caps/>
          <w:sz w:val="24"/>
          <w:lang w:val="es-ES"/>
        </w:rPr>
      </w:pPr>
      <w:bookmarkStart w:id="2" w:name="TitleOfDoc"/>
      <w:bookmarkEnd w:id="2"/>
      <w:r w:rsidRPr="00E06C61">
        <w:rPr>
          <w:caps/>
          <w:sz w:val="24"/>
          <w:lang w:val="es-ES"/>
        </w:rPr>
        <w:t>NOTA DE ANTECEDENTES SOBRE ELEMENTOS SUSTANTIVOS</w:t>
      </w:r>
    </w:p>
    <w:p w14:paraId="02A6E312" w14:textId="77777777" w:rsidR="0037248B" w:rsidRPr="00E06C61" w:rsidRDefault="0037248B" w:rsidP="000D4BD5">
      <w:pPr>
        <w:rPr>
          <w:lang w:val="es-ES"/>
        </w:rPr>
      </w:pPr>
    </w:p>
    <w:p w14:paraId="6245DEA8" w14:textId="77777777" w:rsidR="0037248B" w:rsidRPr="00E06C61" w:rsidRDefault="00C26DD4" w:rsidP="00C26DD4">
      <w:pPr>
        <w:rPr>
          <w:i/>
          <w:lang w:val="es-ES"/>
        </w:rPr>
      </w:pPr>
      <w:bookmarkStart w:id="3" w:name="Prepared"/>
      <w:bookmarkEnd w:id="3"/>
      <w:r w:rsidRPr="00E06C61">
        <w:rPr>
          <w:i/>
          <w:lang w:val="es-ES"/>
        </w:rPr>
        <w:t>preparada por la Oficina Internacional de la OMPI</w:t>
      </w:r>
    </w:p>
    <w:p w14:paraId="2D7BC9DE" w14:textId="77777777" w:rsidR="0037248B" w:rsidRPr="00E06C61" w:rsidRDefault="0037248B" w:rsidP="000D4BD5">
      <w:pPr>
        <w:rPr>
          <w:lang w:val="es-ES"/>
        </w:rPr>
      </w:pPr>
    </w:p>
    <w:p w14:paraId="00FC26A3" w14:textId="77777777" w:rsidR="0037248B" w:rsidRPr="00E06C61" w:rsidRDefault="0037248B" w:rsidP="000D4BD5">
      <w:pPr>
        <w:rPr>
          <w:lang w:val="es-ES"/>
        </w:rPr>
      </w:pPr>
    </w:p>
    <w:p w14:paraId="6462FEA6" w14:textId="77777777" w:rsidR="0037248B" w:rsidRPr="00E06C61" w:rsidRDefault="0037248B">
      <w:pPr>
        <w:rPr>
          <w:lang w:val="es-ES"/>
        </w:rPr>
      </w:pPr>
    </w:p>
    <w:p w14:paraId="7D5FC905" w14:textId="77777777" w:rsidR="0037248B" w:rsidRPr="00E06C61" w:rsidRDefault="000D4BD5">
      <w:pPr>
        <w:rPr>
          <w:lang w:val="es-ES"/>
        </w:rPr>
      </w:pPr>
      <w:r w:rsidRPr="00E06C61">
        <w:rPr>
          <w:lang w:val="es-ES"/>
        </w:rPr>
        <w:br w:type="page"/>
      </w:r>
    </w:p>
    <w:p w14:paraId="15AADF39" w14:textId="77777777" w:rsidR="0037248B" w:rsidRPr="00E06C61" w:rsidRDefault="000D4BD5" w:rsidP="00942E27">
      <w:pPr>
        <w:rPr>
          <w:szCs w:val="22"/>
          <w:lang w:val="es-ES"/>
        </w:rPr>
      </w:pPr>
      <w:r w:rsidRPr="00E06C61">
        <w:rPr>
          <w:lang w:val="es-ES"/>
        </w:rPr>
        <w:lastRenderedPageBreak/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942E27" w:rsidRPr="00E06C61">
        <w:rPr>
          <w:lang w:val="es-ES"/>
        </w:rPr>
        <w:t xml:space="preserve">El objetivo general del grupo de especialistas </w:t>
      </w:r>
      <w:r w:rsidR="00942E27" w:rsidRPr="00E06C61">
        <w:rPr>
          <w:i/>
          <w:lang w:val="es-ES"/>
        </w:rPr>
        <w:t>ad hoc</w:t>
      </w:r>
      <w:r w:rsidR="00942E27" w:rsidRPr="00E06C61">
        <w:rPr>
          <w:lang w:val="es-ES"/>
        </w:rPr>
        <w:t xml:space="preserve"> en conocimientos tradicionales y expresiones culturales tradicionales es, como se desprende del mandato del Comité Intergubernamental sobre Propiedad Intelectual y Recursos Genéticos, Conocimientos Tradicionales y Folclore (CIG) y de las decisiones tomadas en las sesiones trigésima séptima y trigésima octava del CIG, dar respuesta a cuestiones específicas de carácter jurídico, normativo o técnico.</w:t>
      </w:r>
      <w:r w:rsidR="00210B73" w:rsidRPr="00E06C61">
        <w:rPr>
          <w:szCs w:val="22"/>
          <w:lang w:val="es-ES"/>
        </w:rPr>
        <w:t xml:space="preserve"> </w:t>
      </w:r>
      <w:r w:rsidR="00942E27" w:rsidRPr="00E06C61">
        <w:rPr>
          <w:szCs w:val="22"/>
          <w:lang w:val="es-ES"/>
        </w:rPr>
        <w:t>Los resultados de su labor se comunicarán al CIG, que los examinará en mayor profundidad.</w:t>
      </w:r>
      <w:r w:rsidR="00610789" w:rsidRPr="00E06C61">
        <w:rPr>
          <w:szCs w:val="22"/>
          <w:lang w:val="es-ES"/>
        </w:rPr>
        <w:t xml:space="preserve"> </w:t>
      </w:r>
    </w:p>
    <w:p w14:paraId="574244B4" w14:textId="77777777" w:rsidR="0037248B" w:rsidRPr="00E06C61" w:rsidRDefault="0037248B" w:rsidP="00610789">
      <w:pPr>
        <w:rPr>
          <w:szCs w:val="22"/>
          <w:lang w:val="es-ES"/>
        </w:rPr>
      </w:pPr>
    </w:p>
    <w:p w14:paraId="0EF7DEA4" w14:textId="77777777" w:rsidR="0037248B" w:rsidRPr="00E06C61" w:rsidRDefault="00DB4872" w:rsidP="00DB4872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  <w:t xml:space="preserve">De acuerdo con las decisiones tomadas en las sesiones </w:t>
      </w:r>
      <w:r w:rsidR="006E1927" w:rsidRPr="00E06C61">
        <w:rPr>
          <w:lang w:val="es-ES"/>
        </w:rPr>
        <w:t xml:space="preserve">37.ª </w:t>
      </w:r>
      <w:r w:rsidRPr="00E06C61">
        <w:rPr>
          <w:lang w:val="es-ES"/>
        </w:rPr>
        <w:t xml:space="preserve">y </w:t>
      </w:r>
      <w:r w:rsidR="006E1927" w:rsidRPr="00E06C61">
        <w:rPr>
          <w:lang w:val="es-ES"/>
        </w:rPr>
        <w:t xml:space="preserve">38.ª </w:t>
      </w:r>
      <w:r w:rsidRPr="00E06C61">
        <w:rPr>
          <w:lang w:val="es-ES"/>
        </w:rPr>
        <w:t xml:space="preserve">del CIG, se invitó a los Estados miembros, por medio de los coordinadores regionales, a que propusieran las cuestiones específicas que debían someterse al examen del grupo de especialistas </w:t>
      </w:r>
      <w:r w:rsidRPr="00E06C61">
        <w:rPr>
          <w:i/>
          <w:lang w:val="es-ES"/>
        </w:rPr>
        <w:t>ad hoc</w:t>
      </w:r>
      <w:r w:rsidRPr="00E06C61">
        <w:rPr>
          <w:lang w:val="es-ES"/>
        </w:rPr>
        <w:t>.</w:t>
      </w:r>
      <w:r w:rsidR="00210B73" w:rsidRPr="00E06C61">
        <w:rPr>
          <w:lang w:val="es-ES"/>
        </w:rPr>
        <w:t xml:space="preserve"> </w:t>
      </w:r>
      <w:r w:rsidRPr="00E06C61">
        <w:rPr>
          <w:lang w:val="es-ES"/>
        </w:rPr>
        <w:t>El presidente y los vicepresidentes del CIG establecieron una lista de cuestiones a partir de las propuestas presentadas por los Estados miembros, que pusieron a disposición de los coordinadores regionales para que formularan comentarios.</w:t>
      </w:r>
      <w:r w:rsidR="00210B73" w:rsidRPr="00E06C61">
        <w:rPr>
          <w:lang w:val="es-ES"/>
        </w:rPr>
        <w:t xml:space="preserve"> </w:t>
      </w:r>
      <w:r w:rsidRPr="00E06C61">
        <w:rPr>
          <w:lang w:val="es-ES"/>
        </w:rPr>
        <w:t>Con arreglo a lo anterior, el presidente y los vicepresidentes han establecido la siguiente lista:</w:t>
      </w:r>
      <w:r w:rsidR="00210B73" w:rsidRPr="00E06C61">
        <w:rPr>
          <w:lang w:val="es-ES"/>
        </w:rPr>
        <w:t xml:space="preserve"> </w:t>
      </w:r>
    </w:p>
    <w:p w14:paraId="5624F30C" w14:textId="77777777" w:rsidR="0037248B" w:rsidRPr="00E06C61" w:rsidRDefault="0037248B">
      <w:pPr>
        <w:rPr>
          <w:lang w:val="es-ES"/>
        </w:rPr>
      </w:pPr>
    </w:p>
    <w:p w14:paraId="55491A1E" w14:textId="28284F3A" w:rsidR="0037248B" w:rsidRPr="00E06C61" w:rsidRDefault="00E06C61" w:rsidP="00DB4872">
      <w:pPr>
        <w:rPr>
          <w:rFonts w:eastAsia="DengXian"/>
          <w:szCs w:val="22"/>
          <w:lang w:val="es-ES"/>
        </w:rPr>
      </w:pPr>
      <w:r w:rsidRPr="00E06C61">
        <w:rPr>
          <w:rFonts w:eastAsia="DengXian"/>
          <w:szCs w:val="22"/>
          <w:lang w:val="es-ES"/>
        </w:rPr>
        <w:t>“</w:t>
      </w:r>
      <w:r w:rsidR="00DB4872" w:rsidRPr="00E06C61">
        <w:rPr>
          <w:rFonts w:eastAsia="DengXian"/>
          <w:szCs w:val="22"/>
          <w:lang w:val="es-ES"/>
        </w:rPr>
        <w:t>En relación con los conocimientos tradicionales y las expresiones culturales tradicionales,</w:t>
      </w:r>
    </w:p>
    <w:p w14:paraId="707BDD18" w14:textId="77777777" w:rsidR="0037248B" w:rsidRPr="00E06C61" w:rsidRDefault="0037248B" w:rsidP="007C48E8">
      <w:pPr>
        <w:ind w:left="720"/>
        <w:contextualSpacing/>
        <w:rPr>
          <w:rFonts w:eastAsia="DengXian"/>
          <w:szCs w:val="22"/>
          <w:lang w:val="es-ES"/>
        </w:rPr>
      </w:pPr>
    </w:p>
    <w:p w14:paraId="091A9B8F" w14:textId="77777777" w:rsidR="0037248B" w:rsidRPr="00E06C61" w:rsidRDefault="003D3DD3" w:rsidP="003D3DD3">
      <w:pPr>
        <w:numPr>
          <w:ilvl w:val="0"/>
          <w:numId w:val="25"/>
        </w:numPr>
        <w:ind w:left="720"/>
        <w:contextualSpacing/>
        <w:rPr>
          <w:rFonts w:eastAsia="DengXian"/>
          <w:szCs w:val="22"/>
          <w:lang w:val="es-ES"/>
        </w:rPr>
      </w:pPr>
      <w:r w:rsidRPr="00E06C61">
        <w:rPr>
          <w:rFonts w:eastAsia="DengXian"/>
          <w:szCs w:val="22"/>
          <w:lang w:val="es-ES"/>
        </w:rPr>
        <w:t>Materia, incluidas las definiciones conexas.</w:t>
      </w:r>
    </w:p>
    <w:p w14:paraId="5CCE7AD7" w14:textId="77777777" w:rsidR="0037248B" w:rsidRPr="00E06C61" w:rsidRDefault="0037248B" w:rsidP="007C48E8">
      <w:pPr>
        <w:ind w:left="720"/>
        <w:contextualSpacing/>
        <w:rPr>
          <w:rFonts w:eastAsia="DengXian"/>
          <w:szCs w:val="22"/>
          <w:lang w:val="es-ES"/>
        </w:rPr>
      </w:pPr>
    </w:p>
    <w:p w14:paraId="7F79CA41" w14:textId="77777777" w:rsidR="0037248B" w:rsidRPr="00E06C61" w:rsidRDefault="003D3DD3" w:rsidP="003D3DD3">
      <w:pPr>
        <w:numPr>
          <w:ilvl w:val="0"/>
          <w:numId w:val="25"/>
        </w:numPr>
        <w:ind w:left="720"/>
        <w:contextualSpacing/>
        <w:rPr>
          <w:rFonts w:eastAsia="DengXian"/>
          <w:szCs w:val="22"/>
          <w:lang w:val="es-ES"/>
        </w:rPr>
      </w:pPr>
      <w:r w:rsidRPr="00E06C61">
        <w:rPr>
          <w:rFonts w:eastAsia="DengXian"/>
          <w:szCs w:val="22"/>
          <w:lang w:val="es-ES"/>
        </w:rPr>
        <w:t>Alcance de la protección:</w:t>
      </w:r>
    </w:p>
    <w:p w14:paraId="098EE30E" w14:textId="77777777" w:rsidR="0037248B" w:rsidRPr="00E06C61" w:rsidRDefault="003D3DD3" w:rsidP="003D3DD3">
      <w:pPr>
        <w:numPr>
          <w:ilvl w:val="1"/>
          <w:numId w:val="25"/>
        </w:numPr>
        <w:ind w:left="1440"/>
        <w:contextualSpacing/>
        <w:rPr>
          <w:rFonts w:eastAsia="DengXian"/>
          <w:szCs w:val="22"/>
          <w:lang w:val="es-ES"/>
        </w:rPr>
      </w:pPr>
      <w:r w:rsidRPr="00E06C61">
        <w:rPr>
          <w:rFonts w:eastAsia="DengXian"/>
          <w:szCs w:val="22"/>
          <w:lang w:val="es-ES"/>
        </w:rPr>
        <w:t xml:space="preserve">mayor consideración de un posible </w:t>
      </w:r>
      <w:r w:rsidR="00F76EBA" w:rsidRPr="00E06C61">
        <w:rPr>
          <w:rFonts w:eastAsia="DengXian"/>
          <w:szCs w:val="22"/>
          <w:lang w:val="es-ES"/>
        </w:rPr>
        <w:t>‘</w:t>
      </w:r>
      <w:r w:rsidRPr="00E06C61">
        <w:rPr>
          <w:rFonts w:eastAsia="DengXian"/>
          <w:szCs w:val="22"/>
          <w:lang w:val="es-ES"/>
        </w:rPr>
        <w:t>enfoque estratificado</w:t>
      </w:r>
      <w:r w:rsidR="00F76EBA" w:rsidRPr="00E06C61">
        <w:rPr>
          <w:rFonts w:eastAsia="DengXian"/>
          <w:szCs w:val="22"/>
          <w:lang w:val="es-ES"/>
        </w:rPr>
        <w:t>’</w:t>
      </w:r>
      <w:r w:rsidRPr="00E06C61">
        <w:rPr>
          <w:rFonts w:eastAsia="DengXian"/>
          <w:szCs w:val="22"/>
          <w:lang w:val="es-ES"/>
        </w:rPr>
        <w:t xml:space="preserve"> (protección diferenciada)</w:t>
      </w:r>
    </w:p>
    <w:p w14:paraId="7E83321E" w14:textId="77777777" w:rsidR="0037248B" w:rsidRPr="00E06C61" w:rsidRDefault="003D3DD3" w:rsidP="003D3DD3">
      <w:pPr>
        <w:numPr>
          <w:ilvl w:val="1"/>
          <w:numId w:val="25"/>
        </w:numPr>
        <w:ind w:left="1440"/>
        <w:contextualSpacing/>
        <w:rPr>
          <w:rFonts w:eastAsia="DengXian"/>
          <w:szCs w:val="22"/>
          <w:lang w:val="es-ES"/>
        </w:rPr>
      </w:pPr>
      <w:r w:rsidRPr="00E06C61">
        <w:rPr>
          <w:rFonts w:eastAsia="DengXian"/>
          <w:szCs w:val="22"/>
          <w:lang w:val="es-ES"/>
        </w:rPr>
        <w:t>criterios de admisibilidad de la protección</w:t>
      </w:r>
    </w:p>
    <w:p w14:paraId="07FE5E86" w14:textId="76019196" w:rsidR="0037248B" w:rsidRPr="00E06C61" w:rsidRDefault="003D3DD3" w:rsidP="003D3DD3">
      <w:pPr>
        <w:numPr>
          <w:ilvl w:val="1"/>
          <w:numId w:val="25"/>
        </w:numPr>
        <w:ind w:left="1440"/>
        <w:contextualSpacing/>
        <w:rPr>
          <w:rFonts w:eastAsia="DengXian"/>
          <w:szCs w:val="22"/>
          <w:lang w:val="es-ES"/>
        </w:rPr>
      </w:pPr>
      <w:r w:rsidRPr="00E06C61">
        <w:rPr>
          <w:rFonts w:eastAsia="DengXian"/>
          <w:szCs w:val="22"/>
          <w:lang w:val="es-ES"/>
        </w:rPr>
        <w:t>definiciones conexas</w:t>
      </w:r>
      <w:r w:rsidR="00E06C61" w:rsidRPr="00E06C61">
        <w:rPr>
          <w:rFonts w:eastAsia="DengXian"/>
          <w:szCs w:val="22"/>
          <w:lang w:val="es-ES"/>
        </w:rPr>
        <w:t>”</w:t>
      </w:r>
      <w:r w:rsidRPr="00E06C61">
        <w:rPr>
          <w:rFonts w:eastAsia="DengXian"/>
          <w:szCs w:val="22"/>
          <w:lang w:val="es-ES"/>
        </w:rPr>
        <w:t>.</w:t>
      </w:r>
    </w:p>
    <w:p w14:paraId="447CF220" w14:textId="77777777" w:rsidR="0037248B" w:rsidRPr="00E06C61" w:rsidRDefault="0037248B" w:rsidP="003D3DD3">
      <w:pPr>
        <w:ind w:left="1440"/>
        <w:contextualSpacing/>
        <w:rPr>
          <w:rFonts w:eastAsia="DengXian"/>
          <w:szCs w:val="22"/>
          <w:lang w:val="es-ES"/>
        </w:rPr>
      </w:pPr>
    </w:p>
    <w:p w14:paraId="242AFE7D" w14:textId="77777777" w:rsidR="0037248B" w:rsidRPr="00E06C61" w:rsidRDefault="000E69A5" w:rsidP="006E1927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5A4654" w:rsidRPr="00E06C61">
        <w:rPr>
          <w:lang w:val="es-ES"/>
        </w:rPr>
        <w:t xml:space="preserve">En la presente nota de antecedentes sobre elementos sustantivos se aportan antecedentes sobre la lista de cuestiones y se proponen algunos aspectos y una tarea para que el grupo de especialistas </w:t>
      </w:r>
      <w:r w:rsidR="005A4654" w:rsidRPr="00E06C61">
        <w:rPr>
          <w:i/>
          <w:lang w:val="es-ES"/>
        </w:rPr>
        <w:t>ad hoc</w:t>
      </w:r>
      <w:r w:rsidR="005A4654" w:rsidRPr="00E06C61">
        <w:rPr>
          <w:lang w:val="es-ES"/>
        </w:rPr>
        <w:t xml:space="preserve"> los examine.</w:t>
      </w:r>
      <w:r w:rsidR="00210B73" w:rsidRPr="00E06C61">
        <w:rPr>
          <w:lang w:val="es-ES"/>
        </w:rPr>
        <w:t xml:space="preserve"> </w:t>
      </w:r>
      <w:r w:rsidR="006E1927" w:rsidRPr="00E06C61">
        <w:rPr>
          <w:lang w:val="es-ES"/>
        </w:rPr>
        <w:t>Los copresidentes del grupo indicarán con mayor detalle cómo se abordarán estas cuestiones y aspectos durante la reunión.</w:t>
      </w:r>
      <w:r w:rsidR="00210B73" w:rsidRPr="00E06C61">
        <w:rPr>
          <w:lang w:val="es-ES"/>
        </w:rPr>
        <w:t xml:space="preserve"> </w:t>
      </w:r>
      <w:r w:rsidR="006E1927" w:rsidRPr="00E06C61">
        <w:rPr>
          <w:lang w:val="es-ES"/>
        </w:rPr>
        <w:t>Se recuerda que los conocimientos tradicionales (CC.TT.) y las expresiones culturales tradicionales (ECT) también se tratarán en las sesiones 39.ª y 40.ª del CIG.</w:t>
      </w:r>
      <w:r w:rsidR="006D3C9F" w:rsidRPr="00E06C61">
        <w:rPr>
          <w:szCs w:val="22"/>
          <w:lang w:val="es-ES"/>
        </w:rPr>
        <w:t xml:space="preserve"> </w:t>
      </w:r>
    </w:p>
    <w:p w14:paraId="2071BD21" w14:textId="77777777" w:rsidR="0037248B" w:rsidRPr="00E06C61" w:rsidRDefault="0037248B" w:rsidP="000D4BD5">
      <w:pPr>
        <w:rPr>
          <w:lang w:val="es-ES"/>
        </w:rPr>
      </w:pPr>
    </w:p>
    <w:p w14:paraId="0845AA15" w14:textId="77777777" w:rsidR="0037248B" w:rsidRPr="00E06C61" w:rsidRDefault="003D4E05" w:rsidP="003D4E05">
      <w:pPr>
        <w:rPr>
          <w:b/>
          <w:lang w:val="es-ES"/>
        </w:rPr>
      </w:pPr>
      <w:r w:rsidRPr="00E06C61">
        <w:rPr>
          <w:b/>
          <w:lang w:val="es-ES"/>
        </w:rPr>
        <w:t>Materia</w:t>
      </w:r>
    </w:p>
    <w:p w14:paraId="739A9256" w14:textId="77777777" w:rsidR="0037248B" w:rsidRPr="00E06C61" w:rsidRDefault="0037248B" w:rsidP="0001278A">
      <w:pPr>
        <w:rPr>
          <w:lang w:val="es-ES"/>
        </w:rPr>
      </w:pPr>
    </w:p>
    <w:p w14:paraId="18B1DEF1" w14:textId="77777777" w:rsidR="0037248B" w:rsidRPr="00E06C61" w:rsidRDefault="000D4BD5" w:rsidP="00FF6ECA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3D4E05" w:rsidRPr="00E06C61">
        <w:rPr>
          <w:lang w:val="es-ES"/>
        </w:rPr>
        <w:t xml:space="preserve">La primera cuestión relacionada con la materia que el grupo de especialistas </w:t>
      </w:r>
      <w:r w:rsidR="003D4E05" w:rsidRPr="00E06C61">
        <w:rPr>
          <w:i/>
          <w:lang w:val="es-ES"/>
        </w:rPr>
        <w:t>ad hoc</w:t>
      </w:r>
      <w:r w:rsidR="003D4E05" w:rsidRPr="00E06C61">
        <w:rPr>
          <w:lang w:val="es-ES"/>
        </w:rPr>
        <w:t xml:space="preserve"> podría examinar es la manera de definir la materia.</w:t>
      </w:r>
      <w:r w:rsidR="00210B73" w:rsidRPr="00E06C61">
        <w:rPr>
          <w:lang w:val="es-ES"/>
        </w:rPr>
        <w:t xml:space="preserve"> </w:t>
      </w:r>
      <w:r w:rsidR="00FF6ECA" w:rsidRPr="00E06C61">
        <w:rPr>
          <w:lang w:val="es-ES"/>
        </w:rPr>
        <w:t xml:space="preserve">En los instrumentos jurídicos, las disposiciones relativas a la materia suelen tener como fin delimitar la materia </w:t>
      </w:r>
      <w:r w:rsidR="00FF6ECA" w:rsidRPr="00E06C61">
        <w:rPr>
          <w:i/>
          <w:lang w:val="es-ES"/>
        </w:rPr>
        <w:t>objeto de protección</w:t>
      </w:r>
      <w:r w:rsidR="00FF6ECA" w:rsidRPr="00E06C61">
        <w:rPr>
          <w:lang w:val="es-ES"/>
        </w:rPr>
        <w:t>.</w:t>
      </w:r>
      <w:r w:rsidR="00210B73" w:rsidRPr="00E06C61">
        <w:rPr>
          <w:lang w:val="es-ES"/>
        </w:rPr>
        <w:t xml:space="preserve"> </w:t>
      </w:r>
    </w:p>
    <w:p w14:paraId="7AC29345" w14:textId="77777777" w:rsidR="0037248B" w:rsidRPr="00E06C61" w:rsidRDefault="0037248B" w:rsidP="000D4BD5">
      <w:pPr>
        <w:rPr>
          <w:lang w:val="es-ES"/>
        </w:rPr>
      </w:pPr>
    </w:p>
    <w:p w14:paraId="214F1D3A" w14:textId="77777777" w:rsidR="0037248B" w:rsidRPr="00E06C61" w:rsidRDefault="0043778A" w:rsidP="00FF6ECA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FF6ECA" w:rsidRPr="00E06C61">
        <w:rPr>
          <w:lang w:val="es-ES"/>
        </w:rPr>
        <w:t>En sus deliberaciones sobre la materia, se invita a los especialistas a tomar nota de que:</w:t>
      </w:r>
    </w:p>
    <w:p w14:paraId="7321030C" w14:textId="77777777" w:rsidR="0037248B" w:rsidRPr="00E06C61" w:rsidRDefault="0037248B" w:rsidP="000D4BD5">
      <w:pPr>
        <w:rPr>
          <w:lang w:val="es-ES"/>
        </w:rPr>
      </w:pPr>
    </w:p>
    <w:p w14:paraId="626F45FE" w14:textId="0F92F766" w:rsidR="00CE3F03" w:rsidRPr="00CE3F03" w:rsidRDefault="00923CB7" w:rsidP="00CE3F03">
      <w:pPr>
        <w:pStyle w:val="ListParagraph"/>
        <w:numPr>
          <w:ilvl w:val="0"/>
          <w:numId w:val="33"/>
        </w:numPr>
        <w:rPr>
          <w:lang w:val="es-ES"/>
        </w:rPr>
      </w:pPr>
      <w:r w:rsidRPr="00E06C61">
        <w:rPr>
          <w:lang w:val="es-ES"/>
        </w:rPr>
        <w:t>Las disposiciones sobre la materia objeto de protección pueden incluir una definición o descripción de la propia materia y criterios sustantivos que especifiquen con mayor precisión los CC.TT. o las ECT que se prestan a protección.</w:t>
      </w:r>
      <w:r w:rsidR="00210B73" w:rsidRPr="00E06C61">
        <w:rPr>
          <w:lang w:val="es-ES"/>
        </w:rPr>
        <w:t xml:space="preserve"> </w:t>
      </w:r>
      <w:r w:rsidRPr="00E06C61">
        <w:rPr>
          <w:lang w:val="es-ES"/>
        </w:rPr>
        <w:t>De hecho, es posible que sea necesario distinguir la materia en general de la materia objeto de protección;</w:t>
      </w:r>
      <w:r w:rsidR="00CE3F03">
        <w:rPr>
          <w:lang w:val="es-ES"/>
        </w:rPr>
        <w:br/>
      </w:r>
    </w:p>
    <w:p w14:paraId="506401F7" w14:textId="67C69542" w:rsidR="0037248B" w:rsidRPr="00E06C61" w:rsidRDefault="00923CB7" w:rsidP="00F50FE9">
      <w:pPr>
        <w:pStyle w:val="ListParagraph"/>
        <w:keepLines/>
        <w:numPr>
          <w:ilvl w:val="0"/>
          <w:numId w:val="33"/>
        </w:numPr>
        <w:rPr>
          <w:lang w:val="es-ES"/>
        </w:rPr>
      </w:pPr>
      <w:r w:rsidRPr="00E06C61">
        <w:rPr>
          <w:lang w:val="es-ES"/>
        </w:rPr>
        <w:lastRenderedPageBreak/>
        <w:t>A menudo, las normas internacionales de propiedad intelectual (PI) remiten al nivel nacional la delimitación precisa de la materia objeto de protección.</w:t>
      </w:r>
      <w:r w:rsidR="00210B73" w:rsidRPr="00E06C61">
        <w:rPr>
          <w:lang w:val="es-ES"/>
        </w:rPr>
        <w:t xml:space="preserve"> </w:t>
      </w:r>
      <w:r w:rsidR="00A57254" w:rsidRPr="00E06C61">
        <w:rPr>
          <w:lang w:val="es-ES"/>
        </w:rPr>
        <w:t xml:space="preserve">Los instrumentos internacionales varían entre los que facilitan una descripción amplia y general de la materia y los que fijan un conjunto de criterios que la materia debe cumplir para ser objeto de protección (denominados, en el contexto del CIG, </w:t>
      </w:r>
      <w:r w:rsidR="00E06C61" w:rsidRPr="00E06C61">
        <w:rPr>
          <w:lang w:val="es-ES"/>
        </w:rPr>
        <w:t>“</w:t>
      </w:r>
      <w:r w:rsidR="00A57254" w:rsidRPr="00E06C61">
        <w:rPr>
          <w:lang w:val="es-ES"/>
        </w:rPr>
        <w:t>criterios de admisibilidad</w:t>
      </w:r>
      <w:r w:rsidR="00E06C61" w:rsidRPr="00E06C61">
        <w:rPr>
          <w:lang w:val="es-ES"/>
        </w:rPr>
        <w:t>”</w:t>
      </w:r>
      <w:r w:rsidR="00A57254" w:rsidRPr="00E06C61">
        <w:rPr>
          <w:lang w:val="es-ES"/>
        </w:rPr>
        <w:t>), además de los instrumentos que no ofrecen ninguna definición.</w:t>
      </w:r>
      <w:r w:rsidR="00210B73" w:rsidRPr="00E06C61">
        <w:rPr>
          <w:lang w:val="es-ES"/>
        </w:rPr>
        <w:t xml:space="preserve"> </w:t>
      </w:r>
    </w:p>
    <w:p w14:paraId="27AC3E9E" w14:textId="77777777" w:rsidR="0037248B" w:rsidRPr="00E06C61" w:rsidRDefault="0037248B" w:rsidP="000D4BD5">
      <w:pPr>
        <w:rPr>
          <w:lang w:val="es-ES"/>
        </w:rPr>
      </w:pPr>
    </w:p>
    <w:p w14:paraId="7314A99A" w14:textId="77777777" w:rsidR="0037248B" w:rsidRPr="00E06C61" w:rsidRDefault="00881144" w:rsidP="003C46C9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3C46C9" w:rsidRPr="00E06C61">
        <w:rPr>
          <w:lang w:val="es-ES"/>
        </w:rPr>
        <w:t xml:space="preserve">Se invita al grupo de especialistas </w:t>
      </w:r>
      <w:r w:rsidR="003C46C9" w:rsidRPr="00E06C61">
        <w:rPr>
          <w:i/>
          <w:lang w:val="es-ES"/>
        </w:rPr>
        <w:t xml:space="preserve">ad hoc </w:t>
      </w:r>
      <w:r w:rsidR="003C46C9" w:rsidRPr="00E06C61">
        <w:rPr>
          <w:lang w:val="es-ES"/>
        </w:rPr>
        <w:t>a examinar las siguientes cuestiones:</w:t>
      </w:r>
    </w:p>
    <w:p w14:paraId="7ABB5B66" w14:textId="77777777" w:rsidR="0037248B" w:rsidRPr="00E06C61" w:rsidRDefault="0037248B" w:rsidP="003C46C9">
      <w:pPr>
        <w:rPr>
          <w:lang w:val="es-ES"/>
        </w:rPr>
      </w:pPr>
    </w:p>
    <w:p w14:paraId="39A542EF" w14:textId="21104245" w:rsidR="0037248B" w:rsidRPr="00E06C61" w:rsidRDefault="003C46C9" w:rsidP="003C46C9">
      <w:pPr>
        <w:pStyle w:val="ListParagraph"/>
        <w:numPr>
          <w:ilvl w:val="0"/>
          <w:numId w:val="28"/>
        </w:numPr>
        <w:rPr>
          <w:lang w:val="es-ES"/>
        </w:rPr>
      </w:pPr>
      <w:r w:rsidRPr="00E06C61">
        <w:rPr>
          <w:lang w:val="es-ES"/>
        </w:rPr>
        <w:t xml:space="preserve">¿Es necesario que los instrumentos definan la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materia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>?</w:t>
      </w:r>
      <w:r w:rsidR="005C0A74" w:rsidRPr="00E06C61">
        <w:rPr>
          <w:lang w:val="es-ES"/>
        </w:rPr>
        <w:t xml:space="preserve"> </w:t>
      </w:r>
    </w:p>
    <w:p w14:paraId="14059C80" w14:textId="77777777" w:rsidR="0037248B" w:rsidRPr="00E06C61" w:rsidRDefault="0037248B" w:rsidP="00415138">
      <w:pPr>
        <w:pStyle w:val="ListParagraph"/>
        <w:rPr>
          <w:lang w:val="es-ES"/>
        </w:rPr>
      </w:pPr>
    </w:p>
    <w:p w14:paraId="73670E7A" w14:textId="77777777" w:rsidR="0037248B" w:rsidRPr="00E06C61" w:rsidRDefault="003C46C9" w:rsidP="003C46C9">
      <w:pPr>
        <w:pStyle w:val="ListParagraph"/>
        <w:numPr>
          <w:ilvl w:val="0"/>
          <w:numId w:val="28"/>
        </w:numPr>
        <w:rPr>
          <w:lang w:val="es-ES"/>
        </w:rPr>
      </w:pPr>
      <w:r w:rsidRPr="00E06C61">
        <w:rPr>
          <w:lang w:val="es-ES"/>
        </w:rPr>
        <w:t>En caso afirmativo:</w:t>
      </w:r>
    </w:p>
    <w:p w14:paraId="53A36617" w14:textId="77777777" w:rsidR="0037248B" w:rsidRPr="00E06C61" w:rsidRDefault="0037248B" w:rsidP="00AC7B78">
      <w:pPr>
        <w:pStyle w:val="ListParagraph"/>
        <w:rPr>
          <w:lang w:val="es-ES"/>
        </w:rPr>
      </w:pPr>
    </w:p>
    <w:p w14:paraId="43A4790B" w14:textId="77777777" w:rsidR="0037248B" w:rsidRPr="00E06C61" w:rsidRDefault="003C46C9" w:rsidP="003C46C9">
      <w:pPr>
        <w:pStyle w:val="ListParagraph"/>
        <w:numPr>
          <w:ilvl w:val="1"/>
          <w:numId w:val="28"/>
        </w:numPr>
        <w:rPr>
          <w:lang w:val="es-ES"/>
        </w:rPr>
      </w:pPr>
      <w:r w:rsidRPr="00E06C61">
        <w:rPr>
          <w:lang w:val="es-ES"/>
        </w:rPr>
        <w:t>¿Deberían figurar esas definiciones en los artículos relativos a los términos utilizados o en artículos independientes?</w:t>
      </w:r>
    </w:p>
    <w:p w14:paraId="17C468B3" w14:textId="77777777" w:rsidR="0037248B" w:rsidRPr="00E06C61" w:rsidRDefault="0037248B" w:rsidP="00C019F1">
      <w:pPr>
        <w:pStyle w:val="ListParagraph"/>
        <w:ind w:left="1440"/>
        <w:rPr>
          <w:lang w:val="es-ES"/>
        </w:rPr>
      </w:pPr>
    </w:p>
    <w:p w14:paraId="1A71449D" w14:textId="0D4DE370" w:rsidR="0037248B" w:rsidRPr="00E06C61" w:rsidRDefault="00AB7FE1" w:rsidP="00AB7FE1">
      <w:pPr>
        <w:pStyle w:val="ListParagraph"/>
        <w:numPr>
          <w:ilvl w:val="1"/>
          <w:numId w:val="28"/>
        </w:numPr>
        <w:rPr>
          <w:lang w:val="es-ES"/>
        </w:rPr>
      </w:pPr>
      <w:r w:rsidRPr="00E06C61">
        <w:rPr>
          <w:lang w:val="es-ES"/>
        </w:rPr>
        <w:t xml:space="preserve">¿Cuáles son los principales calificativos que definen la materia, por ejemplo,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creada, generada, expresada, desarrollada y mantenida por las comunidades indígenas y locales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 xml:space="preserve">,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directamente relacionada con la identidad o el patrimonio social o cultural de las comunidades indígenas y locales, o integrada en ellos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 xml:space="preserve">,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transmitida entre generaciones o de una generación a la siguiente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 xml:space="preserve"> o bien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puede ser dinámica y evolucionar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>?</w:t>
      </w:r>
    </w:p>
    <w:p w14:paraId="0661F2EF" w14:textId="77777777" w:rsidR="0037248B" w:rsidRPr="00E06C61" w:rsidRDefault="0037248B" w:rsidP="00C019F1">
      <w:pPr>
        <w:pStyle w:val="ListParagraph"/>
        <w:ind w:left="1440"/>
        <w:rPr>
          <w:lang w:val="es-ES"/>
        </w:rPr>
      </w:pPr>
    </w:p>
    <w:p w14:paraId="12C6F048" w14:textId="3E0A580B" w:rsidR="0037248B" w:rsidRPr="00E06C61" w:rsidRDefault="00CA7671" w:rsidP="00CA7671">
      <w:pPr>
        <w:pStyle w:val="ListParagraph"/>
        <w:numPr>
          <w:ilvl w:val="1"/>
          <w:numId w:val="28"/>
        </w:numPr>
        <w:rPr>
          <w:lang w:val="es-ES"/>
        </w:rPr>
      </w:pPr>
      <w:r w:rsidRPr="00E06C61">
        <w:rPr>
          <w:lang w:val="es-ES"/>
        </w:rPr>
        <w:t xml:space="preserve">¿Cuáles son los principales calificativos para describir los CC.TT. y las ECT? Por ejemplo, las ECT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consisten en cualquier forma de expresión creativa, espiritual, artística o literaria, tangible o intangible, o en una combinación de ellas, tales como acciones</w:t>
      </w:r>
      <w:r w:rsidRPr="00E06C61">
        <w:rPr>
          <w:rStyle w:val="FootnoteReference"/>
          <w:lang w:val="es-ES"/>
        </w:rPr>
        <w:footnoteReference w:id="2"/>
      </w:r>
      <w:r w:rsidRPr="00E06C61">
        <w:rPr>
          <w:lang w:val="es-ES"/>
        </w:rPr>
        <w:t>, materiales</w:t>
      </w:r>
      <w:r w:rsidRPr="00E06C61">
        <w:rPr>
          <w:rStyle w:val="FootnoteReference"/>
          <w:lang w:val="es-ES"/>
        </w:rPr>
        <w:footnoteReference w:id="3"/>
      </w:r>
      <w:r w:rsidRPr="00E06C61">
        <w:rPr>
          <w:lang w:val="es-ES"/>
        </w:rPr>
        <w:t>, música y sonido</w:t>
      </w:r>
      <w:r w:rsidRPr="00E06C61">
        <w:rPr>
          <w:rStyle w:val="FootnoteReference"/>
          <w:lang w:val="es-ES"/>
        </w:rPr>
        <w:footnoteReference w:id="4"/>
      </w:r>
      <w:r w:rsidRPr="00E06C61">
        <w:rPr>
          <w:lang w:val="es-ES"/>
        </w:rPr>
        <w:t xml:space="preserve"> o formas verbales</w:t>
      </w:r>
      <w:r w:rsidRPr="00E06C61">
        <w:rPr>
          <w:rStyle w:val="FootnoteReference"/>
          <w:lang w:val="es-ES"/>
        </w:rPr>
        <w:footnoteReference w:id="5"/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 xml:space="preserve">, y los CC.TT.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adoptan la forma de conocimientos especializados, habilidades, prácticas, enseñanzas y experiencias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>.</w:t>
      </w:r>
    </w:p>
    <w:p w14:paraId="74FCB81E" w14:textId="77777777" w:rsidR="0037248B" w:rsidRPr="00E06C61" w:rsidRDefault="0037248B" w:rsidP="00C019F1">
      <w:pPr>
        <w:rPr>
          <w:lang w:val="es-ES"/>
        </w:rPr>
      </w:pPr>
    </w:p>
    <w:p w14:paraId="40C963EA" w14:textId="12FC06EF" w:rsidR="0037248B" w:rsidRPr="00E06C61" w:rsidRDefault="00C019F1" w:rsidP="00C019F1">
      <w:pPr>
        <w:pStyle w:val="ListParagraph"/>
        <w:numPr>
          <w:ilvl w:val="0"/>
          <w:numId w:val="28"/>
        </w:numPr>
        <w:rPr>
          <w:lang w:val="es-ES"/>
        </w:rPr>
      </w:pPr>
      <w:r w:rsidRPr="00E06C61">
        <w:rPr>
          <w:lang w:val="es-ES"/>
        </w:rPr>
        <w:t xml:space="preserve">¿Deberían distinguir los instrumentos entre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materia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 xml:space="preserve"> y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materia objeto de protección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>?</w:t>
      </w:r>
      <w:r w:rsidR="00210B73" w:rsidRPr="00E06C61">
        <w:rPr>
          <w:lang w:val="es-ES"/>
        </w:rPr>
        <w:t xml:space="preserve"> </w:t>
      </w:r>
      <w:r w:rsidRPr="00E06C61">
        <w:rPr>
          <w:lang w:val="es-ES"/>
        </w:rPr>
        <w:t>En caso afirmativo, ¿cómo?</w:t>
      </w:r>
      <w:r w:rsidR="00E84D66" w:rsidRPr="00E06C61">
        <w:rPr>
          <w:lang w:val="es-ES"/>
        </w:rPr>
        <w:t xml:space="preserve"> </w:t>
      </w:r>
      <w:r w:rsidRPr="00E06C61">
        <w:rPr>
          <w:lang w:val="es-ES"/>
        </w:rPr>
        <w:t xml:space="preserve">(¿qué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criterios de admisibilidad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>?).</w:t>
      </w:r>
      <w:r w:rsidR="00210B73" w:rsidRPr="00E06C61">
        <w:rPr>
          <w:lang w:val="es-ES"/>
        </w:rPr>
        <w:t xml:space="preserve"> </w:t>
      </w:r>
      <w:r w:rsidRPr="00E06C61">
        <w:rPr>
          <w:lang w:val="es-ES"/>
        </w:rPr>
        <w:t>¿Qué debería dejarse en manos de las leyes nacionales?</w:t>
      </w:r>
    </w:p>
    <w:p w14:paraId="090ACBE6" w14:textId="77777777" w:rsidR="0037248B" w:rsidRPr="00E06C61" w:rsidRDefault="0037248B" w:rsidP="00C019F1">
      <w:pPr>
        <w:pStyle w:val="ListParagraph"/>
        <w:rPr>
          <w:lang w:val="es-ES"/>
        </w:rPr>
      </w:pPr>
    </w:p>
    <w:p w14:paraId="7F6CE349" w14:textId="77777777" w:rsidR="0037248B" w:rsidRPr="00E06C61" w:rsidRDefault="00BA05A1" w:rsidP="00384FFF">
      <w:pPr>
        <w:pStyle w:val="ListParagraph"/>
        <w:numPr>
          <w:ilvl w:val="0"/>
          <w:numId w:val="28"/>
        </w:numPr>
        <w:rPr>
          <w:szCs w:val="22"/>
          <w:lang w:val="es-ES"/>
        </w:rPr>
      </w:pPr>
      <w:r w:rsidRPr="00E06C61">
        <w:rPr>
          <w:szCs w:val="22"/>
          <w:lang w:val="es-ES"/>
        </w:rPr>
        <w:t>Al examinar las cuestiones mencionadas, cabe señalar que en los documentos de trabajo relativos a los CC.TT. y las ECT se han propuesto varios enfoques para establecer la relación o el vínculo entre la definición de la materia y la determinación del alcance de los derechos morales o patrimoniales relativos a los CC.TT. y las ECT, incluidas las limitaciones de cualquiera de esos derechos.</w:t>
      </w:r>
      <w:r w:rsidR="00210B73" w:rsidRPr="00E06C61">
        <w:rPr>
          <w:szCs w:val="22"/>
          <w:lang w:val="es-ES"/>
        </w:rPr>
        <w:t xml:space="preserve"> </w:t>
      </w:r>
      <w:r w:rsidRPr="00E06C61">
        <w:rPr>
          <w:szCs w:val="22"/>
          <w:lang w:val="es-ES"/>
        </w:rPr>
        <w:t>Por ejemplo:</w:t>
      </w:r>
    </w:p>
    <w:p w14:paraId="0F58616E" w14:textId="77777777" w:rsidR="0037248B" w:rsidRPr="00E06C61" w:rsidRDefault="0037248B" w:rsidP="00384FFF">
      <w:pPr>
        <w:rPr>
          <w:szCs w:val="22"/>
          <w:lang w:val="es-ES"/>
        </w:rPr>
      </w:pPr>
    </w:p>
    <w:p w14:paraId="77C0B32E" w14:textId="3F18ECD9" w:rsidR="0037248B" w:rsidRPr="00E06C61" w:rsidRDefault="00BA05A1" w:rsidP="00BA05A1">
      <w:pPr>
        <w:pStyle w:val="ListParagraph"/>
        <w:keepLines/>
        <w:numPr>
          <w:ilvl w:val="1"/>
          <w:numId w:val="28"/>
        </w:numPr>
        <w:rPr>
          <w:szCs w:val="22"/>
          <w:lang w:val="es-ES"/>
        </w:rPr>
      </w:pPr>
      <w:r w:rsidRPr="00E06C61">
        <w:rPr>
          <w:szCs w:val="22"/>
          <w:lang w:val="es-ES"/>
        </w:rPr>
        <w:lastRenderedPageBreak/>
        <w:t xml:space="preserve">Vincular los criterios de admisibilidad a la definición de los CC.TT. y las ECT y diferenciar el alcance de la protección en los proyectos de artículos relativos al </w:t>
      </w:r>
      <w:r w:rsidR="00E06C61" w:rsidRPr="00E06C61">
        <w:rPr>
          <w:szCs w:val="22"/>
          <w:lang w:val="es-ES"/>
        </w:rPr>
        <w:t>“</w:t>
      </w:r>
      <w:r w:rsidRPr="00E06C61">
        <w:rPr>
          <w:szCs w:val="22"/>
          <w:lang w:val="es-ES"/>
        </w:rPr>
        <w:t>alcance de la protección</w:t>
      </w:r>
      <w:r w:rsidR="00E06C61" w:rsidRPr="00E06C61">
        <w:rPr>
          <w:szCs w:val="22"/>
          <w:lang w:val="es-ES"/>
        </w:rPr>
        <w:t>”</w:t>
      </w:r>
      <w:r w:rsidRPr="00E06C61">
        <w:rPr>
          <w:szCs w:val="22"/>
          <w:lang w:val="es-ES"/>
        </w:rPr>
        <w:t xml:space="preserve"> en función de la difusión de esos conocimientos y expresiones culturales y de la naturaleza de su control y gestión dentro de una comunidad indígena o local determinada.</w:t>
      </w:r>
      <w:r w:rsidR="0056607C" w:rsidRPr="00E06C61">
        <w:rPr>
          <w:szCs w:val="22"/>
          <w:lang w:val="es-ES"/>
        </w:rPr>
        <w:t xml:space="preserve"> </w:t>
      </w:r>
    </w:p>
    <w:p w14:paraId="36A6E313" w14:textId="77777777" w:rsidR="0037248B" w:rsidRPr="00E06C61" w:rsidRDefault="0037248B" w:rsidP="00384FFF">
      <w:pPr>
        <w:pStyle w:val="ListParagraph"/>
        <w:keepLines/>
        <w:ind w:left="1440"/>
        <w:rPr>
          <w:szCs w:val="22"/>
          <w:lang w:val="es-ES"/>
        </w:rPr>
      </w:pPr>
    </w:p>
    <w:p w14:paraId="3C339A60" w14:textId="77777777" w:rsidR="0037248B" w:rsidRPr="00E06C61" w:rsidRDefault="00BA05A1" w:rsidP="00BA05A1">
      <w:pPr>
        <w:pStyle w:val="ListParagraph"/>
        <w:numPr>
          <w:ilvl w:val="1"/>
          <w:numId w:val="28"/>
        </w:numPr>
        <w:rPr>
          <w:lang w:val="es-ES"/>
        </w:rPr>
      </w:pPr>
      <w:r w:rsidRPr="00E06C61">
        <w:rPr>
          <w:lang w:val="es-ES"/>
        </w:rPr>
        <w:t>Establecer una definición específica de los CC.TT. y ECT protegidos que integre criterios de protección.</w:t>
      </w:r>
    </w:p>
    <w:p w14:paraId="22B61923" w14:textId="77777777" w:rsidR="0037248B" w:rsidRPr="00E06C61" w:rsidRDefault="0037248B" w:rsidP="00384FFF">
      <w:pPr>
        <w:rPr>
          <w:lang w:val="es-ES"/>
        </w:rPr>
      </w:pPr>
    </w:p>
    <w:p w14:paraId="75AE350B" w14:textId="77777777" w:rsidR="0037248B" w:rsidRPr="00E06C61" w:rsidRDefault="00BA05A1" w:rsidP="00BA05A1">
      <w:pPr>
        <w:pStyle w:val="ListParagraph"/>
        <w:numPr>
          <w:ilvl w:val="1"/>
          <w:numId w:val="28"/>
        </w:numPr>
        <w:rPr>
          <w:lang w:val="es-ES"/>
        </w:rPr>
      </w:pPr>
      <w:r w:rsidRPr="00E06C61">
        <w:rPr>
          <w:lang w:val="es-ES"/>
        </w:rPr>
        <w:t>Una combinación de los enfoques anteriores.</w:t>
      </w:r>
    </w:p>
    <w:p w14:paraId="3735E2C7" w14:textId="77777777" w:rsidR="0037248B" w:rsidRPr="00E06C61" w:rsidRDefault="0037248B" w:rsidP="00384FFF">
      <w:pPr>
        <w:pStyle w:val="ListParagraph"/>
        <w:ind w:left="1440"/>
        <w:rPr>
          <w:lang w:val="es-ES"/>
        </w:rPr>
      </w:pPr>
    </w:p>
    <w:p w14:paraId="0EAA535F" w14:textId="764D56D3" w:rsidR="0037248B" w:rsidRPr="00E06C61" w:rsidRDefault="00BA05A1" w:rsidP="00BA05A1">
      <w:pPr>
        <w:pStyle w:val="ListParagraph"/>
        <w:numPr>
          <w:ilvl w:val="0"/>
          <w:numId w:val="28"/>
        </w:numPr>
        <w:rPr>
          <w:lang w:val="es-ES"/>
        </w:rPr>
      </w:pPr>
      <w:r w:rsidRPr="00E06C61">
        <w:rPr>
          <w:lang w:val="es-ES"/>
        </w:rPr>
        <w:t xml:space="preserve">¿Es necesario definir el concepto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tradicional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>?</w:t>
      </w:r>
      <w:r w:rsidR="003321D2" w:rsidRPr="00E06C61">
        <w:rPr>
          <w:lang w:val="es-ES"/>
        </w:rPr>
        <w:t xml:space="preserve"> </w:t>
      </w:r>
      <w:r w:rsidRPr="00E06C61">
        <w:rPr>
          <w:lang w:val="es-ES"/>
        </w:rPr>
        <w:t>En caso afirmativo, ¿de qué manera?</w:t>
      </w:r>
    </w:p>
    <w:p w14:paraId="374D1BA2" w14:textId="77777777" w:rsidR="0037248B" w:rsidRPr="00E06C61" w:rsidRDefault="0037248B" w:rsidP="00E778A2">
      <w:pPr>
        <w:rPr>
          <w:lang w:val="es-ES"/>
        </w:rPr>
      </w:pPr>
    </w:p>
    <w:p w14:paraId="782507BD" w14:textId="631E10B7" w:rsidR="0037248B" w:rsidRPr="00E06C61" w:rsidRDefault="00384FFF" w:rsidP="00384FFF">
      <w:pPr>
        <w:pStyle w:val="ListParagraph"/>
        <w:numPr>
          <w:ilvl w:val="0"/>
          <w:numId w:val="28"/>
        </w:numPr>
        <w:rPr>
          <w:lang w:val="es-ES"/>
        </w:rPr>
      </w:pPr>
      <w:r w:rsidRPr="00E06C61">
        <w:rPr>
          <w:lang w:val="es-ES"/>
        </w:rPr>
        <w:t xml:space="preserve">¿Debería la definición de materia objeto de protección incluir un componente temporal (como el hecho de que los CC.TT. o las ECT tendrían que haber existido durante </w:t>
      </w:r>
      <w:r w:rsidR="00E06C61" w:rsidRPr="00E06C61">
        <w:rPr>
          <w:lang w:val="es-ES"/>
        </w:rPr>
        <w:t>“</w:t>
      </w:r>
      <w:r w:rsidRPr="00E06C61">
        <w:rPr>
          <w:lang w:val="es-ES"/>
        </w:rPr>
        <w:t>al menos 50 años o un período de cinco generaciones</w:t>
      </w:r>
      <w:r w:rsidR="00E06C61" w:rsidRPr="00E06C61">
        <w:rPr>
          <w:lang w:val="es-ES"/>
        </w:rPr>
        <w:t>”</w:t>
      </w:r>
      <w:r w:rsidRPr="00E06C61">
        <w:rPr>
          <w:lang w:val="es-ES"/>
        </w:rPr>
        <w:t>)?</w:t>
      </w:r>
    </w:p>
    <w:p w14:paraId="3FA6C31D" w14:textId="77777777" w:rsidR="0037248B" w:rsidRPr="00E06C61" w:rsidRDefault="0037248B" w:rsidP="00384FFF">
      <w:pPr>
        <w:rPr>
          <w:lang w:val="es-ES"/>
        </w:rPr>
      </w:pPr>
    </w:p>
    <w:p w14:paraId="125BFD2C" w14:textId="77777777" w:rsidR="0037248B" w:rsidRPr="00E06C61" w:rsidRDefault="00384FFF" w:rsidP="00384FFF">
      <w:pPr>
        <w:pStyle w:val="ListParagraph"/>
        <w:numPr>
          <w:ilvl w:val="0"/>
          <w:numId w:val="28"/>
        </w:numPr>
        <w:rPr>
          <w:lang w:val="es-ES"/>
        </w:rPr>
      </w:pPr>
      <w:r w:rsidRPr="00E06C61">
        <w:rPr>
          <w:lang w:val="es-ES"/>
        </w:rPr>
        <w:t>¿Se necesitan ejemplos de CC.TT. o ECT en el instrumento?</w:t>
      </w:r>
    </w:p>
    <w:p w14:paraId="6E0C3475" w14:textId="77777777" w:rsidR="0037248B" w:rsidRPr="00E06C61" w:rsidRDefault="0037248B" w:rsidP="000D4BD5">
      <w:pPr>
        <w:rPr>
          <w:lang w:val="es-ES"/>
        </w:rPr>
      </w:pPr>
    </w:p>
    <w:p w14:paraId="322EDBAC" w14:textId="77777777" w:rsidR="0037248B" w:rsidRPr="00E06C61" w:rsidRDefault="00384FFF" w:rsidP="00384FFF">
      <w:pPr>
        <w:rPr>
          <w:b/>
          <w:lang w:val="es-ES"/>
        </w:rPr>
      </w:pPr>
      <w:r w:rsidRPr="00E06C61">
        <w:rPr>
          <w:b/>
          <w:lang w:val="es-ES"/>
        </w:rPr>
        <w:t>Alcance de la protección</w:t>
      </w:r>
    </w:p>
    <w:p w14:paraId="4AAE31A5" w14:textId="77777777" w:rsidR="0037248B" w:rsidRPr="00E06C61" w:rsidRDefault="0037248B" w:rsidP="00CC0A33">
      <w:pPr>
        <w:rPr>
          <w:lang w:val="es-ES"/>
        </w:rPr>
      </w:pPr>
    </w:p>
    <w:p w14:paraId="59FBCEA7" w14:textId="77777777" w:rsidR="0037248B" w:rsidRPr="00E06C61" w:rsidRDefault="00CC0A33" w:rsidP="0082058D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82058D" w:rsidRPr="00E06C61">
        <w:rPr>
          <w:lang w:val="es-ES"/>
        </w:rPr>
        <w:t>El alcance de la protección tiene por objeto determinar qué actos u omisiones específicos respecto de los CC.TT. o las ECT susceptibles de protección deberían prohibirse o impedirse, o bien a qué daños se referirían los instrumentos similares relativos a los CC.TT. y las ECT en el ámbito de la PI.</w:t>
      </w:r>
    </w:p>
    <w:p w14:paraId="2C33B682" w14:textId="77777777" w:rsidR="0037248B" w:rsidRPr="00E06C61" w:rsidRDefault="0037248B" w:rsidP="00CC0A33">
      <w:pPr>
        <w:rPr>
          <w:szCs w:val="22"/>
          <w:lang w:val="es-ES"/>
        </w:rPr>
      </w:pPr>
    </w:p>
    <w:p w14:paraId="6D2AD2F1" w14:textId="77777777" w:rsidR="0037248B" w:rsidRPr="00E06C61" w:rsidRDefault="009B07AD" w:rsidP="0082058D">
      <w:pPr>
        <w:rPr>
          <w:szCs w:val="22"/>
          <w:lang w:val="es-ES"/>
        </w:rPr>
      </w:pPr>
      <w:r w:rsidRPr="00E06C61">
        <w:rPr>
          <w:szCs w:val="22"/>
          <w:lang w:val="es-ES"/>
        </w:rPr>
        <w:fldChar w:fldCharType="begin"/>
      </w:r>
      <w:r w:rsidRPr="00E06C61">
        <w:rPr>
          <w:szCs w:val="22"/>
          <w:lang w:val="es-ES"/>
        </w:rPr>
        <w:instrText xml:space="preserve"> AUTONUM  </w:instrText>
      </w:r>
      <w:r w:rsidRPr="00E06C61">
        <w:rPr>
          <w:szCs w:val="22"/>
          <w:lang w:val="es-ES"/>
        </w:rPr>
        <w:fldChar w:fldCharType="end"/>
      </w:r>
      <w:r w:rsidRPr="00E06C61">
        <w:rPr>
          <w:szCs w:val="22"/>
          <w:lang w:val="es-ES"/>
        </w:rPr>
        <w:tab/>
      </w:r>
      <w:r w:rsidR="0082058D" w:rsidRPr="00E06C61">
        <w:rPr>
          <w:szCs w:val="22"/>
          <w:lang w:val="es-ES"/>
        </w:rPr>
        <w:t xml:space="preserve">Se invita al grupo de especialistas </w:t>
      </w:r>
      <w:r w:rsidR="0082058D" w:rsidRPr="00E06C61">
        <w:rPr>
          <w:i/>
          <w:szCs w:val="22"/>
          <w:lang w:val="es-ES"/>
        </w:rPr>
        <w:t xml:space="preserve">ad hoc </w:t>
      </w:r>
      <w:r w:rsidR="0082058D" w:rsidRPr="00E06C61">
        <w:rPr>
          <w:szCs w:val="22"/>
          <w:lang w:val="es-ES"/>
        </w:rPr>
        <w:t>a que aclare:</w:t>
      </w:r>
    </w:p>
    <w:p w14:paraId="1EEB5C24" w14:textId="77777777" w:rsidR="0037248B" w:rsidRPr="00E06C61" w:rsidRDefault="0037248B" w:rsidP="0082058D">
      <w:pPr>
        <w:rPr>
          <w:szCs w:val="22"/>
          <w:lang w:val="es-ES"/>
        </w:rPr>
      </w:pPr>
    </w:p>
    <w:p w14:paraId="689DCF01" w14:textId="2988B843" w:rsidR="0037248B" w:rsidRDefault="0037248B" w:rsidP="0037248B">
      <w:pPr>
        <w:pStyle w:val="ListParagraph"/>
        <w:numPr>
          <w:ilvl w:val="0"/>
          <w:numId w:val="22"/>
        </w:numPr>
        <w:rPr>
          <w:szCs w:val="22"/>
          <w:lang w:val="es-ES"/>
        </w:rPr>
      </w:pPr>
      <w:r w:rsidRPr="00E06C61">
        <w:rPr>
          <w:szCs w:val="22"/>
          <w:lang w:val="es-ES"/>
        </w:rPr>
        <w:t>¿cuál es el enfoque adecuado: uno basado en derechos, uno basado en medidas o uno combinación de ambos?</w:t>
      </w:r>
      <w:r w:rsidR="00210B73" w:rsidRPr="00E06C61">
        <w:rPr>
          <w:szCs w:val="22"/>
          <w:lang w:val="es-ES"/>
        </w:rPr>
        <w:t xml:space="preserve"> </w:t>
      </w:r>
      <w:r w:rsidRPr="00E06C61">
        <w:rPr>
          <w:szCs w:val="22"/>
          <w:lang w:val="es-ES"/>
        </w:rPr>
        <w:t xml:space="preserve">En el </w:t>
      </w:r>
      <w:r w:rsidRPr="00E06C61">
        <w:rPr>
          <w:i/>
          <w:szCs w:val="22"/>
          <w:lang w:val="es-ES"/>
        </w:rPr>
        <w:t>enfoque basado en derechos</w:t>
      </w:r>
      <w:r w:rsidRPr="00E06C61">
        <w:rPr>
          <w:szCs w:val="22"/>
          <w:lang w:val="es-ES"/>
        </w:rPr>
        <w:t xml:space="preserve">, se otorgan derechos a los beneficiarios, que pueden gestionarlos y hacerlos valer directamente; y, en el </w:t>
      </w:r>
      <w:r w:rsidRPr="00E06C61">
        <w:rPr>
          <w:i/>
          <w:szCs w:val="22"/>
          <w:lang w:val="es-ES"/>
        </w:rPr>
        <w:t>enfoque basado en medidas</w:t>
      </w:r>
      <w:r w:rsidRPr="00E06C61">
        <w:rPr>
          <w:szCs w:val="22"/>
          <w:lang w:val="es-ES"/>
        </w:rPr>
        <w:t>, se insta a los Estados a proporcionar medidas para la protección de los CC.TT. y las ECT, que podrían incluir una amplia gama de medidas legales y prácticas de carácter civil, administrativo o penal.</w:t>
      </w:r>
      <w:r w:rsidR="00210B73" w:rsidRPr="00E06C61">
        <w:rPr>
          <w:szCs w:val="22"/>
          <w:lang w:val="es-ES"/>
        </w:rPr>
        <w:t xml:space="preserve"> </w:t>
      </w:r>
      <w:r w:rsidRPr="00E06C61">
        <w:rPr>
          <w:szCs w:val="22"/>
          <w:lang w:val="es-ES"/>
        </w:rPr>
        <w:t>Ambos enfoques están recogidos en los instrumentos internacionales existentes en materia de PI; y,</w:t>
      </w:r>
    </w:p>
    <w:p w14:paraId="7D119C2E" w14:textId="77777777" w:rsidR="00DA7C98" w:rsidRPr="00E06C61" w:rsidRDefault="00DA7C98" w:rsidP="00DA7C98">
      <w:pPr>
        <w:pStyle w:val="ListParagraph"/>
        <w:rPr>
          <w:szCs w:val="22"/>
          <w:lang w:val="es-ES"/>
        </w:rPr>
      </w:pPr>
    </w:p>
    <w:p w14:paraId="7445E67D" w14:textId="71C3E4B1" w:rsidR="0037248B" w:rsidRPr="00E06C61" w:rsidRDefault="0055517C" w:rsidP="0055517C">
      <w:pPr>
        <w:pStyle w:val="ListParagraph"/>
        <w:numPr>
          <w:ilvl w:val="0"/>
          <w:numId w:val="22"/>
        </w:numPr>
        <w:rPr>
          <w:szCs w:val="22"/>
          <w:lang w:val="es-ES"/>
        </w:rPr>
      </w:pPr>
      <w:r w:rsidRPr="00E06C61">
        <w:rPr>
          <w:szCs w:val="22"/>
          <w:lang w:val="es-ES"/>
        </w:rPr>
        <w:t>la flexibilidad necesaria que permite determinar el alcance de la protección a escala nacional.</w:t>
      </w:r>
    </w:p>
    <w:p w14:paraId="38A83DB3" w14:textId="77777777" w:rsidR="0037248B" w:rsidRPr="00E06C61" w:rsidRDefault="0037248B" w:rsidP="00CC0A33">
      <w:pPr>
        <w:rPr>
          <w:lang w:val="es-ES"/>
        </w:rPr>
      </w:pPr>
    </w:p>
    <w:p w14:paraId="0FB67D88" w14:textId="6A46C156" w:rsidR="0037248B" w:rsidRPr="00E06C61" w:rsidRDefault="00CC0A33" w:rsidP="0055517C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55517C" w:rsidRPr="00E06C61">
        <w:rPr>
          <w:lang w:val="es-ES"/>
        </w:rPr>
        <w:t xml:space="preserve">El CIG ha debatido durante varios años un </w:t>
      </w:r>
      <w:r w:rsidR="00E06C61" w:rsidRPr="00E06C61">
        <w:rPr>
          <w:lang w:val="es-ES"/>
        </w:rPr>
        <w:t>“</w:t>
      </w:r>
      <w:r w:rsidR="0055517C" w:rsidRPr="00E06C61">
        <w:rPr>
          <w:lang w:val="es-ES"/>
        </w:rPr>
        <w:t>enfoque estratificado</w:t>
      </w:r>
      <w:r w:rsidR="00E06C61" w:rsidRPr="00E06C61">
        <w:rPr>
          <w:lang w:val="es-ES"/>
        </w:rPr>
        <w:t>”</w:t>
      </w:r>
      <w:r w:rsidR="0055517C" w:rsidRPr="00E06C61">
        <w:rPr>
          <w:lang w:val="es-ES"/>
        </w:rPr>
        <w:t xml:space="preserve"> (también denominado </w:t>
      </w:r>
      <w:r w:rsidR="00E06C61" w:rsidRPr="00E06C61">
        <w:rPr>
          <w:lang w:val="es-ES"/>
        </w:rPr>
        <w:t>“</w:t>
      </w:r>
      <w:r w:rsidR="0055517C" w:rsidRPr="00E06C61">
        <w:rPr>
          <w:lang w:val="es-ES"/>
        </w:rPr>
        <w:t>protección diferenciada</w:t>
      </w:r>
      <w:r w:rsidR="00E06C61" w:rsidRPr="00E06C61">
        <w:rPr>
          <w:lang w:val="es-ES"/>
        </w:rPr>
        <w:t>”</w:t>
      </w:r>
      <w:r w:rsidR="0055517C" w:rsidRPr="00E06C61">
        <w:rPr>
          <w:lang w:val="es-ES"/>
        </w:rPr>
        <w:t>), según el cual los titulares de derechos podrían hacer valer distintos tipos o niveles</w:t>
      </w:r>
      <w:bookmarkStart w:id="4" w:name="_GoBack"/>
      <w:bookmarkEnd w:id="4"/>
      <w:r w:rsidR="0055517C" w:rsidRPr="00E06C61">
        <w:rPr>
          <w:lang w:val="es-ES"/>
        </w:rPr>
        <w:t xml:space="preserve"> de derechos o medidas en función de la naturaleza y las características de la materia objeto de protección, el grado de control que poseyeran los beneficiarios y el grado de difusión.</w:t>
      </w:r>
      <w:r w:rsidR="00210B73" w:rsidRPr="00E06C61">
        <w:rPr>
          <w:lang w:val="es-ES"/>
        </w:rPr>
        <w:t xml:space="preserve"> </w:t>
      </w:r>
    </w:p>
    <w:p w14:paraId="66FA836D" w14:textId="77777777" w:rsidR="0037248B" w:rsidRPr="00E06C61" w:rsidRDefault="0037248B" w:rsidP="00CC0A33">
      <w:pPr>
        <w:rPr>
          <w:lang w:val="es-ES"/>
        </w:rPr>
      </w:pPr>
    </w:p>
    <w:p w14:paraId="5569D93A" w14:textId="4108DB2F" w:rsidR="0037248B" w:rsidRPr="00E06C61" w:rsidRDefault="00FC4540" w:rsidP="0055517C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55517C" w:rsidRPr="00E06C61">
        <w:rPr>
          <w:lang w:val="es-ES"/>
        </w:rPr>
        <w:t xml:space="preserve">A este respecto, y con miras a evaluar la viabilidad y las repercusiones jurídicas de un </w:t>
      </w:r>
      <w:r w:rsidR="00E06C61" w:rsidRPr="00E06C61">
        <w:rPr>
          <w:lang w:val="es-ES"/>
        </w:rPr>
        <w:t>“</w:t>
      </w:r>
      <w:r w:rsidR="0055517C" w:rsidRPr="00E06C61">
        <w:rPr>
          <w:lang w:val="es-ES"/>
        </w:rPr>
        <w:t>enfoque estratificado</w:t>
      </w:r>
      <w:r w:rsidR="00E06C61" w:rsidRPr="00E06C61">
        <w:rPr>
          <w:lang w:val="es-ES"/>
        </w:rPr>
        <w:t>”</w:t>
      </w:r>
      <w:r w:rsidR="0055517C" w:rsidRPr="00E06C61">
        <w:rPr>
          <w:lang w:val="es-ES"/>
        </w:rPr>
        <w:t xml:space="preserve">, se invita al grupo de especialistas </w:t>
      </w:r>
      <w:r w:rsidR="0055517C" w:rsidRPr="00E06C61">
        <w:rPr>
          <w:i/>
          <w:lang w:val="es-ES"/>
        </w:rPr>
        <w:t xml:space="preserve">ad hoc </w:t>
      </w:r>
      <w:r w:rsidR="0055517C" w:rsidRPr="00E06C61">
        <w:rPr>
          <w:lang w:val="es-ES"/>
        </w:rPr>
        <w:t>a:</w:t>
      </w:r>
    </w:p>
    <w:p w14:paraId="58BF7005" w14:textId="77777777" w:rsidR="0037248B" w:rsidRPr="00E06C61" w:rsidRDefault="0037248B" w:rsidP="00CC0A33">
      <w:pPr>
        <w:rPr>
          <w:lang w:val="es-ES"/>
        </w:rPr>
      </w:pPr>
    </w:p>
    <w:p w14:paraId="06DFCE50" w14:textId="6B16B45E" w:rsidR="0037248B" w:rsidRPr="00E06C61" w:rsidRDefault="003E4C7F" w:rsidP="00BF5890">
      <w:pPr>
        <w:pStyle w:val="ListParagraph"/>
        <w:numPr>
          <w:ilvl w:val="0"/>
          <w:numId w:val="31"/>
        </w:numPr>
        <w:rPr>
          <w:lang w:val="es-ES"/>
        </w:rPr>
      </w:pPr>
      <w:r w:rsidRPr="00E06C61">
        <w:rPr>
          <w:lang w:val="es-ES"/>
        </w:rPr>
        <w:t>elaborar uno o varios proyectos de un marco que refleje un enfoque estratificado con respecto a los CC.TT. y las ECT.</w:t>
      </w:r>
      <w:r w:rsidR="00210B73" w:rsidRPr="00E06C61">
        <w:rPr>
          <w:lang w:val="es-ES"/>
        </w:rPr>
        <w:t xml:space="preserve"> </w:t>
      </w:r>
      <w:r w:rsidR="00BF5890" w:rsidRPr="00E06C61">
        <w:rPr>
          <w:lang w:val="es-ES"/>
        </w:rPr>
        <w:t xml:space="preserve">En ese marco se podrían, por ejemplo, recoger los derechos patrimoniales y morales o los derechos a la remuneración y la compensación, y diferenciar entre las </w:t>
      </w:r>
      <w:r w:rsidR="00DA7C98">
        <w:rPr>
          <w:lang w:val="es-ES"/>
        </w:rPr>
        <w:t>distintas</w:t>
      </w:r>
      <w:r w:rsidR="00BF5890" w:rsidRPr="00E06C61">
        <w:rPr>
          <w:lang w:val="es-ES"/>
        </w:rPr>
        <w:t xml:space="preserve"> formas que pueden revestir los CC.TT. y las ECT, tales como los CC.TT. y las ECT secretos, celosamente guardados o de dominio público.</w:t>
      </w:r>
    </w:p>
    <w:p w14:paraId="52FA7EBF" w14:textId="77777777" w:rsidR="0037248B" w:rsidRPr="00E06C61" w:rsidRDefault="0037248B" w:rsidP="006F4E56">
      <w:pPr>
        <w:pStyle w:val="ListParagraph"/>
        <w:rPr>
          <w:lang w:val="es-ES"/>
        </w:rPr>
      </w:pPr>
    </w:p>
    <w:p w14:paraId="38370C99" w14:textId="4B2A1F32" w:rsidR="0037248B" w:rsidRPr="00E06C61" w:rsidRDefault="00BF5890" w:rsidP="00BF5890">
      <w:pPr>
        <w:outlineLvl w:val="0"/>
        <w:rPr>
          <w:b/>
          <w:lang w:val="es-ES"/>
        </w:rPr>
      </w:pPr>
      <w:r w:rsidRPr="00E06C61">
        <w:rPr>
          <w:b/>
          <w:lang w:val="es-ES"/>
        </w:rPr>
        <w:lastRenderedPageBreak/>
        <w:t>Recursos de utilidad</w:t>
      </w:r>
      <w:r w:rsidR="00E77050" w:rsidRPr="00E06C61">
        <w:rPr>
          <w:b/>
          <w:lang w:val="es-ES"/>
        </w:rPr>
        <w:t xml:space="preserve"> </w:t>
      </w:r>
    </w:p>
    <w:p w14:paraId="32EB1749" w14:textId="77777777" w:rsidR="0037248B" w:rsidRPr="00E06C61" w:rsidRDefault="0037248B" w:rsidP="00E77050">
      <w:pPr>
        <w:rPr>
          <w:lang w:val="es-ES"/>
        </w:rPr>
      </w:pPr>
    </w:p>
    <w:p w14:paraId="2A9F1663" w14:textId="57CE12BD" w:rsidR="0037248B" w:rsidRPr="00E06C61" w:rsidRDefault="00E77050" w:rsidP="00BF5890">
      <w:pPr>
        <w:rPr>
          <w:lang w:val="es-ES"/>
        </w:rPr>
      </w:pPr>
      <w:r w:rsidRPr="00E06C61">
        <w:rPr>
          <w:lang w:val="es-ES"/>
        </w:rPr>
        <w:fldChar w:fldCharType="begin"/>
      </w:r>
      <w:r w:rsidRPr="00E06C61">
        <w:rPr>
          <w:lang w:val="es-ES"/>
        </w:rPr>
        <w:instrText xml:space="preserve"> AUTONUM  </w:instrText>
      </w:r>
      <w:r w:rsidRPr="00E06C61">
        <w:rPr>
          <w:lang w:val="es-ES"/>
        </w:rPr>
        <w:fldChar w:fldCharType="end"/>
      </w:r>
      <w:r w:rsidRPr="00E06C61">
        <w:rPr>
          <w:lang w:val="es-ES"/>
        </w:rPr>
        <w:tab/>
      </w:r>
      <w:r w:rsidR="00BF5890" w:rsidRPr="00E06C61">
        <w:rPr>
          <w:lang w:val="es-ES"/>
        </w:rPr>
        <w:t xml:space="preserve">En el sitio web de la OMPI se ofrecen recursos útiles que el grupo de especialistas </w:t>
      </w:r>
      <w:r w:rsidR="00BF5890" w:rsidRPr="00E06C61">
        <w:rPr>
          <w:i/>
          <w:lang w:val="es-ES"/>
        </w:rPr>
        <w:t>ad hoc</w:t>
      </w:r>
      <w:r w:rsidR="00BF5890" w:rsidRPr="00E06C61">
        <w:rPr>
          <w:lang w:val="es-ES"/>
        </w:rPr>
        <w:t xml:space="preserve"> puede utilizar como material de referencia, entre ellos:</w:t>
      </w:r>
    </w:p>
    <w:p w14:paraId="342A8BF0" w14:textId="77777777" w:rsidR="0037248B" w:rsidRPr="00E06C61" w:rsidRDefault="0037248B" w:rsidP="00E77050">
      <w:pPr>
        <w:rPr>
          <w:lang w:val="es-ES"/>
        </w:rPr>
      </w:pPr>
    </w:p>
    <w:p w14:paraId="4C072309" w14:textId="5164302D" w:rsidR="0037248B" w:rsidRPr="00E06C61" w:rsidRDefault="000434E2" w:rsidP="00313FBF">
      <w:pPr>
        <w:pStyle w:val="ListParagraph"/>
        <w:numPr>
          <w:ilvl w:val="0"/>
          <w:numId w:val="19"/>
        </w:numPr>
        <w:rPr>
          <w:lang w:val="es-ES"/>
        </w:rPr>
      </w:pPr>
      <w:r w:rsidRPr="00E06C61">
        <w:rPr>
          <w:lang w:val="es-ES"/>
        </w:rPr>
        <w:t>Nota informativa del presidente preparada para la 39.ª sesión del CIG</w:t>
      </w:r>
      <w:r w:rsidR="00313FBF" w:rsidRPr="00E06C61">
        <w:rPr>
          <w:lang w:val="es-ES"/>
        </w:rPr>
        <w:t xml:space="preserve">, </w:t>
      </w:r>
      <w:hyperlink r:id="rId9" w:history="1">
        <w:r w:rsidRPr="00E06C61">
          <w:rPr>
            <w:rStyle w:val="Hyperlink"/>
            <w:color w:val="auto"/>
            <w:u w:val="none"/>
            <w:lang w:val="es-ES"/>
          </w:rPr>
          <w:t>https://www.wipo.int/meetings/es/doc_details.jsp?doc_id=429638</w:t>
        </w:r>
      </w:hyperlink>
      <w:r w:rsidR="000F2E91" w:rsidRPr="00E06C61">
        <w:rPr>
          <w:lang w:val="es-ES"/>
        </w:rPr>
        <w:t>;</w:t>
      </w:r>
      <w:r w:rsidR="00BD16F8" w:rsidRPr="00E06C61">
        <w:rPr>
          <w:lang w:val="es-ES"/>
        </w:rPr>
        <w:t xml:space="preserve"> </w:t>
      </w:r>
    </w:p>
    <w:p w14:paraId="48D7F4F9" w14:textId="77777777" w:rsidR="0037248B" w:rsidRPr="00E06C61" w:rsidRDefault="0037248B" w:rsidP="00CE1AD8">
      <w:pPr>
        <w:pStyle w:val="ListParagraph"/>
        <w:rPr>
          <w:lang w:val="es-ES"/>
        </w:rPr>
      </w:pPr>
    </w:p>
    <w:p w14:paraId="1BF80302" w14:textId="2CBEE3DD" w:rsidR="0037248B" w:rsidRPr="00E06C61" w:rsidRDefault="000F2E91" w:rsidP="000F2E91">
      <w:pPr>
        <w:pStyle w:val="ListParagraph"/>
        <w:numPr>
          <w:ilvl w:val="0"/>
          <w:numId w:val="19"/>
        </w:numPr>
        <w:rPr>
          <w:lang w:val="es-ES"/>
        </w:rPr>
      </w:pPr>
      <w:r w:rsidRPr="00E06C61">
        <w:rPr>
          <w:lang w:val="es-ES"/>
        </w:rPr>
        <w:t>WIPO/GRTKF/IC/39</w:t>
      </w:r>
      <w:r w:rsidR="00E77050" w:rsidRPr="00E06C61">
        <w:rPr>
          <w:lang w:val="es-ES"/>
        </w:rPr>
        <w:t xml:space="preserve">/6, </w:t>
      </w:r>
      <w:r w:rsidR="000434E2" w:rsidRPr="00E06C61">
        <w:rPr>
          <w:lang w:val="es-ES"/>
        </w:rPr>
        <w:t>La protección de los conocimientos tradicionales: proyecto actualizado de análisis de las carencias</w:t>
      </w:r>
      <w:r w:rsidR="00E77050" w:rsidRPr="00E06C61">
        <w:rPr>
          <w:lang w:val="es-ES"/>
        </w:rPr>
        <w:t>,</w:t>
      </w:r>
      <w:r w:rsidRPr="00E06C61">
        <w:rPr>
          <w:lang w:val="es-ES"/>
        </w:rPr>
        <w:t xml:space="preserve"> </w:t>
      </w:r>
      <w:hyperlink r:id="rId10" w:history="1">
        <w:r w:rsidR="000434E2" w:rsidRPr="00E06C61">
          <w:rPr>
            <w:rStyle w:val="Hyperlink"/>
            <w:color w:val="auto"/>
            <w:u w:val="none"/>
            <w:lang w:val="es-ES"/>
          </w:rPr>
          <w:t>https://www.wipo.int/meetings/es/doc_details.jsp?doc_id=426449</w:t>
        </w:r>
      </w:hyperlink>
      <w:r w:rsidR="00E77050" w:rsidRPr="00E06C61">
        <w:rPr>
          <w:lang w:val="es-ES"/>
        </w:rPr>
        <w:t>;</w:t>
      </w:r>
      <w:r w:rsidR="00BD16F8" w:rsidRPr="00E06C61">
        <w:rPr>
          <w:lang w:val="es-ES"/>
        </w:rPr>
        <w:t xml:space="preserve"> </w:t>
      </w:r>
    </w:p>
    <w:p w14:paraId="14981B8D" w14:textId="77777777" w:rsidR="0037248B" w:rsidRPr="00E06C61" w:rsidRDefault="0037248B" w:rsidP="00E77050">
      <w:pPr>
        <w:pStyle w:val="ListParagraph"/>
        <w:rPr>
          <w:lang w:val="es-ES"/>
        </w:rPr>
      </w:pPr>
    </w:p>
    <w:p w14:paraId="1A20265D" w14:textId="7953D4B2" w:rsidR="0037248B" w:rsidRPr="00E06C61" w:rsidRDefault="000F2E91" w:rsidP="000F2E91">
      <w:pPr>
        <w:pStyle w:val="ListParagraph"/>
        <w:numPr>
          <w:ilvl w:val="0"/>
          <w:numId w:val="19"/>
        </w:numPr>
        <w:rPr>
          <w:lang w:val="es-ES"/>
        </w:rPr>
      </w:pPr>
      <w:r w:rsidRPr="00E06C61">
        <w:rPr>
          <w:lang w:val="es-ES"/>
        </w:rPr>
        <w:t>WIPO/GRTKF/IC/39</w:t>
      </w:r>
      <w:r w:rsidR="00E77050" w:rsidRPr="00E06C61">
        <w:rPr>
          <w:lang w:val="es-ES"/>
        </w:rPr>
        <w:t xml:space="preserve">/7, </w:t>
      </w:r>
      <w:r w:rsidR="00E06C61" w:rsidRPr="00E06C61">
        <w:rPr>
          <w:lang w:val="es-ES"/>
        </w:rPr>
        <w:t>Proyecto actualizado de análisis de las carencias en la protección de las expresiones culturales tradicionales</w:t>
      </w:r>
      <w:r w:rsidR="00E77050" w:rsidRPr="00E06C61">
        <w:rPr>
          <w:lang w:val="es-ES"/>
        </w:rPr>
        <w:t>,</w:t>
      </w:r>
      <w:r w:rsidRPr="00E06C61">
        <w:rPr>
          <w:lang w:val="es-ES"/>
        </w:rPr>
        <w:t xml:space="preserve"> </w:t>
      </w:r>
      <w:hyperlink r:id="rId11" w:history="1">
        <w:r w:rsidR="000434E2" w:rsidRPr="00E06C61">
          <w:rPr>
            <w:rStyle w:val="Hyperlink"/>
            <w:color w:val="auto"/>
            <w:u w:val="none"/>
            <w:lang w:val="es-ES"/>
          </w:rPr>
          <w:t>https://www.wipo.int/meetings/es/doc_details.jsp?doc_id=426450</w:t>
        </w:r>
      </w:hyperlink>
      <w:r w:rsidR="00E77050" w:rsidRPr="00E06C61">
        <w:rPr>
          <w:lang w:val="es-ES"/>
        </w:rPr>
        <w:t>;</w:t>
      </w:r>
      <w:r w:rsidR="00BD16F8" w:rsidRPr="00E06C61">
        <w:rPr>
          <w:lang w:val="es-ES"/>
        </w:rPr>
        <w:t xml:space="preserve"> </w:t>
      </w:r>
    </w:p>
    <w:p w14:paraId="5E6C7B60" w14:textId="77777777" w:rsidR="0037248B" w:rsidRPr="00E06C61" w:rsidRDefault="0037248B" w:rsidP="00E77050">
      <w:pPr>
        <w:pStyle w:val="ListParagraph"/>
        <w:rPr>
          <w:lang w:val="es-ES"/>
        </w:rPr>
      </w:pPr>
    </w:p>
    <w:p w14:paraId="7FB6C8B7" w14:textId="4D49FBC2" w:rsidR="0037248B" w:rsidRPr="00E06C61" w:rsidRDefault="00E77050" w:rsidP="00E77050">
      <w:pPr>
        <w:pStyle w:val="ListParagraph"/>
        <w:numPr>
          <w:ilvl w:val="0"/>
          <w:numId w:val="19"/>
        </w:numPr>
        <w:rPr>
          <w:lang w:val="es-ES"/>
        </w:rPr>
      </w:pPr>
      <w:r w:rsidRPr="00E06C61">
        <w:rPr>
          <w:lang w:val="es-ES"/>
        </w:rPr>
        <w:t xml:space="preserve">WIPO/GRTKF/IC/17/INF/8, </w:t>
      </w:r>
      <w:r w:rsidR="00E06C61" w:rsidRPr="00E06C61">
        <w:rPr>
          <w:lang w:val="es-ES"/>
        </w:rPr>
        <w:t>Nota sobre los significados de la expresión “dominio público” en el sistema de propiedad intelectual, con referencia especial a la protección de los conocimientos tradicionales y las expresiones culturales tradicionales/expresiones del folclore</w:t>
      </w:r>
      <w:r w:rsidRPr="00E06C61">
        <w:rPr>
          <w:lang w:val="es-ES"/>
        </w:rPr>
        <w:t xml:space="preserve">, </w:t>
      </w:r>
      <w:hyperlink r:id="rId12" w:history="1">
        <w:r w:rsidR="000434E2" w:rsidRPr="00E06C61">
          <w:rPr>
            <w:rStyle w:val="Hyperlink"/>
            <w:color w:val="auto"/>
            <w:u w:val="none"/>
            <w:lang w:val="es-ES"/>
          </w:rPr>
          <w:t>https://www.wipo.int/meetings/es/doc_details.jsp?doc_id=149213</w:t>
        </w:r>
      </w:hyperlink>
      <w:r w:rsidRPr="00E06C61">
        <w:rPr>
          <w:lang w:val="es-ES"/>
        </w:rPr>
        <w:t>;</w:t>
      </w:r>
      <w:r w:rsidR="00BD16F8" w:rsidRPr="00E06C61">
        <w:rPr>
          <w:lang w:val="es-ES"/>
        </w:rPr>
        <w:t xml:space="preserve"> </w:t>
      </w:r>
    </w:p>
    <w:p w14:paraId="223F1549" w14:textId="77777777" w:rsidR="0037248B" w:rsidRPr="00E06C61" w:rsidRDefault="0037248B" w:rsidP="00E77050">
      <w:pPr>
        <w:pStyle w:val="ListParagraph"/>
        <w:rPr>
          <w:lang w:val="es-ES"/>
        </w:rPr>
      </w:pPr>
    </w:p>
    <w:p w14:paraId="1AD7C4B3" w14:textId="280A226E" w:rsidR="0037248B" w:rsidRPr="00E06C61" w:rsidRDefault="00E77050" w:rsidP="00E77050">
      <w:pPr>
        <w:pStyle w:val="ListParagraph"/>
        <w:numPr>
          <w:ilvl w:val="0"/>
          <w:numId w:val="19"/>
        </w:numPr>
        <w:rPr>
          <w:lang w:val="es-ES"/>
        </w:rPr>
      </w:pPr>
      <w:r w:rsidRPr="00E06C61">
        <w:rPr>
          <w:lang w:val="es-ES"/>
        </w:rPr>
        <w:t xml:space="preserve">WIPO/GRTKF/IC/17/INF/9, </w:t>
      </w:r>
      <w:r w:rsidR="00E06C61" w:rsidRPr="00E06C61">
        <w:rPr>
          <w:lang w:val="es-ES"/>
        </w:rPr>
        <w:t>Lista y breve descripción técnica de las diversas formas que pueden presentar los conocimientos tradicionales</w:t>
      </w:r>
      <w:r w:rsidRPr="00E06C61">
        <w:rPr>
          <w:lang w:val="es-ES"/>
        </w:rPr>
        <w:t xml:space="preserve">, </w:t>
      </w:r>
      <w:hyperlink r:id="rId13" w:history="1">
        <w:r w:rsidR="000434E2" w:rsidRPr="00E06C61">
          <w:rPr>
            <w:rStyle w:val="Hyperlink"/>
            <w:color w:val="auto"/>
            <w:u w:val="none"/>
            <w:lang w:val="es-ES"/>
          </w:rPr>
          <w:t>https://www.wipo.int/meetings/es/doc_details.jsp?doc_id=147152</w:t>
        </w:r>
      </w:hyperlink>
      <w:r w:rsidRPr="00E06C61">
        <w:rPr>
          <w:lang w:val="es-ES"/>
        </w:rPr>
        <w:t>;</w:t>
      </w:r>
      <w:r w:rsidR="00BD16F8" w:rsidRPr="00E06C61">
        <w:rPr>
          <w:lang w:val="es-ES"/>
        </w:rPr>
        <w:t xml:space="preserve"> </w:t>
      </w:r>
    </w:p>
    <w:p w14:paraId="62A1D912" w14:textId="77777777" w:rsidR="0037248B" w:rsidRPr="00E06C61" w:rsidRDefault="0037248B" w:rsidP="00E77050">
      <w:pPr>
        <w:pStyle w:val="ListParagraph"/>
        <w:rPr>
          <w:lang w:val="es-ES"/>
        </w:rPr>
      </w:pPr>
    </w:p>
    <w:p w14:paraId="18F8FC8D" w14:textId="4F00E0E9" w:rsidR="0037248B" w:rsidRPr="00E06C61" w:rsidRDefault="00E06C61" w:rsidP="00E06C61">
      <w:pPr>
        <w:pStyle w:val="ListParagraph"/>
        <w:numPr>
          <w:ilvl w:val="0"/>
          <w:numId w:val="19"/>
        </w:numPr>
        <w:rPr>
          <w:lang w:val="es-ES"/>
        </w:rPr>
      </w:pPr>
      <w:r w:rsidRPr="00E06C61">
        <w:rPr>
          <w:lang w:val="es-ES"/>
        </w:rPr>
        <w:t>Experiencias regionales, nacionales, locales y comunitarias</w:t>
      </w:r>
      <w:r w:rsidR="00E77050" w:rsidRPr="00E06C61">
        <w:rPr>
          <w:lang w:val="es-ES"/>
        </w:rPr>
        <w:t xml:space="preserve">, </w:t>
      </w:r>
      <w:hyperlink r:id="rId14" w:history="1">
        <w:r w:rsidR="000434E2" w:rsidRPr="00E06C61">
          <w:rPr>
            <w:rStyle w:val="Hyperlink"/>
            <w:color w:val="auto"/>
            <w:u w:val="none"/>
            <w:lang w:val="es-ES"/>
          </w:rPr>
          <w:t>https://www.wipo.int/tk/es/resources/tk_experiences.html</w:t>
        </w:r>
      </w:hyperlink>
      <w:r w:rsidR="00E77050" w:rsidRPr="00E06C61">
        <w:rPr>
          <w:lang w:val="es-ES"/>
        </w:rPr>
        <w:t>;</w:t>
      </w:r>
      <w:r w:rsidR="00BD16F8" w:rsidRPr="00E06C61">
        <w:rPr>
          <w:lang w:val="es-ES"/>
        </w:rPr>
        <w:t xml:space="preserve"> </w:t>
      </w:r>
    </w:p>
    <w:p w14:paraId="22FD7AED" w14:textId="77777777" w:rsidR="0037248B" w:rsidRPr="00E06C61" w:rsidRDefault="0037248B" w:rsidP="00E77050">
      <w:pPr>
        <w:rPr>
          <w:lang w:val="es-ES"/>
        </w:rPr>
      </w:pPr>
    </w:p>
    <w:p w14:paraId="47FB6626" w14:textId="7153A593" w:rsidR="0037248B" w:rsidRPr="00E06C61" w:rsidRDefault="00E06C61" w:rsidP="00E06C61">
      <w:pPr>
        <w:pStyle w:val="ListParagraph"/>
        <w:numPr>
          <w:ilvl w:val="0"/>
          <w:numId w:val="19"/>
        </w:numPr>
        <w:rPr>
          <w:lang w:val="es-ES"/>
        </w:rPr>
      </w:pPr>
      <w:r w:rsidRPr="00E06C61">
        <w:rPr>
          <w:lang w:val="es-ES"/>
        </w:rPr>
        <w:t>Conferencias y ponencias sobre temas específicos</w:t>
      </w:r>
      <w:r w:rsidR="00E77050" w:rsidRPr="00E06C61">
        <w:rPr>
          <w:lang w:val="es-ES"/>
        </w:rPr>
        <w:t xml:space="preserve">, </w:t>
      </w:r>
      <w:hyperlink r:id="rId15" w:anchor="4" w:history="1">
        <w:r w:rsidR="000434E2" w:rsidRPr="00E06C61">
          <w:rPr>
            <w:rStyle w:val="Hyperlink"/>
            <w:color w:val="auto"/>
            <w:u w:val="none"/>
            <w:lang w:val="es-ES"/>
          </w:rPr>
          <w:t>https://www.wipo.int/tk/es/resources/tk_experiences.html#4</w:t>
        </w:r>
      </w:hyperlink>
      <w:r w:rsidR="00E77050" w:rsidRPr="00E06C61">
        <w:rPr>
          <w:lang w:val="es-ES"/>
        </w:rPr>
        <w:t>.</w:t>
      </w:r>
      <w:r w:rsidR="00BD16F8" w:rsidRPr="00E06C61">
        <w:rPr>
          <w:lang w:val="es-ES"/>
        </w:rPr>
        <w:t xml:space="preserve"> </w:t>
      </w:r>
    </w:p>
    <w:p w14:paraId="128A9E24" w14:textId="77777777" w:rsidR="0037248B" w:rsidRPr="00E06C61" w:rsidRDefault="0037248B" w:rsidP="00E77050">
      <w:pPr>
        <w:rPr>
          <w:lang w:val="es-ES"/>
        </w:rPr>
      </w:pPr>
    </w:p>
    <w:p w14:paraId="6AE198DA" w14:textId="77777777" w:rsidR="0037248B" w:rsidRPr="00E06C61" w:rsidRDefault="0037248B" w:rsidP="000D4BD5">
      <w:pPr>
        <w:rPr>
          <w:lang w:val="es-ES"/>
        </w:rPr>
      </w:pPr>
    </w:p>
    <w:p w14:paraId="5A699644" w14:textId="3047AEF0" w:rsidR="000D4BD5" w:rsidRPr="00E06C61" w:rsidRDefault="000D4BD5" w:rsidP="00BF54F3">
      <w:pPr>
        <w:ind w:left="5760"/>
        <w:rPr>
          <w:lang w:val="es-ES"/>
        </w:rPr>
      </w:pPr>
      <w:r w:rsidRPr="00E06C61">
        <w:rPr>
          <w:lang w:val="es-ES"/>
        </w:rPr>
        <w:t>[</w:t>
      </w:r>
      <w:r w:rsidR="00E06C61" w:rsidRPr="00E06C61">
        <w:rPr>
          <w:lang w:val="es-ES"/>
        </w:rPr>
        <w:t>Fin del documento</w:t>
      </w:r>
      <w:r w:rsidRPr="00E06C61">
        <w:rPr>
          <w:lang w:val="es-ES"/>
        </w:rPr>
        <w:t>]</w:t>
      </w:r>
    </w:p>
    <w:sectPr w:rsidR="000D4BD5" w:rsidRPr="00E06C61" w:rsidSect="000D4BD5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31791A" w16cid:durableId="2019030B"/>
  <w16cid:commentId w16cid:paraId="7690DF21" w16cid:durableId="201901A7"/>
  <w16cid:commentId w16cid:paraId="41603091" w16cid:durableId="201903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7FC2F" w14:textId="77777777" w:rsidR="0092213D" w:rsidRDefault="0092213D">
      <w:r>
        <w:separator/>
      </w:r>
    </w:p>
  </w:endnote>
  <w:endnote w:type="continuationSeparator" w:id="0">
    <w:p w14:paraId="4E87E698" w14:textId="77777777" w:rsidR="0092213D" w:rsidRDefault="0092213D" w:rsidP="003B38C1">
      <w:r>
        <w:separator/>
      </w:r>
    </w:p>
    <w:p w14:paraId="4EA64370" w14:textId="77777777" w:rsidR="0092213D" w:rsidRPr="003B38C1" w:rsidRDefault="0092213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90F14E9" w14:textId="77777777" w:rsidR="0092213D" w:rsidRPr="003B38C1" w:rsidRDefault="0092213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A5068" w14:textId="77777777" w:rsidR="0092213D" w:rsidRDefault="0092213D">
      <w:r>
        <w:separator/>
      </w:r>
    </w:p>
  </w:footnote>
  <w:footnote w:type="continuationSeparator" w:id="0">
    <w:p w14:paraId="313F3FB7" w14:textId="77777777" w:rsidR="0092213D" w:rsidRDefault="0092213D" w:rsidP="008B60B2">
      <w:r>
        <w:separator/>
      </w:r>
    </w:p>
    <w:p w14:paraId="627C2426" w14:textId="77777777" w:rsidR="0092213D" w:rsidRPr="00ED77FB" w:rsidRDefault="0092213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905FDCE" w14:textId="77777777" w:rsidR="0092213D" w:rsidRPr="00ED77FB" w:rsidRDefault="0092213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0A2A2BA" w14:textId="352EB313" w:rsidR="00CA7671" w:rsidRPr="00CA7671" w:rsidRDefault="00CA7671" w:rsidP="00CA767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E3F03">
        <w:rPr>
          <w:lang w:val="es-ES"/>
        </w:rPr>
        <w:t xml:space="preserve"> </w:t>
      </w:r>
      <w:r w:rsidRPr="00CA7671">
        <w:rPr>
          <w:lang w:val="es-ES_tradnl"/>
        </w:rPr>
        <w:t>Como la danza, las creaciones de carnaval, la representación escénica, las ceremonias, los rituales, los rituales en lugares sagrados y las peregrinaciones, los juegos y deportes tradicionales/los deportes y juegos tradicionales, las funciones de marionetas y otras interpretaciones y ejecuciones, independientemente de que estén o no fijadas en un soporte.</w:t>
      </w:r>
      <w:r>
        <w:rPr>
          <w:lang w:val="es-ES"/>
        </w:rPr>
        <w:t xml:space="preserve"> </w:t>
      </w:r>
    </w:p>
  </w:footnote>
  <w:footnote w:id="3">
    <w:p w14:paraId="52CCDBBD" w14:textId="78F60792" w:rsidR="00CA7671" w:rsidRPr="00CA7671" w:rsidRDefault="00CA7671" w:rsidP="00876543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E3F03">
        <w:rPr>
          <w:lang w:val="es-ES"/>
        </w:rPr>
        <w:t xml:space="preserve"> </w:t>
      </w:r>
      <w:r w:rsidR="00876543" w:rsidRPr="00876543">
        <w:rPr>
          <w:lang w:val="es-ES_tradnl"/>
        </w:rPr>
        <w:t>Como las manifestaciones artísticas tangibles, obras de artesanía, máscaras o vestidos ceremoniales, alfombras hechas a mano, obras arquitectónicas, formas espirituales tangibles y lugares sagrados.</w:t>
      </w:r>
      <w:r>
        <w:rPr>
          <w:lang w:val="es-ES"/>
        </w:rPr>
        <w:t xml:space="preserve"> </w:t>
      </w:r>
    </w:p>
  </w:footnote>
  <w:footnote w:id="4">
    <w:p w14:paraId="302DE42B" w14:textId="55A2AF0F" w:rsidR="00CA7671" w:rsidRPr="00CA7671" w:rsidRDefault="00CA7671" w:rsidP="00876543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E3F03">
        <w:rPr>
          <w:lang w:val="es-ES"/>
        </w:rPr>
        <w:t xml:space="preserve"> </w:t>
      </w:r>
      <w:r w:rsidR="00876543" w:rsidRPr="00876543">
        <w:rPr>
          <w:lang w:val="es-ES_tradnl"/>
        </w:rPr>
        <w:t>Como las canciones, los ritmos, la música instrumental y los cantos que son expresión de rituales.</w:t>
      </w:r>
      <w:r>
        <w:rPr>
          <w:lang w:val="es-ES"/>
        </w:rPr>
        <w:t xml:space="preserve"> </w:t>
      </w:r>
    </w:p>
  </w:footnote>
  <w:footnote w:id="5">
    <w:p w14:paraId="0CC025A2" w14:textId="3E93E967" w:rsidR="00CA7671" w:rsidRPr="00CA7671" w:rsidRDefault="00CA7671" w:rsidP="00C019F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E3F03">
        <w:rPr>
          <w:lang w:val="es-ES"/>
        </w:rPr>
        <w:t xml:space="preserve"> </w:t>
      </w:r>
      <w:r w:rsidR="00C019F1" w:rsidRPr="00C019F1">
        <w:rPr>
          <w:lang w:val="es-ES_tradnl"/>
        </w:rPr>
        <w:t>Como los relatos, las gestas épicas, las leyendas, los cuentos, la poesía, los enigmas y otras narraciones; las palabras, los signos, los nombres y los símbolos.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AAC97" w14:textId="77777777" w:rsidR="00EC4E49" w:rsidRPr="00750AD4" w:rsidRDefault="000D4BD5" w:rsidP="00477D6B">
    <w:pPr>
      <w:jc w:val="right"/>
      <w:rPr>
        <w:lang w:val="fr-CH"/>
      </w:rPr>
    </w:pPr>
    <w:bookmarkStart w:id="5" w:name="Code2"/>
    <w:bookmarkEnd w:id="5"/>
    <w:r w:rsidRPr="00750AD4">
      <w:rPr>
        <w:lang w:val="fr-CH"/>
      </w:rPr>
      <w:t>W</w:t>
    </w:r>
    <w:r w:rsidR="007C48E8">
      <w:rPr>
        <w:lang w:val="fr-CH"/>
      </w:rPr>
      <w:t>IPO/EXP/IPTK/GE/19</w:t>
    </w:r>
    <w:r w:rsidR="00610789" w:rsidRPr="00750AD4">
      <w:rPr>
        <w:lang w:val="fr-CH"/>
      </w:rPr>
      <w:t>/2</w:t>
    </w:r>
  </w:p>
  <w:p w14:paraId="301BE683" w14:textId="5E5BE785" w:rsidR="00EC4E49" w:rsidRPr="00750AD4" w:rsidRDefault="00EC4E49" w:rsidP="00477D6B">
    <w:pPr>
      <w:jc w:val="right"/>
      <w:rPr>
        <w:lang w:val="fr-CH"/>
      </w:rPr>
    </w:pPr>
    <w:r w:rsidRPr="00750AD4">
      <w:rPr>
        <w:lang w:val="fr-CH"/>
      </w:rPr>
      <w:t>p</w:t>
    </w:r>
    <w:r w:rsidR="00E06C61">
      <w:rPr>
        <w:lang w:val="fr-CH"/>
      </w:rPr>
      <w:t>ágina</w:t>
    </w:r>
    <w:r w:rsidRPr="00750AD4">
      <w:rPr>
        <w:lang w:val="fr-CH"/>
      </w:rPr>
      <w:t xml:space="preserve"> </w:t>
    </w:r>
    <w:r>
      <w:fldChar w:fldCharType="begin"/>
    </w:r>
    <w:r w:rsidRPr="00750AD4">
      <w:rPr>
        <w:lang w:val="fr-CH"/>
      </w:rPr>
      <w:instrText xml:space="preserve"> PAGE  \* MERGEFORMAT </w:instrText>
    </w:r>
    <w:r>
      <w:fldChar w:fldCharType="separate"/>
    </w:r>
    <w:r w:rsidR="00CE3F03">
      <w:rPr>
        <w:noProof/>
        <w:lang w:val="fr-CH"/>
      </w:rPr>
      <w:t>5</w:t>
    </w:r>
    <w:r>
      <w:fldChar w:fldCharType="end"/>
    </w:r>
  </w:p>
  <w:p w14:paraId="3966F845" w14:textId="77777777" w:rsidR="00EC4E49" w:rsidRPr="00750AD4" w:rsidRDefault="00EC4E49" w:rsidP="00477D6B">
    <w:pPr>
      <w:jc w:val="right"/>
      <w:rPr>
        <w:lang w:val="fr-CH"/>
      </w:rPr>
    </w:pPr>
  </w:p>
  <w:p w14:paraId="3E4F5040" w14:textId="77777777" w:rsidR="008A134B" w:rsidRPr="00750AD4" w:rsidRDefault="008A134B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0F0E9C"/>
    <w:multiLevelType w:val="hybridMultilevel"/>
    <w:tmpl w:val="34F4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430170"/>
    <w:multiLevelType w:val="hybridMultilevel"/>
    <w:tmpl w:val="CB68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BF"/>
    <w:multiLevelType w:val="hybridMultilevel"/>
    <w:tmpl w:val="B59A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5D78"/>
    <w:multiLevelType w:val="hybridMultilevel"/>
    <w:tmpl w:val="1BEE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57071B"/>
    <w:multiLevelType w:val="hybridMultilevel"/>
    <w:tmpl w:val="B2FCE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404D3"/>
    <w:multiLevelType w:val="hybridMultilevel"/>
    <w:tmpl w:val="79BE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47C86"/>
    <w:multiLevelType w:val="hybridMultilevel"/>
    <w:tmpl w:val="E46C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65187"/>
    <w:multiLevelType w:val="hybridMultilevel"/>
    <w:tmpl w:val="C866864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30247"/>
    <w:multiLevelType w:val="hybridMultilevel"/>
    <w:tmpl w:val="10AE60B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D8317F8"/>
    <w:multiLevelType w:val="hybridMultilevel"/>
    <w:tmpl w:val="97C04836"/>
    <w:lvl w:ilvl="0" w:tplc="94FE7FF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4410B"/>
    <w:multiLevelType w:val="hybridMultilevel"/>
    <w:tmpl w:val="1840C94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30D048F"/>
    <w:multiLevelType w:val="hybridMultilevel"/>
    <w:tmpl w:val="06568D4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328111E"/>
    <w:multiLevelType w:val="hybridMultilevel"/>
    <w:tmpl w:val="CB6ECA5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E0D81"/>
    <w:multiLevelType w:val="hybridMultilevel"/>
    <w:tmpl w:val="6B4E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512A0F"/>
    <w:multiLevelType w:val="hybridMultilevel"/>
    <w:tmpl w:val="5E7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A39B1"/>
    <w:multiLevelType w:val="hybridMultilevel"/>
    <w:tmpl w:val="E32C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91F7C"/>
    <w:multiLevelType w:val="hybridMultilevel"/>
    <w:tmpl w:val="02CC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04638"/>
    <w:multiLevelType w:val="hybridMultilevel"/>
    <w:tmpl w:val="2CF0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235D38"/>
    <w:multiLevelType w:val="hybridMultilevel"/>
    <w:tmpl w:val="E26E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404D"/>
    <w:multiLevelType w:val="hybridMultilevel"/>
    <w:tmpl w:val="F738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127EF"/>
    <w:multiLevelType w:val="hybridMultilevel"/>
    <w:tmpl w:val="8280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32C52"/>
    <w:multiLevelType w:val="hybridMultilevel"/>
    <w:tmpl w:val="23C83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C25B6"/>
    <w:multiLevelType w:val="hybridMultilevel"/>
    <w:tmpl w:val="D746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A5D86"/>
    <w:multiLevelType w:val="hybridMultilevel"/>
    <w:tmpl w:val="1E389E36"/>
    <w:lvl w:ilvl="0" w:tplc="DFD6BAF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B187D"/>
    <w:multiLevelType w:val="hybridMultilevel"/>
    <w:tmpl w:val="5CF2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666A3"/>
    <w:multiLevelType w:val="hybridMultilevel"/>
    <w:tmpl w:val="BE9048EA"/>
    <w:lvl w:ilvl="0" w:tplc="DFD6BAF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04EAA"/>
    <w:multiLevelType w:val="hybridMultilevel"/>
    <w:tmpl w:val="F49A5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3"/>
  </w:num>
  <w:num w:numId="5">
    <w:abstractNumId w:val="2"/>
  </w:num>
  <w:num w:numId="6">
    <w:abstractNumId w:val="7"/>
  </w:num>
  <w:num w:numId="7">
    <w:abstractNumId w:val="19"/>
  </w:num>
  <w:num w:numId="8">
    <w:abstractNumId w:val="13"/>
  </w:num>
  <w:num w:numId="9">
    <w:abstractNumId w:val="15"/>
  </w:num>
  <w:num w:numId="10">
    <w:abstractNumId w:val="16"/>
  </w:num>
  <w:num w:numId="11">
    <w:abstractNumId w:val="11"/>
  </w:num>
  <w:num w:numId="12">
    <w:abstractNumId w:val="21"/>
  </w:num>
  <w:num w:numId="13">
    <w:abstractNumId w:val="24"/>
  </w:num>
  <w:num w:numId="14">
    <w:abstractNumId w:val="25"/>
  </w:num>
  <w:num w:numId="15">
    <w:abstractNumId w:val="30"/>
  </w:num>
  <w:num w:numId="16">
    <w:abstractNumId w:val="10"/>
  </w:num>
  <w:num w:numId="17">
    <w:abstractNumId w:val="26"/>
  </w:num>
  <w:num w:numId="18">
    <w:abstractNumId w:val="14"/>
  </w:num>
  <w:num w:numId="19">
    <w:abstractNumId w:val="5"/>
  </w:num>
  <w:num w:numId="20">
    <w:abstractNumId w:val="9"/>
  </w:num>
  <w:num w:numId="21">
    <w:abstractNumId w:val="3"/>
  </w:num>
  <w:num w:numId="22">
    <w:abstractNumId w:val="8"/>
  </w:num>
  <w:num w:numId="23">
    <w:abstractNumId w:val="28"/>
  </w:num>
  <w:num w:numId="24">
    <w:abstractNumId w:val="17"/>
  </w:num>
  <w:num w:numId="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22"/>
  </w:num>
  <w:num w:numId="28">
    <w:abstractNumId w:val="4"/>
  </w:num>
  <w:num w:numId="29">
    <w:abstractNumId w:val="20"/>
  </w:num>
  <w:num w:numId="30">
    <w:abstractNumId w:val="29"/>
  </w:num>
  <w:num w:numId="31">
    <w:abstractNumId w:val="12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GRTKF\GRTKF|TextBase TMs\WorkspaceSTS\GRTKF\G Instruments|TextBase TMs\WorkspaceSTS\Outreach\POW Main"/>
    <w:docVar w:name="TextBaseURL" w:val="empty"/>
    <w:docVar w:name="UILng" w:val="en"/>
  </w:docVars>
  <w:rsids>
    <w:rsidRoot w:val="000D4BD5"/>
    <w:rsid w:val="00003BD6"/>
    <w:rsid w:val="00012180"/>
    <w:rsid w:val="0001278A"/>
    <w:rsid w:val="00024041"/>
    <w:rsid w:val="00031920"/>
    <w:rsid w:val="00033185"/>
    <w:rsid w:val="00036321"/>
    <w:rsid w:val="000411A6"/>
    <w:rsid w:val="000434E2"/>
    <w:rsid w:val="00043CAA"/>
    <w:rsid w:val="000443E8"/>
    <w:rsid w:val="00075432"/>
    <w:rsid w:val="000807DB"/>
    <w:rsid w:val="000831C9"/>
    <w:rsid w:val="00084F25"/>
    <w:rsid w:val="00092261"/>
    <w:rsid w:val="000968ED"/>
    <w:rsid w:val="000A3302"/>
    <w:rsid w:val="000A6A46"/>
    <w:rsid w:val="000B290B"/>
    <w:rsid w:val="000B5BC2"/>
    <w:rsid w:val="000D4BD5"/>
    <w:rsid w:val="000E2B93"/>
    <w:rsid w:val="000E69A5"/>
    <w:rsid w:val="000F2E91"/>
    <w:rsid w:val="000F33DB"/>
    <w:rsid w:val="000F5E56"/>
    <w:rsid w:val="001337DB"/>
    <w:rsid w:val="001362EE"/>
    <w:rsid w:val="00150D56"/>
    <w:rsid w:val="001647D5"/>
    <w:rsid w:val="00166A92"/>
    <w:rsid w:val="00181199"/>
    <w:rsid w:val="0018292F"/>
    <w:rsid w:val="001832A6"/>
    <w:rsid w:val="00187B07"/>
    <w:rsid w:val="00187F6C"/>
    <w:rsid w:val="001900A8"/>
    <w:rsid w:val="00191D11"/>
    <w:rsid w:val="001A233E"/>
    <w:rsid w:val="001D088E"/>
    <w:rsid w:val="001F084E"/>
    <w:rsid w:val="00210B73"/>
    <w:rsid w:val="0021217E"/>
    <w:rsid w:val="00227C6C"/>
    <w:rsid w:val="00233C45"/>
    <w:rsid w:val="00256D87"/>
    <w:rsid w:val="002623D6"/>
    <w:rsid w:val="002634C4"/>
    <w:rsid w:val="00275B90"/>
    <w:rsid w:val="00276A9A"/>
    <w:rsid w:val="002921B8"/>
    <w:rsid w:val="002928D3"/>
    <w:rsid w:val="0029357E"/>
    <w:rsid w:val="002965AA"/>
    <w:rsid w:val="002B6D96"/>
    <w:rsid w:val="002C20A7"/>
    <w:rsid w:val="002D4CCC"/>
    <w:rsid w:val="002E3707"/>
    <w:rsid w:val="002F1FE6"/>
    <w:rsid w:val="002F4E68"/>
    <w:rsid w:val="002F7062"/>
    <w:rsid w:val="00303705"/>
    <w:rsid w:val="00312F7F"/>
    <w:rsid w:val="00313FBF"/>
    <w:rsid w:val="00321FF0"/>
    <w:rsid w:val="003321D2"/>
    <w:rsid w:val="00340AE9"/>
    <w:rsid w:val="00351AC7"/>
    <w:rsid w:val="00361450"/>
    <w:rsid w:val="003673CF"/>
    <w:rsid w:val="0037092D"/>
    <w:rsid w:val="0037248B"/>
    <w:rsid w:val="0037653F"/>
    <w:rsid w:val="003845C1"/>
    <w:rsid w:val="00384FFF"/>
    <w:rsid w:val="003A1EF3"/>
    <w:rsid w:val="003A6F89"/>
    <w:rsid w:val="003B1152"/>
    <w:rsid w:val="003B27D2"/>
    <w:rsid w:val="003B38C1"/>
    <w:rsid w:val="003C397C"/>
    <w:rsid w:val="003C46C9"/>
    <w:rsid w:val="003D12FC"/>
    <w:rsid w:val="003D3DD3"/>
    <w:rsid w:val="003D4E05"/>
    <w:rsid w:val="003E1F8F"/>
    <w:rsid w:val="003E3795"/>
    <w:rsid w:val="003E4C7F"/>
    <w:rsid w:val="003F5634"/>
    <w:rsid w:val="004018A1"/>
    <w:rsid w:val="0040282C"/>
    <w:rsid w:val="00403511"/>
    <w:rsid w:val="00412E3A"/>
    <w:rsid w:val="00415138"/>
    <w:rsid w:val="004151EA"/>
    <w:rsid w:val="00415F38"/>
    <w:rsid w:val="00423E3E"/>
    <w:rsid w:val="00427AF4"/>
    <w:rsid w:val="0043177A"/>
    <w:rsid w:val="0043778A"/>
    <w:rsid w:val="00441DB4"/>
    <w:rsid w:val="004426F1"/>
    <w:rsid w:val="0046251E"/>
    <w:rsid w:val="004647DA"/>
    <w:rsid w:val="00474062"/>
    <w:rsid w:val="00477D6B"/>
    <w:rsid w:val="004B350D"/>
    <w:rsid w:val="004B3998"/>
    <w:rsid w:val="004C073A"/>
    <w:rsid w:val="004D2A4A"/>
    <w:rsid w:val="004F668B"/>
    <w:rsid w:val="005019FF"/>
    <w:rsid w:val="00516C2D"/>
    <w:rsid w:val="00517798"/>
    <w:rsid w:val="00520061"/>
    <w:rsid w:val="00521E04"/>
    <w:rsid w:val="00527CDC"/>
    <w:rsid w:val="00530376"/>
    <w:rsid w:val="0053057A"/>
    <w:rsid w:val="005428E7"/>
    <w:rsid w:val="00554401"/>
    <w:rsid w:val="0055517C"/>
    <w:rsid w:val="00560A29"/>
    <w:rsid w:val="00562D1E"/>
    <w:rsid w:val="0056607C"/>
    <w:rsid w:val="00572A09"/>
    <w:rsid w:val="005A4654"/>
    <w:rsid w:val="005C0A74"/>
    <w:rsid w:val="005C4023"/>
    <w:rsid w:val="005C6649"/>
    <w:rsid w:val="005C7230"/>
    <w:rsid w:val="005E07C0"/>
    <w:rsid w:val="005E4EC6"/>
    <w:rsid w:val="00601A98"/>
    <w:rsid w:val="0060323A"/>
    <w:rsid w:val="00604D1B"/>
    <w:rsid w:val="00605827"/>
    <w:rsid w:val="006068B5"/>
    <w:rsid w:val="00610789"/>
    <w:rsid w:val="00616520"/>
    <w:rsid w:val="0062027D"/>
    <w:rsid w:val="00623AE8"/>
    <w:rsid w:val="00646050"/>
    <w:rsid w:val="00654696"/>
    <w:rsid w:val="006713CA"/>
    <w:rsid w:val="00676C5C"/>
    <w:rsid w:val="00683816"/>
    <w:rsid w:val="00685F65"/>
    <w:rsid w:val="006D3C9F"/>
    <w:rsid w:val="006E1927"/>
    <w:rsid w:val="006E279F"/>
    <w:rsid w:val="006F4E56"/>
    <w:rsid w:val="00704117"/>
    <w:rsid w:val="007043EE"/>
    <w:rsid w:val="007111E2"/>
    <w:rsid w:val="007301FA"/>
    <w:rsid w:val="007322A0"/>
    <w:rsid w:val="007435C7"/>
    <w:rsid w:val="00750AD4"/>
    <w:rsid w:val="00774DAD"/>
    <w:rsid w:val="007767BE"/>
    <w:rsid w:val="0079184B"/>
    <w:rsid w:val="007A1575"/>
    <w:rsid w:val="007B2BB5"/>
    <w:rsid w:val="007B44F7"/>
    <w:rsid w:val="007C17CA"/>
    <w:rsid w:val="007C4728"/>
    <w:rsid w:val="007C48E8"/>
    <w:rsid w:val="007D1613"/>
    <w:rsid w:val="007E46A9"/>
    <w:rsid w:val="007E4C0E"/>
    <w:rsid w:val="007E71EB"/>
    <w:rsid w:val="00816717"/>
    <w:rsid w:val="00816953"/>
    <w:rsid w:val="0082058D"/>
    <w:rsid w:val="00830727"/>
    <w:rsid w:val="00834069"/>
    <w:rsid w:val="00844C5C"/>
    <w:rsid w:val="00846707"/>
    <w:rsid w:val="008467DB"/>
    <w:rsid w:val="00847939"/>
    <w:rsid w:val="0085040B"/>
    <w:rsid w:val="00853630"/>
    <w:rsid w:val="00856425"/>
    <w:rsid w:val="00870735"/>
    <w:rsid w:val="00876543"/>
    <w:rsid w:val="00881144"/>
    <w:rsid w:val="008864E4"/>
    <w:rsid w:val="00891976"/>
    <w:rsid w:val="008A134B"/>
    <w:rsid w:val="008A58D1"/>
    <w:rsid w:val="008B2CC1"/>
    <w:rsid w:val="008B4576"/>
    <w:rsid w:val="008B60B2"/>
    <w:rsid w:val="008B7F57"/>
    <w:rsid w:val="008C10CF"/>
    <w:rsid w:val="008D0D4B"/>
    <w:rsid w:val="008D4377"/>
    <w:rsid w:val="008F0024"/>
    <w:rsid w:val="008F6A04"/>
    <w:rsid w:val="0090731E"/>
    <w:rsid w:val="009153FF"/>
    <w:rsid w:val="00916EE2"/>
    <w:rsid w:val="0092213D"/>
    <w:rsid w:val="00923CB7"/>
    <w:rsid w:val="00942E27"/>
    <w:rsid w:val="00950A4C"/>
    <w:rsid w:val="00951AC5"/>
    <w:rsid w:val="00966A22"/>
    <w:rsid w:val="0096722F"/>
    <w:rsid w:val="00967756"/>
    <w:rsid w:val="00980286"/>
    <w:rsid w:val="00980803"/>
    <w:rsid w:val="00980843"/>
    <w:rsid w:val="0099414F"/>
    <w:rsid w:val="009A0B04"/>
    <w:rsid w:val="009B07AD"/>
    <w:rsid w:val="009C2752"/>
    <w:rsid w:val="009C3880"/>
    <w:rsid w:val="009C3F61"/>
    <w:rsid w:val="009E2791"/>
    <w:rsid w:val="009E3F6F"/>
    <w:rsid w:val="009F499F"/>
    <w:rsid w:val="009F7789"/>
    <w:rsid w:val="00A05DB8"/>
    <w:rsid w:val="00A22486"/>
    <w:rsid w:val="00A2390D"/>
    <w:rsid w:val="00A25932"/>
    <w:rsid w:val="00A361CE"/>
    <w:rsid w:val="00A37342"/>
    <w:rsid w:val="00A42DAF"/>
    <w:rsid w:val="00A45BD8"/>
    <w:rsid w:val="00A57254"/>
    <w:rsid w:val="00A67FE6"/>
    <w:rsid w:val="00A73D7E"/>
    <w:rsid w:val="00A74AE9"/>
    <w:rsid w:val="00A869B7"/>
    <w:rsid w:val="00AB7FE1"/>
    <w:rsid w:val="00AC205C"/>
    <w:rsid w:val="00AC7B78"/>
    <w:rsid w:val="00AD0DB2"/>
    <w:rsid w:val="00AE5D78"/>
    <w:rsid w:val="00AF0A6B"/>
    <w:rsid w:val="00AF1ED6"/>
    <w:rsid w:val="00B05A69"/>
    <w:rsid w:val="00B112D7"/>
    <w:rsid w:val="00B314B5"/>
    <w:rsid w:val="00B727F0"/>
    <w:rsid w:val="00B77005"/>
    <w:rsid w:val="00B77DA3"/>
    <w:rsid w:val="00B9734B"/>
    <w:rsid w:val="00BA05A1"/>
    <w:rsid w:val="00BA16E1"/>
    <w:rsid w:val="00BA30E2"/>
    <w:rsid w:val="00BB11BB"/>
    <w:rsid w:val="00BC1B79"/>
    <w:rsid w:val="00BC4A9E"/>
    <w:rsid w:val="00BC5E16"/>
    <w:rsid w:val="00BD16F8"/>
    <w:rsid w:val="00BD6FAC"/>
    <w:rsid w:val="00BE1072"/>
    <w:rsid w:val="00BE6183"/>
    <w:rsid w:val="00BF54F3"/>
    <w:rsid w:val="00BF5890"/>
    <w:rsid w:val="00BF6A83"/>
    <w:rsid w:val="00C019F1"/>
    <w:rsid w:val="00C11090"/>
    <w:rsid w:val="00C11BFE"/>
    <w:rsid w:val="00C23301"/>
    <w:rsid w:val="00C23E36"/>
    <w:rsid w:val="00C26DD4"/>
    <w:rsid w:val="00C278C5"/>
    <w:rsid w:val="00C40E7F"/>
    <w:rsid w:val="00C42861"/>
    <w:rsid w:val="00C5068F"/>
    <w:rsid w:val="00C57CEF"/>
    <w:rsid w:val="00C605A3"/>
    <w:rsid w:val="00C7190A"/>
    <w:rsid w:val="00C7365D"/>
    <w:rsid w:val="00C81E70"/>
    <w:rsid w:val="00C83170"/>
    <w:rsid w:val="00C838AA"/>
    <w:rsid w:val="00C86D74"/>
    <w:rsid w:val="00C94728"/>
    <w:rsid w:val="00C9666C"/>
    <w:rsid w:val="00CA7671"/>
    <w:rsid w:val="00CC0A33"/>
    <w:rsid w:val="00CC0C14"/>
    <w:rsid w:val="00CC5FF5"/>
    <w:rsid w:val="00CD04F1"/>
    <w:rsid w:val="00CE1AD8"/>
    <w:rsid w:val="00CE3F03"/>
    <w:rsid w:val="00CE66EF"/>
    <w:rsid w:val="00CF1E16"/>
    <w:rsid w:val="00D00F50"/>
    <w:rsid w:val="00D05554"/>
    <w:rsid w:val="00D1181D"/>
    <w:rsid w:val="00D32AD3"/>
    <w:rsid w:val="00D33CEC"/>
    <w:rsid w:val="00D34743"/>
    <w:rsid w:val="00D4330B"/>
    <w:rsid w:val="00D45252"/>
    <w:rsid w:val="00D53171"/>
    <w:rsid w:val="00D61185"/>
    <w:rsid w:val="00D66B9B"/>
    <w:rsid w:val="00D715AE"/>
    <w:rsid w:val="00D71B4D"/>
    <w:rsid w:val="00D80FF7"/>
    <w:rsid w:val="00D93D55"/>
    <w:rsid w:val="00DA7C98"/>
    <w:rsid w:val="00DB4872"/>
    <w:rsid w:val="00DC5D23"/>
    <w:rsid w:val="00DE079F"/>
    <w:rsid w:val="00DE1A0A"/>
    <w:rsid w:val="00DE45DC"/>
    <w:rsid w:val="00DE4DCB"/>
    <w:rsid w:val="00DF7C36"/>
    <w:rsid w:val="00E02CE2"/>
    <w:rsid w:val="00E06C61"/>
    <w:rsid w:val="00E1184A"/>
    <w:rsid w:val="00E15015"/>
    <w:rsid w:val="00E163E8"/>
    <w:rsid w:val="00E16C10"/>
    <w:rsid w:val="00E21EA7"/>
    <w:rsid w:val="00E31B7A"/>
    <w:rsid w:val="00E335FE"/>
    <w:rsid w:val="00E408B2"/>
    <w:rsid w:val="00E50C3E"/>
    <w:rsid w:val="00E53211"/>
    <w:rsid w:val="00E57D3D"/>
    <w:rsid w:val="00E65079"/>
    <w:rsid w:val="00E723B6"/>
    <w:rsid w:val="00E759FB"/>
    <w:rsid w:val="00E75D08"/>
    <w:rsid w:val="00E77050"/>
    <w:rsid w:val="00E778A2"/>
    <w:rsid w:val="00E80817"/>
    <w:rsid w:val="00E82D9F"/>
    <w:rsid w:val="00E82F37"/>
    <w:rsid w:val="00E84D66"/>
    <w:rsid w:val="00E94608"/>
    <w:rsid w:val="00EA1198"/>
    <w:rsid w:val="00EA1441"/>
    <w:rsid w:val="00EA751D"/>
    <w:rsid w:val="00EA7D6E"/>
    <w:rsid w:val="00EB0EBD"/>
    <w:rsid w:val="00EC4815"/>
    <w:rsid w:val="00EC4E49"/>
    <w:rsid w:val="00EC7882"/>
    <w:rsid w:val="00ED77FB"/>
    <w:rsid w:val="00EE45FA"/>
    <w:rsid w:val="00EE4A26"/>
    <w:rsid w:val="00EF1964"/>
    <w:rsid w:val="00EF442A"/>
    <w:rsid w:val="00F0685A"/>
    <w:rsid w:val="00F1120B"/>
    <w:rsid w:val="00F23CBA"/>
    <w:rsid w:val="00F50FE9"/>
    <w:rsid w:val="00F54D37"/>
    <w:rsid w:val="00F66152"/>
    <w:rsid w:val="00F76EBA"/>
    <w:rsid w:val="00F83C2E"/>
    <w:rsid w:val="00FA6B85"/>
    <w:rsid w:val="00FC01F4"/>
    <w:rsid w:val="00FC4540"/>
    <w:rsid w:val="00FE22FF"/>
    <w:rsid w:val="00FE60B6"/>
    <w:rsid w:val="00FF38A8"/>
    <w:rsid w:val="00FF5291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3FF69E6A"/>
  <w15:docId w15:val="{4F2F2A6B-A54B-417B-B708-119D663D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D4BD5"/>
    <w:pPr>
      <w:ind w:left="720"/>
      <w:contextualSpacing/>
    </w:pPr>
  </w:style>
  <w:style w:type="table" w:styleId="TableGrid">
    <w:name w:val="Table Grid"/>
    <w:basedOn w:val="TableNormal"/>
    <w:rsid w:val="000D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47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7939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E77050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78A"/>
    <w:rPr>
      <w:rFonts w:ascii="Arial" w:eastAsia="SimSun" w:hAnsi="Arial" w:cs="Arial"/>
      <w:sz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111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11E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111E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2027D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unhideWhenUsed/>
    <w:qFormat/>
    <w:rsid w:val="00685F6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227C6C"/>
    <w:rPr>
      <w:rFonts w:ascii="Arial" w:eastAsia="SimSun" w:hAnsi="Arial" w:cs="Arial"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0434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es/doc_details.jsp?doc_id=1471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es/doc_details.jsp?doc_id=1492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s/doc_details.jsp?doc_id=4264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tk/es/resources/tk_experiences.html" TargetMode="External"/><Relationship Id="rId10" Type="http://schemas.openxmlformats.org/officeDocument/2006/relationships/hyperlink" Target="https://www.wipo.int/meetings/es/doc_details.jsp?doc_id=426449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s/doc_details.jsp?doc_id=429638" TargetMode="External"/><Relationship Id="rId14" Type="http://schemas.openxmlformats.org/officeDocument/2006/relationships/hyperlink" Target="https://www.wipo.int/tk/es/resources/tk_experien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7049-92B2-452D-8A91-2385E6C7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1590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Goss</dc:creator>
  <cp:lastModifiedBy>SANDOVAL Barbara</cp:lastModifiedBy>
  <cp:revision>21</cp:revision>
  <cp:lastPrinted>2019-03-08T13:19:00Z</cp:lastPrinted>
  <dcterms:created xsi:type="dcterms:W3CDTF">2019-03-06T07:11:00Z</dcterms:created>
  <dcterms:modified xsi:type="dcterms:W3CDTF">2019-03-08T14:19:00Z</dcterms:modified>
</cp:coreProperties>
</file>