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606CFF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606CFF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606CFF" w:rsidRDefault="00506B74" w:rsidP="00AB613D">
            <w:r w:rsidRPr="00606CFF">
              <w:rPr>
                <w:noProof/>
                <w:lang w:val="en-US" w:eastAsia="en-US"/>
              </w:rPr>
              <w:drawing>
                <wp:inline distT="0" distB="0" distL="0" distR="0">
                  <wp:extent cx="1860550" cy="1329055"/>
                  <wp:effectExtent l="0" t="0" r="6350" b="444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606CFF" w:rsidRDefault="00E504E5" w:rsidP="00AB613D">
            <w:pPr>
              <w:jc w:val="right"/>
            </w:pPr>
            <w:r w:rsidRPr="00606CFF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606CFF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606CFF" w:rsidRDefault="00611363" w:rsidP="003354C1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 w:rsidRPr="00606CFF">
              <w:rPr>
                <w:rFonts w:ascii="Arial Black" w:hAnsi="Arial Black"/>
                <w:caps/>
                <w:sz w:val="15"/>
              </w:rPr>
              <w:t>WIPO/GRTKF/IC/2</w:t>
            </w:r>
            <w:r w:rsidR="00E6424D" w:rsidRPr="00606CFF">
              <w:rPr>
                <w:rFonts w:ascii="Arial Black" w:hAnsi="Arial Black"/>
                <w:caps/>
                <w:sz w:val="15"/>
              </w:rPr>
              <w:t>4</w:t>
            </w:r>
            <w:r w:rsidRPr="00606CFF">
              <w:rPr>
                <w:rFonts w:ascii="Arial Black" w:hAnsi="Arial Black"/>
                <w:caps/>
                <w:sz w:val="15"/>
              </w:rPr>
              <w:t>/</w:t>
            </w:r>
            <w:r w:rsidR="005D630E" w:rsidRPr="00606CFF">
              <w:rPr>
                <w:rFonts w:ascii="Arial Black" w:hAnsi="Arial Black"/>
                <w:caps/>
                <w:sz w:val="15"/>
              </w:rPr>
              <w:t>INF/8</w:t>
            </w:r>
            <w:r w:rsidR="008B2CC1" w:rsidRPr="00606CFF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606CFF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606CFF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06CFF">
              <w:rPr>
                <w:rFonts w:ascii="Arial Black" w:hAnsi="Arial Black"/>
                <w:caps/>
                <w:sz w:val="15"/>
              </w:rPr>
              <w:t>ORIGINAL:</w:t>
            </w:r>
            <w:r w:rsidR="00611363" w:rsidRPr="00606CFF">
              <w:rPr>
                <w:rFonts w:ascii="Arial Black" w:hAnsi="Arial Black"/>
                <w:caps/>
                <w:sz w:val="15"/>
              </w:rPr>
              <w:t xml:space="preserve">  inglés</w:t>
            </w:r>
            <w:r w:rsidR="00F84474" w:rsidRPr="00606CFF">
              <w:rPr>
                <w:rFonts w:ascii="Arial Black" w:hAnsi="Arial Black"/>
                <w:caps/>
                <w:sz w:val="15"/>
              </w:rPr>
              <w:t xml:space="preserve"> </w:t>
            </w:r>
            <w:r w:rsidRPr="00606CFF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</w:p>
        </w:tc>
      </w:tr>
      <w:tr w:rsidR="008B2CC1" w:rsidRPr="00606CFF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606CFF" w:rsidRDefault="00675021" w:rsidP="005D630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06CFF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606CFF">
              <w:rPr>
                <w:rFonts w:ascii="Arial Black" w:hAnsi="Arial Black"/>
                <w:caps/>
                <w:sz w:val="15"/>
              </w:rPr>
              <w:t>:</w:t>
            </w:r>
            <w:r w:rsidR="00611363" w:rsidRPr="00606CFF">
              <w:rPr>
                <w:rFonts w:ascii="Arial Black" w:hAnsi="Arial Black"/>
                <w:caps/>
                <w:sz w:val="15"/>
              </w:rPr>
              <w:t xml:space="preserve">  </w:t>
            </w:r>
            <w:r w:rsidR="005D630E" w:rsidRPr="00606CFF">
              <w:rPr>
                <w:rFonts w:ascii="Arial Black" w:hAnsi="Arial Black"/>
                <w:caps/>
                <w:sz w:val="15"/>
              </w:rPr>
              <w:t>4</w:t>
            </w:r>
            <w:r w:rsidR="00E6424D" w:rsidRPr="00606CFF">
              <w:rPr>
                <w:rFonts w:ascii="Arial Black" w:hAnsi="Arial Black"/>
                <w:caps/>
                <w:sz w:val="15"/>
              </w:rPr>
              <w:t xml:space="preserve"> de </w:t>
            </w:r>
            <w:r w:rsidR="00F06C42" w:rsidRPr="00606CFF">
              <w:rPr>
                <w:rFonts w:ascii="Arial Black" w:hAnsi="Arial Black"/>
                <w:caps/>
                <w:sz w:val="15"/>
              </w:rPr>
              <w:t xml:space="preserve">marzo </w:t>
            </w:r>
            <w:r w:rsidR="00611363" w:rsidRPr="00606CFF">
              <w:rPr>
                <w:rFonts w:ascii="Arial Black" w:hAnsi="Arial Black"/>
                <w:caps/>
                <w:sz w:val="15"/>
              </w:rPr>
              <w:t>de 201</w:t>
            </w:r>
            <w:r w:rsidR="00E6424D" w:rsidRPr="00606CFF">
              <w:rPr>
                <w:rFonts w:ascii="Arial Black" w:hAnsi="Arial Black"/>
                <w:caps/>
                <w:sz w:val="15"/>
              </w:rPr>
              <w:t>3</w:t>
            </w:r>
            <w:r w:rsidR="00F84474" w:rsidRPr="00606CF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606CFF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</w:p>
        </w:tc>
      </w:tr>
    </w:tbl>
    <w:p w:rsidR="008B2CC1" w:rsidRPr="00606CFF" w:rsidRDefault="008B2CC1" w:rsidP="008B2CC1"/>
    <w:p w:rsidR="008B2CC1" w:rsidRPr="00606CFF" w:rsidRDefault="008B2CC1" w:rsidP="008B2CC1"/>
    <w:p w:rsidR="008B2CC1" w:rsidRPr="00606CFF" w:rsidRDefault="008B2CC1" w:rsidP="008B2CC1"/>
    <w:p w:rsidR="008B2CC1" w:rsidRPr="00606CFF" w:rsidRDefault="008B2CC1" w:rsidP="008B2CC1"/>
    <w:p w:rsidR="008B2CC1" w:rsidRPr="00606CFF" w:rsidRDefault="008B2CC1" w:rsidP="008B2CC1"/>
    <w:p w:rsidR="008B2CC1" w:rsidRPr="00606CFF" w:rsidRDefault="00611363" w:rsidP="008B2CC1">
      <w:pPr>
        <w:rPr>
          <w:b/>
          <w:sz w:val="28"/>
          <w:szCs w:val="28"/>
        </w:rPr>
      </w:pPr>
      <w:r w:rsidRPr="00606CFF">
        <w:rPr>
          <w:b/>
          <w:sz w:val="28"/>
          <w:szCs w:val="28"/>
        </w:rPr>
        <w:t>Comité Intergubernamental sobre Propiedad Intelectual y Recursos Genético</w:t>
      </w:r>
      <w:bookmarkStart w:id="3" w:name="_GoBack"/>
      <w:bookmarkEnd w:id="3"/>
      <w:r w:rsidRPr="00606CFF">
        <w:rPr>
          <w:b/>
          <w:sz w:val="28"/>
          <w:szCs w:val="28"/>
        </w:rPr>
        <w:t>s, Conocimientos Tradicionales y Folclore (CIG)</w:t>
      </w:r>
    </w:p>
    <w:p w:rsidR="003845C1" w:rsidRPr="00606CFF" w:rsidRDefault="003845C1" w:rsidP="003845C1"/>
    <w:p w:rsidR="001C4DD3" w:rsidRPr="00606CFF" w:rsidRDefault="001C4DD3" w:rsidP="003845C1"/>
    <w:p w:rsidR="00611363" w:rsidRPr="00606CFF" w:rsidRDefault="00611363" w:rsidP="003845C1"/>
    <w:p w:rsidR="00611363" w:rsidRPr="00606CFF" w:rsidRDefault="00611363" w:rsidP="00611363">
      <w:pPr>
        <w:rPr>
          <w:b/>
          <w:sz w:val="24"/>
          <w:szCs w:val="24"/>
        </w:rPr>
      </w:pPr>
      <w:r w:rsidRPr="00606CFF">
        <w:rPr>
          <w:b/>
          <w:sz w:val="24"/>
          <w:szCs w:val="24"/>
        </w:rPr>
        <w:t xml:space="preserve">Vigésima </w:t>
      </w:r>
      <w:r w:rsidR="00E6424D" w:rsidRPr="00606CFF">
        <w:rPr>
          <w:b/>
          <w:sz w:val="24"/>
          <w:szCs w:val="24"/>
        </w:rPr>
        <w:t>cuarta</w:t>
      </w:r>
      <w:r w:rsidRPr="00606CFF">
        <w:rPr>
          <w:b/>
          <w:sz w:val="24"/>
          <w:szCs w:val="24"/>
        </w:rPr>
        <w:t xml:space="preserve"> sesión</w:t>
      </w:r>
    </w:p>
    <w:p w:rsidR="00611363" w:rsidRPr="00606CFF" w:rsidRDefault="00611363" w:rsidP="00611363">
      <w:pPr>
        <w:rPr>
          <w:b/>
          <w:sz w:val="24"/>
          <w:szCs w:val="24"/>
        </w:rPr>
      </w:pPr>
      <w:r w:rsidRPr="00606CFF">
        <w:rPr>
          <w:b/>
          <w:sz w:val="24"/>
          <w:szCs w:val="24"/>
        </w:rPr>
        <w:t xml:space="preserve">Ginebra, </w:t>
      </w:r>
      <w:r w:rsidR="00E6424D" w:rsidRPr="00606CFF">
        <w:rPr>
          <w:b/>
          <w:sz w:val="24"/>
          <w:szCs w:val="24"/>
        </w:rPr>
        <w:t>22 a 26 de abril</w:t>
      </w:r>
      <w:r w:rsidRPr="00606CFF">
        <w:rPr>
          <w:b/>
          <w:sz w:val="24"/>
          <w:szCs w:val="24"/>
        </w:rPr>
        <w:t xml:space="preserve"> de 2013</w:t>
      </w:r>
    </w:p>
    <w:p w:rsidR="00611363" w:rsidRPr="00606CFF" w:rsidRDefault="00611363" w:rsidP="00611363"/>
    <w:p w:rsidR="00611363" w:rsidRPr="00606CFF" w:rsidRDefault="00611363" w:rsidP="00611363"/>
    <w:p w:rsidR="005D630E" w:rsidRPr="00606CFF" w:rsidRDefault="005D630E" w:rsidP="005D630E">
      <w:pPr>
        <w:rPr>
          <w:caps/>
          <w:sz w:val="24"/>
        </w:rPr>
      </w:pPr>
      <w:r w:rsidRPr="00606CFF">
        <w:t>RECURSOS DISPONIBLES EN LAS PÁGINAS DEL SITIO WEB DE LA OMPI DEDICADAS A LOS CONOCIMIENTOS TRADICIONALES, LAS EXPRESIONES CULTURALES TRADICIONALES Y LOS RECURSOS GENÉTICOS</w:t>
      </w:r>
    </w:p>
    <w:p w:rsidR="005D630E" w:rsidRPr="00606CFF" w:rsidRDefault="005D630E" w:rsidP="005D630E"/>
    <w:p w:rsidR="005D630E" w:rsidRPr="00606CFF" w:rsidRDefault="005D630E" w:rsidP="005D630E">
      <w:pPr>
        <w:rPr>
          <w:i/>
        </w:rPr>
      </w:pPr>
      <w:bookmarkStart w:id="4" w:name="Prepared"/>
      <w:bookmarkEnd w:id="4"/>
      <w:r w:rsidRPr="00606CFF">
        <w:rPr>
          <w:i/>
        </w:rPr>
        <w:t>Documento preparado por la Secretaría</w:t>
      </w:r>
    </w:p>
    <w:p w:rsidR="005D630E" w:rsidRPr="00606CFF" w:rsidRDefault="005D630E" w:rsidP="005D630E"/>
    <w:p w:rsidR="005D630E" w:rsidRPr="00606CFF" w:rsidRDefault="005D630E" w:rsidP="005D630E"/>
    <w:p w:rsidR="005D630E" w:rsidRPr="00606CFF" w:rsidRDefault="005D630E" w:rsidP="005D630E">
      <w:pPr>
        <w:rPr>
          <w:i/>
        </w:rPr>
      </w:pPr>
    </w:p>
    <w:p w:rsidR="005D630E" w:rsidRPr="00606CFF" w:rsidRDefault="005D630E" w:rsidP="005D630E">
      <w:pPr>
        <w:pStyle w:val="ONUMFS"/>
        <w:rPr>
          <w:szCs w:val="22"/>
        </w:rPr>
      </w:pPr>
      <w:r w:rsidRPr="00606CFF">
        <w:t>En su vigésima sesión, celebrada del 14 al 22 de febrero de 2012, el Comité Intergubernamental sobre Propiedad Intelectual y Recursos Genéticos, Conocimientos Tradicionales y Folclore (en lo sucesivo “el CIG”) invitó a la Secretaría a elaborar un documento de información que describiera sucintamente los recursos disponibles en las páginas del sitio web de la OMPI dedicadas a los conocimientos tradicionales, las expresiones culturales tradicionales y los recursos genéticos (en lo sucesivo “las páginas del sitio web de la OMPI sobre CC.TT.”) a los fines de fomentar e incrementar la participación de los observadores en las labores del Comité.</w:t>
      </w:r>
      <w:r w:rsidRPr="00606CFF">
        <w:rPr>
          <w:rStyle w:val="FootnoteReference"/>
          <w:szCs w:val="22"/>
        </w:rPr>
        <w:footnoteReference w:id="2"/>
      </w:r>
      <w:r w:rsidRPr="00606CFF">
        <w:t xml:space="preserve">  Ésta es una de las decisiones que se tomaron tras el debate </w:t>
      </w:r>
      <w:r w:rsidRPr="00606CFF">
        <w:rPr>
          <w:szCs w:val="22"/>
        </w:rPr>
        <w:t>del “</w:t>
      </w:r>
      <w:r w:rsidRPr="00606CFF">
        <w:rPr>
          <w:color w:val="000000"/>
          <w:szCs w:val="22"/>
        </w:rPr>
        <w:t>Proyecto de estudio sobre la participación de observadores en la labor del Comité Intergubernamental sobre Propiedad Intelectual y Recursos Genéticos, Conocimientos Tradicionales y Folclore:  Resumen”</w:t>
      </w:r>
      <w:r w:rsidRPr="00606CFF">
        <w:rPr>
          <w:szCs w:val="22"/>
        </w:rPr>
        <w:t xml:space="preserve"> (véase el documento WIPO/GRTKF/IC/20/7).</w:t>
      </w:r>
    </w:p>
    <w:p w:rsidR="005D630E" w:rsidRPr="00606CFF" w:rsidRDefault="005D630E" w:rsidP="005D630E">
      <w:pPr>
        <w:pStyle w:val="ONUMFS"/>
        <w:rPr>
          <w:szCs w:val="22"/>
          <w:lang w:eastAsia="en-US"/>
        </w:rPr>
      </w:pPr>
      <w:r w:rsidRPr="00606CFF">
        <w:rPr>
          <w:szCs w:val="22"/>
          <w:lang w:eastAsia="en-US"/>
        </w:rPr>
        <w:t xml:space="preserve">De acuerdo con dicha decisión, la Secretaría </w:t>
      </w:r>
      <w:r w:rsidR="00936480" w:rsidRPr="00606CFF">
        <w:rPr>
          <w:szCs w:val="22"/>
          <w:lang w:eastAsia="en-US"/>
        </w:rPr>
        <w:t>presentó</w:t>
      </w:r>
      <w:r w:rsidRPr="00606CFF">
        <w:rPr>
          <w:szCs w:val="22"/>
          <w:lang w:eastAsia="en-US"/>
        </w:rPr>
        <w:t xml:space="preserve"> una breve descripción de los recursos disponibles</w:t>
      </w:r>
      <w:r w:rsidR="00936480" w:rsidRPr="00606CFF">
        <w:rPr>
          <w:szCs w:val="22"/>
          <w:lang w:eastAsia="en-US"/>
        </w:rPr>
        <w:t xml:space="preserve"> en los documentos WIPO/GRTKF/IC/23/INF/9 y WIPO/GRTKF/IC/23/INF/9 Add.</w:t>
      </w:r>
      <w:r w:rsidRPr="00606CFF">
        <w:rPr>
          <w:szCs w:val="22"/>
          <w:lang w:eastAsia="en-US"/>
        </w:rPr>
        <w:t xml:space="preserve">  </w:t>
      </w:r>
      <w:r w:rsidR="00936480" w:rsidRPr="00606CFF">
        <w:rPr>
          <w:szCs w:val="22"/>
          <w:lang w:eastAsia="en-US"/>
        </w:rPr>
        <w:t>Mediante dicha descripción</w:t>
      </w:r>
      <w:r w:rsidRPr="00606CFF">
        <w:rPr>
          <w:szCs w:val="22"/>
          <w:lang w:eastAsia="en-US"/>
        </w:rPr>
        <w:t xml:space="preserve"> </w:t>
      </w:r>
      <w:r w:rsidR="00936480" w:rsidRPr="00606CFF">
        <w:rPr>
          <w:szCs w:val="22"/>
          <w:lang w:eastAsia="en-US"/>
        </w:rPr>
        <w:t>se pretende</w:t>
      </w:r>
      <w:r w:rsidRPr="00606CFF">
        <w:rPr>
          <w:szCs w:val="22"/>
          <w:lang w:eastAsia="en-US"/>
        </w:rPr>
        <w:t xml:space="preserve"> </w:t>
      </w:r>
      <w:r w:rsidRPr="00606CFF">
        <w:t>ayudar a los participantes en el CIG, y en particular a los observadores y los nuevos participantes, a utilizar mejor los materiales ya disponibles en las páginas del sitio web de la OMPI sobre CC.TT.</w:t>
      </w:r>
    </w:p>
    <w:p w:rsidR="005D630E" w:rsidRPr="00606CFF" w:rsidRDefault="005D630E" w:rsidP="00606CFF">
      <w:pPr>
        <w:pStyle w:val="ONUMFS"/>
        <w:keepNext/>
        <w:keepLines/>
      </w:pPr>
      <w:r w:rsidRPr="00606CFF">
        <w:lastRenderedPageBreak/>
        <w:t>Asimismo, el CIG, en su vigésima sesión, tomó nota de que en el sitio web de la OMPI sobre CC.TT. se ha dedicado una página exclusivamente a los comentarios, propuestas, contribuciones y documentos de los observadores, como las propuestas de redacción sobre los textos de negociación del CIG y otros documentos de trabajo para su examen por los Estados miembros.  El CIG solicitó a la Secretaría que animase a los observadores a hacer sus contribuciones a la página web de comentarios de los observadores y señalar dichos comentarios a la atención de los Estados miembros antes de cada sesión del CIG.</w:t>
      </w:r>
      <w:r w:rsidRPr="00606CFF">
        <w:rPr>
          <w:rStyle w:val="FootnoteReference"/>
          <w:szCs w:val="22"/>
        </w:rPr>
        <w:footnoteReference w:id="3"/>
      </w:r>
      <w:r w:rsidRPr="00606CFF">
        <w:t xml:space="preserve">  En consecuencia, la Secretaría, por medio de diversos conductos, está animando a los observadores a aportar comentarios y otros materiales a la página web (los observadores acreditados pueden remitir sus propuestas a la Secretaría en la dirección </w:t>
      </w:r>
      <w:hyperlink r:id="rId10" w:history="1">
        <w:r w:rsidR="00606CFF" w:rsidRPr="00606CFF">
          <w:rPr>
            <w:rStyle w:val="Hyperlink"/>
            <w:lang w:eastAsia="zh-CN"/>
          </w:rPr>
          <w:t>grtkf@wipo.int</w:t>
        </w:r>
      </w:hyperlink>
      <w:r w:rsidRPr="00606CFF">
        <w:t xml:space="preserve">) y señala a la atención de los Estados miembros que la página web se encuentra en la siguiente dirección:  </w:t>
      </w:r>
      <w:hyperlink r:id="rId11" w:history="1">
        <w:r w:rsidRPr="00606CFF">
          <w:rPr>
            <w:rStyle w:val="Hyperlink"/>
            <w:szCs w:val="22"/>
          </w:rPr>
          <w:t>http://www.wipo.int/tk/en/igc/ngo/ngopapers.html</w:t>
        </w:r>
      </w:hyperlink>
      <w:r w:rsidRPr="00606CFF">
        <w:t xml:space="preserve">.  Desde la vigésima </w:t>
      </w:r>
      <w:r w:rsidR="00936480" w:rsidRPr="00606CFF">
        <w:t>tercera</w:t>
      </w:r>
      <w:r w:rsidRPr="00606CFF">
        <w:t xml:space="preserve"> sesión del CIG, y hasta la fecha del presente documento, </w:t>
      </w:r>
      <w:r w:rsidR="00936480" w:rsidRPr="00606CFF">
        <w:t>no se ha recibido ninguna</w:t>
      </w:r>
      <w:r w:rsidRPr="00606CFF">
        <w:t xml:space="preserve"> presentación de parte de un observador.</w:t>
      </w:r>
      <w:r w:rsidRPr="00606CFF">
        <w:rPr>
          <w:rStyle w:val="FootnoteReference"/>
          <w:szCs w:val="22"/>
        </w:rPr>
        <w:t xml:space="preserve"> </w:t>
      </w:r>
    </w:p>
    <w:p w:rsidR="005D630E" w:rsidRPr="00606CFF" w:rsidRDefault="005D630E" w:rsidP="005D630E">
      <w:pPr>
        <w:pStyle w:val="ONUMFS"/>
      </w:pPr>
      <w:r w:rsidRPr="00606CFF">
        <w:t>En su vigésima sesión, el CIG también “solicitó a la Secretaría que mejore la accesibilidad de las páginas del sitio web de la OMPI dedicadas a los conocimientos tradicionales, los recursos genéticos y las expresiones culturales tradicionales”.  Por consiguiente, se están reestructurando las páginas del sitio web de la OMPI sobre CC.TT. a fin de mejorar su accesibilidad</w:t>
      </w:r>
      <w:r w:rsidR="00F9064B" w:rsidRPr="00606CFF">
        <w:t xml:space="preserve"> y también como parte del rediseño general del sitio web de la OMPI</w:t>
      </w:r>
      <w:r w:rsidRPr="00606CFF">
        <w:t xml:space="preserve">.  Si para la vigésima cuarta sesión del CIG ya estuviese funcionando el nuevo sitio, se preparará un documento similar </w:t>
      </w:r>
      <w:r w:rsidR="00F9064B" w:rsidRPr="00606CFF">
        <w:t>a los que se mencionan en el párrafo 2 con miras a la vigésima quinta sesión del CIG</w:t>
      </w:r>
      <w:r w:rsidR="00D200F3" w:rsidRPr="00606CFF">
        <w:t>,</w:t>
      </w:r>
      <w:r w:rsidRPr="00606CFF">
        <w:t xml:space="preserve"> en el que se dejará constancia de la nueva estructura del sitio web, según proceda, y se ofrecerán los nuevos enlaces, de haberlos, a los distintos recursos.</w:t>
      </w:r>
      <w:r w:rsidR="00F9064B" w:rsidRPr="00606CFF">
        <w:t xml:space="preserve">  </w:t>
      </w:r>
      <w:r w:rsidR="00D200F3" w:rsidRPr="00606CFF">
        <w:t>Mientras tanto</w:t>
      </w:r>
      <w:r w:rsidR="00F9064B" w:rsidRPr="00606CFF">
        <w:t xml:space="preserve">, se invita a los participantes en el CIG a que consulten </w:t>
      </w:r>
      <w:r w:rsidR="00D200F3" w:rsidRPr="00606CFF">
        <w:t>los</w:t>
      </w:r>
      <w:r w:rsidR="00F9064B" w:rsidRPr="00606CFF">
        <w:t xml:space="preserve"> documento</w:t>
      </w:r>
      <w:r w:rsidR="00D200F3" w:rsidRPr="00606CFF">
        <w:t>s</w:t>
      </w:r>
      <w:r w:rsidR="00F9064B" w:rsidRPr="00606CFF">
        <w:t xml:space="preserve"> WIPO/GRTKF/IC/23/INF/9 y WIPO/GRTK/IC/23/INF/9 Add.</w:t>
      </w:r>
    </w:p>
    <w:p w:rsidR="005D630E" w:rsidRPr="00606CFF" w:rsidRDefault="005D630E" w:rsidP="005D630E">
      <w:pPr>
        <w:pStyle w:val="DecisionInvitingPara"/>
        <w:tabs>
          <w:tab w:val="left" w:pos="6050"/>
        </w:tabs>
        <w:ind w:left="5533"/>
        <w:rPr>
          <w:szCs w:val="22"/>
          <w:lang w:val="es-ES"/>
        </w:rPr>
      </w:pPr>
      <w:r w:rsidRPr="00606CFF">
        <w:rPr>
          <w:szCs w:val="22"/>
          <w:lang w:val="es-ES"/>
        </w:rPr>
        <w:t>5.</w:t>
      </w:r>
      <w:r w:rsidRPr="00606CFF">
        <w:rPr>
          <w:szCs w:val="22"/>
          <w:lang w:val="es-ES"/>
        </w:rPr>
        <w:tab/>
        <w:t>Se invita al CIG a tomar nota del presente documento.</w:t>
      </w:r>
    </w:p>
    <w:p w:rsidR="005D630E" w:rsidRPr="00606CFF" w:rsidRDefault="005D630E" w:rsidP="005D630E">
      <w:pPr>
        <w:pStyle w:val="DecisionInvitingPara"/>
        <w:ind w:left="5533"/>
        <w:rPr>
          <w:szCs w:val="22"/>
          <w:lang w:val="es-ES"/>
        </w:rPr>
      </w:pPr>
    </w:p>
    <w:p w:rsidR="005D630E" w:rsidRPr="00606CFF" w:rsidRDefault="005D630E" w:rsidP="005D630E">
      <w:pPr>
        <w:pStyle w:val="Endofdocument-Annex"/>
        <w:rPr>
          <w:lang w:val="es-ES"/>
        </w:rPr>
      </w:pPr>
    </w:p>
    <w:p w:rsidR="00606CFF" w:rsidRPr="00606CFF" w:rsidRDefault="00606CFF" w:rsidP="005D630E">
      <w:pPr>
        <w:pStyle w:val="Endofdocument-Annex"/>
        <w:rPr>
          <w:lang w:val="es-ES"/>
        </w:rPr>
      </w:pPr>
    </w:p>
    <w:p w:rsidR="00F06C42" w:rsidRPr="00606CFF" w:rsidRDefault="00606CFF" w:rsidP="00606CFF">
      <w:pPr>
        <w:pStyle w:val="Endofdocument-Annex"/>
        <w:rPr>
          <w:lang w:val="es-ES"/>
        </w:rPr>
      </w:pPr>
      <w:r w:rsidRPr="00606CFF">
        <w:rPr>
          <w:lang w:val="es-ES"/>
        </w:rPr>
        <w:t>[Fin del documento]</w:t>
      </w:r>
    </w:p>
    <w:sectPr w:rsidR="00F06C42" w:rsidRPr="00606CFF" w:rsidSect="005352F3">
      <w:headerReference w:type="default" r:id="rId12"/>
      <w:footnotePr>
        <w:numRestart w:val="eachSect"/>
      </w:footnotePr>
      <w:endnotePr>
        <w:numFmt w:val="decimal"/>
      </w:endnotePr>
      <w:pgSz w:w="11907" w:h="16840" w:code="9"/>
      <w:pgMar w:top="567" w:right="797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64B" w:rsidRDefault="00F9064B">
      <w:r>
        <w:separator/>
      </w:r>
    </w:p>
  </w:endnote>
  <w:endnote w:type="continuationSeparator" w:id="0">
    <w:p w:rsidR="00F9064B" w:rsidRPr="009D30E6" w:rsidRDefault="00F9064B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F9064B" w:rsidRPr="007E663E" w:rsidRDefault="00F9064B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F9064B" w:rsidRPr="007E663E" w:rsidRDefault="00F9064B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64B" w:rsidRDefault="00F9064B">
      <w:r>
        <w:separator/>
      </w:r>
    </w:p>
  </w:footnote>
  <w:footnote w:type="continuationSeparator" w:id="0">
    <w:p w:rsidR="00F9064B" w:rsidRPr="009D30E6" w:rsidRDefault="00F9064B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F9064B" w:rsidRPr="007E663E" w:rsidRDefault="00F9064B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F9064B" w:rsidRPr="007E663E" w:rsidRDefault="00F9064B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F9064B" w:rsidRPr="003078A9" w:rsidRDefault="00F9064B" w:rsidP="005D630E">
      <w:pPr>
        <w:pStyle w:val="FootnoteText"/>
      </w:pPr>
      <w:r>
        <w:rPr>
          <w:rStyle w:val="FootnoteReference"/>
        </w:rPr>
        <w:footnoteRef/>
      </w:r>
      <w:r w:rsidRPr="003078A9">
        <w:t xml:space="preserve"> </w:t>
      </w:r>
      <w:r>
        <w:tab/>
      </w:r>
      <w:r w:rsidRPr="003078A9">
        <w:t>Véase el proyecto de informe de la vigésima sesi</w:t>
      </w:r>
      <w:r>
        <w:t>ón</w:t>
      </w:r>
      <w:r w:rsidRPr="003078A9">
        <w:t xml:space="preserve"> (WIPO/GRTKF/IC/20/10)</w:t>
      </w:r>
      <w:r>
        <w:t>, párrafo 801 f)</w:t>
      </w:r>
      <w:r w:rsidRPr="003078A9">
        <w:t>.</w:t>
      </w:r>
    </w:p>
  </w:footnote>
  <w:footnote w:id="3">
    <w:p w:rsidR="00F9064B" w:rsidRPr="001D3FA2" w:rsidRDefault="00F9064B" w:rsidP="005D630E">
      <w:pPr>
        <w:pStyle w:val="FootnoteText"/>
      </w:pPr>
      <w:r>
        <w:rPr>
          <w:rStyle w:val="FootnoteReference"/>
        </w:rPr>
        <w:footnoteRef/>
      </w:r>
      <w:r w:rsidRPr="001D3FA2">
        <w:t xml:space="preserve"> </w:t>
      </w:r>
      <w:r>
        <w:tab/>
      </w:r>
      <w:r w:rsidRPr="001D3FA2">
        <w:t>Véase el proyecto de informe de la vigésima sesi</w:t>
      </w:r>
      <w:r>
        <w:t>ón</w:t>
      </w:r>
      <w:r w:rsidRPr="001D3FA2">
        <w:t xml:space="preserve"> (WIPO/GRTKF/IC/20/10)</w:t>
      </w:r>
      <w:r>
        <w:t>, párrafo 801 f)</w:t>
      </w:r>
      <w:r w:rsidRPr="001D3FA2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64B" w:rsidRPr="00086C66" w:rsidRDefault="00F9064B" w:rsidP="00086C66">
    <w:pPr>
      <w:jc w:val="right"/>
      <w:rPr>
        <w:szCs w:val="22"/>
        <w:lang w:val="pt-BR"/>
      </w:rPr>
    </w:pPr>
    <w:r w:rsidRPr="00086C66">
      <w:rPr>
        <w:rStyle w:val="PageNumber"/>
        <w:lang w:val="pt-BR"/>
      </w:rPr>
      <w:t>WIPO/GRTKF/IC/2</w:t>
    </w:r>
    <w:r>
      <w:rPr>
        <w:rStyle w:val="PageNumber"/>
        <w:lang w:val="pt-BR"/>
      </w:rPr>
      <w:t>4/</w:t>
    </w:r>
    <w:r w:rsidR="00606CFF">
      <w:rPr>
        <w:rStyle w:val="PageNumber"/>
        <w:lang w:val="pt-BR"/>
      </w:rPr>
      <w:t>INF/8</w:t>
    </w:r>
  </w:p>
  <w:p w:rsidR="00F9064B" w:rsidRDefault="00F9064B" w:rsidP="00D078B9">
    <w:pPr>
      <w:jc w:val="right"/>
      <w:rPr>
        <w:rStyle w:val="PageNumber"/>
      </w:rPr>
    </w:pPr>
    <w:r w:rsidRPr="00086C66">
      <w:rPr>
        <w:lang w:val="pt-BR"/>
      </w:rPr>
      <w:t xml:space="preserve">página </w:t>
    </w:r>
    <w:r>
      <w:rPr>
        <w:rStyle w:val="PageNumber"/>
      </w:rPr>
      <w:fldChar w:fldCharType="begin"/>
    </w:r>
    <w:r w:rsidRPr="00086C66">
      <w:rPr>
        <w:rStyle w:val="PageNumber"/>
        <w:lang w:val="pt-BR"/>
      </w:rPr>
      <w:instrText xml:space="preserve"> PAGE </w:instrText>
    </w:r>
    <w:r>
      <w:rPr>
        <w:rStyle w:val="PageNumber"/>
      </w:rPr>
      <w:fldChar w:fldCharType="separate"/>
    </w:r>
    <w:r w:rsidR="00291EF7">
      <w:rPr>
        <w:rStyle w:val="PageNumber"/>
        <w:noProof/>
        <w:lang w:val="pt-BR"/>
      </w:rPr>
      <w:t>2</w:t>
    </w:r>
    <w:r>
      <w:rPr>
        <w:rStyle w:val="PageNumber"/>
      </w:rPr>
      <w:fldChar w:fldCharType="end"/>
    </w:r>
  </w:p>
  <w:p w:rsidR="00F9064B" w:rsidRPr="00086C66" w:rsidRDefault="00F9064B" w:rsidP="00D078B9">
    <w:pPr>
      <w:jc w:val="right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2">
    <w:nsid w:val="044871EA"/>
    <w:multiLevelType w:val="hybridMultilevel"/>
    <w:tmpl w:val="5AE8017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0EFB71C3"/>
    <w:multiLevelType w:val="hybridMultilevel"/>
    <w:tmpl w:val="30FC8C78"/>
    <w:lvl w:ilvl="0" w:tplc="32C87226">
      <w:start w:val="1"/>
      <w:numFmt w:val="lowerLetter"/>
      <w:lvlRestart w:val="0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9502BB"/>
    <w:multiLevelType w:val="hybridMultilevel"/>
    <w:tmpl w:val="9B98942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965171"/>
    <w:multiLevelType w:val="hybridMultilevel"/>
    <w:tmpl w:val="3A36A91E"/>
    <w:lvl w:ilvl="0" w:tplc="71DC914A">
      <w:start w:val="1"/>
      <w:numFmt w:val="lowerRoman"/>
      <w:lvlRestart w:val="0"/>
      <w:lvlText w:val="%1)"/>
      <w:lvlJc w:val="left"/>
      <w:pPr>
        <w:tabs>
          <w:tab w:val="num" w:pos="927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F17166"/>
    <w:multiLevelType w:val="hybridMultilevel"/>
    <w:tmpl w:val="C6F6646E"/>
    <w:lvl w:ilvl="0" w:tplc="37807B3A">
      <w:start w:val="1"/>
      <w:numFmt w:val="lowerLetter"/>
      <w:lvlText w:val="%1)"/>
      <w:lvlJc w:val="left"/>
      <w:pPr>
        <w:tabs>
          <w:tab w:val="num" w:pos="1140"/>
        </w:tabs>
        <w:ind w:left="114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E026994"/>
    <w:multiLevelType w:val="hybridMultilevel"/>
    <w:tmpl w:val="5A225DEE"/>
    <w:lvl w:ilvl="0" w:tplc="E80CCB2C">
      <w:start w:val="1"/>
      <w:numFmt w:val="lowerLetter"/>
      <w:lvlRestart w:val="0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202C7C95"/>
    <w:multiLevelType w:val="hybridMultilevel"/>
    <w:tmpl w:val="4F84EE1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6467AA"/>
    <w:multiLevelType w:val="hybridMultilevel"/>
    <w:tmpl w:val="9A6E009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8F1963"/>
    <w:multiLevelType w:val="hybridMultilevel"/>
    <w:tmpl w:val="1F2C4EA2"/>
    <w:lvl w:ilvl="0" w:tplc="6E7022FA">
      <w:start w:val="1"/>
      <w:numFmt w:val="lowerLetter"/>
      <w:lvlText w:val="%1)"/>
      <w:lvlJc w:val="left"/>
      <w:pPr>
        <w:tabs>
          <w:tab w:val="num" w:pos="-957"/>
        </w:tabs>
        <w:ind w:left="39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4E6510"/>
    <w:multiLevelType w:val="multilevel"/>
    <w:tmpl w:val="D4E4EED8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-567" w:firstLine="567"/>
      </w:pPr>
      <w:rPr>
        <w:rFonts w:cs="Times New Roman" w:hint="default"/>
      </w:rPr>
    </w:lvl>
    <w:lvl w:ilvl="2">
      <w:start w:val="1"/>
      <w:numFmt w:val="lowerRoman"/>
      <w:lvlText w:val="(%3)"/>
      <w:lvlJc w:val="right"/>
      <w:pPr>
        <w:tabs>
          <w:tab w:val="num" w:pos="1701"/>
        </w:tabs>
        <w:ind w:left="0" w:firstLine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  <w:rPr>
        <w:rFonts w:hint="default"/>
      </w:rPr>
    </w:lvl>
  </w:abstractNum>
  <w:abstractNum w:abstractNumId="15">
    <w:nsid w:val="2DA25D5B"/>
    <w:multiLevelType w:val="hybridMultilevel"/>
    <w:tmpl w:val="54F80066"/>
    <w:lvl w:ilvl="0" w:tplc="4CCA419A">
      <w:start w:val="1"/>
      <w:numFmt w:val="lowerRoman"/>
      <w:lvlRestart w:val="0"/>
      <w:lvlText w:val="%1)"/>
      <w:lvlJc w:val="left"/>
      <w:pPr>
        <w:tabs>
          <w:tab w:val="num" w:pos="927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F06BF3"/>
    <w:multiLevelType w:val="hybridMultilevel"/>
    <w:tmpl w:val="10A85530"/>
    <w:lvl w:ilvl="0" w:tplc="6AFE18DE">
      <w:start w:val="1"/>
      <w:numFmt w:val="lowerLetter"/>
      <w:lvlText w:val="%1)"/>
      <w:lvlJc w:val="left"/>
      <w:pPr>
        <w:tabs>
          <w:tab w:val="num" w:pos="-661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671F9E"/>
    <w:multiLevelType w:val="hybridMultilevel"/>
    <w:tmpl w:val="944A8514"/>
    <w:lvl w:ilvl="0" w:tplc="FFFFFFFF">
      <w:start w:val="1"/>
      <w:numFmt w:val="lowerRoman"/>
      <w:lvlRestart w:val="0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B80AD9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F437B7"/>
    <w:multiLevelType w:val="hybridMultilevel"/>
    <w:tmpl w:val="8FBC9FF0"/>
    <w:lvl w:ilvl="0" w:tplc="65E0BB86">
      <w:start w:val="11"/>
      <w:numFmt w:val="lowerLetter"/>
      <w:lvlText w:val="%1)"/>
      <w:lvlJc w:val="left"/>
      <w:pPr>
        <w:tabs>
          <w:tab w:val="num" w:pos="1090"/>
        </w:tabs>
        <w:ind w:left="1090" w:hanging="54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9">
    <w:nsid w:val="34F4426D"/>
    <w:multiLevelType w:val="multilevel"/>
    <w:tmpl w:val="C212DBF4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20">
    <w:nsid w:val="36215822"/>
    <w:multiLevelType w:val="hybridMultilevel"/>
    <w:tmpl w:val="C5A605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83059C8"/>
    <w:multiLevelType w:val="hybridMultilevel"/>
    <w:tmpl w:val="8E388102"/>
    <w:lvl w:ilvl="0" w:tplc="448AE26E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cs="Tahoma" w:hint="default"/>
      </w:rPr>
    </w:lvl>
    <w:lvl w:ilvl="1" w:tplc="B9CEA8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38F95F01"/>
    <w:multiLevelType w:val="hybridMultilevel"/>
    <w:tmpl w:val="C2966824"/>
    <w:lvl w:ilvl="0" w:tplc="4DE22C32">
      <w:start w:val="1"/>
      <w:numFmt w:val="lowerLetter"/>
      <w:lvlText w:val="(%1)"/>
      <w:lvlJc w:val="left"/>
      <w:pPr>
        <w:tabs>
          <w:tab w:val="num" w:pos="1503"/>
        </w:tabs>
        <w:ind w:left="1503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3">
    <w:nsid w:val="3F65446C"/>
    <w:multiLevelType w:val="hybridMultilevel"/>
    <w:tmpl w:val="43C68B70"/>
    <w:lvl w:ilvl="0" w:tplc="E2B012C4">
      <w:start w:val="1"/>
      <w:numFmt w:val="lowerLetter"/>
      <w:lvlRestart w:val="0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1D55F1"/>
    <w:multiLevelType w:val="hybridMultilevel"/>
    <w:tmpl w:val="7A0A4C0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8357031"/>
    <w:multiLevelType w:val="hybridMultilevel"/>
    <w:tmpl w:val="C82A7B5A"/>
    <w:lvl w:ilvl="0" w:tplc="AFFA9AF0">
      <w:start w:val="1"/>
      <w:numFmt w:val="lowerLetter"/>
      <w:lvlText w:val="%1)"/>
      <w:lvlJc w:val="left"/>
      <w:pPr>
        <w:tabs>
          <w:tab w:val="num" w:pos="190"/>
        </w:tabs>
        <w:ind w:left="9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470FF5"/>
    <w:multiLevelType w:val="multilevel"/>
    <w:tmpl w:val="DEA051CE"/>
    <w:lvl w:ilvl="0">
      <w:start w:val="3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9B4314C"/>
    <w:multiLevelType w:val="hybridMultilevel"/>
    <w:tmpl w:val="F7681A6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AA67EC5"/>
    <w:multiLevelType w:val="hybridMultilevel"/>
    <w:tmpl w:val="1B90EADE"/>
    <w:lvl w:ilvl="0" w:tplc="AAF4D5EA">
      <w:start w:val="1"/>
      <w:numFmt w:val="lowerRoman"/>
      <w:lvlRestart w:val="0"/>
      <w:lvlText w:val="%1)"/>
      <w:lvlJc w:val="left"/>
      <w:pPr>
        <w:tabs>
          <w:tab w:val="num" w:pos="927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C146DD6"/>
    <w:multiLevelType w:val="multilevel"/>
    <w:tmpl w:val="05F86DAC"/>
    <w:lvl w:ilvl="0">
      <w:start w:val="8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62"/>
        </w:tabs>
        <w:ind w:left="27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3"/>
        </w:tabs>
        <w:ind w:left="37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64"/>
        </w:tabs>
        <w:ind w:left="5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85"/>
        </w:tabs>
        <w:ind w:left="61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6"/>
        </w:tabs>
        <w:ind w:left="75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87"/>
        </w:tabs>
        <w:ind w:left="85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68"/>
        </w:tabs>
        <w:ind w:left="9968" w:hanging="1800"/>
      </w:pPr>
      <w:rPr>
        <w:rFonts w:hint="default"/>
      </w:rPr>
    </w:lvl>
  </w:abstractNum>
  <w:abstractNum w:abstractNumId="31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CBD2BC5"/>
    <w:multiLevelType w:val="hybridMultilevel"/>
    <w:tmpl w:val="1CFA06E8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0760570"/>
    <w:multiLevelType w:val="hybridMultilevel"/>
    <w:tmpl w:val="6F7EB0F6"/>
    <w:lvl w:ilvl="0" w:tplc="0E6EE504">
      <w:start w:val="1"/>
      <w:numFmt w:val="lowerRoman"/>
      <w:lvlRestart w:val="0"/>
      <w:lvlText w:val="%1)"/>
      <w:lvlJc w:val="left"/>
      <w:pPr>
        <w:tabs>
          <w:tab w:val="num" w:pos="927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6F8217C"/>
    <w:multiLevelType w:val="multilevel"/>
    <w:tmpl w:val="C212DBF4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35">
    <w:nsid w:val="59CF1E62"/>
    <w:multiLevelType w:val="singleLevel"/>
    <w:tmpl w:val="D13A4098"/>
    <w:lvl w:ilvl="0">
      <w:start w:val="1"/>
      <w:numFmt w:val="lowerRoman"/>
      <w:lvlText w:val="%1)"/>
      <w:lvlJc w:val="left"/>
      <w:pPr>
        <w:tabs>
          <w:tab w:val="num" w:pos="644"/>
        </w:tabs>
        <w:ind w:left="0" w:firstLine="284"/>
      </w:pPr>
      <w:rPr>
        <w:rFonts w:hint="default"/>
      </w:rPr>
    </w:lvl>
  </w:abstractNum>
  <w:abstractNum w:abstractNumId="36">
    <w:nsid w:val="5E506C62"/>
    <w:multiLevelType w:val="hybridMultilevel"/>
    <w:tmpl w:val="B86EF6AC"/>
    <w:lvl w:ilvl="0" w:tplc="FFFFFFFF">
      <w:start w:val="1"/>
      <w:numFmt w:val="decimal"/>
      <w:lvlText w:val="%1."/>
      <w:lvlJc w:val="left"/>
      <w:pPr>
        <w:ind w:left="1381" w:hanging="360"/>
      </w:pPr>
      <w:rPr>
        <w:rFonts w:cs="Times New Roman" w:hint="default"/>
      </w:rPr>
    </w:lvl>
    <w:lvl w:ilvl="1" w:tplc="FFFFFFFF">
      <w:start w:val="4"/>
      <w:numFmt w:val="lowerRoman"/>
      <w:lvlText w:val="(%2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ind w:left="2821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541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261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981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701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421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141" w:hanging="180"/>
      </w:pPr>
      <w:rPr>
        <w:rFonts w:cs="Times New Roman"/>
      </w:rPr>
    </w:lvl>
  </w:abstractNum>
  <w:abstractNum w:abstractNumId="37">
    <w:nsid w:val="5E830C0B"/>
    <w:multiLevelType w:val="multilevel"/>
    <w:tmpl w:val="03B480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70" w:hanging="39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8">
    <w:nsid w:val="68F31023"/>
    <w:multiLevelType w:val="hybridMultilevel"/>
    <w:tmpl w:val="A00699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A824536"/>
    <w:multiLevelType w:val="multilevel"/>
    <w:tmpl w:val="EBE2EE1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6B1552E1"/>
    <w:multiLevelType w:val="hybridMultilevel"/>
    <w:tmpl w:val="79D2D6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D74387A"/>
    <w:multiLevelType w:val="hybridMultilevel"/>
    <w:tmpl w:val="DDD24C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FD75B1F"/>
    <w:multiLevelType w:val="hybridMultilevel"/>
    <w:tmpl w:val="1C8CA0D2"/>
    <w:lvl w:ilvl="0" w:tplc="FCD07B00">
      <w:start w:val="1"/>
      <w:numFmt w:val="lowerLetter"/>
      <w:lvlText w:val="%1)"/>
      <w:lvlJc w:val="left"/>
      <w:pPr>
        <w:tabs>
          <w:tab w:val="num" w:pos="-19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1C5616C"/>
    <w:multiLevelType w:val="hybridMultilevel"/>
    <w:tmpl w:val="3926D828"/>
    <w:lvl w:ilvl="0" w:tplc="BA141BC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4">
    <w:nsid w:val="76445E86"/>
    <w:multiLevelType w:val="hybridMultilevel"/>
    <w:tmpl w:val="FB744170"/>
    <w:lvl w:ilvl="0" w:tplc="448AE26E"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5"/>
  </w:num>
  <w:num w:numId="3">
    <w:abstractNumId w:val="0"/>
  </w:num>
  <w:num w:numId="4">
    <w:abstractNumId w:val="31"/>
  </w:num>
  <w:num w:numId="5">
    <w:abstractNumId w:val="3"/>
  </w:num>
  <w:num w:numId="6">
    <w:abstractNumId w:val="10"/>
  </w:num>
  <w:num w:numId="7">
    <w:abstractNumId w:val="22"/>
  </w:num>
  <w:num w:numId="8">
    <w:abstractNumId w:val="27"/>
  </w:num>
  <w:num w:numId="9">
    <w:abstractNumId w:val="10"/>
  </w:num>
  <w:num w:numId="10">
    <w:abstractNumId w:val="10"/>
  </w:num>
  <w:num w:numId="11">
    <w:abstractNumId w:val="10"/>
  </w:num>
  <w:num w:numId="12">
    <w:abstractNumId w:val="30"/>
  </w:num>
  <w:num w:numId="13">
    <w:abstractNumId w:val="17"/>
  </w:num>
  <w:num w:numId="14">
    <w:abstractNumId w:val="39"/>
  </w:num>
  <w:num w:numId="15">
    <w:abstractNumId w:val="7"/>
  </w:num>
  <w:num w:numId="16">
    <w:abstractNumId w:val="24"/>
  </w:num>
  <w:num w:numId="17">
    <w:abstractNumId w:val="12"/>
  </w:num>
  <w:num w:numId="18">
    <w:abstractNumId w:val="2"/>
  </w:num>
  <w:num w:numId="19">
    <w:abstractNumId w:val="5"/>
  </w:num>
  <w:num w:numId="20">
    <w:abstractNumId w:val="20"/>
  </w:num>
  <w:num w:numId="21">
    <w:abstractNumId w:val="11"/>
  </w:num>
  <w:num w:numId="22">
    <w:abstractNumId w:val="18"/>
  </w:num>
  <w:num w:numId="23">
    <w:abstractNumId w:val="41"/>
  </w:num>
  <w:num w:numId="24">
    <w:abstractNumId w:val="9"/>
  </w:num>
  <w:num w:numId="25">
    <w:abstractNumId w:val="4"/>
  </w:num>
  <w:num w:numId="26">
    <w:abstractNumId w:val="23"/>
  </w:num>
  <w:num w:numId="27">
    <w:abstractNumId w:val="38"/>
  </w:num>
  <w:num w:numId="28">
    <w:abstractNumId w:val="15"/>
  </w:num>
  <w:num w:numId="29">
    <w:abstractNumId w:val="29"/>
  </w:num>
  <w:num w:numId="30">
    <w:abstractNumId w:val="33"/>
  </w:num>
  <w:num w:numId="31">
    <w:abstractNumId w:val="6"/>
  </w:num>
  <w:num w:numId="32">
    <w:abstractNumId w:val="36"/>
  </w:num>
  <w:num w:numId="33">
    <w:abstractNumId w:val="37"/>
  </w:num>
  <w:num w:numId="34">
    <w:abstractNumId w:val="32"/>
  </w:num>
  <w:num w:numId="35">
    <w:abstractNumId w:val="14"/>
  </w:num>
  <w:num w:numId="36">
    <w:abstractNumId w:val="26"/>
  </w:num>
  <w:num w:numId="37">
    <w:abstractNumId w:val="16"/>
  </w:num>
  <w:num w:numId="38">
    <w:abstractNumId w:val="42"/>
  </w:num>
  <w:num w:numId="39">
    <w:abstractNumId w:val="13"/>
  </w:num>
  <w:num w:numId="40">
    <w:abstractNumId w:val="1"/>
  </w:num>
  <w:num w:numId="41">
    <w:abstractNumId w:val="21"/>
  </w:num>
  <w:num w:numId="42">
    <w:abstractNumId w:val="44"/>
  </w:num>
  <w:num w:numId="43">
    <w:abstractNumId w:val="34"/>
  </w:num>
  <w:num w:numId="44">
    <w:abstractNumId w:val="19"/>
  </w:num>
  <w:num w:numId="45">
    <w:abstractNumId w:val="35"/>
  </w:num>
  <w:num w:numId="46">
    <w:abstractNumId w:val="43"/>
  </w:num>
  <w:num w:numId="47">
    <w:abstractNumId w:val="28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3313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61"/>
    <w:rsid w:val="000302D0"/>
    <w:rsid w:val="000867D5"/>
    <w:rsid w:val="00086C66"/>
    <w:rsid w:val="000942BA"/>
    <w:rsid w:val="00096B02"/>
    <w:rsid w:val="000A3D03"/>
    <w:rsid w:val="000B0162"/>
    <w:rsid w:val="000D13C7"/>
    <w:rsid w:val="000E3BB3"/>
    <w:rsid w:val="000F3438"/>
    <w:rsid w:val="000F5E56"/>
    <w:rsid w:val="001362EE"/>
    <w:rsid w:val="00152CEA"/>
    <w:rsid w:val="00161348"/>
    <w:rsid w:val="00166683"/>
    <w:rsid w:val="00181780"/>
    <w:rsid w:val="001832A6"/>
    <w:rsid w:val="001A6A4E"/>
    <w:rsid w:val="001C2CFA"/>
    <w:rsid w:val="001C4DD3"/>
    <w:rsid w:val="001D0B2A"/>
    <w:rsid w:val="00204CD3"/>
    <w:rsid w:val="002130D7"/>
    <w:rsid w:val="002634C4"/>
    <w:rsid w:val="00291EF7"/>
    <w:rsid w:val="002A6A62"/>
    <w:rsid w:val="002B241D"/>
    <w:rsid w:val="002C3861"/>
    <w:rsid w:val="002D6084"/>
    <w:rsid w:val="002F4E68"/>
    <w:rsid w:val="003149F7"/>
    <w:rsid w:val="003354C1"/>
    <w:rsid w:val="00354647"/>
    <w:rsid w:val="00377273"/>
    <w:rsid w:val="003845C1"/>
    <w:rsid w:val="0038493A"/>
    <w:rsid w:val="00387287"/>
    <w:rsid w:val="003A1FAF"/>
    <w:rsid w:val="003B130C"/>
    <w:rsid w:val="003D41D4"/>
    <w:rsid w:val="004026D3"/>
    <w:rsid w:val="004144E9"/>
    <w:rsid w:val="00423E3E"/>
    <w:rsid w:val="00426CF8"/>
    <w:rsid w:val="00427AF4"/>
    <w:rsid w:val="0045231F"/>
    <w:rsid w:val="004647DA"/>
    <w:rsid w:val="00477D6B"/>
    <w:rsid w:val="00480545"/>
    <w:rsid w:val="00497D4F"/>
    <w:rsid w:val="004A6C37"/>
    <w:rsid w:val="004A7A03"/>
    <w:rsid w:val="004D77FE"/>
    <w:rsid w:val="00506B74"/>
    <w:rsid w:val="005352F3"/>
    <w:rsid w:val="0055013B"/>
    <w:rsid w:val="0055215D"/>
    <w:rsid w:val="0056224D"/>
    <w:rsid w:val="00570B70"/>
    <w:rsid w:val="00571B99"/>
    <w:rsid w:val="005D0321"/>
    <w:rsid w:val="005D630E"/>
    <w:rsid w:val="00605827"/>
    <w:rsid w:val="00606CFF"/>
    <w:rsid w:val="00611363"/>
    <w:rsid w:val="00675021"/>
    <w:rsid w:val="0068561A"/>
    <w:rsid w:val="006A06C6"/>
    <w:rsid w:val="006A0DF4"/>
    <w:rsid w:val="006B1657"/>
    <w:rsid w:val="006C4929"/>
    <w:rsid w:val="006C6BB2"/>
    <w:rsid w:val="006E6E1C"/>
    <w:rsid w:val="006F27BF"/>
    <w:rsid w:val="007217C5"/>
    <w:rsid w:val="007338CE"/>
    <w:rsid w:val="007D6502"/>
    <w:rsid w:val="007E663E"/>
    <w:rsid w:val="00815082"/>
    <w:rsid w:val="00836416"/>
    <w:rsid w:val="00880501"/>
    <w:rsid w:val="00891406"/>
    <w:rsid w:val="008968D4"/>
    <w:rsid w:val="008A5E02"/>
    <w:rsid w:val="008B2CC1"/>
    <w:rsid w:val="008B6E7F"/>
    <w:rsid w:val="0090731E"/>
    <w:rsid w:val="00932A1D"/>
    <w:rsid w:val="00936480"/>
    <w:rsid w:val="00952130"/>
    <w:rsid w:val="00964E37"/>
    <w:rsid w:val="00966A22"/>
    <w:rsid w:val="00972F03"/>
    <w:rsid w:val="0099231F"/>
    <w:rsid w:val="009A0C8B"/>
    <w:rsid w:val="009B6241"/>
    <w:rsid w:val="009C18C8"/>
    <w:rsid w:val="009C4254"/>
    <w:rsid w:val="009D24D8"/>
    <w:rsid w:val="009E3F7B"/>
    <w:rsid w:val="00A16FC0"/>
    <w:rsid w:val="00A32C9E"/>
    <w:rsid w:val="00A5188D"/>
    <w:rsid w:val="00A5226D"/>
    <w:rsid w:val="00A57AFF"/>
    <w:rsid w:val="00A71516"/>
    <w:rsid w:val="00A7453D"/>
    <w:rsid w:val="00A82592"/>
    <w:rsid w:val="00A84A17"/>
    <w:rsid w:val="00A9561A"/>
    <w:rsid w:val="00AB613D"/>
    <w:rsid w:val="00AF7E6E"/>
    <w:rsid w:val="00B37504"/>
    <w:rsid w:val="00B65A0A"/>
    <w:rsid w:val="00B72D36"/>
    <w:rsid w:val="00B80395"/>
    <w:rsid w:val="00BC244A"/>
    <w:rsid w:val="00BC4164"/>
    <w:rsid w:val="00BC479C"/>
    <w:rsid w:val="00BD102E"/>
    <w:rsid w:val="00BD2DCC"/>
    <w:rsid w:val="00BE1A8C"/>
    <w:rsid w:val="00C12858"/>
    <w:rsid w:val="00C20452"/>
    <w:rsid w:val="00C409A3"/>
    <w:rsid w:val="00C7472C"/>
    <w:rsid w:val="00C75D7A"/>
    <w:rsid w:val="00C90559"/>
    <w:rsid w:val="00CB1361"/>
    <w:rsid w:val="00CC1B44"/>
    <w:rsid w:val="00CF412A"/>
    <w:rsid w:val="00D078B9"/>
    <w:rsid w:val="00D200F3"/>
    <w:rsid w:val="00D40CF0"/>
    <w:rsid w:val="00D43162"/>
    <w:rsid w:val="00D56C7C"/>
    <w:rsid w:val="00D71B4D"/>
    <w:rsid w:val="00D7311B"/>
    <w:rsid w:val="00D90289"/>
    <w:rsid w:val="00D93D55"/>
    <w:rsid w:val="00DC6995"/>
    <w:rsid w:val="00E45C84"/>
    <w:rsid w:val="00E504E5"/>
    <w:rsid w:val="00E6424D"/>
    <w:rsid w:val="00E97F2A"/>
    <w:rsid w:val="00EB7A3E"/>
    <w:rsid w:val="00EC401A"/>
    <w:rsid w:val="00EF530A"/>
    <w:rsid w:val="00EF6622"/>
    <w:rsid w:val="00F06C42"/>
    <w:rsid w:val="00F55408"/>
    <w:rsid w:val="00F66152"/>
    <w:rsid w:val="00F66A22"/>
    <w:rsid w:val="00F80845"/>
    <w:rsid w:val="00F8228D"/>
    <w:rsid w:val="00F84474"/>
    <w:rsid w:val="00F85571"/>
    <w:rsid w:val="00F9064B"/>
    <w:rsid w:val="00FA1425"/>
    <w:rsid w:val="00FC78E1"/>
    <w:rsid w:val="00FE616B"/>
    <w:rsid w:val="00FE67D2"/>
    <w:rsid w:val="00FF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locked/>
    <w:rsid w:val="002130D7"/>
    <w:rPr>
      <w:rFonts w:ascii="Arial" w:eastAsia="SimSun" w:hAnsi="Arial" w:cs="Arial"/>
      <w:bCs/>
      <w:sz w:val="22"/>
      <w:szCs w:val="26"/>
      <w:u w:val="single"/>
      <w:lang w:val="es-ES" w:eastAsia="zh-CN" w:bidi="ar-SA"/>
    </w:rPr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character" w:customStyle="1" w:styleId="BodyTextChar">
    <w:name w:val="Body Text Char"/>
    <w:link w:val="BodyText"/>
    <w:semiHidden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character" w:customStyle="1" w:styleId="CommentTextChar">
    <w:name w:val="Comment Text Char"/>
    <w:link w:val="CommentText"/>
    <w:semiHidden/>
    <w:locked/>
    <w:rsid w:val="00611363"/>
    <w:rPr>
      <w:rFonts w:ascii="Arial" w:eastAsia="SimSun" w:hAnsi="Arial" w:cs="Arial"/>
      <w:sz w:val="18"/>
      <w:lang w:val="es-ES" w:eastAsia="zh-CN" w:bidi="ar-SA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 ak"/>
    <w:basedOn w:val="Normal"/>
    <w:link w:val="FootnoteTextChar"/>
    <w:rsid w:val="00A32C9E"/>
    <w:rPr>
      <w:sz w:val="18"/>
    </w:rPr>
  </w:style>
  <w:style w:type="character" w:customStyle="1" w:styleId="FootnoteTextChar">
    <w:name w:val="Footnote Text Char"/>
    <w:aliases w:val="Footnote ak Char"/>
    <w:link w:val="FootnoteText"/>
    <w:rsid w:val="00611363"/>
    <w:rPr>
      <w:rFonts w:ascii="Arial" w:eastAsia="SimSun" w:hAnsi="Arial" w:cs="Arial"/>
      <w:sz w:val="18"/>
      <w:lang w:val="es-ES" w:eastAsia="zh-CN" w:bidi="ar-SA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Endofdocument">
    <w:name w:val="End of document"/>
    <w:basedOn w:val="Normal"/>
    <w:rsid w:val="00611363"/>
    <w:pPr>
      <w:spacing w:after="120" w:line="260" w:lineRule="atLeast"/>
      <w:ind w:left="5534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Header">
    <w:name w:val="header"/>
    <w:basedOn w:val="Normal"/>
    <w:link w:val="HeaderChar"/>
    <w:rsid w:val="00A32C9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semiHidden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character" w:customStyle="1" w:styleId="ONUMEChar">
    <w:name w:val="ONUM E Char"/>
    <w:link w:val="ONUME"/>
    <w:rsid w:val="002130D7"/>
    <w:rPr>
      <w:rFonts w:ascii="Arial" w:eastAsia="SimSun" w:hAnsi="Arial" w:cs="Arial"/>
      <w:sz w:val="22"/>
      <w:lang w:val="es-ES" w:eastAsia="zh-CN" w:bidi="ar-SA"/>
    </w:rPr>
  </w:style>
  <w:style w:type="paragraph" w:customStyle="1" w:styleId="ONUMFS">
    <w:name w:val="ONUM FS"/>
    <w:basedOn w:val="BodyText"/>
    <w:link w:val="ONUMFSChar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NormalWeb">
    <w:name w:val="Normal (Web)"/>
    <w:basedOn w:val="Normal"/>
    <w:rsid w:val="006113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har">
    <w:name w:val="Char 字元 字元"/>
    <w:basedOn w:val="Normal"/>
    <w:rsid w:val="00611363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character" w:styleId="FootnoteReference">
    <w:name w:val="footnote reference"/>
    <w:semiHidden/>
    <w:rsid w:val="00611363"/>
    <w:rPr>
      <w:vertAlign w:val="superscript"/>
    </w:rPr>
  </w:style>
  <w:style w:type="character" w:styleId="PageNumber">
    <w:name w:val="page number"/>
    <w:basedOn w:val="DefaultParagraphFont"/>
    <w:rsid w:val="00611363"/>
  </w:style>
  <w:style w:type="paragraph" w:styleId="BodyText2">
    <w:name w:val="Body Text 2"/>
    <w:basedOn w:val="Normal"/>
    <w:link w:val="BodyText2Char"/>
    <w:rsid w:val="00611363"/>
    <w:pPr>
      <w:spacing w:after="120" w:line="480" w:lineRule="auto"/>
      <w:ind w:left="1021"/>
    </w:pPr>
    <w:rPr>
      <w:rFonts w:eastAsia="Times New Roman" w:cs="Times New Roman"/>
      <w:sz w:val="20"/>
      <w:lang w:val="en-US" w:eastAsia="en-US"/>
    </w:rPr>
  </w:style>
  <w:style w:type="character" w:customStyle="1" w:styleId="BodyText2Char">
    <w:name w:val="Body Text 2 Char"/>
    <w:link w:val="BodyText2"/>
    <w:semiHidden/>
    <w:locked/>
    <w:rsid w:val="00611363"/>
    <w:rPr>
      <w:rFonts w:ascii="Arial" w:hAnsi="Arial"/>
      <w:lang w:val="en-US" w:eastAsia="en-US" w:bidi="ar-SA"/>
    </w:rPr>
  </w:style>
  <w:style w:type="character" w:styleId="CommentReference">
    <w:name w:val="annotation reference"/>
    <w:semiHidden/>
    <w:rsid w:val="00611363"/>
    <w:rPr>
      <w:sz w:val="16"/>
      <w:szCs w:val="16"/>
    </w:rPr>
  </w:style>
  <w:style w:type="paragraph" w:customStyle="1" w:styleId="DecisionInvitingPara">
    <w:name w:val="Decision Inviting Para."/>
    <w:basedOn w:val="Normal"/>
    <w:rsid w:val="00611363"/>
    <w:pPr>
      <w:ind w:left="5534"/>
    </w:pPr>
    <w:rPr>
      <w:i/>
      <w:lang w:val="en-US"/>
    </w:rPr>
  </w:style>
  <w:style w:type="character" w:styleId="Hyperlink">
    <w:name w:val="Hyperlink"/>
    <w:rsid w:val="002130D7"/>
    <w:rPr>
      <w:color w:val="0000FF"/>
      <w:u w:val="single"/>
      <w:lang w:val="es-ES" w:eastAsia="es-ES"/>
    </w:rPr>
  </w:style>
  <w:style w:type="paragraph" w:customStyle="1" w:styleId="Bleu">
    <w:name w:val="Bleu"/>
    <w:basedOn w:val="Normal"/>
    <w:rsid w:val="002130D7"/>
    <w:rPr>
      <w:color w:val="0000FF"/>
      <w:lang w:eastAsia="es-ES"/>
    </w:rPr>
  </w:style>
  <w:style w:type="paragraph" w:customStyle="1" w:styleId="NewSpanish">
    <w:name w:val="NewSpanish"/>
    <w:basedOn w:val="Normal"/>
    <w:rsid w:val="002130D7"/>
    <w:pPr>
      <w:tabs>
        <w:tab w:val="left" w:pos="720"/>
        <w:tab w:val="left" w:pos="1800"/>
        <w:tab w:val="left" w:pos="9000"/>
        <w:tab w:val="left" w:pos="9900"/>
        <w:tab w:val="left" w:pos="11160"/>
        <w:tab w:val="left" w:pos="12240"/>
      </w:tabs>
      <w:ind w:right="-1152"/>
    </w:pPr>
    <w:rPr>
      <w:rFonts w:cs="Courier New"/>
      <w:color w:val="800080"/>
      <w:sz w:val="20"/>
      <w:lang w:eastAsia="es-ES"/>
    </w:rPr>
  </w:style>
  <w:style w:type="paragraph" w:customStyle="1" w:styleId="CharCharCharChar">
    <w:name w:val="Char Char Char Char"/>
    <w:basedOn w:val="Normal"/>
    <w:rsid w:val="002130D7"/>
    <w:pPr>
      <w:spacing w:after="160" w:line="240" w:lineRule="exact"/>
    </w:pPr>
    <w:rPr>
      <w:rFonts w:ascii="Verdana" w:hAnsi="Verdana" w:cs="Times New Roman"/>
      <w:sz w:val="20"/>
      <w:lang w:eastAsia="es-ES"/>
    </w:rPr>
  </w:style>
  <w:style w:type="paragraph" w:customStyle="1" w:styleId="CarCar">
    <w:name w:val="Car Car"/>
    <w:basedOn w:val="Normal"/>
    <w:rsid w:val="002130D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llowedHyperlink">
    <w:name w:val="FollowedHyperlink"/>
    <w:rsid w:val="002130D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F3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3144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Heading2Char">
    <w:name w:val="Heading 2 Char"/>
    <w:basedOn w:val="DefaultParagraphFont"/>
    <w:link w:val="Heading2"/>
    <w:rsid w:val="005352F3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customStyle="1" w:styleId="ONUMFSChar">
    <w:name w:val="ONUM FS Char"/>
    <w:basedOn w:val="BodyTextChar"/>
    <w:link w:val="ONUMFS"/>
    <w:rsid w:val="005D630E"/>
    <w:rPr>
      <w:rFonts w:ascii="Arial" w:eastAsia="SimSun" w:hAnsi="Arial" w:cs="Arial"/>
      <w:sz w:val="22"/>
      <w:lang w:val="es-E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locked/>
    <w:rsid w:val="002130D7"/>
    <w:rPr>
      <w:rFonts w:ascii="Arial" w:eastAsia="SimSun" w:hAnsi="Arial" w:cs="Arial"/>
      <w:bCs/>
      <w:sz w:val="22"/>
      <w:szCs w:val="26"/>
      <w:u w:val="single"/>
      <w:lang w:val="es-ES" w:eastAsia="zh-CN" w:bidi="ar-SA"/>
    </w:rPr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character" w:customStyle="1" w:styleId="BodyTextChar">
    <w:name w:val="Body Text Char"/>
    <w:link w:val="BodyText"/>
    <w:semiHidden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character" w:customStyle="1" w:styleId="CommentTextChar">
    <w:name w:val="Comment Text Char"/>
    <w:link w:val="CommentText"/>
    <w:semiHidden/>
    <w:locked/>
    <w:rsid w:val="00611363"/>
    <w:rPr>
      <w:rFonts w:ascii="Arial" w:eastAsia="SimSun" w:hAnsi="Arial" w:cs="Arial"/>
      <w:sz w:val="18"/>
      <w:lang w:val="es-ES" w:eastAsia="zh-CN" w:bidi="ar-SA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 ak"/>
    <w:basedOn w:val="Normal"/>
    <w:link w:val="FootnoteTextChar"/>
    <w:rsid w:val="00A32C9E"/>
    <w:rPr>
      <w:sz w:val="18"/>
    </w:rPr>
  </w:style>
  <w:style w:type="character" w:customStyle="1" w:styleId="FootnoteTextChar">
    <w:name w:val="Footnote Text Char"/>
    <w:aliases w:val="Footnote ak Char"/>
    <w:link w:val="FootnoteText"/>
    <w:rsid w:val="00611363"/>
    <w:rPr>
      <w:rFonts w:ascii="Arial" w:eastAsia="SimSun" w:hAnsi="Arial" w:cs="Arial"/>
      <w:sz w:val="18"/>
      <w:lang w:val="es-ES" w:eastAsia="zh-CN" w:bidi="ar-SA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Endofdocument">
    <w:name w:val="End of document"/>
    <w:basedOn w:val="Normal"/>
    <w:rsid w:val="00611363"/>
    <w:pPr>
      <w:spacing w:after="120" w:line="260" w:lineRule="atLeast"/>
      <w:ind w:left="5534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Header">
    <w:name w:val="header"/>
    <w:basedOn w:val="Normal"/>
    <w:link w:val="HeaderChar"/>
    <w:rsid w:val="00A32C9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semiHidden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character" w:customStyle="1" w:styleId="ONUMEChar">
    <w:name w:val="ONUM E Char"/>
    <w:link w:val="ONUME"/>
    <w:rsid w:val="002130D7"/>
    <w:rPr>
      <w:rFonts w:ascii="Arial" w:eastAsia="SimSun" w:hAnsi="Arial" w:cs="Arial"/>
      <w:sz w:val="22"/>
      <w:lang w:val="es-ES" w:eastAsia="zh-CN" w:bidi="ar-SA"/>
    </w:rPr>
  </w:style>
  <w:style w:type="paragraph" w:customStyle="1" w:styleId="ONUMFS">
    <w:name w:val="ONUM FS"/>
    <w:basedOn w:val="BodyText"/>
    <w:link w:val="ONUMFSChar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NormalWeb">
    <w:name w:val="Normal (Web)"/>
    <w:basedOn w:val="Normal"/>
    <w:rsid w:val="006113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har">
    <w:name w:val="Char 字元 字元"/>
    <w:basedOn w:val="Normal"/>
    <w:rsid w:val="00611363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character" w:styleId="FootnoteReference">
    <w:name w:val="footnote reference"/>
    <w:semiHidden/>
    <w:rsid w:val="00611363"/>
    <w:rPr>
      <w:vertAlign w:val="superscript"/>
    </w:rPr>
  </w:style>
  <w:style w:type="character" w:styleId="PageNumber">
    <w:name w:val="page number"/>
    <w:basedOn w:val="DefaultParagraphFont"/>
    <w:rsid w:val="00611363"/>
  </w:style>
  <w:style w:type="paragraph" w:styleId="BodyText2">
    <w:name w:val="Body Text 2"/>
    <w:basedOn w:val="Normal"/>
    <w:link w:val="BodyText2Char"/>
    <w:rsid w:val="00611363"/>
    <w:pPr>
      <w:spacing w:after="120" w:line="480" w:lineRule="auto"/>
      <w:ind w:left="1021"/>
    </w:pPr>
    <w:rPr>
      <w:rFonts w:eastAsia="Times New Roman" w:cs="Times New Roman"/>
      <w:sz w:val="20"/>
      <w:lang w:val="en-US" w:eastAsia="en-US"/>
    </w:rPr>
  </w:style>
  <w:style w:type="character" w:customStyle="1" w:styleId="BodyText2Char">
    <w:name w:val="Body Text 2 Char"/>
    <w:link w:val="BodyText2"/>
    <w:semiHidden/>
    <w:locked/>
    <w:rsid w:val="00611363"/>
    <w:rPr>
      <w:rFonts w:ascii="Arial" w:hAnsi="Arial"/>
      <w:lang w:val="en-US" w:eastAsia="en-US" w:bidi="ar-SA"/>
    </w:rPr>
  </w:style>
  <w:style w:type="character" w:styleId="CommentReference">
    <w:name w:val="annotation reference"/>
    <w:semiHidden/>
    <w:rsid w:val="00611363"/>
    <w:rPr>
      <w:sz w:val="16"/>
      <w:szCs w:val="16"/>
    </w:rPr>
  </w:style>
  <w:style w:type="paragraph" w:customStyle="1" w:styleId="DecisionInvitingPara">
    <w:name w:val="Decision Inviting Para."/>
    <w:basedOn w:val="Normal"/>
    <w:rsid w:val="00611363"/>
    <w:pPr>
      <w:ind w:left="5534"/>
    </w:pPr>
    <w:rPr>
      <w:i/>
      <w:lang w:val="en-US"/>
    </w:rPr>
  </w:style>
  <w:style w:type="character" w:styleId="Hyperlink">
    <w:name w:val="Hyperlink"/>
    <w:rsid w:val="002130D7"/>
    <w:rPr>
      <w:color w:val="0000FF"/>
      <w:u w:val="single"/>
      <w:lang w:val="es-ES" w:eastAsia="es-ES"/>
    </w:rPr>
  </w:style>
  <w:style w:type="paragraph" w:customStyle="1" w:styleId="Bleu">
    <w:name w:val="Bleu"/>
    <w:basedOn w:val="Normal"/>
    <w:rsid w:val="002130D7"/>
    <w:rPr>
      <w:color w:val="0000FF"/>
      <w:lang w:eastAsia="es-ES"/>
    </w:rPr>
  </w:style>
  <w:style w:type="paragraph" w:customStyle="1" w:styleId="NewSpanish">
    <w:name w:val="NewSpanish"/>
    <w:basedOn w:val="Normal"/>
    <w:rsid w:val="002130D7"/>
    <w:pPr>
      <w:tabs>
        <w:tab w:val="left" w:pos="720"/>
        <w:tab w:val="left" w:pos="1800"/>
        <w:tab w:val="left" w:pos="9000"/>
        <w:tab w:val="left" w:pos="9900"/>
        <w:tab w:val="left" w:pos="11160"/>
        <w:tab w:val="left" w:pos="12240"/>
      </w:tabs>
      <w:ind w:right="-1152"/>
    </w:pPr>
    <w:rPr>
      <w:rFonts w:cs="Courier New"/>
      <w:color w:val="800080"/>
      <w:sz w:val="20"/>
      <w:lang w:eastAsia="es-ES"/>
    </w:rPr>
  </w:style>
  <w:style w:type="paragraph" w:customStyle="1" w:styleId="CharCharCharChar">
    <w:name w:val="Char Char Char Char"/>
    <w:basedOn w:val="Normal"/>
    <w:rsid w:val="002130D7"/>
    <w:pPr>
      <w:spacing w:after="160" w:line="240" w:lineRule="exact"/>
    </w:pPr>
    <w:rPr>
      <w:rFonts w:ascii="Verdana" w:hAnsi="Verdana" w:cs="Times New Roman"/>
      <w:sz w:val="20"/>
      <w:lang w:eastAsia="es-ES"/>
    </w:rPr>
  </w:style>
  <w:style w:type="paragraph" w:customStyle="1" w:styleId="CarCar">
    <w:name w:val="Car Car"/>
    <w:basedOn w:val="Normal"/>
    <w:rsid w:val="002130D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llowedHyperlink">
    <w:name w:val="FollowedHyperlink"/>
    <w:rsid w:val="002130D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F3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3144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Heading2Char">
    <w:name w:val="Heading 2 Char"/>
    <w:basedOn w:val="DefaultParagraphFont"/>
    <w:link w:val="Heading2"/>
    <w:rsid w:val="005352F3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customStyle="1" w:styleId="ONUMFSChar">
    <w:name w:val="ONUM FS Char"/>
    <w:basedOn w:val="BodyTextChar"/>
    <w:link w:val="ONUMFS"/>
    <w:rsid w:val="005D630E"/>
    <w:rPr>
      <w:rFonts w:ascii="Arial" w:eastAsia="SimSun" w:hAnsi="Arial" w:cs="Arial"/>
      <w:sz w:val="22"/>
      <w:lang w:val="es-E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ipo.int/tk/en/igc/ngo/ngopapers.htm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grtkf@wipo.in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308A1-036F-4C1E-9A6B-672AD352A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622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WIPO/GRTKF/IC/24/INF/8</vt:lpstr>
    </vt:vector>
  </TitlesOfParts>
  <Company>WIPO</Company>
  <LinksUpToDate>false</LinksUpToDate>
  <CharactersWithSpaces>4151</CharactersWithSpaces>
  <SharedDoc>false</SharedDoc>
  <HLinks>
    <vt:vector size="42" baseType="variant">
      <vt:variant>
        <vt:i4>1507442</vt:i4>
      </vt:variant>
      <vt:variant>
        <vt:i4>9</vt:i4>
      </vt:variant>
      <vt:variant>
        <vt:i4>0</vt:i4>
      </vt:variant>
      <vt:variant>
        <vt:i4>5</vt:i4>
      </vt:variant>
      <vt:variant>
        <vt:lpwstr>http://www.wipo.int/tk/es/ngoparticipation/voluntary_fund/index.html</vt:lpwstr>
      </vt:variant>
      <vt:variant>
        <vt:lpwstr/>
      </vt:variant>
      <vt:variant>
        <vt:i4>6488101</vt:i4>
      </vt:variant>
      <vt:variant>
        <vt:i4>6</vt:i4>
      </vt:variant>
      <vt:variant>
        <vt:i4>0</vt:i4>
      </vt:variant>
      <vt:variant>
        <vt:i4>5</vt:i4>
      </vt:variant>
      <vt:variant>
        <vt:lpwstr>http://www.wipo.int/freepublications/es/tk/936/wipo_pub_936.pdf</vt:lpwstr>
      </vt:variant>
      <vt:variant>
        <vt:lpwstr/>
      </vt:variant>
      <vt:variant>
        <vt:i4>7536761</vt:i4>
      </vt:variant>
      <vt:variant>
        <vt:i4>3</vt:i4>
      </vt:variant>
      <vt:variant>
        <vt:i4>0</vt:i4>
      </vt:variant>
      <vt:variant>
        <vt:i4>5</vt:i4>
      </vt:variant>
      <vt:variant>
        <vt:lpwstr>http://www.wipo.int/export/sites/www/tk/es/ngoparticipation/voluntary_fund/amended_rules.doc</vt:lpwstr>
      </vt:variant>
      <vt:variant>
        <vt:lpwstr/>
      </vt:variant>
      <vt:variant>
        <vt:i4>1507442</vt:i4>
      </vt:variant>
      <vt:variant>
        <vt:i4>0</vt:i4>
      </vt:variant>
      <vt:variant>
        <vt:i4>0</vt:i4>
      </vt:variant>
      <vt:variant>
        <vt:i4>5</vt:i4>
      </vt:variant>
      <vt:variant>
        <vt:lpwstr>http://www.wipo.int/tk/es/ngoparticipation/voluntary_fund/index.html</vt:lpwstr>
      </vt:variant>
      <vt:variant>
        <vt:lpwstr/>
      </vt:variant>
      <vt:variant>
        <vt:i4>7667744</vt:i4>
      </vt:variant>
      <vt:variant>
        <vt:i4>6</vt:i4>
      </vt:variant>
      <vt:variant>
        <vt:i4>0</vt:i4>
      </vt:variant>
      <vt:variant>
        <vt:i4>5</vt:i4>
      </vt:variant>
      <vt:variant>
        <vt:lpwstr>http://www.wipo.int/edocs/mdocs/tk/es/wipo_grtkf_ic_22/wipo_grtkf_ic_22_inf_7.doc</vt:lpwstr>
      </vt:variant>
      <vt:variant>
        <vt:lpwstr/>
      </vt:variant>
      <vt:variant>
        <vt:i4>7667746</vt:i4>
      </vt:variant>
      <vt:variant>
        <vt:i4>3</vt:i4>
      </vt:variant>
      <vt:variant>
        <vt:i4>0</vt:i4>
      </vt:variant>
      <vt:variant>
        <vt:i4>5</vt:i4>
      </vt:variant>
      <vt:variant>
        <vt:lpwstr>http://www.wipo.int/edocs/mdocs/tk/es/wipo_grtkf_ic_22/wipo_grtkf_ic_22_inf_5.doc</vt:lpwstr>
      </vt:variant>
      <vt:variant>
        <vt:lpwstr/>
      </vt:variant>
      <vt:variant>
        <vt:i4>7209081</vt:i4>
      </vt:variant>
      <vt:variant>
        <vt:i4>0</vt:i4>
      </vt:variant>
      <vt:variant>
        <vt:i4>0</vt:i4>
      </vt:variant>
      <vt:variant>
        <vt:i4>5</vt:i4>
      </vt:variant>
      <vt:variant>
        <vt:lpwstr>http://www.wipo.int/export/sites/www/tk/en/ngoparticipation/voluntary_fund/amended_rules.doc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WIPO/GRTKF/IC/24/INF/8</dc:title>
  <dc:subject>Recursos disponibles en las páginas del sitio web de la OMPI dedicadas a los conocimientos tradicionales, las expresiones culturales tradicionales y los recursos genéticos</dc:subject>
  <dc:creator>DIAZ DE ATAURI MATAMALA Inés</dc:creator>
  <dc:description>ID/nc_x000d_
21.03.2013_x000d_
</dc:description>
  <cp:lastModifiedBy>CEVALLOS DUQUE Nilo</cp:lastModifiedBy>
  <cp:revision>9</cp:revision>
  <cp:lastPrinted>2013-03-21T10:36:00Z</cp:lastPrinted>
  <dcterms:created xsi:type="dcterms:W3CDTF">2013-03-21T10:29:00Z</dcterms:created>
  <dcterms:modified xsi:type="dcterms:W3CDTF">2013-03-21T10:44:00Z</dcterms:modified>
</cp:coreProperties>
</file>