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4B2459" w:rsidTr="00A7453D">
        <w:tc>
          <w:tcPr>
            <w:tcW w:w="4513" w:type="dxa"/>
            <w:tcBorders>
              <w:bottom w:val="single" w:sz="4" w:space="0" w:color="auto"/>
            </w:tcBorders>
            <w:tcMar>
              <w:bottom w:w="170" w:type="dxa"/>
            </w:tcMar>
          </w:tcPr>
          <w:p w:rsidR="00E504E5" w:rsidRPr="004B2459"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4B2459" w:rsidRDefault="00A83CA1" w:rsidP="00AB613D">
            <w:pPr>
              <w:rPr>
                <w:lang w:val="es-ES_tradnl"/>
              </w:rPr>
            </w:pPr>
            <w:r w:rsidRPr="004B2459">
              <w:rPr>
                <w:noProof/>
                <w:lang w:val="en-US" w:eastAsia="en-US"/>
              </w:rPr>
              <w:drawing>
                <wp:inline distT="0" distB="0" distL="0" distR="0" wp14:anchorId="0E7F2D76" wp14:editId="3FFFBF6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B2459" w:rsidRDefault="00E504E5" w:rsidP="00AB613D">
            <w:pPr>
              <w:jc w:val="right"/>
              <w:rPr>
                <w:lang w:val="es-ES_tradnl"/>
              </w:rPr>
            </w:pPr>
            <w:r w:rsidRPr="004B2459">
              <w:rPr>
                <w:b/>
                <w:sz w:val="40"/>
                <w:szCs w:val="40"/>
                <w:lang w:val="es-ES_tradnl"/>
              </w:rPr>
              <w:t>S</w:t>
            </w:r>
          </w:p>
        </w:tc>
      </w:tr>
      <w:tr w:rsidR="008B2CC1" w:rsidRPr="004B2459"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4B2459" w:rsidRDefault="008B2CC1" w:rsidP="00AB613D">
            <w:pPr>
              <w:jc w:val="right"/>
              <w:rPr>
                <w:rFonts w:ascii="Arial Black" w:hAnsi="Arial Black"/>
                <w:caps/>
                <w:sz w:val="15"/>
                <w:lang w:val="es-ES_tradnl"/>
              </w:rPr>
            </w:pPr>
            <w:bookmarkStart w:id="1" w:name="Code"/>
            <w:bookmarkEnd w:id="1"/>
            <w:r w:rsidRPr="004B2459">
              <w:rPr>
                <w:rFonts w:ascii="Arial Black" w:hAnsi="Arial Black"/>
                <w:caps/>
                <w:sz w:val="15"/>
                <w:lang w:val="es-ES_tradnl"/>
              </w:rPr>
              <w:t xml:space="preserve">   </w:t>
            </w:r>
          </w:p>
        </w:tc>
      </w:tr>
      <w:tr w:rsidR="008B2CC1" w:rsidRPr="004B2459" w:rsidTr="00AB613D">
        <w:trPr>
          <w:trHeight w:hRule="exact" w:val="170"/>
        </w:trPr>
        <w:tc>
          <w:tcPr>
            <w:tcW w:w="9356" w:type="dxa"/>
            <w:gridSpan w:val="3"/>
            <w:noWrap/>
            <w:tcMar>
              <w:left w:w="0" w:type="dxa"/>
              <w:right w:w="0" w:type="dxa"/>
            </w:tcMar>
            <w:vAlign w:val="bottom"/>
          </w:tcPr>
          <w:p w:rsidR="007F08AA" w:rsidRPr="004B2459" w:rsidRDefault="007F08AA" w:rsidP="00AB613D">
            <w:pPr>
              <w:jc w:val="right"/>
              <w:rPr>
                <w:rFonts w:ascii="Arial Black" w:hAnsi="Arial Black"/>
                <w:caps/>
                <w:sz w:val="15"/>
                <w:lang w:val="es-ES_tradnl"/>
              </w:rPr>
            </w:pPr>
            <w:r w:rsidRPr="004B2459">
              <w:rPr>
                <w:rFonts w:ascii="Arial Black" w:hAnsi="Arial Black"/>
                <w:caps/>
                <w:sz w:val="15"/>
                <w:lang w:val="es-ES_tradnl"/>
              </w:rPr>
              <w:t>wipo/grtkf/IC/26/INF/7</w:t>
            </w:r>
          </w:p>
          <w:p w:rsidR="008B2CC1" w:rsidRPr="004B2459" w:rsidRDefault="008B2CC1" w:rsidP="00AB613D">
            <w:pPr>
              <w:jc w:val="right"/>
              <w:rPr>
                <w:rFonts w:ascii="Arial Black" w:hAnsi="Arial Black"/>
                <w:caps/>
                <w:sz w:val="15"/>
                <w:lang w:val="es-ES_tradnl"/>
              </w:rPr>
            </w:pPr>
            <w:r w:rsidRPr="004B2459">
              <w:rPr>
                <w:rFonts w:ascii="Arial Black" w:hAnsi="Arial Black"/>
                <w:caps/>
                <w:sz w:val="15"/>
                <w:lang w:val="es-ES_tradnl"/>
              </w:rPr>
              <w:t>ORIGINAL:</w:t>
            </w:r>
            <w:r w:rsidR="00F84474" w:rsidRPr="004B2459">
              <w:rPr>
                <w:rFonts w:ascii="Arial Black" w:hAnsi="Arial Black"/>
                <w:caps/>
                <w:sz w:val="15"/>
                <w:lang w:val="es-ES_tradnl"/>
              </w:rPr>
              <w:t xml:space="preserve"> </w:t>
            </w:r>
            <w:r w:rsidRPr="004B2459">
              <w:rPr>
                <w:rFonts w:ascii="Arial Black" w:hAnsi="Arial Black"/>
                <w:caps/>
                <w:sz w:val="15"/>
                <w:lang w:val="es-ES_tradnl"/>
              </w:rPr>
              <w:t xml:space="preserve"> </w:t>
            </w:r>
            <w:bookmarkStart w:id="2" w:name="Original"/>
            <w:bookmarkEnd w:id="2"/>
          </w:p>
        </w:tc>
      </w:tr>
      <w:tr w:rsidR="007F08AA" w:rsidRPr="004B2459" w:rsidTr="00AB613D">
        <w:trPr>
          <w:trHeight w:hRule="exact" w:val="170"/>
        </w:trPr>
        <w:tc>
          <w:tcPr>
            <w:tcW w:w="9356" w:type="dxa"/>
            <w:gridSpan w:val="3"/>
            <w:noWrap/>
            <w:tcMar>
              <w:left w:w="0" w:type="dxa"/>
              <w:right w:w="0" w:type="dxa"/>
            </w:tcMar>
            <w:vAlign w:val="bottom"/>
          </w:tcPr>
          <w:p w:rsidR="007F08AA" w:rsidRPr="004B2459" w:rsidRDefault="007F08AA" w:rsidP="00AB613D">
            <w:pPr>
              <w:jc w:val="right"/>
              <w:rPr>
                <w:rFonts w:ascii="Arial Black" w:hAnsi="Arial Black"/>
                <w:caps/>
                <w:sz w:val="15"/>
                <w:lang w:val="es-ES_tradnl"/>
              </w:rPr>
            </w:pPr>
            <w:r w:rsidRPr="004B2459">
              <w:rPr>
                <w:rFonts w:ascii="Arial Black" w:hAnsi="Arial Black"/>
                <w:caps/>
                <w:sz w:val="15"/>
                <w:lang w:val="es-ES_tradnl"/>
              </w:rPr>
              <w:t>ORIGINAL:  INGLÉS</w:t>
            </w:r>
          </w:p>
        </w:tc>
      </w:tr>
      <w:tr w:rsidR="008B2CC1" w:rsidRPr="004B2459" w:rsidTr="00AB613D">
        <w:trPr>
          <w:trHeight w:hRule="exact" w:val="198"/>
        </w:trPr>
        <w:tc>
          <w:tcPr>
            <w:tcW w:w="9356" w:type="dxa"/>
            <w:gridSpan w:val="3"/>
            <w:tcMar>
              <w:left w:w="0" w:type="dxa"/>
              <w:right w:w="0" w:type="dxa"/>
            </w:tcMar>
            <w:vAlign w:val="bottom"/>
          </w:tcPr>
          <w:p w:rsidR="008B2CC1" w:rsidRPr="004B2459" w:rsidRDefault="00675021" w:rsidP="00AB613D">
            <w:pPr>
              <w:jc w:val="right"/>
              <w:rPr>
                <w:rFonts w:ascii="Arial Black" w:hAnsi="Arial Black"/>
                <w:caps/>
                <w:sz w:val="15"/>
                <w:lang w:val="es-ES_tradnl"/>
              </w:rPr>
            </w:pPr>
            <w:r w:rsidRPr="004B2459">
              <w:rPr>
                <w:rFonts w:ascii="Arial Black" w:hAnsi="Arial Black"/>
                <w:caps/>
                <w:sz w:val="15"/>
                <w:lang w:val="es-ES_tradnl"/>
              </w:rPr>
              <w:t>fecha</w:t>
            </w:r>
            <w:r w:rsidR="008B2CC1" w:rsidRPr="004B2459">
              <w:rPr>
                <w:rFonts w:ascii="Arial Black" w:hAnsi="Arial Black"/>
                <w:caps/>
                <w:sz w:val="15"/>
                <w:lang w:val="es-ES_tradnl"/>
              </w:rPr>
              <w:t>:</w:t>
            </w:r>
            <w:r w:rsidR="007F08AA" w:rsidRPr="004B2459">
              <w:rPr>
                <w:rFonts w:ascii="Arial Black" w:hAnsi="Arial Black"/>
                <w:caps/>
                <w:sz w:val="15"/>
                <w:lang w:val="es-ES_tradnl"/>
              </w:rPr>
              <w:t xml:space="preserve">  5 de diciembre de 2013</w:t>
            </w:r>
            <w:r w:rsidR="00F84474" w:rsidRPr="004B2459">
              <w:rPr>
                <w:rFonts w:ascii="Arial Black" w:hAnsi="Arial Black"/>
                <w:caps/>
                <w:sz w:val="15"/>
                <w:lang w:val="es-ES_tradnl"/>
              </w:rPr>
              <w:t xml:space="preserve"> </w:t>
            </w:r>
            <w:r w:rsidR="008B2CC1" w:rsidRPr="004B2459">
              <w:rPr>
                <w:rFonts w:ascii="Arial Black" w:hAnsi="Arial Black"/>
                <w:caps/>
                <w:sz w:val="15"/>
                <w:lang w:val="es-ES_tradnl"/>
              </w:rPr>
              <w:t xml:space="preserve"> </w:t>
            </w:r>
            <w:bookmarkStart w:id="3" w:name="Date"/>
            <w:bookmarkEnd w:id="3"/>
          </w:p>
        </w:tc>
      </w:tr>
    </w:tbl>
    <w:p w:rsidR="008B2CC1" w:rsidRPr="004B2459" w:rsidRDefault="008B2CC1" w:rsidP="008B2CC1">
      <w:pPr>
        <w:rPr>
          <w:lang w:val="es-ES_tradnl"/>
        </w:rPr>
      </w:pPr>
    </w:p>
    <w:p w:rsidR="008B2CC1" w:rsidRPr="004B2459" w:rsidRDefault="008B2CC1" w:rsidP="008B2CC1">
      <w:pPr>
        <w:rPr>
          <w:lang w:val="es-ES_tradnl"/>
        </w:rPr>
      </w:pPr>
    </w:p>
    <w:p w:rsidR="008B2CC1" w:rsidRPr="004B2459" w:rsidRDefault="008B2CC1" w:rsidP="008B2CC1">
      <w:pPr>
        <w:rPr>
          <w:lang w:val="es-ES_tradnl"/>
        </w:rPr>
      </w:pPr>
    </w:p>
    <w:p w:rsidR="008B2CC1" w:rsidRPr="004B2459" w:rsidRDefault="008B2CC1" w:rsidP="008B2CC1">
      <w:pPr>
        <w:rPr>
          <w:lang w:val="es-ES_tradnl"/>
        </w:rPr>
      </w:pPr>
    </w:p>
    <w:p w:rsidR="008B2CC1" w:rsidRPr="004B2459" w:rsidRDefault="008B2CC1" w:rsidP="008B2CC1">
      <w:pPr>
        <w:rPr>
          <w:lang w:val="es-ES_tradnl"/>
        </w:rPr>
      </w:pPr>
    </w:p>
    <w:p w:rsidR="007F08AA" w:rsidRPr="004B2459" w:rsidRDefault="007F08AA" w:rsidP="007F08AA">
      <w:pPr>
        <w:rPr>
          <w:b/>
          <w:sz w:val="28"/>
          <w:szCs w:val="28"/>
          <w:lang w:val="es-ES_tradnl"/>
        </w:rPr>
      </w:pPr>
      <w:r w:rsidRPr="004B2459">
        <w:rPr>
          <w:b/>
          <w:sz w:val="28"/>
          <w:szCs w:val="28"/>
          <w:lang w:val="es-ES_tradnl"/>
        </w:rPr>
        <w:t>Comité Intergubernamental sobre Propiedad Intelectual y Recursos Genéticos, Conocimientos Tradicionales y Folclore</w:t>
      </w:r>
    </w:p>
    <w:p w:rsidR="007F08AA" w:rsidRPr="004B2459" w:rsidRDefault="007F08AA" w:rsidP="007F08AA">
      <w:pPr>
        <w:rPr>
          <w:lang w:val="es-ES_tradnl"/>
        </w:rPr>
      </w:pPr>
    </w:p>
    <w:p w:rsidR="007F08AA" w:rsidRPr="004B2459" w:rsidRDefault="007F08AA" w:rsidP="007F08AA">
      <w:pPr>
        <w:rPr>
          <w:lang w:val="es-ES_tradnl"/>
        </w:rPr>
      </w:pPr>
    </w:p>
    <w:p w:rsidR="007F08AA" w:rsidRPr="004B2459" w:rsidRDefault="007F08AA" w:rsidP="007F08AA">
      <w:pPr>
        <w:rPr>
          <w:b/>
          <w:sz w:val="24"/>
          <w:szCs w:val="24"/>
          <w:lang w:val="es-ES_tradnl"/>
        </w:rPr>
      </w:pPr>
      <w:r w:rsidRPr="004B2459">
        <w:rPr>
          <w:b/>
          <w:sz w:val="24"/>
          <w:szCs w:val="24"/>
          <w:lang w:val="es-ES_tradnl"/>
        </w:rPr>
        <w:t>Vigésima sexta sesión</w:t>
      </w:r>
    </w:p>
    <w:p w:rsidR="007F08AA" w:rsidRPr="004B2459" w:rsidRDefault="007F08AA" w:rsidP="007F08AA">
      <w:pPr>
        <w:rPr>
          <w:b/>
          <w:sz w:val="24"/>
          <w:szCs w:val="24"/>
          <w:lang w:val="es-ES_tradnl"/>
        </w:rPr>
      </w:pPr>
      <w:r w:rsidRPr="004B2459">
        <w:rPr>
          <w:b/>
          <w:sz w:val="24"/>
          <w:szCs w:val="24"/>
          <w:lang w:val="es-ES_tradnl"/>
        </w:rPr>
        <w:t>Ginebra, 3 a 7 de febrero de 2014</w:t>
      </w:r>
    </w:p>
    <w:p w:rsidR="007F08AA" w:rsidRPr="004B2459" w:rsidRDefault="007F08AA" w:rsidP="007F08AA">
      <w:pPr>
        <w:rPr>
          <w:caps/>
          <w:sz w:val="24"/>
          <w:lang w:val="es-ES_tradnl"/>
        </w:rPr>
      </w:pPr>
    </w:p>
    <w:p w:rsidR="007F08AA" w:rsidRPr="004B2459" w:rsidRDefault="007F08AA" w:rsidP="007F08AA">
      <w:pPr>
        <w:rPr>
          <w:szCs w:val="22"/>
          <w:lang w:val="es-ES_tradnl"/>
        </w:rPr>
      </w:pPr>
    </w:p>
    <w:p w:rsidR="007F08AA" w:rsidRPr="004B2459" w:rsidRDefault="007F08AA" w:rsidP="007F08AA">
      <w:pPr>
        <w:rPr>
          <w:szCs w:val="22"/>
          <w:lang w:val="es-ES_tradnl"/>
        </w:rPr>
      </w:pPr>
    </w:p>
    <w:p w:rsidR="007F08AA" w:rsidRPr="004B2459" w:rsidRDefault="007F08AA" w:rsidP="007F08AA">
      <w:pPr>
        <w:rPr>
          <w:caps/>
          <w:szCs w:val="22"/>
          <w:lang w:val="es-ES_tradnl"/>
        </w:rPr>
      </w:pPr>
      <w:r w:rsidRPr="004B2459">
        <w:rPr>
          <w:szCs w:val="22"/>
          <w:lang w:val="es-ES_tradnl"/>
        </w:rPr>
        <w:t>INFORME SOBRE LA EJECUCIÓN DE LAS ACTIVIDADES DE LA CATEGORÍA C (“OPCIONES RELATIVAS A LAS CONDICIONES MUTUAMENTE CONVENIDAS EN ARAS DE UNA PARTICIPACIÓN JUSTA Y EQUITATIVA EN LOS BENEFICIOS”)</w:t>
      </w:r>
    </w:p>
    <w:p w:rsidR="007F08AA" w:rsidRPr="004B2459" w:rsidRDefault="007F08AA" w:rsidP="007F08AA">
      <w:pPr>
        <w:rPr>
          <w:szCs w:val="22"/>
          <w:lang w:val="es-ES_tradnl"/>
        </w:rPr>
      </w:pPr>
    </w:p>
    <w:p w:rsidR="007F08AA" w:rsidRPr="004B2459" w:rsidRDefault="007F08AA" w:rsidP="007F08AA">
      <w:pPr>
        <w:rPr>
          <w:i/>
          <w:szCs w:val="22"/>
          <w:lang w:val="es-ES_tradnl"/>
        </w:rPr>
      </w:pPr>
      <w:bookmarkStart w:id="4" w:name="Prepared"/>
      <w:bookmarkEnd w:id="4"/>
      <w:r w:rsidRPr="004B2459">
        <w:rPr>
          <w:i/>
          <w:szCs w:val="22"/>
          <w:lang w:val="es-ES_tradnl"/>
        </w:rPr>
        <w:t>Documento preparado por la Secretaría</w:t>
      </w:r>
    </w:p>
    <w:p w:rsidR="007F08AA" w:rsidRPr="004B2459" w:rsidRDefault="007F08AA" w:rsidP="007F08AA">
      <w:pPr>
        <w:rPr>
          <w:szCs w:val="22"/>
          <w:lang w:val="es-ES_tradnl"/>
        </w:rPr>
      </w:pPr>
    </w:p>
    <w:p w:rsidR="007F08AA" w:rsidRPr="004B2459" w:rsidRDefault="007F08AA" w:rsidP="007F08AA">
      <w:pPr>
        <w:rPr>
          <w:szCs w:val="22"/>
          <w:lang w:val="es-ES_tradnl"/>
        </w:rPr>
      </w:pPr>
    </w:p>
    <w:p w:rsidR="007F08AA" w:rsidRPr="004B2459" w:rsidRDefault="007F08AA" w:rsidP="007F08AA">
      <w:pPr>
        <w:rPr>
          <w:szCs w:val="22"/>
          <w:lang w:val="es-ES_tradnl"/>
        </w:rPr>
      </w:pPr>
    </w:p>
    <w:p w:rsidR="007F08AA" w:rsidRPr="004B2459" w:rsidRDefault="007F08AA" w:rsidP="00FA7C71">
      <w:pPr>
        <w:rPr>
          <w:szCs w:val="22"/>
          <w:lang w:val="es-ES_tradnl"/>
        </w:rPr>
      </w:pPr>
    </w:p>
    <w:p w:rsidR="007F08AA" w:rsidRPr="004B2459" w:rsidRDefault="007F08AA" w:rsidP="00FA7C71">
      <w:pPr>
        <w:rPr>
          <w:szCs w:val="22"/>
          <w:lang w:val="es-ES_tradnl"/>
        </w:rPr>
      </w:pPr>
      <w:r w:rsidRPr="004B2459">
        <w:rPr>
          <w:szCs w:val="22"/>
          <w:lang w:val="es-ES_tradnl"/>
        </w:rPr>
        <w:fldChar w:fldCharType="begin"/>
      </w:r>
      <w:r w:rsidRPr="004B2459">
        <w:rPr>
          <w:szCs w:val="22"/>
          <w:lang w:val="es-ES_tradnl"/>
        </w:rPr>
        <w:instrText xml:space="preserve"> AUTONUM  </w:instrText>
      </w:r>
      <w:r w:rsidRPr="004B2459">
        <w:rPr>
          <w:szCs w:val="22"/>
          <w:lang w:val="es-ES_tradnl"/>
        </w:rPr>
        <w:fldChar w:fldCharType="end"/>
      </w:r>
      <w:r w:rsidRPr="004B2459">
        <w:rPr>
          <w:szCs w:val="22"/>
          <w:lang w:val="es-ES_tradnl"/>
        </w:rPr>
        <w:tab/>
        <w:t>En su decimonovena sesión, celebrada del 18 al 22 de julio de 2011, y en lo que respecta al documento WIPO/GRTKF/IC/19/7 (“Opciones para la labor futura en relación con la propiedad intelectual y los recursos genéticos”), el Comité Intergubernamental sobre Propiedad Intelectual y Recursos Genéticos, Conocimientos Tradicionales y Folclore (“el Comité”) “pidió a la Secretaría que finalizara y actualizara regularmente, según conviniera, las actividades de la Categoría C (“Opciones relativas a las condiciones mutuamente convenidas en aras de una participación justa y equitativa en los beneficios”) y que suministrara información a ese respecto en cada sesión del Comité”.</w:t>
      </w:r>
      <w:r w:rsidRPr="004B2459">
        <w:rPr>
          <w:szCs w:val="22"/>
          <w:vertAlign w:val="superscript"/>
          <w:lang w:val="es-ES_tradnl"/>
        </w:rPr>
        <w:footnoteReference w:id="2"/>
      </w:r>
    </w:p>
    <w:p w:rsidR="007F08AA" w:rsidRPr="004B2459" w:rsidRDefault="007F08AA" w:rsidP="00FA7C71">
      <w:pPr>
        <w:rPr>
          <w:szCs w:val="22"/>
          <w:lang w:val="es-ES_tradnl"/>
        </w:rPr>
      </w:pPr>
    </w:p>
    <w:p w:rsidR="007F08AA" w:rsidRPr="004B2459" w:rsidRDefault="007F08AA" w:rsidP="00FA7C71">
      <w:pPr>
        <w:rPr>
          <w:szCs w:val="22"/>
          <w:lang w:val="es-ES_tradnl"/>
        </w:rPr>
      </w:pPr>
      <w:r w:rsidRPr="004B2459">
        <w:rPr>
          <w:szCs w:val="22"/>
          <w:lang w:val="es-ES_tradnl"/>
        </w:rPr>
        <w:fldChar w:fldCharType="begin"/>
      </w:r>
      <w:r w:rsidRPr="004B2459">
        <w:rPr>
          <w:szCs w:val="22"/>
          <w:lang w:val="es-ES_tradnl"/>
        </w:rPr>
        <w:instrText xml:space="preserve"> AUTONUM  </w:instrText>
      </w:r>
      <w:r w:rsidRPr="004B2459">
        <w:rPr>
          <w:szCs w:val="22"/>
          <w:lang w:val="es-ES_tradnl"/>
        </w:rPr>
        <w:fldChar w:fldCharType="end"/>
      </w:r>
      <w:r w:rsidRPr="004B2459">
        <w:rPr>
          <w:szCs w:val="22"/>
          <w:lang w:val="es-ES_tradnl"/>
        </w:rPr>
        <w:tab/>
      </w:r>
      <w:r w:rsidR="00FA7C71" w:rsidRPr="004B2459">
        <w:rPr>
          <w:szCs w:val="22"/>
          <w:lang w:val="es-ES_tradnl"/>
        </w:rPr>
        <w:t xml:space="preserve">Para </w:t>
      </w:r>
      <w:r w:rsidRPr="004B2459">
        <w:rPr>
          <w:szCs w:val="22"/>
          <w:lang w:val="es-ES_tradnl"/>
        </w:rPr>
        <w:t xml:space="preserve">la vigésima sesión del Comité, celebrada del 14 al 22 de febrero de 2012, se preparó el correspondiente informe.  El documento WIPO/GRTKF/IC/20/INF/14 contiene información sobre cada una de las opciones de la Categoría C y describe las actividades emprendidas por la Secretaría hasta esa sesión.  Más adelante y con miras </w:t>
      </w:r>
      <w:r w:rsidR="004F732B" w:rsidRPr="004B2459">
        <w:rPr>
          <w:szCs w:val="22"/>
          <w:lang w:val="es-ES_tradnl"/>
        </w:rPr>
        <w:t xml:space="preserve">a </w:t>
      </w:r>
      <w:r w:rsidRPr="004B2459">
        <w:rPr>
          <w:szCs w:val="22"/>
          <w:lang w:val="es-ES_tradnl"/>
        </w:rPr>
        <w:t>la vigésima tercera sesión del Comité, celebrada del 4 al 8 de febrero de 2013, se preparó un informe sobre la puesta en práctica de l</w:t>
      </w:r>
      <w:r w:rsidR="00A0062F" w:rsidRPr="004B2459">
        <w:rPr>
          <w:szCs w:val="22"/>
          <w:lang w:val="es-ES_tradnl"/>
        </w:rPr>
        <w:t>a</w:t>
      </w:r>
      <w:r w:rsidRPr="004B2459">
        <w:rPr>
          <w:szCs w:val="22"/>
          <w:lang w:val="es-ES_tradnl"/>
        </w:rPr>
        <w:t xml:space="preserve">s actividades de la </w:t>
      </w:r>
      <w:r w:rsidR="00A0062F" w:rsidRPr="004B2459">
        <w:rPr>
          <w:szCs w:val="22"/>
          <w:lang w:val="es-ES_tradnl"/>
        </w:rPr>
        <w:t>Categoría</w:t>
      </w:r>
      <w:r w:rsidRPr="004B2459">
        <w:rPr>
          <w:szCs w:val="22"/>
          <w:lang w:val="es-ES_tradnl"/>
        </w:rPr>
        <w:t> C realizadas desde la vigésima sesión</w:t>
      </w:r>
      <w:r w:rsidR="00DB0CC4">
        <w:rPr>
          <w:szCs w:val="22"/>
          <w:lang w:val="es-ES_tradnl"/>
        </w:rPr>
        <w:t>, en el</w:t>
      </w:r>
      <w:r w:rsidRPr="004B2459">
        <w:rPr>
          <w:szCs w:val="22"/>
          <w:lang w:val="es-ES_tradnl"/>
        </w:rPr>
        <w:t xml:space="preserve"> </w:t>
      </w:r>
      <w:r w:rsidR="004F732B" w:rsidRPr="004B2459">
        <w:rPr>
          <w:szCs w:val="22"/>
          <w:lang w:val="es-ES_tradnl"/>
        </w:rPr>
        <w:t xml:space="preserve">que </w:t>
      </w:r>
      <w:r w:rsidRPr="004B2459">
        <w:rPr>
          <w:szCs w:val="22"/>
          <w:lang w:val="es-ES_tradnl"/>
        </w:rPr>
        <w:t>se ofrecía información actualizada con inclusión de referen</w:t>
      </w:r>
      <w:r w:rsidR="004F732B" w:rsidRPr="004B2459">
        <w:rPr>
          <w:szCs w:val="22"/>
          <w:lang w:val="es-ES_tradnl"/>
        </w:rPr>
        <w:t>cias a las respuestas recibidas</w:t>
      </w:r>
      <w:r w:rsidRPr="004B2459">
        <w:rPr>
          <w:szCs w:val="22"/>
          <w:lang w:val="es-ES_tradnl"/>
        </w:rPr>
        <w:t xml:space="preserve"> hasta el 14 de enero de 2013, al “Cuestionario sobre prácticas y </w:t>
      </w:r>
      <w:r w:rsidR="00FA7C71" w:rsidRPr="004B2459">
        <w:rPr>
          <w:szCs w:val="22"/>
          <w:lang w:val="es-ES_tradnl"/>
        </w:rPr>
        <w:t>cláusulas</w:t>
      </w:r>
      <w:r w:rsidRPr="004B2459">
        <w:rPr>
          <w:szCs w:val="22"/>
          <w:lang w:val="es-ES_tradnl"/>
        </w:rPr>
        <w:t xml:space="preserve"> </w:t>
      </w:r>
      <w:r w:rsidR="00FA7C71" w:rsidRPr="004B2459">
        <w:rPr>
          <w:szCs w:val="22"/>
          <w:lang w:val="es-ES_tradnl"/>
        </w:rPr>
        <w:t>contractuales</w:t>
      </w:r>
      <w:r w:rsidRPr="004B2459">
        <w:rPr>
          <w:szCs w:val="22"/>
          <w:lang w:val="es-ES_tradnl"/>
        </w:rPr>
        <w:t xml:space="preserve"> relativas a la propiedad intelectual, el acceso a los recursos genéticos y la participación en los </w:t>
      </w:r>
      <w:r w:rsidR="00A0062F" w:rsidRPr="004B2459">
        <w:rPr>
          <w:szCs w:val="22"/>
          <w:lang w:val="es-ES_tradnl"/>
        </w:rPr>
        <w:t>beneficios”</w:t>
      </w:r>
      <w:r w:rsidRPr="004B2459">
        <w:rPr>
          <w:szCs w:val="22"/>
          <w:lang w:val="es-ES_tradnl"/>
        </w:rPr>
        <w:t xml:space="preserve"> (WIPO/GRTKF/IC/Q.6), </w:t>
      </w:r>
      <w:r w:rsidR="00A0062F" w:rsidRPr="004B2459">
        <w:rPr>
          <w:szCs w:val="22"/>
          <w:lang w:val="es-ES_tradnl"/>
        </w:rPr>
        <w:t>distribuido el </w:t>
      </w:r>
      <w:r w:rsidRPr="004B2459">
        <w:rPr>
          <w:szCs w:val="22"/>
          <w:lang w:val="es-ES_tradnl"/>
        </w:rPr>
        <w:t>20</w:t>
      </w:r>
      <w:r w:rsidR="00A0062F" w:rsidRPr="004B2459">
        <w:rPr>
          <w:szCs w:val="22"/>
          <w:lang w:val="es-ES_tradnl"/>
        </w:rPr>
        <w:t xml:space="preserve"> de noviembre de </w:t>
      </w:r>
      <w:r w:rsidRPr="004B2459">
        <w:rPr>
          <w:szCs w:val="22"/>
          <w:lang w:val="es-ES_tradnl"/>
        </w:rPr>
        <w:t>2012.</w:t>
      </w:r>
    </w:p>
    <w:p w:rsidR="007F08AA" w:rsidRPr="004B2459" w:rsidRDefault="007F08AA" w:rsidP="00FA7C71">
      <w:pPr>
        <w:rPr>
          <w:szCs w:val="22"/>
          <w:lang w:val="es-ES_tradnl"/>
        </w:rPr>
      </w:pPr>
    </w:p>
    <w:p w:rsidR="007F08AA" w:rsidRPr="004B2459" w:rsidRDefault="007F08AA" w:rsidP="00FA7C71">
      <w:pPr>
        <w:rPr>
          <w:szCs w:val="22"/>
          <w:lang w:val="es-ES_tradnl"/>
        </w:rPr>
      </w:pPr>
      <w:r w:rsidRPr="004B2459">
        <w:rPr>
          <w:szCs w:val="22"/>
          <w:lang w:val="es-ES_tradnl"/>
        </w:rPr>
        <w:fldChar w:fldCharType="begin"/>
      </w:r>
      <w:r w:rsidRPr="004B2459">
        <w:rPr>
          <w:szCs w:val="22"/>
          <w:lang w:val="es-ES_tradnl"/>
        </w:rPr>
        <w:instrText xml:space="preserve"> AUTONUM  </w:instrText>
      </w:r>
      <w:r w:rsidRPr="004B2459">
        <w:rPr>
          <w:szCs w:val="22"/>
          <w:lang w:val="es-ES_tradnl"/>
        </w:rPr>
        <w:fldChar w:fldCharType="end"/>
      </w:r>
      <w:r w:rsidRPr="004B2459">
        <w:rPr>
          <w:szCs w:val="22"/>
          <w:lang w:val="es-ES_tradnl"/>
        </w:rPr>
        <w:tab/>
      </w:r>
      <w:r w:rsidR="00A0062F" w:rsidRPr="004B2459">
        <w:rPr>
          <w:szCs w:val="22"/>
          <w:lang w:val="es-ES_tradnl"/>
        </w:rPr>
        <w:t xml:space="preserve">Cabe </w:t>
      </w:r>
      <w:r w:rsidR="00FA7C71" w:rsidRPr="004B2459">
        <w:rPr>
          <w:szCs w:val="22"/>
          <w:lang w:val="es-ES_tradnl"/>
        </w:rPr>
        <w:t>recordar</w:t>
      </w:r>
      <w:r w:rsidR="00A0062F" w:rsidRPr="004B2459">
        <w:rPr>
          <w:szCs w:val="22"/>
          <w:lang w:val="es-ES_tradnl"/>
        </w:rPr>
        <w:t xml:space="preserve"> las opciones que se contemplan en la </w:t>
      </w:r>
      <w:r w:rsidR="00FA7C71" w:rsidRPr="004B2459">
        <w:rPr>
          <w:szCs w:val="22"/>
          <w:lang w:val="es-ES_tradnl"/>
        </w:rPr>
        <w:t>Categoría</w:t>
      </w:r>
      <w:r w:rsidR="00A0062F" w:rsidRPr="004B2459">
        <w:rPr>
          <w:szCs w:val="22"/>
          <w:lang w:val="es-ES_tradnl"/>
        </w:rPr>
        <w:t> C</w:t>
      </w:r>
      <w:r w:rsidRPr="004B2459">
        <w:rPr>
          <w:szCs w:val="22"/>
          <w:lang w:val="es-ES_tradnl"/>
        </w:rPr>
        <w:t>:</w:t>
      </w:r>
    </w:p>
    <w:p w:rsidR="007F08AA" w:rsidRPr="004B2459" w:rsidRDefault="007F08AA" w:rsidP="00FA7C71">
      <w:pPr>
        <w:rPr>
          <w:szCs w:val="22"/>
          <w:lang w:val="es-ES_tradnl"/>
        </w:rPr>
      </w:pPr>
    </w:p>
    <w:p w:rsidR="007F08AA" w:rsidRPr="004B2459" w:rsidRDefault="007F08AA" w:rsidP="00FA7C71">
      <w:pPr>
        <w:ind w:left="567" w:hanging="567"/>
        <w:rPr>
          <w:rFonts w:eastAsia="ヒラギノ角ゴ Pro W3"/>
          <w:szCs w:val="22"/>
          <w:lang w:val="es-ES_tradnl"/>
        </w:rPr>
      </w:pPr>
      <w:r w:rsidRPr="004B2459">
        <w:rPr>
          <w:rFonts w:eastAsia="ヒラギノ角ゴ Pro W3"/>
          <w:i/>
          <w:szCs w:val="22"/>
          <w:lang w:val="es-ES_tradnl"/>
        </w:rPr>
        <w:t>C.1</w:t>
      </w:r>
      <w:r w:rsidR="00FA7C71" w:rsidRPr="004B2459">
        <w:rPr>
          <w:rFonts w:eastAsia="ヒラギノ角ゴ Pro W3"/>
          <w:i/>
          <w:szCs w:val="22"/>
          <w:lang w:val="es-ES_tradnl"/>
        </w:rPr>
        <w:tab/>
      </w:r>
      <w:r w:rsidRPr="004B2459">
        <w:rPr>
          <w:rFonts w:eastAsia="ヒラギノ角ゴ Pro W3"/>
          <w:i/>
          <w:szCs w:val="22"/>
          <w:lang w:val="es-ES_tradnl"/>
        </w:rPr>
        <w:t>Base de datos en línea sobre cláusulas de P.I. que figuran en las condiciones mutuamente convenidas sobre el acceso a los recursos genéticos y la participación equitativa en los beneficios.</w:t>
      </w:r>
    </w:p>
    <w:p w:rsidR="007F08AA" w:rsidRPr="004B2459" w:rsidRDefault="007F08AA" w:rsidP="00FA7C71">
      <w:pPr>
        <w:ind w:left="567"/>
        <w:rPr>
          <w:rFonts w:eastAsia="ヒラギノ角ゴ Pro W3"/>
          <w:szCs w:val="22"/>
          <w:lang w:val="es-ES_tradnl"/>
        </w:rPr>
      </w:pPr>
    </w:p>
    <w:p w:rsidR="007F08AA" w:rsidRPr="004B2459" w:rsidRDefault="007F08AA" w:rsidP="00FA7C71">
      <w:pPr>
        <w:ind w:left="567"/>
        <w:rPr>
          <w:rFonts w:eastAsia="ヒラギノ角ゴ Pro W3"/>
          <w:szCs w:val="22"/>
          <w:lang w:val="es-ES_tradnl"/>
        </w:rPr>
      </w:pPr>
      <w:r w:rsidRPr="004B2459">
        <w:rPr>
          <w:rFonts w:eastAsia="ヒラギノ角ゴ Pro W3"/>
          <w:i/>
          <w:szCs w:val="22"/>
          <w:lang w:val="es-ES_tradnl"/>
        </w:rPr>
        <w:t>Considerar las opciones para ampliar la utilización, el alcance y la accesibilidad de las bases de datos en línea sobre cláusulas de P.I. que figuran en las condiciones mutuamente convenidas en materia de acceso y participación equitativa en los beneficios.    El contenido de la base de datos en línea podría publicarse en formatos adicionales de acceso más sencillo, como el CD-ROM, a fin de favorecer una mayor utilización por todas las partes interesadas.</w:t>
      </w:r>
    </w:p>
    <w:p w:rsidR="007F08AA" w:rsidRPr="004B2459" w:rsidRDefault="007F08AA" w:rsidP="00FA7C71">
      <w:pPr>
        <w:rPr>
          <w:szCs w:val="22"/>
          <w:lang w:val="es-ES_tradnl"/>
        </w:rPr>
      </w:pPr>
    </w:p>
    <w:p w:rsidR="007F08AA" w:rsidRPr="004B2459" w:rsidRDefault="00FA7C71" w:rsidP="00FA7C71">
      <w:pPr>
        <w:rPr>
          <w:rFonts w:eastAsia="ヒラギノ角ゴ Pro W3"/>
          <w:i/>
          <w:iCs/>
          <w:szCs w:val="22"/>
          <w:lang w:val="es-ES_tradnl"/>
        </w:rPr>
      </w:pPr>
      <w:r w:rsidRPr="004B2459">
        <w:rPr>
          <w:rFonts w:eastAsia="ヒラギノ角ゴ Pro W3"/>
          <w:i/>
          <w:iCs/>
          <w:szCs w:val="22"/>
          <w:lang w:val="es-ES_tradnl"/>
        </w:rPr>
        <w:t>C.2</w:t>
      </w:r>
      <w:r w:rsidRPr="004B2459">
        <w:rPr>
          <w:rFonts w:eastAsia="ヒラギノ角ゴ Pro W3"/>
          <w:i/>
          <w:iCs/>
          <w:szCs w:val="22"/>
          <w:lang w:val="es-ES_tradnl"/>
        </w:rPr>
        <w:tab/>
      </w:r>
      <w:r w:rsidR="007F08AA" w:rsidRPr="004B2459">
        <w:rPr>
          <w:rFonts w:eastAsia="ヒラギノ角ゴ Pro W3"/>
          <w:i/>
          <w:iCs/>
          <w:szCs w:val="22"/>
          <w:lang w:val="es-ES_tradnl"/>
        </w:rPr>
        <w:t>Proyecto de directrices sobre prácticas contractuales</w:t>
      </w:r>
    </w:p>
    <w:p w:rsidR="007F08AA" w:rsidRPr="004B2459" w:rsidRDefault="007F08AA" w:rsidP="00FA7C71">
      <w:pPr>
        <w:rPr>
          <w:rFonts w:eastAsia="ヒラギノ角ゴ Pro W3"/>
          <w:szCs w:val="22"/>
          <w:lang w:val="es-ES_tradnl"/>
        </w:rPr>
      </w:pPr>
    </w:p>
    <w:p w:rsidR="007F08AA" w:rsidRPr="004B2459" w:rsidRDefault="007F08AA" w:rsidP="00FA7C71">
      <w:pPr>
        <w:ind w:left="567"/>
        <w:rPr>
          <w:rFonts w:eastAsia="ヒラギノ角ゴ Pro W3"/>
          <w:szCs w:val="22"/>
          <w:lang w:val="es-ES_tradnl"/>
        </w:rPr>
      </w:pPr>
      <w:r w:rsidRPr="004B2459">
        <w:rPr>
          <w:rFonts w:eastAsia="ヒラギノ角ゴ Pro W3"/>
          <w:i/>
          <w:szCs w:val="22"/>
          <w:lang w:val="es-ES_tradnl"/>
        </w:rPr>
        <w:t>Considerar las opciones de consulta con las partes interesadas y seguir perfeccionando el proyecto de directrices sobre prácticas contractuales que figura en el Anexo del documento WIPO/GRTKF/IC/7/9, actualizado por el documento informativo WIPO/GRTKF/IC/7/INF/12, a partir de la información adicional disponible que se haya incorporado en la base de datos en línea.</w:t>
      </w:r>
    </w:p>
    <w:p w:rsidR="007F08AA" w:rsidRPr="004B2459" w:rsidRDefault="007F08AA" w:rsidP="00FA7C71">
      <w:pPr>
        <w:rPr>
          <w:szCs w:val="22"/>
          <w:lang w:val="es-ES_tradnl"/>
        </w:rPr>
      </w:pPr>
    </w:p>
    <w:p w:rsidR="007F08AA" w:rsidRPr="004B2459" w:rsidRDefault="007F08AA" w:rsidP="00FA7C71">
      <w:pPr>
        <w:rPr>
          <w:rFonts w:eastAsia="ヒラギノ角ゴ Pro W3"/>
          <w:i/>
          <w:iCs/>
          <w:szCs w:val="22"/>
          <w:lang w:val="es-ES_tradnl"/>
        </w:rPr>
      </w:pPr>
      <w:r w:rsidRPr="004B2459">
        <w:rPr>
          <w:rFonts w:eastAsia="ヒラギノ角ゴ Pro W3"/>
          <w:i/>
          <w:iCs/>
          <w:szCs w:val="22"/>
          <w:lang w:val="es-ES_tradnl"/>
        </w:rPr>
        <w:t>C.3</w:t>
      </w:r>
      <w:r w:rsidRPr="004B2459">
        <w:rPr>
          <w:rFonts w:eastAsia="ヒラギノ角ゴ Pro W3"/>
          <w:i/>
          <w:iCs/>
          <w:szCs w:val="22"/>
          <w:lang w:val="es-ES_tradnl"/>
        </w:rPr>
        <w:tab/>
      </w:r>
      <w:r w:rsidR="00A0062F" w:rsidRPr="004B2459">
        <w:rPr>
          <w:rFonts w:eastAsia="ヒラギノ角ゴ Pro W3"/>
          <w:i/>
          <w:iCs/>
          <w:szCs w:val="22"/>
          <w:lang w:val="es-ES_tradnl"/>
        </w:rPr>
        <w:t>Estudio sobre prácticas en materia de licencias en la esfera de los RR.GG.</w:t>
      </w:r>
    </w:p>
    <w:p w:rsidR="007F08AA" w:rsidRPr="004B2459" w:rsidRDefault="007F08AA" w:rsidP="00FA7C71">
      <w:pPr>
        <w:rPr>
          <w:rFonts w:eastAsia="ヒラギノ角ゴ Pro W3"/>
          <w:szCs w:val="22"/>
          <w:lang w:val="es-ES_tradnl"/>
        </w:rPr>
      </w:pPr>
    </w:p>
    <w:p w:rsidR="007F08AA" w:rsidRPr="004B2459" w:rsidRDefault="007F08AA" w:rsidP="00FA7C71">
      <w:pPr>
        <w:ind w:left="567"/>
        <w:rPr>
          <w:rFonts w:eastAsia="ヒラギノ角ゴ Pro W3"/>
          <w:szCs w:val="22"/>
          <w:lang w:val="es-ES_tradnl"/>
        </w:rPr>
      </w:pPr>
      <w:r w:rsidRPr="004B2459">
        <w:rPr>
          <w:rFonts w:eastAsia="ヒラギノ角ゴ Pro W3"/>
          <w:i/>
          <w:szCs w:val="22"/>
          <w:lang w:val="es-ES_tradnl"/>
        </w:rPr>
        <w:t>Recabar información, de ser posible estudios de caso, en que se describan prácticas en materia de licencias en la esfera de los recursos genéticos que amplíen los conceptos de información compartida y código abierto correspondientes al derecho de autor, sobre la base de experiencias sobre la Licencia Pública General y otras experiencias en ese ámbito.</w:t>
      </w:r>
      <w:r w:rsidRPr="004B2459">
        <w:rPr>
          <w:rFonts w:eastAsia="ヒラギノ角ゴ Pro W3"/>
          <w:szCs w:val="22"/>
          <w:lang w:val="es-ES_tradnl"/>
        </w:rPr>
        <w:t xml:space="preserve">  </w:t>
      </w:r>
    </w:p>
    <w:p w:rsidR="007F08AA" w:rsidRPr="004B2459" w:rsidRDefault="007F08AA" w:rsidP="00FA7C71">
      <w:pPr>
        <w:rPr>
          <w:szCs w:val="22"/>
          <w:lang w:val="es-ES_tradnl"/>
        </w:rPr>
      </w:pPr>
    </w:p>
    <w:p w:rsidR="007F08AA" w:rsidRPr="004B2459" w:rsidRDefault="007F08AA" w:rsidP="00FA7C71">
      <w:pPr>
        <w:rPr>
          <w:szCs w:val="22"/>
          <w:lang w:val="es-ES_tradnl"/>
        </w:rPr>
      </w:pPr>
      <w:r w:rsidRPr="004B2459">
        <w:rPr>
          <w:szCs w:val="22"/>
          <w:lang w:val="es-ES_tradnl"/>
        </w:rPr>
        <w:fldChar w:fldCharType="begin"/>
      </w:r>
      <w:r w:rsidRPr="004B2459">
        <w:rPr>
          <w:szCs w:val="22"/>
          <w:lang w:val="es-ES_tradnl"/>
        </w:rPr>
        <w:instrText xml:space="preserve"> AUTONUM  </w:instrText>
      </w:r>
      <w:r w:rsidRPr="004B2459">
        <w:rPr>
          <w:szCs w:val="22"/>
          <w:lang w:val="es-ES_tradnl"/>
        </w:rPr>
        <w:fldChar w:fldCharType="end"/>
      </w:r>
      <w:r w:rsidRPr="004B2459">
        <w:rPr>
          <w:szCs w:val="22"/>
          <w:lang w:val="es-ES_tradnl"/>
        </w:rPr>
        <w:tab/>
      </w:r>
      <w:r w:rsidR="00A0062F" w:rsidRPr="004B2459">
        <w:rPr>
          <w:szCs w:val="22"/>
          <w:lang w:val="es-ES_tradnl"/>
        </w:rPr>
        <w:t xml:space="preserve">Sería de gran utilidad para la </w:t>
      </w:r>
      <w:r w:rsidRPr="004B2459">
        <w:rPr>
          <w:szCs w:val="22"/>
          <w:lang w:val="es-ES_tradnl"/>
        </w:rPr>
        <w:t xml:space="preserve">Secretaría recibir del Comité comentarios y orientación </w:t>
      </w:r>
      <w:r w:rsidR="00DB0CC4">
        <w:rPr>
          <w:szCs w:val="22"/>
          <w:lang w:val="es-ES_tradnl"/>
        </w:rPr>
        <w:t>sobre los futuros pasos que debe</w:t>
      </w:r>
      <w:r w:rsidRPr="004B2459">
        <w:rPr>
          <w:szCs w:val="22"/>
          <w:lang w:val="es-ES_tradnl"/>
        </w:rPr>
        <w:t xml:space="preserve">n darse en relación con </w:t>
      </w:r>
      <w:r w:rsidR="00A0062F" w:rsidRPr="004B2459">
        <w:rPr>
          <w:szCs w:val="22"/>
          <w:lang w:val="es-ES_tradnl"/>
        </w:rPr>
        <w:t>dichas opciones</w:t>
      </w:r>
      <w:r w:rsidRPr="004B2459">
        <w:rPr>
          <w:szCs w:val="22"/>
          <w:lang w:val="es-ES_tradnl"/>
        </w:rPr>
        <w:t>.</w:t>
      </w:r>
    </w:p>
    <w:p w:rsidR="007F08AA" w:rsidRPr="004B2459" w:rsidRDefault="007F08AA" w:rsidP="00FA7C71">
      <w:pPr>
        <w:rPr>
          <w:szCs w:val="22"/>
          <w:lang w:val="es-ES_tradnl"/>
        </w:rPr>
      </w:pPr>
    </w:p>
    <w:p w:rsidR="007F08AA" w:rsidRPr="004B2459" w:rsidRDefault="007F08AA" w:rsidP="00FA7C71">
      <w:pPr>
        <w:rPr>
          <w:szCs w:val="22"/>
          <w:lang w:val="es-ES_tradnl"/>
        </w:rPr>
      </w:pPr>
      <w:r w:rsidRPr="004B2459">
        <w:rPr>
          <w:szCs w:val="22"/>
          <w:lang w:val="es-ES_tradnl"/>
        </w:rPr>
        <w:fldChar w:fldCharType="begin"/>
      </w:r>
      <w:r w:rsidRPr="004B2459">
        <w:rPr>
          <w:szCs w:val="22"/>
          <w:lang w:val="es-ES_tradnl"/>
        </w:rPr>
        <w:instrText xml:space="preserve"> AUTONUM  </w:instrText>
      </w:r>
      <w:r w:rsidRPr="004B2459">
        <w:rPr>
          <w:szCs w:val="22"/>
          <w:lang w:val="es-ES_tradnl"/>
        </w:rPr>
        <w:fldChar w:fldCharType="end"/>
      </w:r>
      <w:r w:rsidRPr="004B2459">
        <w:rPr>
          <w:szCs w:val="22"/>
          <w:lang w:val="es-ES_tradnl"/>
        </w:rPr>
        <w:tab/>
      </w:r>
      <w:r w:rsidR="00A0062F" w:rsidRPr="004B2459">
        <w:rPr>
          <w:szCs w:val="22"/>
          <w:lang w:val="es-ES_tradnl"/>
        </w:rPr>
        <w:t>La Secretaría desea informar acerca de las siguientes actividades que se han llevado a cabo a ese respecto desde que se celebró la vigésima tercera sesión del Comité:</w:t>
      </w:r>
    </w:p>
    <w:p w:rsidR="007F08AA" w:rsidRPr="00A5432C" w:rsidRDefault="007F08AA" w:rsidP="00FA7C71">
      <w:pPr>
        <w:rPr>
          <w:szCs w:val="22"/>
          <w:lang w:val="es-ES_tradnl"/>
        </w:rPr>
      </w:pPr>
    </w:p>
    <w:p w:rsidR="007F08AA" w:rsidRPr="00A5432C" w:rsidRDefault="007F08AA" w:rsidP="00FA7C71">
      <w:pPr>
        <w:pStyle w:val="ListParagraph"/>
        <w:numPr>
          <w:ilvl w:val="0"/>
          <w:numId w:val="8"/>
        </w:numPr>
        <w:ind w:left="567" w:hanging="283"/>
        <w:rPr>
          <w:szCs w:val="22"/>
          <w:lang w:val="es-ES_tradnl"/>
        </w:rPr>
      </w:pPr>
      <w:r w:rsidRPr="00A5432C">
        <w:rPr>
          <w:szCs w:val="22"/>
          <w:lang w:val="es-ES_tradnl"/>
        </w:rPr>
        <w:t>Cabe señalar que, en su undécima sesión, celebrada del 8 al 19 de octubre de 2012, la Conferencia de las Partes en el Convenio sobre la Diversidad Biológica (CDB) invitó a las Partes, otros Gobiernos, organizaciones internacionales, comunidades indígenas y locales y a todos los sectores interesados a que presentaran información al Secretario Ejecutivo del CDB sobre cláusulas contractuales modelo, códigos de conducta, directrices y prácticas o normas más extendidas, como se indica en su Decisión XI/1 “Situación del Protocolo de Nagoya sobre Acceso a los Recursos Genéticos y Participación Justa y Equit</w:t>
      </w:r>
      <w:r w:rsidR="00A0062F" w:rsidRPr="00A5432C">
        <w:rPr>
          <w:szCs w:val="22"/>
          <w:lang w:val="es-ES_tradnl"/>
        </w:rPr>
        <w:t>ativa en los Beneficios que se d</w:t>
      </w:r>
      <w:r w:rsidRPr="00A5432C">
        <w:rPr>
          <w:szCs w:val="22"/>
          <w:lang w:val="es-ES_tradnl"/>
        </w:rPr>
        <w:t xml:space="preserve">eriven de su Utilización y </w:t>
      </w:r>
      <w:r w:rsidR="00A0062F" w:rsidRPr="00A5432C">
        <w:rPr>
          <w:szCs w:val="22"/>
          <w:lang w:val="es-ES_tradnl"/>
        </w:rPr>
        <w:t>acontecimientos conexos</w:t>
      </w:r>
      <w:r w:rsidRPr="00A5432C">
        <w:rPr>
          <w:szCs w:val="22"/>
          <w:lang w:val="es-ES_tradnl"/>
        </w:rPr>
        <w:t xml:space="preserve">”.  </w:t>
      </w:r>
      <w:r w:rsidR="00A0062F" w:rsidRPr="00A5432C">
        <w:rPr>
          <w:szCs w:val="22"/>
          <w:lang w:val="es-ES_tradnl"/>
        </w:rPr>
        <w:t xml:space="preserve">A raíz de esa invitación, la Secretaría de la </w:t>
      </w:r>
      <w:r w:rsidR="00FA7C71" w:rsidRPr="00A5432C">
        <w:rPr>
          <w:szCs w:val="22"/>
          <w:lang w:val="es-ES_tradnl"/>
        </w:rPr>
        <w:t>OMPI</w:t>
      </w:r>
      <w:r w:rsidR="00A0062F" w:rsidRPr="00A5432C">
        <w:rPr>
          <w:szCs w:val="22"/>
          <w:lang w:val="es-ES_tradnl"/>
        </w:rPr>
        <w:t xml:space="preserve"> </w:t>
      </w:r>
      <w:r w:rsidR="00FA7C71" w:rsidRPr="00A5432C">
        <w:rPr>
          <w:szCs w:val="22"/>
          <w:lang w:val="es-ES_tradnl"/>
        </w:rPr>
        <w:t>suministró</w:t>
      </w:r>
      <w:r w:rsidR="00A0062F" w:rsidRPr="00A5432C">
        <w:rPr>
          <w:szCs w:val="22"/>
          <w:lang w:val="es-ES_tradnl"/>
        </w:rPr>
        <w:t xml:space="preserve"> información al Secretario Ejecutivo del CDB acerca de la base de datos en línea de los acuerdos de acceso y </w:t>
      </w:r>
      <w:r w:rsidR="00FA7C71" w:rsidRPr="00A5432C">
        <w:rPr>
          <w:szCs w:val="22"/>
          <w:lang w:val="es-ES_tradnl"/>
        </w:rPr>
        <w:t>participación</w:t>
      </w:r>
      <w:r w:rsidR="00A0062F" w:rsidRPr="00A5432C">
        <w:rPr>
          <w:szCs w:val="22"/>
          <w:lang w:val="es-ES_tradnl"/>
        </w:rPr>
        <w:t xml:space="preserve"> en los </w:t>
      </w:r>
      <w:r w:rsidR="00FA7C71" w:rsidRPr="00A5432C">
        <w:rPr>
          <w:szCs w:val="22"/>
          <w:lang w:val="es-ES_tradnl"/>
        </w:rPr>
        <w:t>beneficios</w:t>
      </w:r>
      <w:r w:rsidRPr="00A5432C">
        <w:rPr>
          <w:szCs w:val="22"/>
          <w:lang w:val="es-ES_tradnl"/>
        </w:rPr>
        <w:t xml:space="preserve"> (</w:t>
      </w:r>
      <w:r w:rsidR="00A0062F" w:rsidRPr="00A5432C">
        <w:rPr>
          <w:szCs w:val="22"/>
          <w:lang w:val="es-ES_tradnl"/>
        </w:rPr>
        <w:t xml:space="preserve">disponible en: </w:t>
      </w:r>
      <w:r w:rsidRPr="00A5432C">
        <w:rPr>
          <w:szCs w:val="22"/>
          <w:lang w:val="es-ES_tradnl"/>
        </w:rPr>
        <w:t xml:space="preserve"> </w:t>
      </w:r>
      <w:hyperlink r:id="rId9" w:history="1">
        <w:r w:rsidRPr="00A5432C">
          <w:rPr>
            <w:szCs w:val="22"/>
            <w:u w:val="single"/>
            <w:lang w:val="es-ES_tradnl"/>
          </w:rPr>
          <w:t>http://www.wipo.int/tk/en/databases/contracts/</w:t>
        </w:r>
      </w:hyperlink>
      <w:r w:rsidRPr="00A5432C">
        <w:rPr>
          <w:szCs w:val="22"/>
          <w:lang w:val="es-ES_tradnl"/>
        </w:rPr>
        <w:t xml:space="preserve">), </w:t>
      </w:r>
      <w:r w:rsidR="00A0062F" w:rsidRPr="00A5432C">
        <w:rPr>
          <w:szCs w:val="22"/>
          <w:lang w:val="es-ES_tradnl"/>
        </w:rPr>
        <w:t>y acerca del proyecto de directrices de propiedad intelectual para el acceso a los recursos genéticos y la participación equitativa en los beneficios que se derivan de su utilización</w:t>
      </w:r>
      <w:r w:rsidRPr="00A5432C">
        <w:rPr>
          <w:szCs w:val="22"/>
          <w:lang w:val="es-ES_tradnl"/>
        </w:rPr>
        <w:t xml:space="preserve"> (</w:t>
      </w:r>
      <w:r w:rsidR="00A0062F" w:rsidRPr="00A5432C">
        <w:rPr>
          <w:szCs w:val="22"/>
          <w:lang w:val="es-ES_tradnl"/>
        </w:rPr>
        <w:t xml:space="preserve">disponible en: </w:t>
      </w:r>
      <w:r w:rsidRPr="00A5432C">
        <w:rPr>
          <w:szCs w:val="22"/>
          <w:lang w:val="es-ES_tradnl"/>
        </w:rPr>
        <w:t xml:space="preserve"> </w:t>
      </w:r>
      <w:hyperlink r:id="rId10" w:history="1">
        <w:r w:rsidRPr="00A5432C">
          <w:rPr>
            <w:szCs w:val="22"/>
            <w:u w:val="single"/>
            <w:lang w:val="es-ES_tradnl"/>
          </w:rPr>
          <w:t>http://www.wipo.int/export/sites/www/tk/en/resources/pdf/draft_guidelines_feb_2013.pdf</w:t>
        </w:r>
      </w:hyperlink>
      <w:r w:rsidRPr="00A5432C">
        <w:rPr>
          <w:szCs w:val="22"/>
          <w:lang w:val="es-ES_tradnl"/>
        </w:rPr>
        <w:t>)</w:t>
      </w:r>
      <w:r w:rsidR="004F732B" w:rsidRPr="00A5432C">
        <w:rPr>
          <w:szCs w:val="22"/>
          <w:lang w:val="es-ES_tradnl"/>
        </w:rPr>
        <w:t xml:space="preserve"> </w:t>
      </w:r>
      <w:r w:rsidR="00A0062F" w:rsidRPr="00A5432C">
        <w:rPr>
          <w:szCs w:val="22"/>
          <w:lang w:val="es-ES_tradnl"/>
        </w:rPr>
        <w:t xml:space="preserve">a los fines de que </w:t>
      </w:r>
      <w:r w:rsidR="00DB0CC4">
        <w:rPr>
          <w:szCs w:val="22"/>
          <w:lang w:val="es-ES_tradnl"/>
        </w:rPr>
        <w:t>dicha información sea examinada</w:t>
      </w:r>
      <w:r w:rsidR="00A0062F" w:rsidRPr="00A5432C">
        <w:rPr>
          <w:szCs w:val="22"/>
          <w:lang w:val="es-ES_tradnl"/>
        </w:rPr>
        <w:t xml:space="preserve"> en el marco de la tercera reunión del Comité Intergubernamental para el Protocolo de </w:t>
      </w:r>
      <w:r w:rsidRPr="00A5432C">
        <w:rPr>
          <w:szCs w:val="22"/>
          <w:lang w:val="es-ES_tradnl"/>
        </w:rPr>
        <w:t>Nagoya (ICNP-3)</w:t>
      </w:r>
      <w:r w:rsidR="00A0062F" w:rsidRPr="00A5432C">
        <w:rPr>
          <w:szCs w:val="22"/>
          <w:lang w:val="es-ES_tradnl"/>
        </w:rPr>
        <w:t xml:space="preserve"> que tendrá lugar en Pyeongchang (República de Corea), del</w:t>
      </w:r>
      <w:r w:rsidRPr="00A5432C">
        <w:rPr>
          <w:szCs w:val="22"/>
          <w:lang w:val="es-ES_tradnl"/>
        </w:rPr>
        <w:t xml:space="preserve"> 24 </w:t>
      </w:r>
      <w:r w:rsidR="00A0062F" w:rsidRPr="00A5432C">
        <w:rPr>
          <w:szCs w:val="22"/>
          <w:lang w:val="es-ES_tradnl"/>
        </w:rPr>
        <w:t>al</w:t>
      </w:r>
      <w:r w:rsidRPr="00A5432C">
        <w:rPr>
          <w:szCs w:val="22"/>
          <w:lang w:val="es-ES_tradnl"/>
        </w:rPr>
        <w:t xml:space="preserve"> 28</w:t>
      </w:r>
      <w:r w:rsidR="00A0062F" w:rsidRPr="00A5432C">
        <w:rPr>
          <w:szCs w:val="22"/>
          <w:lang w:val="es-ES_tradnl"/>
        </w:rPr>
        <w:t xml:space="preserve"> de febrero de </w:t>
      </w:r>
      <w:r w:rsidRPr="00A5432C">
        <w:rPr>
          <w:szCs w:val="22"/>
          <w:lang w:val="es-ES_tradnl"/>
        </w:rPr>
        <w:t>2014.</w:t>
      </w:r>
    </w:p>
    <w:p w:rsidR="007F08AA" w:rsidRPr="00A5432C" w:rsidRDefault="007F08AA" w:rsidP="00FA7C71">
      <w:pPr>
        <w:rPr>
          <w:szCs w:val="22"/>
          <w:lang w:val="es-ES_tradnl"/>
        </w:rPr>
      </w:pPr>
    </w:p>
    <w:p w:rsidR="007F08AA" w:rsidRPr="00DB0CC4" w:rsidRDefault="004B2459" w:rsidP="00FA7C71">
      <w:pPr>
        <w:pStyle w:val="ListParagraph"/>
        <w:numPr>
          <w:ilvl w:val="0"/>
          <w:numId w:val="8"/>
        </w:numPr>
        <w:ind w:left="567" w:hanging="283"/>
        <w:rPr>
          <w:szCs w:val="22"/>
          <w:lang w:val="es-ES_tradnl"/>
        </w:rPr>
      </w:pPr>
      <w:r w:rsidRPr="00DB0CC4">
        <w:rPr>
          <w:szCs w:val="22"/>
          <w:lang w:val="es-ES_tradnl"/>
        </w:rPr>
        <w:lastRenderedPageBreak/>
        <w:t xml:space="preserve">El Grupo de Gestión Ambiental, que es un mecanismo de coordinación </w:t>
      </w:r>
      <w:r w:rsidR="00DB0CC4" w:rsidRPr="00DB0CC4">
        <w:rPr>
          <w:szCs w:val="22"/>
          <w:lang w:val="es-ES_tradnl"/>
        </w:rPr>
        <w:t>entre</w:t>
      </w:r>
      <w:r w:rsidRPr="00DB0CC4">
        <w:rPr>
          <w:szCs w:val="22"/>
          <w:lang w:val="es-ES_tradnl"/>
        </w:rPr>
        <w:t xml:space="preserve"> organismos internacionales bajo los auspicios del Programa de las Naciones Unidas para el Medio Ambiente (PNUMA)</w:t>
      </w:r>
      <w:r w:rsidR="00DB0CC4" w:rsidRPr="00DB0CC4">
        <w:rPr>
          <w:szCs w:val="22"/>
          <w:lang w:val="es-ES_tradnl"/>
        </w:rPr>
        <w:t>,</w:t>
      </w:r>
      <w:r w:rsidRPr="00DB0CC4">
        <w:rPr>
          <w:szCs w:val="22"/>
          <w:lang w:val="es-ES_tradnl"/>
        </w:rPr>
        <w:t xml:space="preserve"> ha elaborado una herramienta de medición para </w:t>
      </w:r>
      <w:r w:rsidR="00DB0CC4" w:rsidRPr="00DB0CC4">
        <w:rPr>
          <w:szCs w:val="22"/>
          <w:lang w:val="es-ES_tradnl"/>
        </w:rPr>
        <w:t>determinar</w:t>
      </w:r>
      <w:r w:rsidRPr="00DB0CC4">
        <w:rPr>
          <w:szCs w:val="22"/>
          <w:lang w:val="es-ES_tradnl"/>
        </w:rPr>
        <w:t xml:space="preserve"> la contribución general de todo el sistema de las Naciones Unidas</w:t>
      </w:r>
      <w:r w:rsidR="00DB0CC4" w:rsidRPr="00DB0CC4">
        <w:rPr>
          <w:szCs w:val="22"/>
          <w:lang w:val="es-ES_tradnl"/>
        </w:rPr>
        <w:t xml:space="preserve"> al Plan Estratégico </w:t>
      </w:r>
      <w:r w:rsidRPr="00DB0CC4">
        <w:rPr>
          <w:szCs w:val="22"/>
          <w:lang w:val="es-ES_tradnl"/>
        </w:rPr>
        <w:t xml:space="preserve">para la Diversidad Biológica </w:t>
      </w:r>
      <w:r w:rsidR="007F08AA" w:rsidRPr="00DB0CC4">
        <w:rPr>
          <w:szCs w:val="22"/>
          <w:lang w:val="es-ES_tradnl"/>
        </w:rPr>
        <w:t>(2011-2020) (</w:t>
      </w:r>
      <w:hyperlink r:id="rId11" w:history="1">
        <w:r w:rsidR="007F08AA" w:rsidRPr="00DB0CC4">
          <w:rPr>
            <w:szCs w:val="22"/>
            <w:u w:val="single"/>
            <w:lang w:val="es-ES_tradnl"/>
          </w:rPr>
          <w:t>http://ieg.informea.org/</w:t>
        </w:r>
      </w:hyperlink>
      <w:r w:rsidR="007F08AA" w:rsidRPr="00DB0CC4">
        <w:rPr>
          <w:szCs w:val="22"/>
          <w:lang w:val="es-ES_tradnl"/>
        </w:rPr>
        <w:t xml:space="preserve">).  </w:t>
      </w:r>
      <w:r w:rsidRPr="00DB0CC4">
        <w:rPr>
          <w:szCs w:val="22"/>
          <w:lang w:val="es-ES_tradnl"/>
        </w:rPr>
        <w:t xml:space="preserve">Uno de los objetivos de dicha herramienta es suministrar información sobre actividades existentes o previstas que tengan incidencia a nivel de la política general, de </w:t>
      </w:r>
      <w:r w:rsidR="00DB0CC4" w:rsidRPr="00DB0CC4">
        <w:rPr>
          <w:szCs w:val="22"/>
          <w:lang w:val="es-ES_tradnl"/>
        </w:rPr>
        <w:t>las estrategias</w:t>
      </w:r>
      <w:r w:rsidRPr="00DB0CC4">
        <w:rPr>
          <w:szCs w:val="22"/>
          <w:lang w:val="es-ES_tradnl"/>
        </w:rPr>
        <w:t xml:space="preserve"> o </w:t>
      </w:r>
      <w:r w:rsidR="00DB0CC4" w:rsidRPr="00DB0CC4">
        <w:rPr>
          <w:szCs w:val="22"/>
          <w:lang w:val="es-ES_tradnl"/>
        </w:rPr>
        <w:t xml:space="preserve">de las </w:t>
      </w:r>
      <w:r w:rsidRPr="00DB0CC4">
        <w:rPr>
          <w:szCs w:val="22"/>
          <w:lang w:val="es-ES_tradnl"/>
        </w:rPr>
        <w:t>actividades programáticas que contribuyan al logro de las metas de Aichi para la Diversidad Biológica</w:t>
      </w:r>
      <w:r w:rsidR="007F08AA" w:rsidRPr="00DB0CC4">
        <w:rPr>
          <w:szCs w:val="22"/>
          <w:lang w:val="es-ES_tradnl"/>
        </w:rPr>
        <w:t xml:space="preserve">.  </w:t>
      </w:r>
      <w:r w:rsidRPr="00DB0CC4">
        <w:rPr>
          <w:szCs w:val="22"/>
          <w:lang w:val="es-ES_tradnl"/>
        </w:rPr>
        <w:t xml:space="preserve"> Se invitó a la Secretaría de la OMPI a </w:t>
      </w:r>
      <w:r w:rsidR="00A5432C" w:rsidRPr="00DB0CC4">
        <w:rPr>
          <w:szCs w:val="22"/>
          <w:lang w:val="es-ES_tradnl"/>
        </w:rPr>
        <w:t>contribuir</w:t>
      </w:r>
      <w:r w:rsidRPr="00DB0CC4">
        <w:rPr>
          <w:szCs w:val="22"/>
          <w:lang w:val="es-ES_tradnl"/>
        </w:rPr>
        <w:t xml:space="preserve"> a esa iniciativa y la Secretaría ha indicado que la labor de la OMPI, en particular, la relativa a la </w:t>
      </w:r>
      <w:r w:rsidR="00A5432C" w:rsidRPr="00DB0CC4">
        <w:rPr>
          <w:szCs w:val="22"/>
          <w:lang w:val="es-ES_tradnl"/>
        </w:rPr>
        <w:t>base</w:t>
      </w:r>
      <w:r w:rsidRPr="00DB0CC4">
        <w:rPr>
          <w:szCs w:val="22"/>
          <w:lang w:val="es-ES_tradnl"/>
        </w:rPr>
        <w:t xml:space="preserve"> de datos en línea de los acuerdos de acceso y participación en los </w:t>
      </w:r>
      <w:r w:rsidR="00A5432C" w:rsidRPr="00DB0CC4">
        <w:rPr>
          <w:szCs w:val="22"/>
          <w:lang w:val="es-ES_tradnl"/>
        </w:rPr>
        <w:t>beneficios</w:t>
      </w:r>
      <w:r w:rsidRPr="00DB0CC4">
        <w:rPr>
          <w:szCs w:val="22"/>
          <w:lang w:val="es-ES_tradnl"/>
        </w:rPr>
        <w:t xml:space="preserve"> (véase </w:t>
      </w:r>
      <w:r w:rsidRPr="00DB0CC4">
        <w:rPr>
          <w:i/>
          <w:iCs/>
          <w:szCs w:val="22"/>
          <w:lang w:val="es-ES_tradnl"/>
        </w:rPr>
        <w:t>supra</w:t>
      </w:r>
      <w:r w:rsidRPr="00DB0CC4">
        <w:rPr>
          <w:szCs w:val="22"/>
          <w:lang w:val="es-ES_tradnl"/>
        </w:rPr>
        <w:t xml:space="preserve">) y el </w:t>
      </w:r>
      <w:r w:rsidR="00A5432C" w:rsidRPr="00DB0CC4">
        <w:rPr>
          <w:szCs w:val="22"/>
          <w:lang w:val="es-ES_tradnl"/>
        </w:rPr>
        <w:t>proyecto</w:t>
      </w:r>
      <w:r w:rsidRPr="00DB0CC4">
        <w:rPr>
          <w:szCs w:val="22"/>
          <w:lang w:val="es-ES_tradnl"/>
        </w:rPr>
        <w:t xml:space="preserve"> de</w:t>
      </w:r>
      <w:r w:rsidRPr="00DB0CC4">
        <w:rPr>
          <w:i/>
          <w:iCs/>
          <w:szCs w:val="22"/>
          <w:lang w:val="es-ES_tradnl"/>
        </w:rPr>
        <w:t xml:space="preserve"> </w:t>
      </w:r>
      <w:r w:rsidRPr="00DB0CC4">
        <w:rPr>
          <w:szCs w:val="22"/>
          <w:lang w:val="es-ES_tradnl"/>
        </w:rPr>
        <w:t xml:space="preserve">directrices de propiedad intelectual para el acceso a los recursos genéticos y </w:t>
      </w:r>
      <w:r w:rsidRPr="00DB0CC4">
        <w:rPr>
          <w:color w:val="231F20"/>
          <w:szCs w:val="22"/>
          <w:lang w:val="es-ES_tradnl"/>
        </w:rPr>
        <w:t>la participación equitativa en los beneficios</w:t>
      </w:r>
      <w:r w:rsidRPr="00DB0CC4">
        <w:rPr>
          <w:szCs w:val="22"/>
          <w:lang w:val="es-ES_tradnl"/>
        </w:rPr>
        <w:t xml:space="preserve"> que se </w:t>
      </w:r>
      <w:r w:rsidR="00A5432C" w:rsidRPr="00DB0CC4">
        <w:rPr>
          <w:szCs w:val="22"/>
          <w:lang w:val="es-ES_tradnl"/>
        </w:rPr>
        <w:t>derivan</w:t>
      </w:r>
      <w:r w:rsidRPr="00DB0CC4">
        <w:rPr>
          <w:szCs w:val="22"/>
          <w:lang w:val="es-ES_tradnl"/>
        </w:rPr>
        <w:t xml:space="preserve"> de su </w:t>
      </w:r>
      <w:r w:rsidR="00A5432C" w:rsidRPr="00DB0CC4">
        <w:rPr>
          <w:szCs w:val="22"/>
          <w:lang w:val="es-ES_tradnl"/>
        </w:rPr>
        <w:t>utilización</w:t>
      </w:r>
      <w:r w:rsidRPr="00DB0CC4">
        <w:rPr>
          <w:szCs w:val="22"/>
          <w:lang w:val="es-ES_tradnl"/>
        </w:rPr>
        <w:t xml:space="preserve"> (véase </w:t>
      </w:r>
      <w:r w:rsidRPr="00DB0CC4">
        <w:rPr>
          <w:i/>
          <w:iCs/>
          <w:szCs w:val="22"/>
          <w:lang w:val="es-ES_tradnl"/>
        </w:rPr>
        <w:t>supra</w:t>
      </w:r>
      <w:r w:rsidRPr="00DB0CC4">
        <w:rPr>
          <w:szCs w:val="22"/>
          <w:lang w:val="es-ES_tradnl"/>
        </w:rPr>
        <w:t>) están en consonancia con lo dispuesto en el Protocolo de Nagoya de </w:t>
      </w:r>
      <w:r w:rsidR="007F08AA" w:rsidRPr="00DB0CC4">
        <w:rPr>
          <w:szCs w:val="22"/>
          <w:lang w:val="es-ES_tradnl"/>
        </w:rPr>
        <w:t xml:space="preserve">2010. </w:t>
      </w:r>
    </w:p>
    <w:p w:rsidR="007F08AA" w:rsidRPr="00A5432C" w:rsidRDefault="007F08AA" w:rsidP="00FA7C71">
      <w:pPr>
        <w:ind w:left="207"/>
        <w:rPr>
          <w:szCs w:val="22"/>
          <w:lang w:val="es-ES_tradnl"/>
        </w:rPr>
      </w:pPr>
    </w:p>
    <w:p w:rsidR="007F08AA" w:rsidRPr="00A5432C" w:rsidRDefault="004B2459" w:rsidP="00FA7C71">
      <w:pPr>
        <w:pStyle w:val="ListParagraph"/>
        <w:numPr>
          <w:ilvl w:val="0"/>
          <w:numId w:val="8"/>
        </w:numPr>
        <w:ind w:left="567" w:hanging="283"/>
        <w:rPr>
          <w:szCs w:val="22"/>
          <w:lang w:val="es-ES_tradnl"/>
        </w:rPr>
      </w:pPr>
      <w:r w:rsidRPr="00A5432C">
        <w:rPr>
          <w:szCs w:val="22"/>
          <w:lang w:val="es-ES_tradnl"/>
        </w:rPr>
        <w:t xml:space="preserve">En diciembre de 2012, la </w:t>
      </w:r>
      <w:r w:rsidRPr="00A5432C">
        <w:rPr>
          <w:color w:val="000000"/>
          <w:szCs w:val="22"/>
          <w:lang w:val="es-ES_tradnl"/>
        </w:rPr>
        <w:t>Asamblea General</w:t>
      </w:r>
      <w:r w:rsidRPr="00A5432C">
        <w:rPr>
          <w:szCs w:val="22"/>
          <w:lang w:val="es-ES_tradnl"/>
        </w:rPr>
        <w:t xml:space="preserve"> de las Naciones Unidas</w:t>
      </w:r>
      <w:r w:rsidR="007F08AA" w:rsidRPr="00A5432C">
        <w:rPr>
          <w:szCs w:val="22"/>
          <w:lang w:val="es-ES_tradnl"/>
        </w:rPr>
        <w:t xml:space="preserve"> </w:t>
      </w:r>
      <w:r w:rsidRPr="00A5432C">
        <w:rPr>
          <w:szCs w:val="22"/>
          <w:lang w:val="es-ES_tradnl"/>
        </w:rPr>
        <w:t xml:space="preserve">aprobó la Resolución 67/212, en la que decidió dedicar uno de los actos especiales de la </w:t>
      </w:r>
      <w:r w:rsidR="00DB0CC4" w:rsidRPr="00A5432C">
        <w:rPr>
          <w:szCs w:val="22"/>
          <w:lang w:val="es-ES_tradnl"/>
        </w:rPr>
        <w:t>Segunda Comisión</w:t>
      </w:r>
      <w:r w:rsidR="00DB0CC4">
        <w:rPr>
          <w:szCs w:val="22"/>
          <w:lang w:val="es-ES_tradnl"/>
        </w:rPr>
        <w:t>,</w:t>
      </w:r>
      <w:r w:rsidR="00DB0CC4" w:rsidRPr="00A5432C">
        <w:rPr>
          <w:szCs w:val="22"/>
          <w:lang w:val="es-ES_tradnl"/>
        </w:rPr>
        <w:t xml:space="preserve"> </w:t>
      </w:r>
      <w:r w:rsidRPr="00A5432C">
        <w:rPr>
          <w:szCs w:val="22"/>
          <w:lang w:val="es-ES_tradnl"/>
        </w:rPr>
        <w:t xml:space="preserve">que tuvieron lugar durante el sexagésimo octavo periodo de sesiones de la </w:t>
      </w:r>
      <w:r w:rsidRPr="00A5432C">
        <w:rPr>
          <w:color w:val="000000"/>
          <w:szCs w:val="22"/>
          <w:lang w:val="es-ES_tradnl"/>
        </w:rPr>
        <w:t>Asamblea General</w:t>
      </w:r>
      <w:r w:rsidRPr="00A5432C">
        <w:rPr>
          <w:szCs w:val="22"/>
          <w:lang w:val="es-ES_tradnl"/>
        </w:rPr>
        <w:t xml:space="preserve">, y como parte del </w:t>
      </w:r>
      <w:r w:rsidR="00DB0CC4" w:rsidRPr="00A5432C">
        <w:rPr>
          <w:szCs w:val="22"/>
          <w:lang w:val="es-ES_tradnl"/>
        </w:rPr>
        <w:t xml:space="preserve">Decenio </w:t>
      </w:r>
      <w:r w:rsidRPr="00A5432C">
        <w:rPr>
          <w:szCs w:val="22"/>
          <w:lang w:val="es-ES_tradnl"/>
        </w:rPr>
        <w:t xml:space="preserve">de las Naciones Unidas sobre la </w:t>
      </w:r>
      <w:r w:rsidR="00DB0CC4" w:rsidRPr="00A5432C">
        <w:rPr>
          <w:szCs w:val="22"/>
          <w:lang w:val="es-ES_tradnl"/>
        </w:rPr>
        <w:t xml:space="preserve">Diversidad </w:t>
      </w:r>
      <w:r w:rsidR="00A5432C" w:rsidRPr="00A5432C">
        <w:rPr>
          <w:szCs w:val="22"/>
          <w:lang w:val="es-ES_tradnl"/>
        </w:rPr>
        <w:t>Biológica</w:t>
      </w:r>
      <w:r w:rsidRPr="00A5432C">
        <w:rPr>
          <w:szCs w:val="22"/>
          <w:lang w:val="es-ES_tradnl"/>
        </w:rPr>
        <w:t xml:space="preserve"> y </w:t>
      </w:r>
      <w:r w:rsidR="00DB0CC4">
        <w:rPr>
          <w:szCs w:val="22"/>
          <w:lang w:val="es-ES_tradnl"/>
        </w:rPr>
        <w:t xml:space="preserve">a los fines de una mayor </w:t>
      </w:r>
      <w:r w:rsidRPr="00A5432C">
        <w:rPr>
          <w:szCs w:val="22"/>
          <w:lang w:val="es-ES_tradnl"/>
        </w:rPr>
        <w:t>coherencia, a la realización de una sesión de información conjunta</w:t>
      </w:r>
      <w:r w:rsidR="00A5432C" w:rsidRPr="00A5432C">
        <w:rPr>
          <w:szCs w:val="22"/>
          <w:lang w:val="es-ES_tradnl"/>
        </w:rPr>
        <w:t xml:space="preserve"> sobre la puesta en práctica de los objetivos del Convenio sobre la Diversidad Biológica, pasando revista a las medidas tomadas para promover el acceso a los recursos genéticos y la participación justa y equitativa de</w:t>
      </w:r>
      <w:r w:rsidR="00DB0CC4">
        <w:rPr>
          <w:szCs w:val="22"/>
          <w:lang w:val="es-ES_tradnl"/>
        </w:rPr>
        <w:t xml:space="preserve"> los</w:t>
      </w:r>
      <w:r w:rsidR="00A5432C" w:rsidRPr="00A5432C">
        <w:rPr>
          <w:szCs w:val="22"/>
          <w:lang w:val="es-ES_tradnl"/>
        </w:rPr>
        <w:t xml:space="preserve"> beneficios que </w:t>
      </w:r>
      <w:r w:rsidR="00DB0CC4">
        <w:rPr>
          <w:szCs w:val="22"/>
          <w:lang w:val="es-ES_tradnl"/>
        </w:rPr>
        <w:t xml:space="preserve">se </w:t>
      </w:r>
      <w:r w:rsidR="00A5432C" w:rsidRPr="00A5432C">
        <w:rPr>
          <w:szCs w:val="22"/>
          <w:lang w:val="es-ES_tradnl"/>
        </w:rPr>
        <w:t>derivan de su utilización y conocimientos tradicionales conexos</w:t>
      </w:r>
      <w:r w:rsidR="007F08AA" w:rsidRPr="00A5432C">
        <w:rPr>
          <w:szCs w:val="22"/>
          <w:lang w:val="es-ES_tradnl"/>
        </w:rPr>
        <w:t xml:space="preserve">.  </w:t>
      </w:r>
      <w:r w:rsidR="00A5432C" w:rsidRPr="00A5432C">
        <w:rPr>
          <w:szCs w:val="22"/>
          <w:lang w:val="es-ES_tradnl"/>
        </w:rPr>
        <w:t>La Secretaría de la OMPI parti</w:t>
      </w:r>
      <w:r w:rsidR="00DB0CC4">
        <w:rPr>
          <w:szCs w:val="22"/>
          <w:lang w:val="es-ES_tradnl"/>
        </w:rPr>
        <w:t>cipó por videoconferencia en la</w:t>
      </w:r>
      <w:r w:rsidR="00A5432C" w:rsidRPr="00A5432C">
        <w:rPr>
          <w:szCs w:val="22"/>
          <w:lang w:val="es-ES_tradnl"/>
        </w:rPr>
        <w:t xml:space="preserve"> sesión conjunta de información que tuvo lugar el </w:t>
      </w:r>
      <w:r w:rsidR="007F08AA" w:rsidRPr="00A5432C">
        <w:rPr>
          <w:szCs w:val="22"/>
          <w:lang w:val="es-ES_tradnl"/>
        </w:rPr>
        <w:t>30</w:t>
      </w:r>
      <w:r w:rsidR="00A5432C" w:rsidRPr="00A5432C">
        <w:rPr>
          <w:szCs w:val="22"/>
          <w:lang w:val="es-ES_tradnl"/>
        </w:rPr>
        <w:t xml:space="preserve"> de octubre de </w:t>
      </w:r>
      <w:r w:rsidR="007F08AA" w:rsidRPr="00A5432C">
        <w:rPr>
          <w:szCs w:val="22"/>
          <w:lang w:val="es-ES_tradnl"/>
        </w:rPr>
        <w:t>2013</w:t>
      </w:r>
      <w:r w:rsidR="00A5432C" w:rsidRPr="00A5432C">
        <w:rPr>
          <w:szCs w:val="22"/>
          <w:lang w:val="es-ES_tradnl"/>
        </w:rPr>
        <w:t xml:space="preserve"> y suministró información sobre la labor que lleva a cabo la OMPI en relación con el acceso a los recursos genéticos y los conocimientos tradicionales conexos y así como acerca de </w:t>
      </w:r>
      <w:r w:rsidR="00A5432C" w:rsidRPr="00A5432C">
        <w:rPr>
          <w:color w:val="231F20"/>
          <w:szCs w:val="22"/>
          <w:lang w:val="es-ES_tradnl"/>
        </w:rPr>
        <w:t>la participación justa y equitativa en los beneficios</w:t>
      </w:r>
      <w:r w:rsidR="007F08AA" w:rsidRPr="00A5432C">
        <w:rPr>
          <w:szCs w:val="22"/>
          <w:lang w:val="es-ES_tradnl"/>
        </w:rPr>
        <w:t xml:space="preserve"> </w:t>
      </w:r>
      <w:r w:rsidR="00A5432C" w:rsidRPr="00A5432C">
        <w:rPr>
          <w:szCs w:val="22"/>
          <w:lang w:val="es-ES_tradnl"/>
        </w:rPr>
        <w:t>que s</w:t>
      </w:r>
      <w:r w:rsidR="00DB0CC4">
        <w:rPr>
          <w:szCs w:val="22"/>
          <w:lang w:val="es-ES_tradnl"/>
        </w:rPr>
        <w:t>e deriva</w:t>
      </w:r>
      <w:r w:rsidR="00A5432C" w:rsidRPr="00A5432C">
        <w:rPr>
          <w:szCs w:val="22"/>
          <w:lang w:val="es-ES_tradnl"/>
        </w:rPr>
        <w:t xml:space="preserve">n de su utilización, y se refirió a la base de datos en línea de los acuerdos de acceso y participación en los beneficios </w:t>
      </w:r>
      <w:r w:rsidR="007F08AA" w:rsidRPr="00A5432C">
        <w:rPr>
          <w:szCs w:val="22"/>
          <w:lang w:val="es-ES_tradnl"/>
        </w:rPr>
        <w:t>(</w:t>
      </w:r>
      <w:r w:rsidR="00A5432C" w:rsidRPr="00A5432C">
        <w:rPr>
          <w:szCs w:val="22"/>
          <w:lang w:val="es-ES_tradnl"/>
        </w:rPr>
        <w:t xml:space="preserve">véase </w:t>
      </w:r>
      <w:r w:rsidR="00A5432C" w:rsidRPr="00A5432C">
        <w:rPr>
          <w:i/>
          <w:iCs/>
          <w:szCs w:val="22"/>
          <w:lang w:val="es-ES_tradnl"/>
        </w:rPr>
        <w:t>supra</w:t>
      </w:r>
      <w:r w:rsidR="007F08AA" w:rsidRPr="00A5432C">
        <w:rPr>
          <w:szCs w:val="22"/>
          <w:lang w:val="es-ES_tradnl"/>
        </w:rPr>
        <w:t>)</w:t>
      </w:r>
      <w:r w:rsidR="00A5432C" w:rsidRPr="00A5432C">
        <w:rPr>
          <w:szCs w:val="22"/>
          <w:lang w:val="es-ES_tradnl"/>
        </w:rPr>
        <w:t xml:space="preserve"> y el proyecto de directrices de propiedad intelectual para el acceso a los recursos genéticos y </w:t>
      </w:r>
      <w:r w:rsidR="00A5432C" w:rsidRPr="00A5432C">
        <w:rPr>
          <w:color w:val="231F20"/>
          <w:szCs w:val="22"/>
          <w:lang w:val="es-ES_tradnl"/>
        </w:rPr>
        <w:t xml:space="preserve">la participación justa y equitativa en los beneficios que se derivan de su utilización (véase también </w:t>
      </w:r>
      <w:r w:rsidR="00A5432C" w:rsidRPr="00A5432C">
        <w:rPr>
          <w:i/>
          <w:iCs/>
          <w:color w:val="231F20"/>
          <w:szCs w:val="22"/>
          <w:lang w:val="es-ES_tradnl"/>
        </w:rPr>
        <w:t>supra)</w:t>
      </w:r>
      <w:r w:rsidR="007F08AA" w:rsidRPr="00A5432C">
        <w:rPr>
          <w:szCs w:val="22"/>
          <w:lang w:val="es-ES_tradnl"/>
        </w:rPr>
        <w:t xml:space="preserve">.  </w:t>
      </w:r>
      <w:r w:rsidR="00A5432C" w:rsidRPr="00A5432C">
        <w:rPr>
          <w:szCs w:val="22"/>
          <w:lang w:val="es-ES_tradnl"/>
        </w:rPr>
        <w:t>La reseña de dicha sesión de información puede consultarse en</w:t>
      </w:r>
      <w:r w:rsidR="007F08AA" w:rsidRPr="00A5432C">
        <w:rPr>
          <w:szCs w:val="22"/>
          <w:lang w:val="es-ES_tradnl"/>
        </w:rPr>
        <w:t xml:space="preserve"> </w:t>
      </w:r>
      <w:hyperlink r:id="rId12" w:history="1">
        <w:r w:rsidR="007F08AA" w:rsidRPr="00A5432C">
          <w:rPr>
            <w:szCs w:val="22"/>
            <w:u w:val="single"/>
            <w:lang w:val="es-ES_tradnl"/>
          </w:rPr>
          <w:t>http://www.cbd.int/abs/doc/summary-special-event-unga-second-committee-67-212-en.pdf</w:t>
        </w:r>
      </w:hyperlink>
      <w:r w:rsidR="007F08AA" w:rsidRPr="00A5432C">
        <w:rPr>
          <w:szCs w:val="22"/>
          <w:lang w:val="es-ES_tradnl"/>
        </w:rPr>
        <w:t>.</w:t>
      </w:r>
    </w:p>
    <w:p w:rsidR="007F08AA" w:rsidRPr="00A5432C" w:rsidRDefault="007F08AA" w:rsidP="00FA7C71">
      <w:pPr>
        <w:rPr>
          <w:szCs w:val="22"/>
          <w:lang w:val="es-ES_tradnl"/>
        </w:rPr>
      </w:pPr>
    </w:p>
    <w:p w:rsidR="007F08AA" w:rsidRPr="00A5432C" w:rsidRDefault="007F08AA" w:rsidP="00FA7C71">
      <w:pPr>
        <w:ind w:left="5533"/>
        <w:rPr>
          <w:i/>
          <w:szCs w:val="22"/>
          <w:lang w:val="es-ES_tradnl"/>
        </w:rPr>
      </w:pPr>
      <w:r w:rsidRPr="00A5432C">
        <w:rPr>
          <w:i/>
          <w:szCs w:val="22"/>
          <w:lang w:val="es-ES_tradnl"/>
        </w:rPr>
        <w:fldChar w:fldCharType="begin"/>
      </w:r>
      <w:r w:rsidRPr="00A5432C">
        <w:rPr>
          <w:i/>
          <w:szCs w:val="22"/>
          <w:lang w:val="es-ES_tradnl"/>
        </w:rPr>
        <w:instrText xml:space="preserve"> AUTONUM  </w:instrText>
      </w:r>
      <w:r w:rsidRPr="00A5432C">
        <w:rPr>
          <w:i/>
          <w:szCs w:val="22"/>
          <w:lang w:val="es-ES_tradnl"/>
        </w:rPr>
        <w:fldChar w:fldCharType="end"/>
      </w:r>
      <w:r w:rsidRPr="00A5432C">
        <w:rPr>
          <w:i/>
          <w:szCs w:val="22"/>
          <w:lang w:val="es-ES_tradnl"/>
        </w:rPr>
        <w:tab/>
        <w:t xml:space="preserve">Se invita al </w:t>
      </w:r>
      <w:r w:rsidR="00DB0CC4">
        <w:rPr>
          <w:i/>
          <w:szCs w:val="22"/>
          <w:lang w:val="es-ES_tradnl"/>
        </w:rPr>
        <w:t>Comité</w:t>
      </w:r>
      <w:r w:rsidRPr="00A5432C">
        <w:rPr>
          <w:i/>
          <w:szCs w:val="22"/>
          <w:lang w:val="es-ES_tradnl"/>
        </w:rPr>
        <w:t xml:space="preserve"> a tomar nota del presente documento.</w:t>
      </w:r>
    </w:p>
    <w:p w:rsidR="007F08AA" w:rsidRPr="00A5432C" w:rsidRDefault="007F08AA" w:rsidP="00FA7C71">
      <w:pPr>
        <w:ind w:left="5533"/>
        <w:rPr>
          <w:i/>
          <w:szCs w:val="22"/>
          <w:lang w:val="es-ES_tradnl"/>
        </w:rPr>
      </w:pPr>
    </w:p>
    <w:p w:rsidR="007F08AA" w:rsidRPr="00A5432C" w:rsidRDefault="007F08AA" w:rsidP="00FA7C71">
      <w:pPr>
        <w:ind w:left="5533"/>
        <w:rPr>
          <w:i/>
          <w:szCs w:val="22"/>
          <w:lang w:val="es-ES_tradnl"/>
        </w:rPr>
      </w:pPr>
    </w:p>
    <w:p w:rsidR="007F08AA" w:rsidRPr="00A5432C" w:rsidRDefault="007F08AA" w:rsidP="00FA7C71">
      <w:pPr>
        <w:ind w:left="5533"/>
        <w:rPr>
          <w:i/>
          <w:szCs w:val="22"/>
          <w:lang w:val="es-ES_tradnl"/>
        </w:rPr>
      </w:pPr>
    </w:p>
    <w:p w:rsidR="007F08AA" w:rsidRPr="00A5432C" w:rsidRDefault="007F08AA" w:rsidP="00FA7C71">
      <w:pPr>
        <w:ind w:left="5533"/>
        <w:rPr>
          <w:i/>
          <w:szCs w:val="22"/>
          <w:lang w:val="es-ES_tradnl"/>
        </w:rPr>
      </w:pPr>
      <w:r w:rsidRPr="00A5432C">
        <w:rPr>
          <w:rFonts w:eastAsia="Times New Roman"/>
          <w:szCs w:val="22"/>
          <w:lang w:val="es-ES_tradnl"/>
        </w:rPr>
        <w:t>[Fin del documento]</w:t>
      </w:r>
    </w:p>
    <w:p w:rsidR="007F08AA" w:rsidRPr="00A5432C" w:rsidRDefault="007F08AA" w:rsidP="00FA7C71">
      <w:pPr>
        <w:ind w:left="5533"/>
        <w:rPr>
          <w:i/>
          <w:szCs w:val="22"/>
          <w:lang w:val="es-ES_tradnl"/>
        </w:rPr>
      </w:pPr>
    </w:p>
    <w:p w:rsidR="00152CEA" w:rsidRPr="00A5432C" w:rsidRDefault="00152CEA" w:rsidP="00FA7C71">
      <w:pPr>
        <w:rPr>
          <w:szCs w:val="22"/>
          <w:lang w:val="es-ES_tradnl"/>
        </w:rPr>
      </w:pPr>
    </w:p>
    <w:p w:rsidR="004B2459" w:rsidRPr="00A5432C" w:rsidRDefault="004B2459">
      <w:pPr>
        <w:rPr>
          <w:szCs w:val="22"/>
          <w:lang w:val="es-ES_tradnl"/>
        </w:rPr>
      </w:pPr>
    </w:p>
    <w:sectPr w:rsidR="004B2459" w:rsidRPr="00A5432C" w:rsidSect="00605827">
      <w:headerReference w:type="default" r:id="rId13"/>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DEF" w:rsidRDefault="00D74DEF">
      <w:r>
        <w:separator/>
      </w:r>
    </w:p>
  </w:endnote>
  <w:endnote w:type="continuationSeparator" w:id="0">
    <w:p w:rsidR="00D74DEF" w:rsidRPr="009D30E6" w:rsidRDefault="00D74DEF" w:rsidP="007E663E">
      <w:pPr>
        <w:rPr>
          <w:sz w:val="17"/>
          <w:szCs w:val="17"/>
        </w:rPr>
      </w:pPr>
      <w:r w:rsidRPr="009D30E6">
        <w:rPr>
          <w:sz w:val="17"/>
          <w:szCs w:val="17"/>
        </w:rPr>
        <w:separator/>
      </w:r>
    </w:p>
    <w:p w:rsidR="00D74DEF" w:rsidRPr="007E663E" w:rsidRDefault="00D74DEF" w:rsidP="007E663E">
      <w:pPr>
        <w:spacing w:after="60"/>
        <w:rPr>
          <w:sz w:val="17"/>
          <w:szCs w:val="17"/>
        </w:rPr>
      </w:pPr>
      <w:r>
        <w:rPr>
          <w:sz w:val="17"/>
        </w:rPr>
        <w:t>[Continuación de la nota de la página anterior]</w:t>
      </w:r>
    </w:p>
  </w:endnote>
  <w:endnote w:type="continuationNotice" w:id="1">
    <w:p w:rsidR="00D74DEF" w:rsidRPr="007E663E" w:rsidRDefault="00D74DE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DEF" w:rsidRDefault="00D74DEF">
      <w:r>
        <w:separator/>
      </w:r>
    </w:p>
  </w:footnote>
  <w:footnote w:type="continuationSeparator" w:id="0">
    <w:p w:rsidR="00D74DEF" w:rsidRPr="009D30E6" w:rsidRDefault="00D74DEF" w:rsidP="007E663E">
      <w:pPr>
        <w:rPr>
          <w:sz w:val="17"/>
          <w:szCs w:val="17"/>
        </w:rPr>
      </w:pPr>
      <w:r w:rsidRPr="009D30E6">
        <w:rPr>
          <w:sz w:val="17"/>
          <w:szCs w:val="17"/>
        </w:rPr>
        <w:separator/>
      </w:r>
    </w:p>
    <w:p w:rsidR="00D74DEF" w:rsidRPr="007E663E" w:rsidRDefault="00D74DEF" w:rsidP="007E663E">
      <w:pPr>
        <w:spacing w:after="60"/>
        <w:rPr>
          <w:sz w:val="17"/>
          <w:szCs w:val="17"/>
        </w:rPr>
      </w:pPr>
      <w:r>
        <w:rPr>
          <w:sz w:val="17"/>
        </w:rPr>
        <w:t>[Continuación de la nota de la página anterior]</w:t>
      </w:r>
    </w:p>
  </w:footnote>
  <w:footnote w:type="continuationNotice" w:id="1">
    <w:p w:rsidR="00D74DEF" w:rsidRPr="007E663E" w:rsidRDefault="00D74DEF" w:rsidP="007E663E">
      <w:pPr>
        <w:spacing w:before="60"/>
        <w:jc w:val="right"/>
        <w:rPr>
          <w:sz w:val="17"/>
          <w:szCs w:val="17"/>
        </w:rPr>
      </w:pPr>
      <w:r w:rsidRPr="007E663E">
        <w:rPr>
          <w:sz w:val="17"/>
          <w:szCs w:val="17"/>
        </w:rPr>
        <w:t>[Sigue la nota en la página siguiente]</w:t>
      </w:r>
    </w:p>
  </w:footnote>
  <w:footnote w:id="2">
    <w:p w:rsidR="00917D44" w:rsidRPr="00FA7C71" w:rsidRDefault="00917D44" w:rsidP="007F08AA">
      <w:pPr>
        <w:pStyle w:val="FootnoteText"/>
        <w:rPr>
          <w:lang w:val="es-ES_tradnl"/>
        </w:rPr>
      </w:pPr>
      <w:r w:rsidRPr="00FA7C71">
        <w:rPr>
          <w:rStyle w:val="FootnoteReference"/>
        </w:rPr>
        <w:footnoteRef/>
      </w:r>
      <w:r w:rsidRPr="00FA7C71">
        <w:t xml:space="preserve"> </w:t>
      </w:r>
      <w:r w:rsidRPr="00FA7C71">
        <w:tab/>
      </w:r>
      <w:r w:rsidRPr="00FA7C71">
        <w:rPr>
          <w:lang w:val="es-ES_tradnl"/>
        </w:rPr>
        <w:t>Informe de la decimonovena sesión del Comité (WIPO/GRTKF/IC/19/12).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D44" w:rsidRDefault="00917D44" w:rsidP="00FA7C71">
    <w:pPr>
      <w:jc w:val="right"/>
    </w:pPr>
    <w:bookmarkStart w:id="5" w:name="Code2"/>
    <w:bookmarkEnd w:id="5"/>
    <w:r>
      <w:t>WIPO/GRTKF/IC/26/INF/7</w:t>
    </w:r>
  </w:p>
  <w:p w:rsidR="00917D44" w:rsidRDefault="00917D44" w:rsidP="00477D6B">
    <w:pPr>
      <w:jc w:val="right"/>
    </w:pPr>
    <w:r>
      <w:t xml:space="preserve">página </w:t>
    </w:r>
    <w:r>
      <w:fldChar w:fldCharType="begin"/>
    </w:r>
    <w:r>
      <w:instrText xml:space="preserve"> PAGE  \* MERGEFORMAT </w:instrText>
    </w:r>
    <w:r>
      <w:fldChar w:fldCharType="separate"/>
    </w:r>
    <w:r w:rsidR="00794799">
      <w:rPr>
        <w:noProof/>
      </w:rPr>
      <w:t>3</w:t>
    </w:r>
    <w:r>
      <w:fldChar w:fldCharType="end"/>
    </w:r>
  </w:p>
  <w:p w:rsidR="00917D44" w:rsidRDefault="00917D4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5EA3463"/>
    <w:multiLevelType w:val="hybridMultilevel"/>
    <w:tmpl w:val="9716C1A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BE8643F"/>
    <w:multiLevelType w:val="hybridMultilevel"/>
    <w:tmpl w:val="031474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E3BB3"/>
    <w:rsid w:val="000F5E56"/>
    <w:rsid w:val="001362EE"/>
    <w:rsid w:val="00152CEA"/>
    <w:rsid w:val="001832A6"/>
    <w:rsid w:val="001C4DD3"/>
    <w:rsid w:val="002634C4"/>
    <w:rsid w:val="002F4E68"/>
    <w:rsid w:val="00354647"/>
    <w:rsid w:val="00362F6F"/>
    <w:rsid w:val="00377273"/>
    <w:rsid w:val="003845C1"/>
    <w:rsid w:val="00387287"/>
    <w:rsid w:val="003D41D4"/>
    <w:rsid w:val="00423E3E"/>
    <w:rsid w:val="00427AF4"/>
    <w:rsid w:val="0045231F"/>
    <w:rsid w:val="004647DA"/>
    <w:rsid w:val="00477D6B"/>
    <w:rsid w:val="004A6C37"/>
    <w:rsid w:val="004B2459"/>
    <w:rsid w:val="004F732B"/>
    <w:rsid w:val="0055013B"/>
    <w:rsid w:val="0056224D"/>
    <w:rsid w:val="00571B99"/>
    <w:rsid w:val="00605827"/>
    <w:rsid w:val="00675021"/>
    <w:rsid w:val="006A06C6"/>
    <w:rsid w:val="00794799"/>
    <w:rsid w:val="007E663E"/>
    <w:rsid w:val="007F08AA"/>
    <w:rsid w:val="00815082"/>
    <w:rsid w:val="008B2CC1"/>
    <w:rsid w:val="0090731E"/>
    <w:rsid w:val="00917D44"/>
    <w:rsid w:val="009337EB"/>
    <w:rsid w:val="00966A22"/>
    <w:rsid w:val="00972F03"/>
    <w:rsid w:val="009A0C8B"/>
    <w:rsid w:val="009B6241"/>
    <w:rsid w:val="00A0062F"/>
    <w:rsid w:val="00A16FC0"/>
    <w:rsid w:val="00A32C9E"/>
    <w:rsid w:val="00A5432C"/>
    <w:rsid w:val="00A7453D"/>
    <w:rsid w:val="00A83CA1"/>
    <w:rsid w:val="00AB613D"/>
    <w:rsid w:val="00B65A0A"/>
    <w:rsid w:val="00B72D36"/>
    <w:rsid w:val="00BC4164"/>
    <w:rsid w:val="00BD2DCC"/>
    <w:rsid w:val="00BE1A8C"/>
    <w:rsid w:val="00C90559"/>
    <w:rsid w:val="00D40CF0"/>
    <w:rsid w:val="00D47606"/>
    <w:rsid w:val="00D56C7C"/>
    <w:rsid w:val="00D71B4D"/>
    <w:rsid w:val="00D71BCD"/>
    <w:rsid w:val="00D74DEF"/>
    <w:rsid w:val="00D90289"/>
    <w:rsid w:val="00D93D55"/>
    <w:rsid w:val="00DB0CC4"/>
    <w:rsid w:val="00E45C84"/>
    <w:rsid w:val="00E504E5"/>
    <w:rsid w:val="00EB7A3E"/>
    <w:rsid w:val="00EC401A"/>
    <w:rsid w:val="00EF530A"/>
    <w:rsid w:val="00EF6622"/>
    <w:rsid w:val="00F55408"/>
    <w:rsid w:val="00F66152"/>
    <w:rsid w:val="00F80845"/>
    <w:rsid w:val="00F84474"/>
    <w:rsid w:val="00FA7C71"/>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meetingcode">
    <w:name w:val="meeting code"/>
    <w:basedOn w:val="Normal"/>
    <w:rsid w:val="007F08AA"/>
    <w:pPr>
      <w:spacing w:before="300" w:line="160" w:lineRule="exact"/>
      <w:ind w:left="1021"/>
      <w:contextualSpacing/>
      <w:jc w:val="right"/>
    </w:pPr>
    <w:rPr>
      <w:rFonts w:ascii="Arial Black" w:eastAsia="Times New Roman" w:hAnsi="Arial Black" w:cs="Times New Roman"/>
      <w:b/>
      <w:caps/>
      <w:sz w:val="15"/>
      <w:lang w:val="fr-FR"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meetinglanguagedate">
    <w:name w:val="meeting language &amp; date"/>
    <w:basedOn w:val="Normal"/>
    <w:next w:val="Normal"/>
    <w:rsid w:val="007F08AA"/>
    <w:pPr>
      <w:spacing w:after="1680" w:line="160" w:lineRule="exact"/>
      <w:ind w:left="1021"/>
      <w:contextualSpacing/>
      <w:jc w:val="right"/>
    </w:pPr>
    <w:rPr>
      <w:rFonts w:ascii="Arial Black" w:eastAsia="Times New Roman" w:hAnsi="Arial Black" w:cs="Times New Roman"/>
      <w:caps/>
      <w:sz w:val="15"/>
      <w:lang w:val="fr-FR" w:eastAsia="en-US"/>
    </w:rPr>
  </w:style>
  <w:style w:type="character" w:styleId="FootnoteReference">
    <w:name w:val="footnote reference"/>
    <w:basedOn w:val="DefaultParagraphFont"/>
    <w:rsid w:val="007F08AA"/>
    <w:rPr>
      <w:vertAlign w:val="superscript"/>
    </w:rPr>
  </w:style>
  <w:style w:type="paragraph" w:customStyle="1" w:styleId="Char">
    <w:name w:val="Char 字元 字元"/>
    <w:basedOn w:val="Normal"/>
    <w:rsid w:val="007F08AA"/>
    <w:pPr>
      <w:spacing w:after="160" w:line="240" w:lineRule="exact"/>
    </w:pPr>
    <w:rPr>
      <w:rFonts w:ascii="Verdana" w:eastAsia="PMingLiU" w:hAnsi="Verdana" w:cs="Times New Roman"/>
      <w:sz w:val="20"/>
      <w:lang w:val="en-US" w:eastAsia="en-US"/>
    </w:rPr>
  </w:style>
  <w:style w:type="character" w:styleId="Hyperlink">
    <w:name w:val="Hyperlink"/>
    <w:basedOn w:val="DefaultParagraphFont"/>
    <w:rsid w:val="00A0062F"/>
    <w:rPr>
      <w:color w:val="0000FF" w:themeColor="hyperlink"/>
      <w:u w:val="single"/>
    </w:rPr>
  </w:style>
  <w:style w:type="paragraph" w:styleId="ListParagraph">
    <w:name w:val="List Paragraph"/>
    <w:basedOn w:val="Normal"/>
    <w:uiPriority w:val="34"/>
    <w:qFormat/>
    <w:rsid w:val="00FA7C71"/>
    <w:pPr>
      <w:ind w:left="720"/>
      <w:contextualSpacing/>
    </w:pPr>
  </w:style>
  <w:style w:type="paragraph" w:customStyle="1" w:styleId="Char0">
    <w:name w:val="Char 字元 字元"/>
    <w:basedOn w:val="Normal"/>
    <w:rsid w:val="004B2459"/>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94799"/>
    <w:rPr>
      <w:rFonts w:ascii="Tahoma" w:hAnsi="Tahoma" w:cs="Tahoma"/>
      <w:sz w:val="16"/>
      <w:szCs w:val="16"/>
    </w:rPr>
  </w:style>
  <w:style w:type="character" w:customStyle="1" w:styleId="BalloonTextChar">
    <w:name w:val="Balloon Text Char"/>
    <w:basedOn w:val="DefaultParagraphFont"/>
    <w:link w:val="BalloonText"/>
    <w:rsid w:val="00794799"/>
    <w:rPr>
      <w:rFonts w:ascii="Tahoma" w:eastAsia="SimSu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meetingcode">
    <w:name w:val="meeting code"/>
    <w:basedOn w:val="Normal"/>
    <w:rsid w:val="007F08AA"/>
    <w:pPr>
      <w:spacing w:before="300" w:line="160" w:lineRule="exact"/>
      <w:ind w:left="1021"/>
      <w:contextualSpacing/>
      <w:jc w:val="right"/>
    </w:pPr>
    <w:rPr>
      <w:rFonts w:ascii="Arial Black" w:eastAsia="Times New Roman" w:hAnsi="Arial Black" w:cs="Times New Roman"/>
      <w:b/>
      <w:caps/>
      <w:sz w:val="15"/>
      <w:lang w:val="fr-FR"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meetinglanguagedate">
    <w:name w:val="meeting language &amp; date"/>
    <w:basedOn w:val="Normal"/>
    <w:next w:val="Normal"/>
    <w:rsid w:val="007F08AA"/>
    <w:pPr>
      <w:spacing w:after="1680" w:line="160" w:lineRule="exact"/>
      <w:ind w:left="1021"/>
      <w:contextualSpacing/>
      <w:jc w:val="right"/>
    </w:pPr>
    <w:rPr>
      <w:rFonts w:ascii="Arial Black" w:eastAsia="Times New Roman" w:hAnsi="Arial Black" w:cs="Times New Roman"/>
      <w:caps/>
      <w:sz w:val="15"/>
      <w:lang w:val="fr-FR" w:eastAsia="en-US"/>
    </w:rPr>
  </w:style>
  <w:style w:type="character" w:styleId="FootnoteReference">
    <w:name w:val="footnote reference"/>
    <w:basedOn w:val="DefaultParagraphFont"/>
    <w:rsid w:val="007F08AA"/>
    <w:rPr>
      <w:vertAlign w:val="superscript"/>
    </w:rPr>
  </w:style>
  <w:style w:type="paragraph" w:customStyle="1" w:styleId="Char">
    <w:name w:val="Char 字元 字元"/>
    <w:basedOn w:val="Normal"/>
    <w:rsid w:val="007F08AA"/>
    <w:pPr>
      <w:spacing w:after="160" w:line="240" w:lineRule="exact"/>
    </w:pPr>
    <w:rPr>
      <w:rFonts w:ascii="Verdana" w:eastAsia="PMingLiU" w:hAnsi="Verdana" w:cs="Times New Roman"/>
      <w:sz w:val="20"/>
      <w:lang w:val="en-US" w:eastAsia="en-US"/>
    </w:rPr>
  </w:style>
  <w:style w:type="character" w:styleId="Hyperlink">
    <w:name w:val="Hyperlink"/>
    <w:basedOn w:val="DefaultParagraphFont"/>
    <w:rsid w:val="00A0062F"/>
    <w:rPr>
      <w:color w:val="0000FF" w:themeColor="hyperlink"/>
      <w:u w:val="single"/>
    </w:rPr>
  </w:style>
  <w:style w:type="paragraph" w:styleId="ListParagraph">
    <w:name w:val="List Paragraph"/>
    <w:basedOn w:val="Normal"/>
    <w:uiPriority w:val="34"/>
    <w:qFormat/>
    <w:rsid w:val="00FA7C71"/>
    <w:pPr>
      <w:ind w:left="720"/>
      <w:contextualSpacing/>
    </w:pPr>
  </w:style>
  <w:style w:type="paragraph" w:customStyle="1" w:styleId="Char0">
    <w:name w:val="Char 字元 字元"/>
    <w:basedOn w:val="Normal"/>
    <w:rsid w:val="004B2459"/>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94799"/>
    <w:rPr>
      <w:rFonts w:ascii="Tahoma" w:hAnsi="Tahoma" w:cs="Tahoma"/>
      <w:sz w:val="16"/>
      <w:szCs w:val="16"/>
    </w:rPr>
  </w:style>
  <w:style w:type="character" w:customStyle="1" w:styleId="BalloonTextChar">
    <w:name w:val="Balloon Text Char"/>
    <w:basedOn w:val="DefaultParagraphFont"/>
    <w:link w:val="BalloonText"/>
    <w:rsid w:val="00794799"/>
    <w:rPr>
      <w:rFonts w:ascii="Tahoma" w:eastAsia="SimSun" w:hAnsi="Tahoma" w:cs="Tahoma"/>
      <w:sz w:val="16"/>
      <w:szCs w:val="16"/>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bd.int/abs/doc/summary-special-event-unga-second-committee-67-212-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eg.informe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ipo.int/export/sites/www/tk/en/resources/pdf/draft_guidelines_feb_2013.pdf" TargetMode="External"/><Relationship Id="rId4" Type="http://schemas.openxmlformats.org/officeDocument/2006/relationships/settings" Target="settings.xml"/><Relationship Id="rId9" Type="http://schemas.openxmlformats.org/officeDocument/2006/relationships/hyperlink" Target="http://www.wipo.int/tk/en/databases/contra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1286</Words>
  <Characters>7498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DOMBRE Nadia</cp:lastModifiedBy>
  <cp:revision>2</cp:revision>
  <cp:lastPrinted>2013-12-20T13:11:00Z</cp:lastPrinted>
  <dcterms:created xsi:type="dcterms:W3CDTF">2014-01-06T13:35:00Z</dcterms:created>
  <dcterms:modified xsi:type="dcterms:W3CDTF">2014-01-06T13:35:00Z</dcterms:modified>
</cp:coreProperties>
</file>