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016299" w:rsidRPr="00C8472E">
        <w:trPr>
          <w:trHeight w:val="2516"/>
        </w:trPr>
        <w:tc>
          <w:tcPr>
            <w:tcW w:w="4513" w:type="dxa"/>
            <w:tcBorders>
              <w:bottom w:val="single" w:sz="4" w:space="0" w:color="000000"/>
            </w:tcBorders>
            <w:shd w:val="clear" w:color="auto" w:fill="auto"/>
          </w:tcPr>
          <w:p w:rsidR="00016299" w:rsidRPr="00C8472E" w:rsidRDefault="00016299">
            <w:pPr>
              <w:snapToGrid w:val="0"/>
            </w:pPr>
            <w:bookmarkStart w:id="0" w:name="_GoBack"/>
            <w:bookmarkEnd w:id="0"/>
          </w:p>
        </w:tc>
        <w:tc>
          <w:tcPr>
            <w:tcW w:w="4337" w:type="dxa"/>
            <w:tcBorders>
              <w:bottom w:val="single" w:sz="4" w:space="0" w:color="000000"/>
            </w:tcBorders>
            <w:shd w:val="clear" w:color="auto" w:fill="auto"/>
          </w:tcPr>
          <w:p w:rsidR="00016299" w:rsidRPr="00C8472E" w:rsidRDefault="003C499A">
            <w:pPr>
              <w:rPr>
                <w:b/>
                <w:sz w:val="40"/>
                <w:szCs w:val="40"/>
              </w:rPr>
            </w:pPr>
            <w:r>
              <w:rPr>
                <w:noProof/>
                <w:lang w:val="en-US" w:eastAsia="en-US"/>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016299" w:rsidRPr="00C8472E" w:rsidRDefault="004515C6">
            <w:pPr>
              <w:jc w:val="right"/>
              <w:rPr>
                <w:rFonts w:ascii="Arial Black" w:hAnsi="Arial Black" w:cs="Arial Black"/>
                <w:caps/>
                <w:sz w:val="15"/>
              </w:rPr>
            </w:pPr>
            <w:r w:rsidRPr="00C8472E">
              <w:rPr>
                <w:b/>
                <w:sz w:val="40"/>
                <w:szCs w:val="40"/>
              </w:rPr>
              <w:t>S</w:t>
            </w:r>
          </w:p>
        </w:tc>
      </w:tr>
      <w:tr w:rsidR="00016299" w:rsidRPr="00C8472E">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016299" w:rsidRPr="00C8472E" w:rsidRDefault="004C2F67" w:rsidP="003F0672">
            <w:pPr>
              <w:jc w:val="right"/>
              <w:rPr>
                <w:rFonts w:ascii="Arial Black" w:hAnsi="Arial Black" w:cs="Arial Black"/>
                <w:caps/>
                <w:sz w:val="15"/>
              </w:rPr>
            </w:pPr>
            <w:bookmarkStart w:id="1" w:name="Code"/>
            <w:bookmarkEnd w:id="1"/>
            <w:r w:rsidRPr="00C8472E">
              <w:rPr>
                <w:rFonts w:ascii="Arial Black" w:hAnsi="Arial Black" w:cs="Arial Black"/>
                <w:caps/>
                <w:sz w:val="15"/>
              </w:rPr>
              <w:t>WIPO/GRTKF/IC/2</w:t>
            </w:r>
            <w:r w:rsidR="003F0672">
              <w:rPr>
                <w:rFonts w:ascii="Arial Black" w:hAnsi="Arial Black" w:cs="Arial Black"/>
                <w:caps/>
                <w:sz w:val="15"/>
              </w:rPr>
              <w:t>6</w:t>
            </w:r>
            <w:r w:rsidR="009A4F5C">
              <w:rPr>
                <w:rFonts w:ascii="Arial Black" w:hAnsi="Arial Black" w:cs="Arial Black"/>
                <w:caps/>
                <w:sz w:val="15"/>
              </w:rPr>
              <w:t>/INF</w:t>
            </w:r>
            <w:r w:rsidR="00016299" w:rsidRPr="00C8472E">
              <w:rPr>
                <w:rFonts w:ascii="Arial Black" w:hAnsi="Arial Black" w:cs="Arial Black"/>
                <w:caps/>
                <w:sz w:val="15"/>
              </w:rPr>
              <w:t>/</w:t>
            </w:r>
            <w:r w:rsidR="003F0672">
              <w:rPr>
                <w:rFonts w:ascii="Arial Black" w:hAnsi="Arial Black" w:cs="Arial Black"/>
                <w:caps/>
                <w:sz w:val="15"/>
              </w:rPr>
              <w:t>8</w:t>
            </w:r>
          </w:p>
        </w:tc>
      </w:tr>
      <w:tr w:rsidR="00016299" w:rsidRPr="00C8472E">
        <w:trPr>
          <w:trHeight w:hRule="exact" w:val="170"/>
        </w:trPr>
        <w:tc>
          <w:tcPr>
            <w:tcW w:w="9356" w:type="dxa"/>
            <w:gridSpan w:val="3"/>
            <w:shd w:val="clear" w:color="auto" w:fill="auto"/>
            <w:vAlign w:val="bottom"/>
          </w:tcPr>
          <w:p w:rsidR="00016299" w:rsidRPr="00C8472E" w:rsidRDefault="00016299">
            <w:pPr>
              <w:jc w:val="right"/>
              <w:rPr>
                <w:rFonts w:ascii="Arial Black" w:hAnsi="Arial Black" w:cs="Arial Black"/>
                <w:caps/>
                <w:sz w:val="15"/>
              </w:rPr>
            </w:pPr>
            <w:r w:rsidRPr="00C8472E">
              <w:rPr>
                <w:rFonts w:ascii="Arial Black" w:hAnsi="Arial Black" w:cs="Arial Black"/>
                <w:caps/>
                <w:sz w:val="15"/>
              </w:rPr>
              <w:t xml:space="preserve">ORIGINAL:  </w:t>
            </w:r>
            <w:bookmarkStart w:id="2" w:name="Original"/>
            <w:bookmarkEnd w:id="2"/>
            <w:r w:rsidR="00EC2C8B" w:rsidRPr="00C8472E">
              <w:rPr>
                <w:rFonts w:ascii="Arial Black" w:hAnsi="Arial Black" w:cs="Arial Black"/>
                <w:caps/>
                <w:sz w:val="15"/>
              </w:rPr>
              <w:t>INGLÉS</w:t>
            </w:r>
          </w:p>
        </w:tc>
      </w:tr>
      <w:tr w:rsidR="00016299" w:rsidRPr="00C8472E">
        <w:trPr>
          <w:trHeight w:hRule="exact" w:val="198"/>
        </w:trPr>
        <w:tc>
          <w:tcPr>
            <w:tcW w:w="9356" w:type="dxa"/>
            <w:gridSpan w:val="3"/>
            <w:shd w:val="clear" w:color="auto" w:fill="auto"/>
            <w:vAlign w:val="bottom"/>
          </w:tcPr>
          <w:p w:rsidR="00016299" w:rsidRPr="00C8472E" w:rsidRDefault="00EC2C8B" w:rsidP="003F0672">
            <w:pPr>
              <w:jc w:val="right"/>
            </w:pPr>
            <w:r w:rsidRPr="00C8472E">
              <w:rPr>
                <w:rFonts w:ascii="Arial Black" w:hAnsi="Arial Black" w:cs="Arial Black"/>
                <w:caps/>
                <w:sz w:val="15"/>
              </w:rPr>
              <w:t>FECHA</w:t>
            </w:r>
            <w:r w:rsidR="00016299" w:rsidRPr="00C8472E">
              <w:rPr>
                <w:rFonts w:ascii="Arial Black" w:hAnsi="Arial Black" w:cs="Arial Black"/>
                <w:caps/>
                <w:sz w:val="15"/>
              </w:rPr>
              <w:t xml:space="preserve">:  </w:t>
            </w:r>
            <w:bookmarkStart w:id="3" w:name="Date"/>
            <w:bookmarkEnd w:id="3"/>
            <w:r w:rsidR="003F0672">
              <w:rPr>
                <w:rFonts w:ascii="Arial Black" w:hAnsi="Arial Black" w:cs="Arial Black"/>
                <w:caps/>
                <w:sz w:val="15"/>
              </w:rPr>
              <w:t>1</w:t>
            </w:r>
            <w:r w:rsidR="00624B3E">
              <w:rPr>
                <w:rFonts w:ascii="Arial Black" w:hAnsi="Arial Black" w:cs="Arial Black"/>
                <w:caps/>
                <w:sz w:val="15"/>
              </w:rPr>
              <w:t xml:space="preserve"> de </w:t>
            </w:r>
            <w:r w:rsidR="003F0672">
              <w:rPr>
                <w:rFonts w:ascii="Arial Black" w:hAnsi="Arial Black" w:cs="Arial Black"/>
                <w:caps/>
                <w:sz w:val="15"/>
              </w:rPr>
              <w:t xml:space="preserve">noviembre </w:t>
            </w:r>
            <w:r w:rsidRPr="00C8472E">
              <w:rPr>
                <w:rFonts w:ascii="Arial Black" w:hAnsi="Arial Black" w:cs="Arial Black"/>
                <w:caps/>
                <w:sz w:val="15"/>
              </w:rPr>
              <w:t xml:space="preserve">DE </w:t>
            </w:r>
            <w:r w:rsidR="00016299" w:rsidRPr="00C8472E">
              <w:rPr>
                <w:rFonts w:ascii="Arial Black" w:hAnsi="Arial Black" w:cs="Arial Black"/>
                <w:caps/>
                <w:sz w:val="15"/>
              </w:rPr>
              <w:t>201</w:t>
            </w:r>
            <w:r w:rsidR="00624B3E">
              <w:rPr>
                <w:rFonts w:ascii="Arial Black" w:hAnsi="Arial Black" w:cs="Arial Black"/>
                <w:caps/>
                <w:sz w:val="15"/>
              </w:rPr>
              <w:t>3</w:t>
            </w:r>
          </w:p>
        </w:tc>
      </w:tr>
    </w:tbl>
    <w:p w:rsidR="00016299" w:rsidRPr="00C8472E" w:rsidRDefault="00016299"/>
    <w:p w:rsidR="00016299" w:rsidRPr="00C8472E" w:rsidRDefault="00016299"/>
    <w:p w:rsidR="00016299" w:rsidRPr="00C8472E" w:rsidRDefault="00016299" w:rsidP="00B65C53">
      <w:pPr>
        <w:tabs>
          <w:tab w:val="left" w:pos="2140"/>
        </w:tabs>
      </w:pPr>
    </w:p>
    <w:p w:rsidR="00016299" w:rsidRPr="00C8472E" w:rsidRDefault="00016299"/>
    <w:p w:rsidR="00016299" w:rsidRPr="00C8472E" w:rsidRDefault="00016299"/>
    <w:p w:rsidR="00D43074" w:rsidRPr="002A011D" w:rsidRDefault="00D43074" w:rsidP="00D43074">
      <w:pPr>
        <w:rPr>
          <w:b/>
          <w:sz w:val="28"/>
          <w:szCs w:val="28"/>
        </w:rPr>
      </w:pPr>
      <w:r w:rsidRPr="002A011D">
        <w:rPr>
          <w:b/>
          <w:sz w:val="28"/>
          <w:szCs w:val="28"/>
        </w:rPr>
        <w:t>Comité Intergubernamental sobre Propiedad Intelectual y Recursos</w:t>
      </w:r>
    </w:p>
    <w:p w:rsidR="00016299" w:rsidRPr="002A011D" w:rsidRDefault="00D43074" w:rsidP="00D43074">
      <w:pPr>
        <w:rPr>
          <w:b/>
          <w:sz w:val="28"/>
          <w:szCs w:val="28"/>
        </w:rPr>
      </w:pPr>
      <w:r w:rsidRPr="002A011D">
        <w:rPr>
          <w:b/>
          <w:sz w:val="28"/>
          <w:szCs w:val="28"/>
        </w:rPr>
        <w:t>Genéticos, Conocim</w:t>
      </w:r>
      <w:r w:rsidR="0078318F">
        <w:rPr>
          <w:b/>
          <w:sz w:val="28"/>
          <w:szCs w:val="28"/>
        </w:rPr>
        <w:t>ientos Tradicionales y Folclore</w:t>
      </w:r>
    </w:p>
    <w:p w:rsidR="00016299" w:rsidRPr="002A011D" w:rsidRDefault="00016299"/>
    <w:p w:rsidR="00016299" w:rsidRPr="002A011D" w:rsidRDefault="00016299"/>
    <w:p w:rsidR="00F45E8E" w:rsidRPr="002A011D" w:rsidRDefault="00F45E8E"/>
    <w:p w:rsidR="00D43074" w:rsidRPr="002A011D" w:rsidRDefault="00D43074" w:rsidP="004C2F67">
      <w:pPr>
        <w:rPr>
          <w:b/>
          <w:sz w:val="24"/>
          <w:szCs w:val="24"/>
        </w:rPr>
      </w:pPr>
      <w:r w:rsidRPr="002A011D">
        <w:rPr>
          <w:b/>
          <w:sz w:val="24"/>
          <w:szCs w:val="24"/>
        </w:rPr>
        <w:t xml:space="preserve">Vigésima </w:t>
      </w:r>
      <w:r w:rsidR="003F0672">
        <w:rPr>
          <w:b/>
          <w:sz w:val="24"/>
          <w:szCs w:val="24"/>
        </w:rPr>
        <w:t xml:space="preserve">sexta </w:t>
      </w:r>
      <w:r w:rsidRPr="002A011D">
        <w:rPr>
          <w:b/>
          <w:sz w:val="24"/>
          <w:szCs w:val="24"/>
        </w:rPr>
        <w:t>sesión</w:t>
      </w:r>
    </w:p>
    <w:p w:rsidR="00016299" w:rsidRPr="002A011D" w:rsidRDefault="00D43074" w:rsidP="004C2F67">
      <w:pPr>
        <w:rPr>
          <w:b/>
          <w:sz w:val="24"/>
          <w:szCs w:val="24"/>
        </w:rPr>
      </w:pPr>
      <w:r w:rsidRPr="002A011D">
        <w:rPr>
          <w:b/>
          <w:sz w:val="24"/>
          <w:szCs w:val="24"/>
        </w:rPr>
        <w:t xml:space="preserve">Ginebra, </w:t>
      </w:r>
      <w:r w:rsidR="003F0672">
        <w:rPr>
          <w:b/>
          <w:sz w:val="24"/>
          <w:szCs w:val="24"/>
        </w:rPr>
        <w:t>3 a 7 de febrero de 2014</w:t>
      </w:r>
    </w:p>
    <w:p w:rsidR="00016299" w:rsidRPr="002A011D" w:rsidRDefault="00016299"/>
    <w:p w:rsidR="00BC38C4" w:rsidRPr="002A011D" w:rsidRDefault="00BC38C4"/>
    <w:p w:rsidR="00016299" w:rsidRDefault="00B97BE2">
      <w:pPr>
        <w:rPr>
          <w:caps/>
          <w:sz w:val="24"/>
        </w:rPr>
      </w:pPr>
      <w:bookmarkStart w:id="4" w:name="TitleOfDoc"/>
      <w:bookmarkEnd w:id="4"/>
      <w:r>
        <w:rPr>
          <w:caps/>
          <w:sz w:val="24"/>
        </w:rPr>
        <w:t>GLOSARIO DE LOS TÉRMINOS MÁS IMPORTANTES RELACIONADOS CON LA PROPIEDAD INTELECTUAL Y LOS RECURSOS GENÉTICOS, LOS CONOCIMIENTOS TRADICIONALES Y LAS EXPRESIONES CULTURALES TRADICIONALES</w:t>
      </w:r>
    </w:p>
    <w:p w:rsidR="00B97BE2" w:rsidRPr="002A011D" w:rsidRDefault="00B97BE2">
      <w:pPr>
        <w:rPr>
          <w:caps/>
          <w:sz w:val="24"/>
        </w:rPr>
      </w:pPr>
    </w:p>
    <w:p w:rsidR="00443C16" w:rsidRDefault="00B97BE2" w:rsidP="00443C16">
      <w:pPr>
        <w:rPr>
          <w:i/>
        </w:rPr>
      </w:pPr>
      <w:bookmarkStart w:id="5" w:name="Prepared"/>
      <w:bookmarkEnd w:id="5"/>
      <w:r w:rsidRPr="00E22B9C">
        <w:rPr>
          <w:i/>
        </w:rPr>
        <w:t>Documento preparado por la Secretaría</w:t>
      </w:r>
    </w:p>
    <w:p w:rsidR="00311C84" w:rsidRDefault="00311C84" w:rsidP="00443C16">
      <w:pPr>
        <w:rPr>
          <w:i/>
        </w:rPr>
      </w:pPr>
    </w:p>
    <w:p w:rsidR="00311C84" w:rsidRDefault="00311C84" w:rsidP="00443C16">
      <w:pPr>
        <w:rPr>
          <w:i/>
        </w:rPr>
      </w:pPr>
    </w:p>
    <w:p w:rsidR="00311C84" w:rsidRDefault="00311C84" w:rsidP="00443C16">
      <w:pPr>
        <w:rPr>
          <w:i/>
        </w:rPr>
      </w:pPr>
    </w:p>
    <w:p w:rsidR="00311C84" w:rsidRPr="00360C23" w:rsidRDefault="00311C84" w:rsidP="00311C84">
      <w:pPr>
        <w:rPr>
          <w:b/>
        </w:rPr>
      </w:pPr>
      <w:r>
        <w:rPr>
          <w:b/>
        </w:rPr>
        <w:t>INTRODUCCIÓN</w:t>
      </w:r>
    </w:p>
    <w:p w:rsidR="00311C84" w:rsidRPr="00E22B9C" w:rsidRDefault="00311C84" w:rsidP="00311C84"/>
    <w:p w:rsidR="00311C84" w:rsidRPr="004C6ED2" w:rsidRDefault="00311C84" w:rsidP="00311C84">
      <w:pPr>
        <w:numPr>
          <w:ilvl w:val="0"/>
          <w:numId w:val="39"/>
        </w:numPr>
        <w:suppressAutoHyphens w:val="0"/>
        <w:rPr>
          <w:szCs w:val="22"/>
          <w:lang w:eastAsia="zh-CN"/>
        </w:rPr>
      </w:pPr>
      <w:r w:rsidRPr="004C6ED2">
        <w:rPr>
          <w:szCs w:val="22"/>
          <w:lang w:eastAsia="zh-CN"/>
        </w:rPr>
        <w:t>En su decimosexta y decimoséptima sesiones, celebradas de</w:t>
      </w:r>
      <w:r w:rsidR="004C6ED2" w:rsidRPr="004C6ED2">
        <w:rPr>
          <w:szCs w:val="22"/>
          <w:lang w:eastAsia="zh-CN"/>
        </w:rPr>
        <w:t>l 3</w:t>
      </w:r>
      <w:r w:rsidRPr="004C6ED2">
        <w:rPr>
          <w:szCs w:val="22"/>
          <w:lang w:eastAsia="zh-CN"/>
        </w:rPr>
        <w:t xml:space="preserve"> a</w:t>
      </w:r>
      <w:r w:rsidR="004C6ED2" w:rsidRPr="004C6ED2">
        <w:rPr>
          <w:szCs w:val="22"/>
          <w:lang w:eastAsia="zh-CN"/>
        </w:rPr>
        <w:t>l 7</w:t>
      </w:r>
      <w:r w:rsidRPr="004C6ED2">
        <w:rPr>
          <w:szCs w:val="22"/>
          <w:lang w:eastAsia="zh-CN"/>
        </w:rPr>
        <w:t xml:space="preserve"> de mayo y de</w:t>
      </w:r>
      <w:r w:rsidR="004C6ED2" w:rsidRPr="004C6ED2">
        <w:rPr>
          <w:szCs w:val="22"/>
          <w:lang w:eastAsia="zh-CN"/>
        </w:rPr>
        <w:t>l 6</w:t>
      </w:r>
      <w:r w:rsidRPr="004C6ED2">
        <w:rPr>
          <w:szCs w:val="22"/>
          <w:lang w:eastAsia="zh-CN"/>
        </w:rPr>
        <w:t xml:space="preserve"> a</w:t>
      </w:r>
      <w:r w:rsidR="004C6ED2" w:rsidRPr="004C6ED2">
        <w:rPr>
          <w:szCs w:val="22"/>
          <w:lang w:eastAsia="zh-CN"/>
        </w:rPr>
        <w:t>l 1</w:t>
      </w:r>
      <w:r w:rsidRPr="004C6ED2">
        <w:rPr>
          <w:szCs w:val="22"/>
          <w:lang w:eastAsia="zh-CN"/>
        </w:rPr>
        <w:t>0 de diciembre d</w:t>
      </w:r>
      <w:r w:rsidR="004C6ED2" w:rsidRPr="004C6ED2">
        <w:rPr>
          <w:szCs w:val="22"/>
          <w:lang w:eastAsia="zh-CN"/>
        </w:rPr>
        <w:t>e 2</w:t>
      </w:r>
      <w:r w:rsidRPr="004C6ED2">
        <w:rPr>
          <w:szCs w:val="22"/>
          <w:lang w:eastAsia="zh-CN"/>
        </w:rPr>
        <w:t>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4C6ED2">
        <w:rPr>
          <w:vertAlign w:val="superscript"/>
          <w:lang w:eastAsia="zh-CN"/>
        </w:rPr>
        <w:footnoteReference w:id="1"/>
      </w:r>
      <w:r w:rsidRPr="004C6ED2">
        <w:rPr>
          <w:szCs w:val="22"/>
          <w:lang w:eastAsia="zh-CN"/>
        </w:rPr>
        <w:t xml:space="preserve"> y los pusiera a disposición del CIG.</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w:t>
      </w:r>
      <w:r w:rsidR="004C6ED2" w:rsidRPr="004C6ED2">
        <w:t>;  a</w:t>
      </w:r>
      <w:r w:rsidRPr="004C6ED2">
        <w:t xml:space="preserve"> integrar dichos glosarios en un único documento y a publicar este último en tanto que documento de información para la siguiente sesión del CIG</w:t>
      </w:r>
      <w:r w:rsidRPr="004C6ED2">
        <w:rPr>
          <w:szCs w:val="22"/>
          <w:lang w:eastAsia="zh-CN"/>
        </w:rPr>
        <w:t>.”</w:t>
      </w:r>
      <w:r w:rsidRPr="004C6ED2">
        <w:rPr>
          <w:vertAlign w:val="superscript"/>
          <w:lang w:eastAsia="zh-CN"/>
        </w:rPr>
        <w:footnoteReference w:id="2"/>
      </w:r>
    </w:p>
    <w:p w:rsidR="00311C84" w:rsidRPr="004C6ED2" w:rsidRDefault="00311C84" w:rsidP="00311C84">
      <w:pPr>
        <w:rPr>
          <w:szCs w:val="22"/>
          <w:lang w:eastAsia="zh-CN"/>
        </w:rPr>
      </w:pPr>
    </w:p>
    <w:p w:rsidR="00D57BA9" w:rsidRPr="004C6ED2" w:rsidRDefault="00311C84" w:rsidP="00311C84">
      <w:pPr>
        <w:numPr>
          <w:ilvl w:val="0"/>
          <w:numId w:val="39"/>
        </w:numPr>
        <w:suppressAutoHyphens w:val="0"/>
        <w:rPr>
          <w:szCs w:val="22"/>
          <w:lang w:eastAsia="zh-CN"/>
        </w:rPr>
      </w:pPr>
      <w:r w:rsidRPr="004C6ED2">
        <w:rPr>
          <w:szCs w:val="22"/>
          <w:lang w:eastAsia="zh-CN"/>
        </w:rPr>
        <w:br w:type="page"/>
      </w:r>
      <w:r w:rsidRPr="004C6ED2">
        <w:rPr>
          <w:szCs w:val="22"/>
          <w:lang w:eastAsia="zh-CN"/>
        </w:rPr>
        <w:lastRenderedPageBreak/>
        <w:t>Conforme a dicha decisión, y teniendo en cuenta que algunos de los términos de los glosarios guardan relación con los tres temas, la Secretaría ha sintetizado los tres glosarios en uno y ha actualizado algunas de las definiciones, tomando en consideración los instrumentos y otros materiales establecidos tras la publicación de las anteriores versiones de los glosarios.  A ese respecto, se han añadido y definido nuevos términos y se han suprimido otros en aras de la concisión.  Asimismo, se han reformulado algunas definiciones</w:t>
      </w:r>
      <w:r w:rsidR="00D57BA9"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rPr>
          <w:szCs w:val="22"/>
          <w:lang w:eastAsia="zh-CN"/>
        </w:rPr>
        <w:t xml:space="preserve">El glosario actualizado y consolidado se distribuyó como documento </w:t>
      </w:r>
      <w:r w:rsidR="00655A62" w:rsidRPr="004C6ED2">
        <w:rPr>
          <w:szCs w:val="22"/>
          <w:lang w:eastAsia="zh-CN"/>
        </w:rPr>
        <w:t>de información en la</w:t>
      </w:r>
      <w:r w:rsidR="00403F66">
        <w:rPr>
          <w:szCs w:val="22"/>
          <w:lang w:eastAsia="zh-CN"/>
        </w:rPr>
        <w:t>s</w:t>
      </w:r>
      <w:r w:rsidR="00655A62" w:rsidRPr="004C6ED2">
        <w:rPr>
          <w:szCs w:val="22"/>
          <w:lang w:eastAsia="zh-CN"/>
        </w:rPr>
        <w:t xml:space="preserve"> </w:t>
      </w:r>
      <w:r w:rsidR="00403F66" w:rsidRPr="004C6ED2">
        <w:rPr>
          <w:szCs w:val="22"/>
          <w:lang w:eastAsia="zh-CN"/>
        </w:rPr>
        <w:t xml:space="preserve">sesiones </w:t>
      </w:r>
      <w:r w:rsidR="00655A62" w:rsidRPr="004C6ED2">
        <w:rPr>
          <w:szCs w:val="22"/>
          <w:lang w:eastAsia="zh-CN"/>
        </w:rPr>
        <w:t xml:space="preserve">vigésima, </w:t>
      </w:r>
      <w:r w:rsidRPr="004C6ED2">
        <w:rPr>
          <w:szCs w:val="22"/>
          <w:lang w:eastAsia="zh-CN"/>
        </w:rPr>
        <w:t>vigésima primera</w:t>
      </w:r>
      <w:r w:rsidR="00655A62" w:rsidRPr="004C6ED2">
        <w:rPr>
          <w:szCs w:val="22"/>
          <w:lang w:eastAsia="zh-CN"/>
        </w:rPr>
        <w:t xml:space="preserve"> y vigésima segunda</w:t>
      </w:r>
      <w:r w:rsidRPr="004C6ED2">
        <w:rPr>
          <w:szCs w:val="22"/>
          <w:lang w:eastAsia="zh-CN"/>
        </w:rPr>
        <w:t xml:space="preserve"> del CIG, celebradas de</w:t>
      </w:r>
      <w:r w:rsidR="004C6ED2" w:rsidRPr="004C6ED2">
        <w:rPr>
          <w:szCs w:val="22"/>
          <w:lang w:eastAsia="zh-CN"/>
        </w:rPr>
        <w:t>l 1</w:t>
      </w:r>
      <w:r w:rsidRPr="004C6ED2">
        <w:rPr>
          <w:szCs w:val="22"/>
          <w:lang w:eastAsia="zh-CN"/>
        </w:rPr>
        <w:t>4 a</w:t>
      </w:r>
      <w:r w:rsidR="004C6ED2" w:rsidRPr="004C6ED2">
        <w:rPr>
          <w:szCs w:val="22"/>
          <w:lang w:eastAsia="zh-CN"/>
        </w:rPr>
        <w:t>l 2</w:t>
      </w:r>
      <w:r w:rsidRPr="004C6ED2">
        <w:rPr>
          <w:szCs w:val="22"/>
          <w:lang w:eastAsia="zh-CN"/>
        </w:rPr>
        <w:t>2 de febrero</w:t>
      </w:r>
      <w:r w:rsidR="00655A62" w:rsidRPr="004C6ED2">
        <w:rPr>
          <w:szCs w:val="22"/>
          <w:lang w:eastAsia="zh-CN"/>
        </w:rPr>
        <w:t xml:space="preserve">, </w:t>
      </w:r>
      <w:r w:rsidRPr="004C6ED2">
        <w:rPr>
          <w:szCs w:val="22"/>
          <w:lang w:eastAsia="zh-CN"/>
        </w:rPr>
        <w:t>de</w:t>
      </w:r>
      <w:r w:rsidR="004C6ED2" w:rsidRPr="004C6ED2">
        <w:rPr>
          <w:szCs w:val="22"/>
          <w:lang w:eastAsia="zh-CN"/>
        </w:rPr>
        <w:t>l 1</w:t>
      </w:r>
      <w:r w:rsidRPr="004C6ED2">
        <w:rPr>
          <w:szCs w:val="22"/>
          <w:lang w:eastAsia="zh-CN"/>
        </w:rPr>
        <w:t>6 a</w:t>
      </w:r>
      <w:r w:rsidR="004C6ED2" w:rsidRPr="004C6ED2">
        <w:rPr>
          <w:szCs w:val="22"/>
          <w:lang w:eastAsia="zh-CN"/>
        </w:rPr>
        <w:t>l 2</w:t>
      </w:r>
      <w:r w:rsidRPr="004C6ED2">
        <w:rPr>
          <w:szCs w:val="22"/>
          <w:lang w:eastAsia="zh-CN"/>
        </w:rPr>
        <w:t xml:space="preserve">0 de abril </w:t>
      </w:r>
      <w:r w:rsidR="00655A62" w:rsidRPr="004C6ED2">
        <w:rPr>
          <w:szCs w:val="22"/>
          <w:lang w:eastAsia="zh-CN"/>
        </w:rPr>
        <w:t>y de</w:t>
      </w:r>
      <w:r w:rsidR="004C6ED2" w:rsidRPr="004C6ED2">
        <w:rPr>
          <w:szCs w:val="22"/>
          <w:lang w:eastAsia="zh-CN"/>
        </w:rPr>
        <w:t>l 9</w:t>
      </w:r>
      <w:r w:rsidR="00655A62" w:rsidRPr="004C6ED2">
        <w:rPr>
          <w:szCs w:val="22"/>
          <w:lang w:eastAsia="zh-CN"/>
        </w:rPr>
        <w:t xml:space="preserve"> a</w:t>
      </w:r>
      <w:r w:rsidR="004C6ED2" w:rsidRPr="004C6ED2">
        <w:rPr>
          <w:szCs w:val="22"/>
          <w:lang w:eastAsia="zh-CN"/>
        </w:rPr>
        <w:t>l 1</w:t>
      </w:r>
      <w:r w:rsidR="00655A62" w:rsidRPr="004C6ED2">
        <w:rPr>
          <w:szCs w:val="22"/>
          <w:lang w:eastAsia="zh-CN"/>
        </w:rPr>
        <w:t>3 de julio d</w:t>
      </w:r>
      <w:r w:rsidR="004C6ED2" w:rsidRPr="004C6ED2">
        <w:rPr>
          <w:szCs w:val="22"/>
          <w:lang w:eastAsia="zh-CN"/>
        </w:rPr>
        <w:t>e 2</w:t>
      </w:r>
      <w:r w:rsidR="00655A62" w:rsidRPr="004C6ED2">
        <w:rPr>
          <w:szCs w:val="22"/>
          <w:lang w:eastAsia="zh-CN"/>
        </w:rPr>
        <w:t>012</w:t>
      </w:r>
      <w:r w:rsidRPr="004C6ED2">
        <w:rPr>
          <w:szCs w:val="22"/>
          <w:lang w:eastAsia="zh-CN"/>
        </w:rPr>
        <w:t>, respectivamente, como docum</w:t>
      </w:r>
      <w:r w:rsidR="00655A62" w:rsidRPr="004C6ED2">
        <w:rPr>
          <w:szCs w:val="22"/>
          <w:lang w:eastAsia="zh-CN"/>
        </w:rPr>
        <w:t xml:space="preserve">entos WIPO/GRTKF/IC/20/INF/13, WIPO/GRTKF/IC/21/INF/8 y WIPO/GRTKF/IC/22/INF/8, </w:t>
      </w:r>
      <w:r w:rsidRPr="004C6ED2">
        <w:rPr>
          <w:szCs w:val="22"/>
          <w:lang w:eastAsia="zh-CN"/>
        </w:rPr>
        <w:t xml:space="preserve">respectivamente.  </w:t>
      </w:r>
      <w:r w:rsidR="00624B3E">
        <w:rPr>
          <w:szCs w:val="22"/>
          <w:lang w:eastAsia="zh-CN"/>
        </w:rPr>
        <w:t>La versión revisada del glosario se ha facilitado como documento de información de la</w:t>
      </w:r>
      <w:r w:rsidR="00403F66">
        <w:rPr>
          <w:szCs w:val="22"/>
          <w:lang w:eastAsia="zh-CN"/>
        </w:rPr>
        <w:t>s sesiones</w:t>
      </w:r>
      <w:r w:rsidR="00624B3E">
        <w:rPr>
          <w:szCs w:val="22"/>
          <w:lang w:eastAsia="zh-CN"/>
        </w:rPr>
        <w:t xml:space="preserve"> vigésima tercera</w:t>
      </w:r>
      <w:r w:rsidR="008C1688">
        <w:rPr>
          <w:szCs w:val="22"/>
          <w:lang w:eastAsia="zh-CN"/>
        </w:rPr>
        <w:t>,</w:t>
      </w:r>
      <w:r w:rsidR="00624B3E">
        <w:rPr>
          <w:szCs w:val="22"/>
          <w:lang w:eastAsia="zh-CN"/>
        </w:rPr>
        <w:t xml:space="preserve"> </w:t>
      </w:r>
      <w:r w:rsidR="00403F66">
        <w:rPr>
          <w:szCs w:val="22"/>
          <w:lang w:eastAsia="zh-CN"/>
        </w:rPr>
        <w:t xml:space="preserve">vigésima cuarta </w:t>
      </w:r>
      <w:r w:rsidR="008C1688">
        <w:rPr>
          <w:szCs w:val="22"/>
          <w:lang w:eastAsia="zh-CN"/>
        </w:rPr>
        <w:t xml:space="preserve">y vigésima quinta </w:t>
      </w:r>
      <w:r w:rsidR="00624B3E">
        <w:rPr>
          <w:szCs w:val="22"/>
          <w:lang w:eastAsia="zh-CN"/>
        </w:rPr>
        <w:t xml:space="preserve">del CIG, </w:t>
      </w:r>
      <w:r w:rsidR="00403F66">
        <w:rPr>
          <w:szCs w:val="22"/>
          <w:lang w:eastAsia="zh-CN"/>
        </w:rPr>
        <w:t xml:space="preserve">celebradas </w:t>
      </w:r>
      <w:r w:rsidR="00624B3E">
        <w:rPr>
          <w:szCs w:val="22"/>
          <w:lang w:eastAsia="zh-CN"/>
        </w:rPr>
        <w:t>del 4 al 8 de febrero</w:t>
      </w:r>
      <w:r w:rsidR="008C1688">
        <w:rPr>
          <w:szCs w:val="22"/>
          <w:lang w:eastAsia="zh-CN"/>
        </w:rPr>
        <w:t>,</w:t>
      </w:r>
      <w:r w:rsidR="00624B3E">
        <w:rPr>
          <w:szCs w:val="22"/>
          <w:lang w:eastAsia="zh-CN"/>
        </w:rPr>
        <w:t xml:space="preserve"> </w:t>
      </w:r>
      <w:r w:rsidR="00403F66">
        <w:rPr>
          <w:szCs w:val="22"/>
          <w:lang w:eastAsia="zh-CN"/>
        </w:rPr>
        <w:t xml:space="preserve">del 22 al 26 de abril </w:t>
      </w:r>
      <w:r w:rsidR="008C1688">
        <w:rPr>
          <w:szCs w:val="22"/>
          <w:lang w:eastAsia="zh-CN"/>
        </w:rPr>
        <w:t xml:space="preserve">y del 15 al 24 de julio </w:t>
      </w:r>
      <w:r w:rsidR="00403F66">
        <w:rPr>
          <w:szCs w:val="22"/>
          <w:lang w:eastAsia="zh-CN"/>
        </w:rPr>
        <w:t>de 2013, respectivamente</w:t>
      </w:r>
      <w:r w:rsidRPr="004C6ED2">
        <w:rPr>
          <w:szCs w:val="22"/>
          <w:lang w:eastAsia="zh-CN"/>
        </w:rPr>
        <w:t>.</w:t>
      </w:r>
      <w:r w:rsidR="00655A62" w:rsidRPr="004C6ED2">
        <w:rPr>
          <w:szCs w:val="22"/>
          <w:lang w:eastAsia="zh-CN"/>
        </w:rPr>
        <w:t xml:space="preserve">  </w:t>
      </w:r>
      <w:r w:rsidR="00624B3E">
        <w:rPr>
          <w:szCs w:val="22"/>
          <w:lang w:eastAsia="zh-CN"/>
        </w:rPr>
        <w:t xml:space="preserve">Dicha </w:t>
      </w:r>
      <w:r w:rsidR="00655A62" w:rsidRPr="004C6ED2">
        <w:rPr>
          <w:szCs w:val="22"/>
          <w:lang w:eastAsia="zh-CN"/>
        </w:rPr>
        <w:t>versión ya no contiene ninguna referencia a los textos que se están negociando en el CIG para evitar que el glosario se quede anticuado después de cada sesión del CIG.</w:t>
      </w:r>
      <w:r w:rsidR="00624B3E">
        <w:rPr>
          <w:szCs w:val="22"/>
          <w:lang w:eastAsia="zh-CN"/>
        </w:rPr>
        <w:t xml:space="preserve">  El Anexo del presente documento contiene la misma versión del glosario.</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Para seleccionar los términos del Glosario se han tenido en cuenta los términos que se utilizan con mayor frecuencia en el proyecto de artículos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4C6ED2">
        <w:rPr>
          <w:szCs w:val="22"/>
          <w:lang w:eastAsia="zh-CN"/>
        </w:rPr>
        <w:t>.</w:t>
      </w:r>
    </w:p>
    <w:p w:rsidR="00311C84" w:rsidRPr="004C6ED2" w:rsidRDefault="00311C84" w:rsidP="00311C84">
      <w:pPr>
        <w:rPr>
          <w:szCs w:val="22"/>
          <w:u w:val="single"/>
          <w:lang w:eastAsia="zh-CN"/>
        </w:rPr>
      </w:pPr>
    </w:p>
    <w:p w:rsidR="00311C84" w:rsidRPr="004C6ED2" w:rsidRDefault="00311C84" w:rsidP="00311C84">
      <w:pPr>
        <w:pStyle w:val="Endofdocument-Annex"/>
        <w:rPr>
          <w:i/>
          <w:lang w:eastAsia="zh-CN"/>
        </w:rPr>
      </w:pPr>
      <w:r w:rsidRPr="004C6ED2">
        <w:rPr>
          <w:i/>
          <w:lang w:eastAsia="zh-CN"/>
        </w:rPr>
        <w:t>7</w:t>
      </w:r>
      <w:r w:rsidRPr="004C6ED2">
        <w:rPr>
          <w:lang w:eastAsia="zh-CN"/>
        </w:rPr>
        <w:t>.</w:t>
      </w:r>
      <w:r w:rsidRPr="004C6ED2">
        <w:rPr>
          <w:lang w:eastAsia="zh-CN"/>
        </w:rPr>
        <w:tab/>
      </w:r>
      <w:r w:rsidRPr="004C6ED2">
        <w:rPr>
          <w:i/>
          <w:lang w:eastAsia="zh-CN"/>
        </w:rPr>
        <w:t>Se invita al CIG a tomar nota del presente documento y de su Anexo.</w:t>
      </w:r>
    </w:p>
    <w:p w:rsidR="00311C84" w:rsidRPr="004C6ED2" w:rsidRDefault="00311C84" w:rsidP="00311C84">
      <w:pPr>
        <w:pStyle w:val="Endofdocument-Annex"/>
        <w:rPr>
          <w:i/>
          <w:lang w:eastAsia="zh-CN"/>
        </w:rPr>
      </w:pPr>
    </w:p>
    <w:p w:rsidR="00C4003E" w:rsidRPr="004C6ED2" w:rsidRDefault="00C4003E" w:rsidP="00311C84">
      <w:pPr>
        <w:pStyle w:val="Endofdocument-Annex"/>
        <w:rPr>
          <w:i/>
          <w:lang w:eastAsia="zh-CN"/>
        </w:rPr>
      </w:pPr>
    </w:p>
    <w:p w:rsidR="00311C84" w:rsidRPr="004C6ED2" w:rsidRDefault="00311C84" w:rsidP="00311C84">
      <w:pPr>
        <w:pStyle w:val="Endofdocument-Annex"/>
        <w:rPr>
          <w:i/>
          <w:lang w:eastAsia="zh-CN"/>
        </w:rPr>
      </w:pPr>
    </w:p>
    <w:p w:rsidR="00311C84" w:rsidRPr="004C6ED2" w:rsidRDefault="00311C84" w:rsidP="00311C84">
      <w:pPr>
        <w:pStyle w:val="Endofdocument-Annex"/>
        <w:rPr>
          <w:lang w:eastAsia="zh-CN"/>
        </w:rPr>
      </w:pPr>
      <w:r w:rsidRPr="004C6ED2">
        <w:rPr>
          <w:lang w:eastAsia="zh-CN"/>
        </w:rPr>
        <w:t>[Sigue el Anexo]</w:t>
      </w:r>
    </w:p>
    <w:p w:rsidR="00311C84" w:rsidRPr="004C6ED2" w:rsidRDefault="00311C84" w:rsidP="00311C84">
      <w:pPr>
        <w:pStyle w:val="Endofdocument-Annex"/>
        <w:rPr>
          <w:lang w:eastAsia="zh-CN"/>
        </w:rPr>
      </w:pPr>
    </w:p>
    <w:p w:rsidR="00311C84" w:rsidRPr="004C6ED2" w:rsidRDefault="00311C84" w:rsidP="00311C84">
      <w:pPr>
        <w:pStyle w:val="Endofdocument-Annex"/>
        <w:rPr>
          <w:lang w:eastAsia="zh-CN"/>
        </w:rPr>
        <w:sectPr w:rsidR="00311C84" w:rsidRPr="004C6ED2" w:rsidSect="00311C84">
          <w:headerReference w:type="default" r:id="rId9"/>
          <w:pgSz w:w="11907" w:h="16840" w:code="9"/>
          <w:pgMar w:top="567" w:right="640" w:bottom="840" w:left="1418" w:header="510" w:footer="1021" w:gutter="0"/>
          <w:cols w:space="720"/>
          <w:titlePg/>
        </w:sectPr>
      </w:pPr>
    </w:p>
    <w:p w:rsidR="00311C84" w:rsidRPr="00815B94" w:rsidRDefault="00311C84" w:rsidP="00311C84">
      <w:pPr>
        <w:pStyle w:val="ONUMFS"/>
        <w:numPr>
          <w:ilvl w:val="0"/>
          <w:numId w:val="0"/>
        </w:numPr>
        <w:rPr>
          <w:szCs w:val="22"/>
        </w:rPr>
      </w:pPr>
      <w:r w:rsidRPr="004C6ED2">
        <w:rPr>
          <w:szCs w:val="22"/>
        </w:rPr>
        <w:lastRenderedPageBreak/>
        <w:t>GLOSARIO DE LOS TÉRMINOS MÁS IMPORTANTES EN RELACIÓN CON LA PROPIEDAD INTELECTUAL Y LOS RECURSOS GENÉTICOS, LOS CONOCIMIENTOS TRADICIONALES Y LAS EXPRE</w:t>
      </w:r>
      <w:r w:rsidRPr="00815B94">
        <w:rPr>
          <w:szCs w:val="22"/>
        </w:rPr>
        <w:t>SIONES CULTURALES TRADICIONALES</w:t>
      </w:r>
    </w:p>
    <w:p w:rsidR="00311C84" w:rsidRPr="00815B94" w:rsidRDefault="00311C84" w:rsidP="00311C84">
      <w:pPr>
        <w:rPr>
          <w:szCs w:val="22"/>
        </w:rPr>
      </w:pPr>
    </w:p>
    <w:p w:rsidR="00311C84" w:rsidRPr="00815B94" w:rsidRDefault="00311C84" w:rsidP="00311C84">
      <w:pPr>
        <w:pStyle w:val="ONUMFS"/>
        <w:numPr>
          <w:ilvl w:val="0"/>
          <w:numId w:val="0"/>
        </w:numPr>
        <w:rPr>
          <w:b/>
          <w:bCs/>
          <w:szCs w:val="22"/>
        </w:rPr>
      </w:pPr>
      <w:r w:rsidRPr="00815B94">
        <w:rPr>
          <w:b/>
          <w:bCs/>
          <w:szCs w:val="22"/>
        </w:rPr>
        <w:t>Acceso y participación en los beneficios</w:t>
      </w:r>
      <w:r w:rsidR="00FD2CCA" w:rsidRPr="00815B94">
        <w:rPr>
          <w:rStyle w:val="FootnoteReference"/>
          <w:b/>
          <w:bCs/>
          <w:szCs w:val="22"/>
        </w:rPr>
        <w:footnoteReference w:customMarkFollows="1" w:id="3"/>
        <w:t>*</w:t>
      </w:r>
    </w:p>
    <w:p w:rsidR="00311C84" w:rsidRPr="00815B94" w:rsidRDefault="00311C84" w:rsidP="00311C84">
      <w:pPr>
        <w:pStyle w:val="ONUMFS"/>
        <w:numPr>
          <w:ilvl w:val="0"/>
          <w:numId w:val="0"/>
        </w:numPr>
        <w:rPr>
          <w:szCs w:val="22"/>
        </w:rPr>
      </w:pPr>
      <w:r w:rsidRPr="00815B94">
        <w:rPr>
          <w:szCs w:val="22"/>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311C84" w:rsidRPr="00815B94" w:rsidRDefault="00311C84" w:rsidP="00311C84">
      <w:pPr>
        <w:pStyle w:val="ONUMFS"/>
        <w:numPr>
          <w:ilvl w:val="0"/>
          <w:numId w:val="0"/>
        </w:numPr>
        <w:rPr>
          <w:szCs w:val="22"/>
        </w:rPr>
      </w:pPr>
      <w:r w:rsidRPr="00815B94">
        <w:rPr>
          <w:szCs w:val="22"/>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311C84" w:rsidRPr="00815B94" w:rsidRDefault="00311C84" w:rsidP="00311C84">
      <w:pPr>
        <w:pStyle w:val="ONUMFS"/>
        <w:numPr>
          <w:ilvl w:val="0"/>
          <w:numId w:val="0"/>
        </w:numPr>
        <w:rPr>
          <w:szCs w:val="22"/>
        </w:rPr>
      </w:pPr>
      <w:r w:rsidRPr="00815B94">
        <w:rPr>
          <w:szCs w:val="22"/>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311C84" w:rsidRPr="00815B94" w:rsidRDefault="00311C84" w:rsidP="00311C84">
      <w:pPr>
        <w:pStyle w:val="ONUMFS"/>
        <w:numPr>
          <w:ilvl w:val="0"/>
          <w:numId w:val="0"/>
        </w:numPr>
        <w:rPr>
          <w:szCs w:val="22"/>
        </w:rPr>
      </w:pPr>
      <w:r w:rsidRPr="00815B94">
        <w:rPr>
          <w:szCs w:val="22"/>
        </w:rPr>
        <w:t xml:space="preserve">En el artículo 1 de la Decisión 391 de la Comunidad Andina acerca de un Régimen Común sobre Acceso a los Recursos Genéticos, se define “acceso” como “la obtención y utilización de los recursos genéticos conservados en condiciones </w:t>
      </w:r>
      <w:r w:rsidR="00D57BA9" w:rsidRPr="00815B94">
        <w:rPr>
          <w:szCs w:val="22"/>
        </w:rPr>
        <w:t>ex situ</w:t>
      </w:r>
      <w:r w:rsidRPr="00815B94">
        <w:rPr>
          <w:szCs w:val="22"/>
        </w:rPr>
        <w:t xml:space="preserve"> e </w:t>
      </w:r>
      <w:r w:rsidR="00D57BA9" w:rsidRPr="00815B94">
        <w:rPr>
          <w:szCs w:val="22"/>
        </w:rPr>
        <w:t>in situ</w:t>
      </w:r>
      <w:r w:rsidRPr="00815B94">
        <w:rPr>
          <w:szCs w:val="22"/>
        </w:rPr>
        <w:t>, de sus productos derivados o, de ser el caso, de sus componentes intangibles, con fines de investigación, prospección biológica, conservación, aplicación industrial o aprovechamiento comercial, entre otros”.</w:t>
      </w:r>
    </w:p>
    <w:p w:rsidR="00311C84" w:rsidRPr="00815B94" w:rsidRDefault="00311C84" w:rsidP="00311C84">
      <w:pPr>
        <w:pStyle w:val="ONUMFS"/>
        <w:numPr>
          <w:ilvl w:val="0"/>
          <w:numId w:val="0"/>
        </w:numPr>
        <w:rPr>
          <w:szCs w:val="22"/>
        </w:rPr>
      </w:pPr>
      <w:r w:rsidRPr="00815B94">
        <w:rPr>
          <w:szCs w:val="22"/>
        </w:rPr>
        <w:t>Los beneficios pueden ser monetarios y no monetarios, incluidos pero sin limitarse a aquellos indicados en el Anexo al Protocolo de Nagoya.</w:t>
      </w:r>
      <w:r w:rsidRPr="00815B94">
        <w:rPr>
          <w:rStyle w:val="FootnoteReference"/>
          <w:szCs w:val="22"/>
        </w:rPr>
        <w:footnoteReference w:id="4"/>
      </w:r>
      <w:r w:rsidRPr="00815B94">
        <w:rPr>
          <w:szCs w:val="22"/>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815B94">
        <w:rPr>
          <w:rStyle w:val="FootnoteReference"/>
          <w:szCs w:val="22"/>
        </w:rPr>
        <w:footnoteReference w:id="5"/>
      </w:r>
    </w:p>
    <w:p w:rsidR="004C32C3" w:rsidRPr="00815B94" w:rsidRDefault="004C32C3" w:rsidP="004C32C3">
      <w:pPr>
        <w:pStyle w:val="ONUMFS"/>
        <w:numPr>
          <w:ilvl w:val="0"/>
          <w:numId w:val="0"/>
        </w:numPr>
        <w:rPr>
          <w:b/>
          <w:bCs/>
          <w:szCs w:val="22"/>
        </w:rPr>
      </w:pPr>
      <w:r w:rsidRPr="00815B94">
        <w:rPr>
          <w:b/>
          <w:bCs/>
          <w:szCs w:val="22"/>
        </w:rPr>
        <w:t>Adaptación</w:t>
      </w:r>
    </w:p>
    <w:p w:rsidR="004C32C3" w:rsidRPr="004C6ED2" w:rsidRDefault="004C32C3" w:rsidP="004C32C3">
      <w:pPr>
        <w:pStyle w:val="ONUMFS"/>
        <w:numPr>
          <w:ilvl w:val="0"/>
          <w:numId w:val="0"/>
        </w:numPr>
        <w:rPr>
          <w:szCs w:val="22"/>
        </w:rPr>
      </w:pPr>
      <w:bookmarkStart w:id="6" w:name="_Ref289433821"/>
      <w:bookmarkEnd w:id="6"/>
      <w:r w:rsidRPr="00815B94">
        <w:rPr>
          <w:szCs w:val="22"/>
        </w:rPr>
        <w:t xml:space="preserve">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w:t>
      </w:r>
      <w:r w:rsidRPr="00815B94">
        <w:rPr>
          <w:szCs w:val="22"/>
        </w:rPr>
        <w:lastRenderedPageBreak/>
        <w:t>preexistente y los nuevos, añadidos como resultado de la modificación, quedan fusionados.</w:t>
      </w:r>
      <w:r w:rsidRPr="00815B94">
        <w:rPr>
          <w:rStyle w:val="FootnoteReference"/>
          <w:szCs w:val="22"/>
        </w:rPr>
        <w:footnoteReference w:id="6"/>
      </w:r>
      <w:r w:rsidRPr="00815B94">
        <w:rPr>
          <w:szCs w:val="22"/>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w:t>
      </w:r>
      <w:r w:rsidRPr="004C6ED2">
        <w:rPr>
          <w:szCs w:val="22"/>
        </w:rPr>
        <w:t xml:space="preserve">.  Según el </w:t>
      </w:r>
      <w:r w:rsidRPr="004C6ED2">
        <w:rPr>
          <w:i/>
          <w:iCs/>
          <w:szCs w:val="22"/>
        </w:rPr>
        <w:t>Diccionario de la Lengua Española</w:t>
      </w:r>
      <w:r w:rsidRPr="004C6ED2">
        <w:rPr>
          <w:szCs w:val="22"/>
        </w:rPr>
        <w:t xml:space="preserve"> de la Real Academia Española y también el </w:t>
      </w:r>
      <w:r w:rsidRPr="004C6ED2">
        <w:rPr>
          <w:i/>
          <w:iCs/>
          <w:szCs w:val="22"/>
        </w:rPr>
        <w:t>Black’s Law Dictionary</w:t>
      </w:r>
      <w:r w:rsidRPr="004C6ED2">
        <w:rPr>
          <w:iCs/>
          <w:szCs w:val="22"/>
        </w:rPr>
        <w:t xml:space="preserve">, </w:t>
      </w:r>
      <w:r w:rsidRPr="004C6ED2">
        <w:rPr>
          <w:szCs w:val="22"/>
        </w:rPr>
        <w:t>los titulares de las obras protegidas gozan del derecho exclusivo de realizar obras derivadas o adaptaciones de dichas obras.</w:t>
      </w:r>
      <w:r w:rsidRPr="004C6ED2">
        <w:rPr>
          <w:rStyle w:val="FootnoteReference"/>
          <w:iCs/>
          <w:szCs w:val="22"/>
        </w:rPr>
        <w:footnoteReference w:id="7"/>
      </w:r>
    </w:p>
    <w:p w:rsidR="004C32C3" w:rsidRPr="00815B94" w:rsidRDefault="004C32C3" w:rsidP="004C32C3">
      <w:pPr>
        <w:pStyle w:val="ONUMFS"/>
        <w:numPr>
          <w:ilvl w:val="0"/>
          <w:numId w:val="0"/>
        </w:numPr>
        <w:rPr>
          <w:b/>
          <w:szCs w:val="22"/>
        </w:rPr>
      </w:pPr>
      <w:r w:rsidRPr="004C6ED2">
        <w:rPr>
          <w:b/>
          <w:szCs w:val="22"/>
        </w:rPr>
        <w:t>Aprobación y participación</w:t>
      </w:r>
    </w:p>
    <w:p w:rsidR="004C32C3" w:rsidRPr="00815B94" w:rsidRDefault="004C32C3" w:rsidP="004C32C3">
      <w:pPr>
        <w:pStyle w:val="ONUMFS"/>
        <w:numPr>
          <w:ilvl w:val="0"/>
          <w:numId w:val="0"/>
        </w:numPr>
        <w:rPr>
          <w:szCs w:val="22"/>
        </w:rPr>
      </w:pPr>
      <w:r w:rsidRPr="00815B94">
        <w:rPr>
          <w:szCs w:val="22"/>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815B94">
        <w:rPr>
          <w:rStyle w:val="FootnoteReference"/>
          <w:szCs w:val="22"/>
        </w:rPr>
        <w:footnoteReference w:id="8"/>
      </w:r>
    </w:p>
    <w:p w:rsidR="00D05BA6" w:rsidRPr="00815B94" w:rsidRDefault="00D05BA6" w:rsidP="00D05BA6">
      <w:pPr>
        <w:pStyle w:val="ONUMFS"/>
        <w:numPr>
          <w:ilvl w:val="0"/>
          <w:numId w:val="0"/>
        </w:numPr>
        <w:rPr>
          <w:b/>
          <w:caps/>
          <w:szCs w:val="22"/>
        </w:rPr>
      </w:pPr>
      <w:r w:rsidRPr="00815B94">
        <w:rPr>
          <w:b/>
          <w:szCs w:val="22"/>
        </w:rPr>
        <w:t>Conocimientos tradicionales conexos</w:t>
      </w:r>
    </w:p>
    <w:p w:rsidR="00D05BA6" w:rsidRPr="00815B94" w:rsidRDefault="00D05BA6" w:rsidP="00D05BA6">
      <w:pPr>
        <w:pStyle w:val="ONUMFS"/>
        <w:numPr>
          <w:ilvl w:val="0"/>
          <w:numId w:val="0"/>
        </w:numPr>
        <w:rPr>
          <w:szCs w:val="22"/>
        </w:rPr>
      </w:pPr>
      <w:r w:rsidRPr="00815B94">
        <w:rPr>
          <w:szCs w:val="22"/>
        </w:rPr>
        <w:t xml:space="preserve">En el artículo 1.2.a) de la “Contribución de los países de ideas afines a los objetivos y principios sobre la protección de los recursos genéticos y </w:t>
      </w:r>
      <w:r w:rsidRPr="00815B94">
        <w:rPr>
          <w:snapToGrid w:val="0"/>
          <w:szCs w:val="22"/>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D05BA6" w:rsidRPr="00815B94" w:rsidRDefault="00D05BA6" w:rsidP="00D05BA6">
      <w:pPr>
        <w:pStyle w:val="ONUMFS"/>
        <w:numPr>
          <w:ilvl w:val="0"/>
          <w:numId w:val="0"/>
        </w:numPr>
        <w:rPr>
          <w:b/>
          <w:szCs w:val="22"/>
        </w:rPr>
      </w:pPr>
      <w:r w:rsidRPr="00815B94">
        <w:rPr>
          <w:b/>
          <w:szCs w:val="22"/>
        </w:rPr>
        <w:t>Beneficiarios</w:t>
      </w:r>
    </w:p>
    <w:p w:rsidR="00D05BA6" w:rsidRPr="00815B94" w:rsidRDefault="00D05BA6" w:rsidP="00D05BA6">
      <w:pPr>
        <w:pStyle w:val="ONUMFS"/>
        <w:numPr>
          <w:ilvl w:val="0"/>
          <w:numId w:val="0"/>
        </w:numPr>
        <w:rPr>
          <w:szCs w:val="22"/>
        </w:rPr>
      </w:pPr>
      <w:r w:rsidRPr="00815B94">
        <w:rPr>
          <w:szCs w:val="22"/>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815B94">
        <w:rPr>
          <w:rStyle w:val="FootnoteReference"/>
          <w:szCs w:val="22"/>
        </w:rPr>
        <w:footnoteReference w:id="9"/>
      </w:r>
    </w:p>
    <w:p w:rsidR="00D05BA6" w:rsidRPr="00815B94" w:rsidRDefault="00D05BA6" w:rsidP="00D05BA6">
      <w:pPr>
        <w:pStyle w:val="ONUMFS"/>
        <w:numPr>
          <w:ilvl w:val="0"/>
          <w:numId w:val="0"/>
        </w:numPr>
        <w:rPr>
          <w:szCs w:val="22"/>
        </w:rPr>
      </w:pPr>
      <w:r w:rsidRPr="00815B94">
        <w:rPr>
          <w:szCs w:val="22"/>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D05BA6" w:rsidRPr="00815B94" w:rsidRDefault="00D05BA6" w:rsidP="00D05BA6">
      <w:pPr>
        <w:pStyle w:val="ONUMFS"/>
        <w:numPr>
          <w:ilvl w:val="0"/>
          <w:numId w:val="0"/>
        </w:numPr>
        <w:rPr>
          <w:szCs w:val="22"/>
        </w:rPr>
      </w:pPr>
      <w:r w:rsidRPr="00815B94">
        <w:rPr>
          <w:szCs w:val="22"/>
        </w:rPr>
        <w:t>En los debates sobre esta cuestión se ha señalado que el término podría incluir pueblos indígenas, comunidades indígenas, comunidades locales, comunidades tradicionales, comunidades culturales, naciones, individuos, grupos, familias y minorías.</w:t>
      </w:r>
    </w:p>
    <w:p w:rsidR="008A17C6" w:rsidRPr="00815B94" w:rsidRDefault="008A17C6" w:rsidP="00805F0C">
      <w:pPr>
        <w:pStyle w:val="ONUMFS"/>
        <w:keepNext/>
        <w:keepLines/>
        <w:numPr>
          <w:ilvl w:val="0"/>
          <w:numId w:val="0"/>
        </w:numPr>
        <w:rPr>
          <w:b/>
          <w:szCs w:val="22"/>
        </w:rPr>
      </w:pPr>
      <w:r w:rsidRPr="00815B94">
        <w:rPr>
          <w:b/>
          <w:snapToGrid w:val="0"/>
          <w:szCs w:val="22"/>
        </w:rPr>
        <w:lastRenderedPageBreak/>
        <w:t>Diversidad biológica</w:t>
      </w:r>
    </w:p>
    <w:p w:rsidR="008A17C6" w:rsidRPr="00815B94" w:rsidRDefault="008A17C6" w:rsidP="00805F0C">
      <w:pPr>
        <w:pStyle w:val="ONUMFS"/>
        <w:keepNext/>
        <w:keepLines/>
        <w:numPr>
          <w:ilvl w:val="0"/>
          <w:numId w:val="0"/>
        </w:numPr>
        <w:rPr>
          <w:snapToGrid w:val="0"/>
          <w:szCs w:val="22"/>
        </w:rPr>
      </w:pPr>
      <w:r w:rsidRPr="00815B94">
        <w:rPr>
          <w:szCs w:val="22"/>
        </w:rPr>
        <w:t xml:space="preserve">En el </w:t>
      </w:r>
      <w:r w:rsidRPr="00815B94">
        <w:rPr>
          <w:snapToGrid w:val="0"/>
          <w:szCs w:val="22"/>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093C99" w:rsidRPr="00815B94" w:rsidRDefault="00093C99" w:rsidP="00093C99">
      <w:pPr>
        <w:pStyle w:val="ONUMFS"/>
        <w:numPr>
          <w:ilvl w:val="0"/>
          <w:numId w:val="0"/>
        </w:numPr>
        <w:rPr>
          <w:b/>
          <w:szCs w:val="22"/>
        </w:rPr>
      </w:pPr>
      <w:r w:rsidRPr="00815B94">
        <w:rPr>
          <w:b/>
          <w:bCs/>
          <w:szCs w:val="22"/>
        </w:rPr>
        <w:t>Materia biológica</w:t>
      </w:r>
    </w:p>
    <w:p w:rsidR="00093C99" w:rsidRPr="00815B94" w:rsidRDefault="00093C99" w:rsidP="00093C99">
      <w:pPr>
        <w:pStyle w:val="ONUMFS"/>
        <w:numPr>
          <w:ilvl w:val="0"/>
          <w:numId w:val="0"/>
        </w:numPr>
        <w:rPr>
          <w:szCs w:val="22"/>
        </w:rPr>
      </w:pPr>
      <w:r w:rsidRPr="00815B94">
        <w:rPr>
          <w:szCs w:val="22"/>
        </w:rPr>
        <w:t>En la Directiva de la Unión Europea sobre la protección jurídica de las invenciones biotecnológicas, el término se define como “toda materia que contenga información genética y sea autorreproducible o reproducible en un sistema biológico”.</w:t>
      </w:r>
      <w:r w:rsidRPr="00815B94">
        <w:rPr>
          <w:rStyle w:val="FootnoteReference"/>
          <w:szCs w:val="22"/>
        </w:rPr>
        <w:footnoteReference w:id="10"/>
      </w:r>
      <w:r w:rsidRPr="00815B94">
        <w:rPr>
          <w:szCs w:val="22"/>
        </w:rPr>
        <w:t xml:space="preserve">  Con arreglo al Código de Reglamentos Federales estadounidense, debería incluirse, con respecto a este término, “material capaz de autorreproducirse directa o indirectamente”.</w:t>
      </w:r>
      <w:r w:rsidRPr="00815B94">
        <w:rPr>
          <w:rStyle w:val="FootnoteReference"/>
          <w:szCs w:val="22"/>
        </w:rPr>
        <w:footnoteReference w:id="11"/>
      </w:r>
      <w:r w:rsidRPr="00815B94">
        <w:rPr>
          <w:szCs w:val="22"/>
        </w:rPr>
        <w:t xml:space="preserve">  En el </w:t>
      </w:r>
      <w:r w:rsidRPr="00815B94">
        <w:rPr>
          <w:snapToGrid w:val="0"/>
          <w:szCs w:val="22"/>
        </w:rPr>
        <w:t xml:space="preserve">Convenio sobre la Diversidad Biológica (1992) </w:t>
      </w:r>
      <w:r w:rsidRPr="00815B94">
        <w:rPr>
          <w:szCs w:val="22"/>
        </w:rPr>
        <w:t>se utilizan los términos “recursos biológicos”, “material genético” y “recursos genéticos”.</w:t>
      </w:r>
    </w:p>
    <w:p w:rsidR="008D7358" w:rsidRPr="00815B94" w:rsidRDefault="008D7358" w:rsidP="008D7358">
      <w:pPr>
        <w:pStyle w:val="ONUMFS"/>
        <w:numPr>
          <w:ilvl w:val="0"/>
          <w:numId w:val="0"/>
        </w:numPr>
        <w:rPr>
          <w:b/>
          <w:szCs w:val="22"/>
        </w:rPr>
      </w:pPr>
      <w:r w:rsidRPr="00815B94">
        <w:rPr>
          <w:b/>
          <w:bCs/>
          <w:szCs w:val="22"/>
        </w:rPr>
        <w:t>Recursos biológicos</w:t>
      </w:r>
    </w:p>
    <w:p w:rsidR="008D7358" w:rsidRPr="00815B94" w:rsidRDefault="008D7358" w:rsidP="008D7358">
      <w:pPr>
        <w:pStyle w:val="ONUMFS"/>
        <w:numPr>
          <w:ilvl w:val="0"/>
          <w:numId w:val="0"/>
        </w:numPr>
        <w:rPr>
          <w:szCs w:val="22"/>
        </w:rPr>
      </w:pPr>
      <w:r w:rsidRPr="00815B94">
        <w:rPr>
          <w:szCs w:val="22"/>
        </w:rPr>
        <w:t xml:space="preserve">Según la definición del artículo 2 del </w:t>
      </w:r>
      <w:r w:rsidRPr="00815B94">
        <w:rPr>
          <w:snapToGrid w:val="0"/>
          <w:szCs w:val="22"/>
        </w:rPr>
        <w:t>Convenio sobre la Diversidad Biológica (1992)</w:t>
      </w:r>
      <w:r w:rsidRPr="00815B94">
        <w:rPr>
          <w:szCs w:val="22"/>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D7358" w:rsidRPr="00815B94" w:rsidRDefault="008D7358" w:rsidP="008D7358">
      <w:pPr>
        <w:pStyle w:val="ONUMFS"/>
        <w:numPr>
          <w:ilvl w:val="0"/>
          <w:numId w:val="0"/>
        </w:numPr>
        <w:rPr>
          <w:szCs w:val="22"/>
        </w:rPr>
      </w:pPr>
      <w:r w:rsidRPr="00815B94">
        <w:rPr>
          <w:szCs w:val="22"/>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D7358" w:rsidRPr="00815B94" w:rsidRDefault="008D7358" w:rsidP="008D7358">
      <w:pPr>
        <w:pStyle w:val="ONUMFS"/>
        <w:numPr>
          <w:ilvl w:val="0"/>
          <w:numId w:val="0"/>
        </w:numPr>
        <w:rPr>
          <w:b/>
          <w:bCs/>
          <w:szCs w:val="22"/>
        </w:rPr>
      </w:pPr>
      <w:r w:rsidRPr="00815B94">
        <w:rPr>
          <w:b/>
          <w:bCs/>
          <w:szCs w:val="22"/>
        </w:rPr>
        <w:t>Invenciones biotecnológicas</w:t>
      </w:r>
    </w:p>
    <w:p w:rsidR="008D7358" w:rsidRPr="00815B94" w:rsidRDefault="008D7358" w:rsidP="008D7358">
      <w:pPr>
        <w:pStyle w:val="ONUMFS"/>
        <w:numPr>
          <w:ilvl w:val="0"/>
          <w:numId w:val="0"/>
        </w:numPr>
        <w:rPr>
          <w:szCs w:val="22"/>
        </w:rPr>
      </w:pPr>
      <w:r w:rsidRPr="00815B94">
        <w:rPr>
          <w:szCs w:val="22"/>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815B94">
        <w:rPr>
          <w:rStyle w:val="FootnoteReference"/>
          <w:szCs w:val="22"/>
        </w:rPr>
        <w:footnoteReference w:id="12"/>
      </w:r>
      <w:r w:rsidRPr="00815B94">
        <w:rPr>
          <w:szCs w:val="22"/>
        </w:rPr>
        <w:t xml:space="preserve">  Las invenciones biotecnológicas se clasifican en tres categorías:  procesos para la creación o modificación de organismos vivos y material biológico, el resultado de tales procesos y la utilización de dichos resultados.</w:t>
      </w:r>
      <w:r w:rsidRPr="00815B94">
        <w:rPr>
          <w:rStyle w:val="FootnoteReference"/>
          <w:szCs w:val="22"/>
        </w:rPr>
        <w:footnoteReference w:id="13"/>
      </w:r>
      <w:r w:rsidRPr="00815B94">
        <w:rPr>
          <w:szCs w:val="22"/>
        </w:rPr>
        <w:t xml:space="preserve"> </w:t>
      </w:r>
    </w:p>
    <w:p w:rsidR="008D7358" w:rsidRPr="00815B94" w:rsidRDefault="008D7358" w:rsidP="00E96044">
      <w:pPr>
        <w:pStyle w:val="ONUMFS"/>
        <w:numPr>
          <w:ilvl w:val="0"/>
          <w:numId w:val="0"/>
        </w:numPr>
        <w:rPr>
          <w:b/>
          <w:bCs/>
          <w:szCs w:val="22"/>
        </w:rPr>
      </w:pPr>
      <w:r w:rsidRPr="00815B94">
        <w:rPr>
          <w:b/>
          <w:bCs/>
          <w:szCs w:val="22"/>
        </w:rPr>
        <w:t>Biotecnología</w:t>
      </w:r>
    </w:p>
    <w:p w:rsidR="008D7358" w:rsidRPr="004C6ED2" w:rsidRDefault="008D7358" w:rsidP="008D7358">
      <w:pPr>
        <w:pStyle w:val="ONUMFS"/>
        <w:numPr>
          <w:ilvl w:val="0"/>
          <w:numId w:val="0"/>
        </w:numPr>
        <w:rPr>
          <w:szCs w:val="22"/>
        </w:rPr>
      </w:pPr>
      <w:r w:rsidRPr="00815B94">
        <w:rPr>
          <w:szCs w:val="22"/>
        </w:rPr>
        <w:t xml:space="preserve">Según el artículo 2 del </w:t>
      </w:r>
      <w:r w:rsidRPr="00815B94">
        <w:rPr>
          <w:snapToGrid w:val="0"/>
          <w:szCs w:val="22"/>
        </w:rPr>
        <w:t>Convenio sobre la Diversidad Biológica (1992)</w:t>
      </w:r>
      <w:r w:rsidRPr="00815B94">
        <w:rPr>
          <w:szCs w:val="22"/>
        </w:rPr>
        <w:t xml:space="preserve">, “por </w:t>
      </w:r>
      <w:r w:rsidRPr="00815B94">
        <w:rPr>
          <w:rStyle w:val="Emphasis"/>
          <w:szCs w:val="22"/>
        </w:rPr>
        <w:t xml:space="preserve">biotecnología se entiende toda aplicación tecnológica que utilice sistemas biológicos y organismos vivos o sus derivados para la creación o modificación de productos o procesos para usos específicos”.  En el artículo 2 del </w:t>
      </w:r>
      <w:r w:rsidRPr="004C6ED2">
        <w:rPr>
          <w:szCs w:val="22"/>
        </w:rPr>
        <w:t>Protocolo de Nagoya sobre Acceso a los Recursos Genéticos y Participación Justa y Equitativa en los Beneficios que se Deriven de su Utilización (2010) se utiliza la misma definición.</w:t>
      </w:r>
    </w:p>
    <w:p w:rsidR="008D7358" w:rsidRPr="004C6ED2" w:rsidRDefault="008D7358" w:rsidP="00E96044">
      <w:pPr>
        <w:pStyle w:val="ONUMFS"/>
        <w:keepNext/>
        <w:keepLines/>
        <w:numPr>
          <w:ilvl w:val="0"/>
          <w:numId w:val="0"/>
        </w:numPr>
        <w:rPr>
          <w:i/>
          <w:szCs w:val="22"/>
        </w:rPr>
      </w:pPr>
      <w:r w:rsidRPr="004C6ED2">
        <w:rPr>
          <w:rStyle w:val="Emphasis"/>
          <w:i w:val="0"/>
          <w:szCs w:val="22"/>
        </w:rPr>
        <w:lastRenderedPageBreak/>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C6ED2">
        <w:rPr>
          <w:szCs w:val="22"/>
        </w:rPr>
        <w:t>”.</w:t>
      </w:r>
      <w:r w:rsidRPr="004C6ED2">
        <w:rPr>
          <w:rStyle w:val="FootnoteReference"/>
          <w:szCs w:val="22"/>
        </w:rPr>
        <w:footnoteReference w:id="14"/>
      </w:r>
    </w:p>
    <w:p w:rsidR="008D7358" w:rsidRPr="004C6ED2" w:rsidRDefault="008D7358" w:rsidP="008D7358">
      <w:pPr>
        <w:pStyle w:val="ONUMFS"/>
        <w:numPr>
          <w:ilvl w:val="0"/>
          <w:numId w:val="0"/>
        </w:numPr>
        <w:rPr>
          <w:i/>
          <w:szCs w:val="22"/>
        </w:rPr>
      </w:pPr>
      <w:r w:rsidRPr="004C6ED2">
        <w:rPr>
          <w:rStyle w:val="Emphasis"/>
          <w:i w:val="0"/>
          <w:szCs w:val="22"/>
        </w:rPr>
        <w:t xml:space="preserve">En el artículo 3 del Protocolo de Cartagena sobre Seguridad de la Biotecnología del Convenio sobre la Diversidad Biológica, adoptado en el año 2000, se establece lo siguiente:  “por biotecnología moderna se entiende la aplicación de:  a) técnicas </w:t>
      </w:r>
      <w:r w:rsidR="00D57BA9" w:rsidRPr="004C6ED2">
        <w:rPr>
          <w:rStyle w:val="Emphasis"/>
          <w:szCs w:val="22"/>
        </w:rPr>
        <w:t>in vitro</w:t>
      </w:r>
      <w:r w:rsidRPr="004C6ED2">
        <w:rPr>
          <w:rStyle w:val="Emphasis"/>
          <w:i w:val="0"/>
          <w:szCs w:val="22"/>
        </w:rPr>
        <w:t xml:space="preserve">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D7358" w:rsidRPr="004C6ED2" w:rsidRDefault="008D7358" w:rsidP="008D7358">
      <w:pPr>
        <w:pStyle w:val="ONUMFS"/>
        <w:numPr>
          <w:ilvl w:val="0"/>
          <w:numId w:val="0"/>
        </w:numPr>
        <w:rPr>
          <w:szCs w:val="22"/>
        </w:rPr>
      </w:pPr>
      <w:r w:rsidRPr="004C6ED2">
        <w:rPr>
          <w:szCs w:val="22"/>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C6ED2">
        <w:rPr>
          <w:rStyle w:val="Strong"/>
          <w:b w:val="0"/>
          <w:iCs/>
          <w:szCs w:val="22"/>
        </w:rPr>
        <w:t>.</w:t>
      </w:r>
      <w:r w:rsidRPr="004C6ED2">
        <w:rPr>
          <w:rStyle w:val="FootnoteReference"/>
          <w:bCs/>
          <w:iCs/>
          <w:szCs w:val="22"/>
        </w:rPr>
        <w:footnoteReference w:id="15"/>
      </w:r>
    </w:p>
    <w:p w:rsidR="008D7358" w:rsidRPr="004C6ED2" w:rsidRDefault="008D7358" w:rsidP="008D7358">
      <w:pPr>
        <w:pStyle w:val="ONUMFS"/>
        <w:numPr>
          <w:ilvl w:val="0"/>
          <w:numId w:val="0"/>
        </w:numPr>
        <w:rPr>
          <w:b/>
          <w:bCs/>
          <w:szCs w:val="22"/>
        </w:rPr>
      </w:pPr>
      <w:r w:rsidRPr="004C6ED2">
        <w:rPr>
          <w:b/>
          <w:bCs/>
          <w:szCs w:val="22"/>
        </w:rPr>
        <w:t>Directrices de Bonn sobre el Acceso a los Recursos Genéticos y la Participación Justa y Equitativa en los Beneficios Provenientes de su Utilización</w:t>
      </w:r>
    </w:p>
    <w:p w:rsidR="008D7358" w:rsidRPr="004C6ED2" w:rsidRDefault="008D7358" w:rsidP="008D7358">
      <w:pPr>
        <w:pStyle w:val="ONUMFS"/>
        <w:numPr>
          <w:ilvl w:val="0"/>
          <w:numId w:val="0"/>
        </w:numPr>
        <w:rPr>
          <w:szCs w:val="22"/>
        </w:rPr>
      </w:pPr>
      <w:r w:rsidRPr="004C6ED2">
        <w:rPr>
          <w:szCs w:val="22"/>
        </w:rPr>
        <w:t xml:space="preserve">Las Directrices de Bonn </w:t>
      </w:r>
      <w:r w:rsidR="003F7C64" w:rsidRPr="003F7C64">
        <w:rPr>
          <w:szCs w:val="22"/>
        </w:rPr>
        <w:t>sobre el Acceso a los Recursos Genéticos y la Participación Justa y Equitativa en los Beneficios Provenientes de su Utilización</w:t>
      </w:r>
      <w:r w:rsidR="003F7C64">
        <w:rPr>
          <w:szCs w:val="22"/>
        </w:rPr>
        <w:t xml:space="preserve"> </w:t>
      </w:r>
      <w:r w:rsidRPr="004C6ED2">
        <w:rPr>
          <w:szCs w:val="22"/>
        </w:rPr>
        <w:t>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4C6ED2">
        <w:rPr>
          <w:rStyle w:val="FootnoteReference"/>
          <w:szCs w:val="22"/>
        </w:rPr>
        <w:footnoteReference w:id="16"/>
      </w:r>
      <w:r w:rsidRPr="004C6ED2">
        <w:rPr>
          <w:szCs w:val="22"/>
        </w:rPr>
        <w:t xml:space="preserve">  Además, abarcan aspectos de procedimiento y reglamentación, en particular, en relación con el consentimiento fundamentado previo, y señalan formas monetarias y no monetarias de participación en los beneficios.</w:t>
      </w:r>
      <w:r w:rsidRPr="004C6ED2">
        <w:rPr>
          <w:rStyle w:val="FootnoteReference"/>
          <w:szCs w:val="22"/>
        </w:rPr>
        <w:footnoteReference w:id="17"/>
      </w:r>
    </w:p>
    <w:p w:rsidR="008D7358" w:rsidRPr="004C6ED2" w:rsidRDefault="008D7358" w:rsidP="008D7358">
      <w:pPr>
        <w:pStyle w:val="ONUMFS"/>
        <w:numPr>
          <w:ilvl w:val="0"/>
          <w:numId w:val="0"/>
        </w:numPr>
        <w:rPr>
          <w:b/>
          <w:szCs w:val="22"/>
        </w:rPr>
      </w:pPr>
      <w:r w:rsidRPr="004C6ED2">
        <w:rPr>
          <w:b/>
          <w:bCs/>
          <w:szCs w:val="22"/>
        </w:rPr>
        <w:t xml:space="preserve">Mecanismo de facilitación del Convenio sobre la Diversidad Biológica </w:t>
      </w:r>
    </w:p>
    <w:p w:rsidR="008D7358" w:rsidRPr="004C6ED2" w:rsidRDefault="008D7358" w:rsidP="008D7358">
      <w:pPr>
        <w:pStyle w:val="ONUMFS"/>
        <w:numPr>
          <w:ilvl w:val="0"/>
          <w:numId w:val="0"/>
        </w:numPr>
        <w:rPr>
          <w:szCs w:val="22"/>
        </w:rPr>
      </w:pPr>
      <w:r w:rsidRPr="004C6ED2">
        <w:rPr>
          <w:szCs w:val="22"/>
        </w:rPr>
        <w:t>Según el glosario que se utiliza en el Programa de Naciones Unidas para el Medio Ambiente, (PNUMA), el mecanismo de facilitación es un mecanismo que simplifica el intercambio de información o de transacciones entre diversas partes.</w:t>
      </w:r>
      <w:r w:rsidRPr="004C6ED2">
        <w:rPr>
          <w:rStyle w:val="FootnoteReference"/>
          <w:szCs w:val="22"/>
        </w:rPr>
        <w:footnoteReference w:id="18"/>
      </w:r>
      <w:r w:rsidRPr="004C6ED2">
        <w:rPr>
          <w:szCs w:val="22"/>
        </w:rPr>
        <w:t xml:space="preserve">  El mecanismo de facilitación del </w:t>
      </w:r>
      <w:r w:rsidRPr="004C6ED2">
        <w:rPr>
          <w:snapToGrid w:val="0"/>
          <w:szCs w:val="22"/>
        </w:rPr>
        <w:t>Convenio sobre la Diversidad Biológica</w:t>
      </w:r>
      <w:r w:rsidRPr="004C6ED2">
        <w:rPr>
          <w:i/>
          <w:snapToGrid w:val="0"/>
          <w:szCs w:val="22"/>
        </w:rPr>
        <w:t xml:space="preserve"> </w:t>
      </w:r>
      <w:r w:rsidRPr="004C6ED2">
        <w:rPr>
          <w:snapToGrid w:val="0"/>
          <w:szCs w:val="22"/>
        </w:rPr>
        <w:t>(1992) se estableció</w:t>
      </w:r>
      <w:r w:rsidRPr="004C6ED2">
        <w:rPr>
          <w:szCs w:val="22"/>
        </w:rPr>
        <w:t xml:space="preserve"> en virtud del artículo 18.3 del CDB.  Su finalidad es contribuir a la aplicación del Convenio mediante el fomento y la facilitación de la cooperación técnica y científica entre las partes, otros gobiernos y sectores interesados.</w:t>
      </w:r>
      <w:r w:rsidRPr="004C6ED2">
        <w:rPr>
          <w:rStyle w:val="FootnoteReference"/>
          <w:szCs w:val="22"/>
        </w:rPr>
        <w:footnoteReference w:id="19"/>
      </w:r>
    </w:p>
    <w:p w:rsidR="008D7358" w:rsidRPr="004C6ED2" w:rsidRDefault="008D7358" w:rsidP="00B5261E">
      <w:pPr>
        <w:pStyle w:val="ONUMFS"/>
        <w:keepNext/>
        <w:keepLines/>
        <w:numPr>
          <w:ilvl w:val="0"/>
          <w:numId w:val="0"/>
        </w:numPr>
        <w:rPr>
          <w:b/>
          <w:szCs w:val="22"/>
        </w:rPr>
      </w:pPr>
      <w:r w:rsidRPr="004C6ED2">
        <w:rPr>
          <w:b/>
          <w:bCs/>
          <w:szCs w:val="22"/>
        </w:rPr>
        <w:lastRenderedPageBreak/>
        <w:t>Conocimientos tradicionales codificados</w:t>
      </w:r>
    </w:p>
    <w:p w:rsidR="008D7358" w:rsidRPr="004C6ED2" w:rsidRDefault="008D7358" w:rsidP="00B5261E">
      <w:pPr>
        <w:pStyle w:val="ONUMFS"/>
        <w:keepNext/>
        <w:keepLines/>
        <w:numPr>
          <w:ilvl w:val="0"/>
          <w:numId w:val="0"/>
        </w:numPr>
        <w:rPr>
          <w:szCs w:val="22"/>
        </w:rPr>
      </w:pPr>
      <w:r w:rsidRPr="004C6ED2">
        <w:rPr>
          <w:szCs w:val="22"/>
        </w:rPr>
        <w:t>Por “conocimientos tradicionales codificados” se entiende “</w:t>
      </w:r>
      <w:r w:rsidRPr="004C6ED2">
        <w:rPr>
          <w:iCs/>
          <w:szCs w:val="22"/>
        </w:rPr>
        <w:t>conocimientos tradicionales que se presentan de una manera sistemática y estructurada, en la que los conocimientos están ordenados, organizados, clasificados y categorizados de alguna forma</w:t>
      </w:r>
      <w:r w:rsidRPr="004C6ED2">
        <w:rPr>
          <w:szCs w:val="22"/>
        </w:rPr>
        <w:t>”.</w:t>
      </w:r>
      <w:r w:rsidRPr="004C6ED2">
        <w:rPr>
          <w:rStyle w:val="FootnoteReference"/>
          <w:szCs w:val="22"/>
        </w:rPr>
        <w:footnoteReference w:id="20"/>
      </w:r>
    </w:p>
    <w:p w:rsidR="008D7358" w:rsidRPr="004C6ED2" w:rsidRDefault="008D7358" w:rsidP="008D7358">
      <w:pPr>
        <w:pStyle w:val="ONUMFS"/>
        <w:numPr>
          <w:ilvl w:val="0"/>
          <w:numId w:val="0"/>
        </w:numPr>
        <w:rPr>
          <w:szCs w:val="22"/>
        </w:rPr>
      </w:pPr>
      <w:r w:rsidRPr="004C6ED2">
        <w:rPr>
          <w:szCs w:val="22"/>
        </w:rPr>
        <w:t xml:space="preserve">En el ámbito de la medicina tradicional, por ejemplo, el Equipo sobre Medicina Tradicional de la Organización Mundial de la Salud (OMS) distingue entre:  a) sistemas </w:t>
      </w:r>
      <w:r w:rsidRPr="004C6ED2">
        <w:rPr>
          <w:i/>
          <w:iCs/>
          <w:szCs w:val="22"/>
        </w:rPr>
        <w:t xml:space="preserve">codificados </w:t>
      </w:r>
      <w:r w:rsidRPr="004C6ED2">
        <w:rPr>
          <w:szCs w:val="22"/>
        </w:rPr>
        <w:t>de medicina tradicional, que han sido divulgados por escrito en antiguos textos y que pertenecen enteramente al dominio público, por ejemplo, la medicina Ayurveda divulgada en los antiguos textos sánscritos</w:t>
      </w:r>
      <w:r w:rsidRPr="004C6ED2">
        <w:rPr>
          <w:rStyle w:val="FootnoteReference"/>
          <w:szCs w:val="22"/>
        </w:rPr>
        <w:footnoteReference w:id="21"/>
      </w:r>
      <w:r w:rsidRPr="004C6ED2">
        <w:rPr>
          <w:szCs w:val="22"/>
        </w:rPr>
        <w:t xml:space="preserve"> o la medicina tradicional china divulgada en antiguos textos médicos chinos</w:t>
      </w:r>
      <w:r w:rsidRPr="004C6ED2">
        <w:rPr>
          <w:rStyle w:val="FootnoteReference"/>
          <w:szCs w:val="22"/>
        </w:rPr>
        <w:footnoteReference w:id="22"/>
      </w:r>
      <w:r w:rsidRPr="004C6ED2">
        <w:rPr>
          <w:szCs w:val="22"/>
        </w:rPr>
        <w:t xml:space="preserve"> y b) conocimientos de medicina tradicional </w:t>
      </w:r>
      <w:r w:rsidRPr="004C6ED2">
        <w:rPr>
          <w:i/>
          <w:iCs/>
          <w:szCs w:val="22"/>
        </w:rPr>
        <w:t>no codificados</w:t>
      </w:r>
      <w:r w:rsidRPr="004C6ED2">
        <w:rPr>
          <w:szCs w:val="22"/>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C6ED2">
        <w:rPr>
          <w:rStyle w:val="FootnoteReference"/>
          <w:szCs w:val="22"/>
        </w:rPr>
        <w:footnoteReference w:id="23"/>
      </w:r>
    </w:p>
    <w:p w:rsidR="008D7358" w:rsidRPr="004C6ED2" w:rsidRDefault="008D7358" w:rsidP="008D7358">
      <w:pPr>
        <w:pStyle w:val="ONUMFS"/>
        <w:numPr>
          <w:ilvl w:val="0"/>
          <w:numId w:val="0"/>
        </w:numPr>
        <w:rPr>
          <w:szCs w:val="22"/>
        </w:rPr>
      </w:pPr>
      <w:r w:rsidRPr="004C6ED2">
        <w:rPr>
          <w:szCs w:val="22"/>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4C6ED2">
        <w:rPr>
          <w:rStyle w:val="FootnoteReference"/>
          <w:szCs w:val="22"/>
        </w:rPr>
        <w:footnoteReference w:id="24"/>
      </w:r>
      <w:r w:rsidRPr="004C6ED2">
        <w:rPr>
          <w:szCs w:val="22"/>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D7358" w:rsidRPr="004C6ED2" w:rsidRDefault="008D7358" w:rsidP="008D7358">
      <w:pPr>
        <w:pStyle w:val="ONUMFS"/>
        <w:numPr>
          <w:ilvl w:val="0"/>
          <w:numId w:val="0"/>
        </w:numPr>
        <w:rPr>
          <w:b/>
          <w:szCs w:val="22"/>
        </w:rPr>
      </w:pPr>
      <w:r w:rsidRPr="004C6ED2">
        <w:rPr>
          <w:b/>
          <w:bCs/>
          <w:szCs w:val="22"/>
        </w:rPr>
        <w:t>Consulta</w:t>
      </w:r>
    </w:p>
    <w:p w:rsidR="008D7358" w:rsidRPr="004C6ED2" w:rsidRDefault="008D7358" w:rsidP="008D735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es “parecer o dictamen que por escrito o de palabra se pide o se da acerca de algo” y, a su vez, en el </w:t>
      </w:r>
      <w:r w:rsidRPr="004C6ED2">
        <w:rPr>
          <w:i/>
          <w:iCs/>
          <w:szCs w:val="22"/>
        </w:rPr>
        <w:t>Diccionario de uso del español</w:t>
      </w:r>
      <w:r w:rsidRPr="004C6ED2">
        <w:rPr>
          <w:szCs w:val="22"/>
        </w:rPr>
        <w:t xml:space="preserve"> de María Moliner “consultar” quiere decir “preguntar su opinión a otra u otras personas y tratar con ellas cierto asunto”.</w:t>
      </w:r>
    </w:p>
    <w:p w:rsidR="008D7358" w:rsidRPr="004C6ED2" w:rsidRDefault="008D7358" w:rsidP="008D7358">
      <w:pPr>
        <w:pStyle w:val="ONUMFS"/>
        <w:numPr>
          <w:ilvl w:val="0"/>
          <w:numId w:val="0"/>
        </w:numPr>
        <w:rPr>
          <w:szCs w:val="22"/>
        </w:rPr>
      </w:pPr>
      <w:r w:rsidRPr="004C6ED2">
        <w:rPr>
          <w:szCs w:val="22"/>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4C6ED2">
        <w:rPr>
          <w:rStyle w:val="FootnoteReference"/>
          <w:szCs w:val="22"/>
        </w:rPr>
        <w:footnoteReference w:id="25"/>
      </w:r>
    </w:p>
    <w:p w:rsidR="008D7358" w:rsidRPr="004C6ED2" w:rsidRDefault="008D7358" w:rsidP="008D7358">
      <w:pPr>
        <w:pStyle w:val="ONUMFS"/>
        <w:numPr>
          <w:ilvl w:val="0"/>
          <w:numId w:val="0"/>
        </w:numPr>
        <w:rPr>
          <w:szCs w:val="22"/>
        </w:rPr>
      </w:pPr>
      <w:r w:rsidRPr="004C6ED2">
        <w:rPr>
          <w:szCs w:val="22"/>
        </w:rPr>
        <w:lastRenderedPageBreak/>
        <w:t xml:space="preserve">En el Convenio </w:t>
      </w:r>
      <w:r w:rsidR="00D57BA9" w:rsidRPr="004C6ED2">
        <w:rPr>
          <w:szCs w:val="22"/>
        </w:rPr>
        <w:t>Nº </w:t>
      </w:r>
      <w:r w:rsidRPr="004C6ED2">
        <w:rPr>
          <w:szCs w:val="22"/>
        </w:rPr>
        <w:t>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D7358" w:rsidRPr="004C6ED2" w:rsidRDefault="008D7358" w:rsidP="00B5261E">
      <w:pPr>
        <w:pStyle w:val="ONUMFS"/>
        <w:numPr>
          <w:ilvl w:val="0"/>
          <w:numId w:val="0"/>
        </w:numPr>
        <w:rPr>
          <w:b/>
          <w:szCs w:val="22"/>
        </w:rPr>
      </w:pPr>
      <w:r w:rsidRPr="004C6ED2">
        <w:rPr>
          <w:b/>
          <w:szCs w:val="22"/>
        </w:rPr>
        <w:t>Convenio sobre la Diversidad Biológica (CDB)</w:t>
      </w:r>
    </w:p>
    <w:p w:rsidR="008D7358" w:rsidRPr="004C6ED2" w:rsidRDefault="008D7358" w:rsidP="008D7358">
      <w:pPr>
        <w:pStyle w:val="ONUMFS"/>
        <w:numPr>
          <w:ilvl w:val="0"/>
          <w:numId w:val="0"/>
        </w:numPr>
        <w:rPr>
          <w:szCs w:val="22"/>
        </w:rPr>
      </w:pPr>
      <w:r w:rsidRPr="004C6ED2">
        <w:rPr>
          <w:szCs w:val="22"/>
        </w:rPr>
        <w:t>Convenio internacional adoptado en 1992 durante la Conferencia de las Naciones Unidas sobre el Medio Ambiente y el Desarrollo, celebrada en Río de Janeiro (Brasil).  Conforme a su artículo 1, tiene por objetivos “</w:t>
      </w:r>
      <w:r w:rsidRPr="004C6ED2">
        <w:rPr>
          <w:iCs/>
          <w:szCs w:val="22"/>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C6ED2">
        <w:rPr>
          <w:szCs w:val="22"/>
        </w:rPr>
        <w:t>El CDB entró en vigor el 29 de diciembre de 1993.</w:t>
      </w:r>
    </w:p>
    <w:p w:rsidR="00BA2701" w:rsidRPr="004C6ED2" w:rsidRDefault="00BA2701" w:rsidP="00BA2701">
      <w:pPr>
        <w:pStyle w:val="ONUMFS"/>
        <w:numPr>
          <w:ilvl w:val="0"/>
          <w:numId w:val="0"/>
        </w:numPr>
        <w:rPr>
          <w:b/>
          <w:szCs w:val="22"/>
        </w:rPr>
      </w:pPr>
      <w:r w:rsidRPr="004C6ED2">
        <w:rPr>
          <w:b/>
          <w:bCs/>
          <w:szCs w:val="22"/>
        </w:rPr>
        <w:t>País de origen de los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de origen de recursos genéticos se entiende el país que posee esos recursos genéticos en condiciones </w:t>
      </w:r>
      <w:r w:rsidR="00D57BA9" w:rsidRPr="004C6ED2">
        <w:rPr>
          <w:i/>
          <w:iCs/>
          <w:szCs w:val="22"/>
        </w:rPr>
        <w:t>in situ</w:t>
      </w:r>
      <w:r w:rsidRPr="004C6ED2">
        <w:rPr>
          <w:szCs w:val="22"/>
        </w:rPr>
        <w:t xml:space="preserve">”.  En otras definiciones se incluyen recursos genéticos en condiciones </w:t>
      </w:r>
      <w:r w:rsidR="00D57BA9" w:rsidRPr="004C6ED2">
        <w:rPr>
          <w:i/>
          <w:iCs/>
          <w:szCs w:val="22"/>
        </w:rPr>
        <w:t>ex situ</w:t>
      </w:r>
      <w:r w:rsidRPr="004C6ED2">
        <w:rPr>
          <w:szCs w:val="22"/>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00D57BA9" w:rsidRPr="004C6ED2">
        <w:rPr>
          <w:i/>
          <w:iCs/>
          <w:szCs w:val="22"/>
        </w:rPr>
        <w:t>in situ</w:t>
      </w:r>
      <w:r w:rsidRPr="004C6ED2">
        <w:rPr>
          <w:szCs w:val="22"/>
        </w:rPr>
        <w:t xml:space="preserve">, incluyendo aquellos que habiendo estado en dichas condiciones, se encuentran en condiciones </w:t>
      </w:r>
      <w:r w:rsidR="00D57BA9" w:rsidRPr="004C6ED2">
        <w:rPr>
          <w:i/>
          <w:iCs/>
          <w:szCs w:val="22"/>
        </w:rPr>
        <w:t>ex situ</w:t>
      </w:r>
      <w:r w:rsidRPr="004C6ED2">
        <w:rPr>
          <w:szCs w:val="22"/>
        </w:rPr>
        <w:t>”.</w:t>
      </w:r>
    </w:p>
    <w:p w:rsidR="00BA2701" w:rsidRPr="004C6ED2" w:rsidRDefault="00BA2701" w:rsidP="00BA2701">
      <w:pPr>
        <w:pStyle w:val="ONUMFS"/>
        <w:numPr>
          <w:ilvl w:val="0"/>
          <w:numId w:val="0"/>
        </w:numPr>
        <w:rPr>
          <w:b/>
          <w:szCs w:val="22"/>
        </w:rPr>
      </w:pPr>
      <w:r w:rsidRPr="004C6ED2">
        <w:rPr>
          <w:b/>
          <w:bCs/>
          <w:szCs w:val="22"/>
        </w:rPr>
        <w:t>País que aporta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que aporta recursos genéticos se entiende el país que suministra recursos genéticos obtenidos de fuentes </w:t>
      </w:r>
      <w:r w:rsidR="00D57BA9" w:rsidRPr="004C6ED2">
        <w:rPr>
          <w:i/>
          <w:iCs/>
          <w:szCs w:val="22"/>
        </w:rPr>
        <w:t>in situ</w:t>
      </w:r>
      <w:r w:rsidRPr="004C6ED2">
        <w:rPr>
          <w:szCs w:val="22"/>
        </w:rPr>
        <w:t xml:space="preserve">, incluidas las poblaciones de especies silvestres y domesticadas, o de fuentes </w:t>
      </w:r>
      <w:r w:rsidR="00D57BA9" w:rsidRPr="004C6ED2">
        <w:rPr>
          <w:i/>
          <w:iCs/>
          <w:szCs w:val="22"/>
        </w:rPr>
        <w:t>ex situ</w:t>
      </w:r>
      <w:r w:rsidRPr="004C6ED2">
        <w:rPr>
          <w:szCs w:val="22"/>
        </w:rPr>
        <w:t>, que pueden tener o no su origen en ese país”.</w:t>
      </w:r>
    </w:p>
    <w:p w:rsidR="00BA2701" w:rsidRPr="004C6ED2" w:rsidRDefault="00BA2701" w:rsidP="00BA2701">
      <w:pPr>
        <w:pStyle w:val="ONUMFS"/>
        <w:numPr>
          <w:ilvl w:val="0"/>
          <w:numId w:val="0"/>
        </w:numPr>
        <w:rPr>
          <w:b/>
          <w:szCs w:val="22"/>
        </w:rPr>
      </w:pPr>
      <w:r w:rsidRPr="004C6ED2">
        <w:rPr>
          <w:b/>
          <w:bCs/>
          <w:szCs w:val="22"/>
        </w:rPr>
        <w:t>Comunidad cultural</w:t>
      </w:r>
    </w:p>
    <w:p w:rsidR="00BA2701" w:rsidRPr="004C6ED2" w:rsidRDefault="00BA2701" w:rsidP="00BA2701">
      <w:pPr>
        <w:pStyle w:val="ONUMFS"/>
        <w:numPr>
          <w:ilvl w:val="0"/>
          <w:numId w:val="0"/>
        </w:numPr>
        <w:rPr>
          <w:szCs w:val="22"/>
        </w:rPr>
      </w:pPr>
      <w:bookmarkStart w:id="7" w:name="_Ref289689074"/>
      <w:bookmarkEnd w:id="7"/>
      <w:r w:rsidRPr="004C6ED2">
        <w:rPr>
          <w:szCs w:val="22"/>
        </w:rPr>
        <w:t>“Grupo social que se sustenta en profundos y estrechos vínculos de unidad y solidaridad y el cual se distingue de las demás comunidades por la cultura o la fisonomía cultural que le son propias o, en su defecto, por una variedad de la cultura general”.</w:t>
      </w:r>
      <w:r w:rsidRPr="004C6ED2">
        <w:rPr>
          <w:rStyle w:val="FootnoteReference"/>
          <w:szCs w:val="22"/>
        </w:rPr>
        <w:footnoteReference w:id="26"/>
      </w:r>
    </w:p>
    <w:p w:rsidR="00BA2701" w:rsidRPr="004C6ED2" w:rsidRDefault="00BA2701" w:rsidP="00BA2701">
      <w:pPr>
        <w:pStyle w:val="ONUMFS"/>
        <w:numPr>
          <w:ilvl w:val="0"/>
          <w:numId w:val="0"/>
        </w:numPr>
        <w:rPr>
          <w:b/>
          <w:bCs/>
          <w:szCs w:val="22"/>
        </w:rPr>
      </w:pPr>
      <w:r w:rsidRPr="004C6ED2">
        <w:rPr>
          <w:b/>
          <w:bCs/>
          <w:szCs w:val="22"/>
        </w:rPr>
        <w:t>Diversidad cultural</w:t>
      </w:r>
    </w:p>
    <w:p w:rsidR="00BA2701" w:rsidRPr="004C6ED2" w:rsidRDefault="00BA2701" w:rsidP="00BA2701">
      <w:pPr>
        <w:pStyle w:val="ONUMFS"/>
        <w:numPr>
          <w:ilvl w:val="0"/>
          <w:numId w:val="0"/>
        </w:numPr>
        <w:rPr>
          <w:szCs w:val="22"/>
        </w:rPr>
      </w:pPr>
      <w:r w:rsidRPr="004C6ED2">
        <w:rPr>
          <w:szCs w:val="22"/>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4C6ED2">
        <w:rPr>
          <w:rStyle w:val="FootnoteReference"/>
          <w:szCs w:val="22"/>
        </w:rPr>
        <w:footnoteReference w:id="27"/>
      </w:r>
    </w:p>
    <w:p w:rsidR="00BA2701" w:rsidRPr="004C6ED2" w:rsidRDefault="00BA2701" w:rsidP="00B5261E">
      <w:pPr>
        <w:pStyle w:val="ONUMFS"/>
        <w:keepNext/>
        <w:keepLines/>
        <w:numPr>
          <w:ilvl w:val="0"/>
          <w:numId w:val="0"/>
        </w:numPr>
        <w:rPr>
          <w:b/>
          <w:bCs/>
          <w:szCs w:val="22"/>
        </w:rPr>
      </w:pPr>
      <w:r w:rsidRPr="004C6ED2">
        <w:rPr>
          <w:b/>
          <w:bCs/>
          <w:szCs w:val="22"/>
        </w:rPr>
        <w:lastRenderedPageBreak/>
        <w:t>Expresiones culturales</w:t>
      </w:r>
    </w:p>
    <w:p w:rsidR="00BA2701" w:rsidRPr="004C6ED2" w:rsidRDefault="00BA2701" w:rsidP="00B5261E">
      <w:pPr>
        <w:pStyle w:val="ONUMFS"/>
        <w:keepNext/>
        <w:keepLines/>
        <w:numPr>
          <w:ilvl w:val="0"/>
          <w:numId w:val="0"/>
        </w:numPr>
        <w:rPr>
          <w:szCs w:val="22"/>
        </w:rPr>
      </w:pPr>
      <w:r w:rsidRPr="004C6ED2">
        <w:rPr>
          <w:szCs w:val="22"/>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4C6ED2">
        <w:rPr>
          <w:rStyle w:val="FootnoteReference"/>
          <w:szCs w:val="22"/>
        </w:rPr>
        <w:footnoteReference w:id="28"/>
      </w:r>
    </w:p>
    <w:p w:rsidR="00BA2701" w:rsidRPr="004C6ED2" w:rsidRDefault="00BA2701" w:rsidP="00BA2701">
      <w:pPr>
        <w:pStyle w:val="ONUMFS"/>
        <w:numPr>
          <w:ilvl w:val="0"/>
          <w:numId w:val="0"/>
        </w:numPr>
        <w:rPr>
          <w:b/>
          <w:bCs/>
          <w:szCs w:val="22"/>
        </w:rPr>
      </w:pPr>
      <w:r w:rsidRPr="004C6ED2">
        <w:rPr>
          <w:b/>
          <w:bCs/>
          <w:szCs w:val="22"/>
        </w:rPr>
        <w:t>Patrimonio cultural</w:t>
      </w:r>
    </w:p>
    <w:p w:rsidR="00BA2701" w:rsidRPr="004C6ED2" w:rsidRDefault="00BA2701" w:rsidP="00BA2701">
      <w:pPr>
        <w:pStyle w:val="ONUMFS"/>
        <w:numPr>
          <w:ilvl w:val="0"/>
          <w:numId w:val="0"/>
        </w:numPr>
        <w:rPr>
          <w:szCs w:val="22"/>
        </w:rPr>
      </w:pPr>
      <w:r w:rsidRPr="004C6ED2">
        <w:rPr>
          <w:szCs w:val="22"/>
        </w:rPr>
        <w:t>Según el artículo 1 de la Convención de la UNESCO sobre la Protección del Patrimonio Mundial Cultural y Natural (1972), el “patrimonio cultural” comprende lo siguiente:</w:t>
      </w:r>
    </w:p>
    <w:p w:rsidR="00BA2701" w:rsidRPr="004C6ED2" w:rsidRDefault="00BA2701" w:rsidP="00560AD6">
      <w:pPr>
        <w:pStyle w:val="ONUMFS"/>
        <w:numPr>
          <w:ilvl w:val="0"/>
          <w:numId w:val="0"/>
        </w:numPr>
        <w:ind w:left="567"/>
        <w:rPr>
          <w:i/>
          <w:iCs/>
          <w:szCs w:val="22"/>
        </w:rPr>
      </w:pPr>
      <w:r w:rsidRPr="004C6ED2">
        <w:rPr>
          <w:i/>
          <w:iCs/>
          <w:szCs w:val="22"/>
        </w:rPr>
        <w:t>“a)</w:t>
      </w:r>
      <w:r w:rsidRPr="004C6ED2">
        <w:rPr>
          <w:i/>
          <w:iCs/>
          <w:szCs w:val="22"/>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BA2701" w:rsidRPr="004C6ED2" w:rsidRDefault="00BA2701" w:rsidP="00560AD6">
      <w:pPr>
        <w:pStyle w:val="ONUMFS"/>
        <w:numPr>
          <w:ilvl w:val="0"/>
          <w:numId w:val="0"/>
        </w:numPr>
        <w:ind w:left="567"/>
        <w:rPr>
          <w:i/>
          <w:iCs/>
          <w:szCs w:val="22"/>
        </w:rPr>
      </w:pPr>
      <w:r w:rsidRPr="004C6ED2">
        <w:rPr>
          <w:i/>
          <w:iCs/>
          <w:szCs w:val="22"/>
        </w:rPr>
        <w:t>b)</w:t>
      </w:r>
      <w:r w:rsidRPr="004C6ED2">
        <w:rPr>
          <w:i/>
          <w:iCs/>
          <w:szCs w:val="22"/>
        </w:rPr>
        <w:tab/>
        <w:t>conjuntos:  grupos de construcciones, aisladas o reunidas, cuya arquitectura, unidad e integración en el paisaje les dé un valor universal excepcional desde el punto de vista de la historia, del arte o de la ciencia;</w:t>
      </w:r>
    </w:p>
    <w:p w:rsidR="00BA2701" w:rsidRPr="004C6ED2" w:rsidRDefault="00BA2701" w:rsidP="00560AD6">
      <w:pPr>
        <w:pStyle w:val="ONUMFS"/>
        <w:numPr>
          <w:ilvl w:val="0"/>
          <w:numId w:val="0"/>
        </w:numPr>
        <w:ind w:left="567"/>
        <w:rPr>
          <w:szCs w:val="22"/>
        </w:rPr>
      </w:pPr>
      <w:r w:rsidRPr="004C6ED2">
        <w:rPr>
          <w:i/>
          <w:iCs/>
          <w:szCs w:val="22"/>
        </w:rPr>
        <w:t>c)</w:t>
      </w:r>
      <w:r w:rsidRPr="004C6ED2">
        <w:rPr>
          <w:i/>
          <w:iCs/>
          <w:szCs w:val="22"/>
        </w:rPr>
        <w:tab/>
        <w:t>lugares:  obras del hombre u obras conjuntas del hombre y la naturaleza así como las zonas incluidos los lugares arqueológicos que tengan un valor universal excepcional desde el punto de vista histórico, estético, etnológico o antropológico.”</w:t>
      </w:r>
    </w:p>
    <w:p w:rsidR="00BA2701" w:rsidRPr="004C6ED2" w:rsidRDefault="00BA2701" w:rsidP="00BA2701">
      <w:pPr>
        <w:pStyle w:val="ONUMFS"/>
        <w:numPr>
          <w:ilvl w:val="0"/>
          <w:numId w:val="0"/>
        </w:numPr>
        <w:rPr>
          <w:b/>
          <w:bCs/>
          <w:szCs w:val="22"/>
        </w:rPr>
      </w:pPr>
      <w:r w:rsidRPr="004C6ED2">
        <w:rPr>
          <w:b/>
          <w:bCs/>
          <w:szCs w:val="22"/>
        </w:rPr>
        <w:t>Identidad cultural</w:t>
      </w:r>
    </w:p>
    <w:p w:rsidR="00BA2701" w:rsidRPr="004C6ED2" w:rsidRDefault="00BA2701" w:rsidP="00BA2701">
      <w:pPr>
        <w:pStyle w:val="ONUMFS"/>
        <w:numPr>
          <w:ilvl w:val="0"/>
          <w:numId w:val="0"/>
        </w:numPr>
        <w:rPr>
          <w:szCs w:val="22"/>
        </w:rPr>
      </w:pPr>
      <w:r w:rsidRPr="004C6ED2">
        <w:rPr>
          <w:szCs w:val="22"/>
        </w:rPr>
        <w:t>Designa la correspondencia que existe entre la comunidad (nacional, étnica, lingüística, etcétera) y su vida cultural, así como el derecho de la comunidad a la propia cultura.</w:t>
      </w:r>
      <w:r w:rsidRPr="004C6ED2">
        <w:rPr>
          <w:rStyle w:val="FootnoteReference"/>
          <w:szCs w:val="22"/>
        </w:rPr>
        <w:footnoteReference w:id="29"/>
      </w:r>
      <w:r w:rsidRPr="004C6ED2">
        <w:rPr>
          <w:szCs w:val="22"/>
        </w:rPr>
        <w:t xml:space="preserve">  En el Convenio </w:t>
      </w:r>
      <w:r w:rsidR="00D57BA9" w:rsidRPr="004C6ED2">
        <w:rPr>
          <w:szCs w:val="22"/>
        </w:rPr>
        <w:t>Nº </w:t>
      </w:r>
      <w:r w:rsidRPr="004C6ED2">
        <w:rPr>
          <w:szCs w:val="22"/>
        </w:rPr>
        <w:t>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4C6ED2">
        <w:rPr>
          <w:rStyle w:val="FootnoteReference"/>
          <w:szCs w:val="22"/>
        </w:rPr>
        <w:footnoteReference w:id="30"/>
      </w:r>
    </w:p>
    <w:p w:rsidR="00114A0A" w:rsidRPr="004C6ED2" w:rsidRDefault="00114A0A" w:rsidP="00114A0A">
      <w:pPr>
        <w:pStyle w:val="ONUMFS"/>
        <w:numPr>
          <w:ilvl w:val="0"/>
          <w:numId w:val="0"/>
        </w:numPr>
        <w:rPr>
          <w:b/>
          <w:bCs/>
          <w:szCs w:val="22"/>
        </w:rPr>
      </w:pPr>
      <w:r w:rsidRPr="004C6ED2">
        <w:rPr>
          <w:b/>
          <w:bCs/>
          <w:szCs w:val="22"/>
        </w:rPr>
        <w:t>Bienes culturales</w:t>
      </w:r>
    </w:p>
    <w:p w:rsidR="00114A0A" w:rsidRPr="004C6ED2" w:rsidRDefault="00114A0A" w:rsidP="00114A0A">
      <w:pPr>
        <w:pStyle w:val="ONUMFS"/>
        <w:numPr>
          <w:ilvl w:val="0"/>
          <w:numId w:val="0"/>
        </w:numPr>
        <w:rPr>
          <w:szCs w:val="22"/>
        </w:rPr>
      </w:pPr>
      <w:r w:rsidRPr="004C6ED2">
        <w:rPr>
          <w:szCs w:val="22"/>
        </w:rPr>
        <w:t xml:space="preserve">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w:t>
      </w:r>
      <w:r w:rsidRPr="004C6ED2">
        <w:rPr>
          <w:szCs w:val="22"/>
        </w:rPr>
        <w:lastRenderedPageBreak/>
        <w:t>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114A0A" w:rsidRPr="004C6ED2" w:rsidRDefault="00114A0A" w:rsidP="00114A0A">
      <w:pPr>
        <w:pStyle w:val="ONUMFS"/>
        <w:numPr>
          <w:ilvl w:val="0"/>
          <w:numId w:val="0"/>
        </w:numPr>
        <w:rPr>
          <w:b/>
          <w:bCs/>
          <w:szCs w:val="22"/>
        </w:rPr>
      </w:pPr>
      <w:r w:rsidRPr="004C6ED2">
        <w:rPr>
          <w:b/>
          <w:bCs/>
          <w:szCs w:val="22"/>
        </w:rPr>
        <w:t>Custodio</w:t>
      </w:r>
    </w:p>
    <w:p w:rsidR="00114A0A" w:rsidRPr="004C6ED2" w:rsidRDefault="00114A0A" w:rsidP="00114A0A">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término “custodio” como “cuidador, guardián, vigilante, depositario”.  A su vez, en el </w:t>
      </w:r>
      <w:r w:rsidRPr="004C6ED2">
        <w:rPr>
          <w:i/>
          <w:iCs/>
          <w:szCs w:val="22"/>
        </w:rPr>
        <w:t>Diccionario de la lengua española</w:t>
      </w:r>
      <w:r w:rsidRPr="004C6ED2">
        <w:rPr>
          <w:szCs w:val="22"/>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8" w:name="sdfootnote15anc"/>
      <w:r w:rsidRPr="004C6ED2">
        <w:rPr>
          <w:szCs w:val="22"/>
        </w:rPr>
        <w:t>.</w:t>
      </w:r>
      <w:bookmarkEnd w:id="8"/>
    </w:p>
    <w:p w:rsidR="00114A0A" w:rsidRPr="004C6ED2" w:rsidRDefault="00114A0A" w:rsidP="00114A0A">
      <w:pPr>
        <w:pStyle w:val="ONUMFS"/>
        <w:numPr>
          <w:ilvl w:val="0"/>
          <w:numId w:val="0"/>
        </w:numPr>
        <w:rPr>
          <w:b/>
          <w:bCs/>
          <w:szCs w:val="22"/>
        </w:rPr>
      </w:pPr>
      <w:r w:rsidRPr="004C6ED2">
        <w:rPr>
          <w:b/>
          <w:bCs/>
          <w:szCs w:val="22"/>
        </w:rPr>
        <w:t>Contexto consuetudinario</w:t>
      </w:r>
    </w:p>
    <w:p w:rsidR="00114A0A" w:rsidRPr="004C6ED2" w:rsidRDefault="00114A0A" w:rsidP="00114A0A">
      <w:pPr>
        <w:pStyle w:val="ONUMFS"/>
        <w:numPr>
          <w:ilvl w:val="0"/>
          <w:numId w:val="0"/>
        </w:numPr>
        <w:rPr>
          <w:szCs w:val="22"/>
        </w:rPr>
      </w:pPr>
      <w:r w:rsidRPr="004C6ED2">
        <w:rPr>
          <w:szCs w:val="22"/>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C6ED2">
        <w:rPr>
          <w:rStyle w:val="FootnoteReference"/>
          <w:szCs w:val="22"/>
        </w:rPr>
        <w:footnoteReference w:id="31"/>
      </w:r>
    </w:p>
    <w:p w:rsidR="00466446" w:rsidRPr="004C6ED2" w:rsidRDefault="00466446" w:rsidP="00466446">
      <w:pPr>
        <w:pStyle w:val="ONUMFS"/>
        <w:numPr>
          <w:ilvl w:val="0"/>
          <w:numId w:val="0"/>
        </w:numPr>
        <w:rPr>
          <w:b/>
          <w:bCs/>
          <w:szCs w:val="22"/>
        </w:rPr>
      </w:pPr>
      <w:r w:rsidRPr="004C6ED2">
        <w:rPr>
          <w:b/>
          <w:bCs/>
          <w:szCs w:val="22"/>
        </w:rPr>
        <w:t>Derecho y protocolos consuetudinarios</w:t>
      </w:r>
    </w:p>
    <w:p w:rsidR="00466446" w:rsidRPr="004C6ED2" w:rsidRDefault="00466446" w:rsidP="00466446">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4C6ED2">
        <w:rPr>
          <w:rStyle w:val="FootnoteReference"/>
          <w:szCs w:val="22"/>
        </w:rPr>
        <w:footnoteReference w:id="32"/>
      </w:r>
      <w:r w:rsidRPr="004C6ED2">
        <w:rPr>
          <w:szCs w:val="22"/>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66446" w:rsidRPr="004C6ED2" w:rsidRDefault="00466446" w:rsidP="00BE7C0A">
      <w:pPr>
        <w:pStyle w:val="ONUMFS"/>
        <w:keepLines/>
        <w:numPr>
          <w:ilvl w:val="0"/>
          <w:numId w:val="0"/>
        </w:numPr>
        <w:rPr>
          <w:szCs w:val="22"/>
        </w:rPr>
      </w:pPr>
      <w:r w:rsidRPr="004C6ED2">
        <w:rPr>
          <w:szCs w:val="22"/>
        </w:rPr>
        <w:lastRenderedPageBreak/>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C6ED2">
        <w:rPr>
          <w:rStyle w:val="FootnoteReference"/>
          <w:szCs w:val="22"/>
        </w:rPr>
        <w:footnoteReference w:id="33"/>
      </w:r>
      <w:r w:rsidRPr="004C6ED2">
        <w:rPr>
          <w:szCs w:val="22"/>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C6ED2">
        <w:rPr>
          <w:rStyle w:val="FootnoteReference"/>
          <w:szCs w:val="22"/>
        </w:rPr>
        <w:footnoteReference w:id="34"/>
      </w:r>
    </w:p>
    <w:p w:rsidR="00466446" w:rsidRPr="004C6ED2" w:rsidRDefault="00466446" w:rsidP="00466446">
      <w:pPr>
        <w:pStyle w:val="ONUMFS"/>
        <w:numPr>
          <w:ilvl w:val="0"/>
          <w:numId w:val="0"/>
        </w:numPr>
        <w:rPr>
          <w:szCs w:val="22"/>
        </w:rPr>
      </w:pPr>
      <w:r w:rsidRPr="004C6ED2">
        <w:rPr>
          <w:szCs w:val="22"/>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A50CF" w:rsidRPr="004C6ED2" w:rsidRDefault="00CA50CF" w:rsidP="00CA50CF">
      <w:pPr>
        <w:pStyle w:val="ONUMFS"/>
        <w:numPr>
          <w:ilvl w:val="0"/>
          <w:numId w:val="0"/>
        </w:numPr>
        <w:rPr>
          <w:b/>
          <w:bCs/>
          <w:szCs w:val="22"/>
        </w:rPr>
      </w:pPr>
      <w:r w:rsidRPr="004C6ED2">
        <w:rPr>
          <w:b/>
          <w:bCs/>
          <w:szCs w:val="22"/>
        </w:rPr>
        <w:t>Prácticas consuetudinarias</w:t>
      </w:r>
    </w:p>
    <w:p w:rsidR="00CA50CF" w:rsidRPr="004C6ED2" w:rsidRDefault="00CA50CF" w:rsidP="00CA50CF">
      <w:pPr>
        <w:pStyle w:val="ONUMFS"/>
        <w:numPr>
          <w:ilvl w:val="0"/>
          <w:numId w:val="0"/>
        </w:numPr>
        <w:rPr>
          <w:szCs w:val="22"/>
        </w:rPr>
      </w:pPr>
      <w:r w:rsidRPr="004C6ED2">
        <w:rPr>
          <w:szCs w:val="22"/>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C6ED2">
        <w:rPr>
          <w:rStyle w:val="FootnoteReference"/>
          <w:szCs w:val="22"/>
        </w:rPr>
        <w:footnoteReference w:id="35"/>
      </w:r>
    </w:p>
    <w:p w:rsidR="00CA50CF" w:rsidRPr="004C6ED2" w:rsidRDefault="00CA50CF" w:rsidP="00CA50CF">
      <w:pPr>
        <w:pStyle w:val="ONUMFS"/>
        <w:numPr>
          <w:ilvl w:val="0"/>
          <w:numId w:val="0"/>
        </w:numPr>
        <w:rPr>
          <w:b/>
          <w:bCs/>
          <w:szCs w:val="22"/>
        </w:rPr>
      </w:pPr>
      <w:r w:rsidRPr="004C6ED2">
        <w:rPr>
          <w:b/>
          <w:bCs/>
          <w:szCs w:val="22"/>
        </w:rPr>
        <w:t>Base de datos de los acuerdos de acceso y de participación en los beneficios relacionados con la biodiversidad</w:t>
      </w:r>
    </w:p>
    <w:p w:rsidR="00CA50CF" w:rsidRPr="004C6ED2" w:rsidRDefault="00CA50CF" w:rsidP="00CA50CF">
      <w:pPr>
        <w:pStyle w:val="ONUMFS"/>
        <w:numPr>
          <w:ilvl w:val="0"/>
          <w:numId w:val="0"/>
        </w:numPr>
        <w:rPr>
          <w:szCs w:val="22"/>
        </w:rPr>
      </w:pPr>
      <w:r w:rsidRPr="004C6ED2">
        <w:rPr>
          <w:szCs w:val="22"/>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4C6ED2">
        <w:rPr>
          <w:rStyle w:val="FootnoteReference"/>
          <w:szCs w:val="22"/>
        </w:rPr>
        <w:footnoteReference w:id="36"/>
      </w:r>
      <w:r w:rsidRPr="004C6ED2">
        <w:rPr>
          <w:szCs w:val="22"/>
          <w:vertAlign w:val="superscript"/>
        </w:rPr>
        <w:t xml:space="preserve"> </w:t>
      </w:r>
      <w:r w:rsidRPr="004C6ED2">
        <w:rPr>
          <w:szCs w:val="22"/>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C6ED2">
        <w:rPr>
          <w:rStyle w:val="FootnoteReference"/>
          <w:szCs w:val="22"/>
        </w:rPr>
        <w:footnoteReference w:id="37"/>
      </w:r>
    </w:p>
    <w:p w:rsidR="00627FCD" w:rsidRPr="004C6ED2" w:rsidRDefault="00627FCD" w:rsidP="00BE7C0A">
      <w:pPr>
        <w:pStyle w:val="ONUMFS"/>
        <w:keepNext/>
        <w:numPr>
          <w:ilvl w:val="0"/>
          <w:numId w:val="0"/>
        </w:numPr>
        <w:rPr>
          <w:b/>
          <w:bCs/>
          <w:szCs w:val="22"/>
        </w:rPr>
      </w:pPr>
      <w:r w:rsidRPr="004C6ED2">
        <w:rPr>
          <w:b/>
          <w:bCs/>
          <w:szCs w:val="22"/>
        </w:rPr>
        <w:lastRenderedPageBreak/>
        <w:t>Derivado</w:t>
      </w:r>
    </w:p>
    <w:p w:rsidR="00627FCD" w:rsidRPr="004C6ED2" w:rsidRDefault="00627FCD" w:rsidP="00BE7C0A">
      <w:pPr>
        <w:pStyle w:val="ONUMFS"/>
        <w:keepNext/>
        <w:numPr>
          <w:ilvl w:val="0"/>
          <w:numId w:val="0"/>
        </w:numPr>
        <w:rPr>
          <w:szCs w:val="22"/>
        </w:rPr>
      </w:pPr>
      <w:r w:rsidRPr="004C6ED2">
        <w:rPr>
          <w:szCs w:val="22"/>
        </w:rPr>
        <w:t>En el artículo 2.e) del Protocolo de Nagoya sobre Acceso a los Recursos Genéticos y Participación Justa y Equitativa en los Beneficios que se Deriven de su Utilización al Convenio sobre la Diversidad Biológica (2010) se establece la siguiente definición:  “compuesto bioquímico que existe naturalmente producido por la expresión genética o el metabolismo de los recursos biológicos o genéticos, incluso aunque no contenga unidades funcionales de la herencia”.</w:t>
      </w:r>
    </w:p>
    <w:p w:rsidR="004C32C3" w:rsidRPr="004C6ED2" w:rsidRDefault="00627FCD" w:rsidP="00627FCD">
      <w:pPr>
        <w:pStyle w:val="ONUMFS"/>
        <w:numPr>
          <w:ilvl w:val="0"/>
          <w:numId w:val="0"/>
        </w:numPr>
        <w:rPr>
          <w:szCs w:val="22"/>
        </w:rPr>
      </w:pPr>
      <w:r w:rsidRPr="004C6ED2">
        <w:rPr>
          <w:szCs w:val="22"/>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  “compuesto bioquímico producido por la expresión genética o el metabolismo de los recursos biológicos o genéticos, incluso aunque no contenga unidades funcionales de la herencia”.</w:t>
      </w:r>
    </w:p>
    <w:p w:rsidR="00627FCD" w:rsidRPr="004C6ED2" w:rsidRDefault="00627FCD" w:rsidP="00627FCD">
      <w:pPr>
        <w:pStyle w:val="ONUMFS"/>
        <w:numPr>
          <w:ilvl w:val="0"/>
          <w:numId w:val="0"/>
        </w:numPr>
        <w:rPr>
          <w:b/>
          <w:bCs/>
          <w:szCs w:val="22"/>
        </w:rPr>
      </w:pPr>
      <w:r w:rsidRPr="004C6ED2">
        <w:rPr>
          <w:b/>
          <w:bCs/>
          <w:szCs w:val="22"/>
        </w:rPr>
        <w:t>Obra derivada</w:t>
      </w:r>
    </w:p>
    <w:p w:rsidR="00A63D88" w:rsidRDefault="00627FCD" w:rsidP="00627FCD">
      <w:pPr>
        <w:pStyle w:val="ONUMFS"/>
        <w:numPr>
          <w:ilvl w:val="0"/>
          <w:numId w:val="0"/>
        </w:numPr>
        <w:rPr>
          <w:szCs w:val="22"/>
        </w:rPr>
      </w:pPr>
      <w:bookmarkStart w:id="9" w:name="_Ref289432997"/>
      <w:bookmarkEnd w:id="9"/>
      <w:r w:rsidRPr="004C6ED2">
        <w:rPr>
          <w:szCs w:val="22"/>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4C6ED2">
        <w:rPr>
          <w:rStyle w:val="FootnoteReference"/>
          <w:szCs w:val="22"/>
        </w:rPr>
        <w:footnoteReference w:id="38"/>
      </w:r>
      <w:r w:rsidRPr="004C6ED2">
        <w:rPr>
          <w:szCs w:val="22"/>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4C6ED2">
        <w:rPr>
          <w:rStyle w:val="FootnoteReference"/>
          <w:szCs w:val="22"/>
        </w:rPr>
        <w:footnoteReference w:id="39"/>
      </w:r>
    </w:p>
    <w:p w:rsidR="00627FCD" w:rsidRPr="004C6ED2" w:rsidRDefault="00627FCD" w:rsidP="00627FCD">
      <w:pPr>
        <w:pStyle w:val="ONUMFS"/>
        <w:numPr>
          <w:ilvl w:val="0"/>
          <w:numId w:val="0"/>
        </w:numPr>
        <w:rPr>
          <w:szCs w:val="22"/>
        </w:rPr>
      </w:pPr>
      <w:r w:rsidRPr="004C6ED2">
        <w:rPr>
          <w:szCs w:val="22"/>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C6ED2">
        <w:rPr>
          <w:rStyle w:val="FootnoteReference"/>
          <w:szCs w:val="22"/>
        </w:rPr>
        <w:footnoteReference w:id="40"/>
      </w:r>
      <w:r w:rsidRPr="004C6ED2">
        <w:rPr>
          <w:szCs w:val="22"/>
        </w:rPr>
        <w:t xml:space="preserve">  El Convenio de Berna otorga a las obras que son fruto de labores de compilación o de colección idéntica protección que a las demás obras derivadas.</w:t>
      </w:r>
      <w:r w:rsidRPr="004C6ED2">
        <w:rPr>
          <w:rStyle w:val="FootnoteReference"/>
          <w:szCs w:val="22"/>
        </w:rPr>
        <w:footnoteReference w:id="41"/>
      </w:r>
    </w:p>
    <w:p w:rsidR="00627FCD" w:rsidRPr="004C6ED2" w:rsidRDefault="00627FCD" w:rsidP="00627FCD">
      <w:pPr>
        <w:pStyle w:val="ONUMFS"/>
        <w:numPr>
          <w:ilvl w:val="0"/>
          <w:numId w:val="0"/>
        </w:numPr>
        <w:rPr>
          <w:szCs w:val="22"/>
        </w:rPr>
      </w:pPr>
      <w:r w:rsidRPr="004C6ED2">
        <w:rPr>
          <w:szCs w:val="22"/>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4C32C3" w:rsidRPr="004C6ED2" w:rsidRDefault="00627FCD" w:rsidP="00627FCD">
      <w:pPr>
        <w:pStyle w:val="ONUMFS"/>
        <w:numPr>
          <w:ilvl w:val="0"/>
          <w:numId w:val="0"/>
        </w:numPr>
        <w:rPr>
          <w:szCs w:val="22"/>
        </w:rPr>
      </w:pPr>
      <w:r w:rsidRPr="004C6ED2">
        <w:rPr>
          <w:szCs w:val="22"/>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establece explícitamente que es </w:t>
      </w:r>
      <w:r w:rsidRPr="004C6ED2">
        <w:rPr>
          <w:iCs/>
          <w:szCs w:val="22"/>
        </w:rPr>
        <w:t>“la creación o innovación de carácter intelectual que se inspira en los conocimientos tradicionales o las expresiones de cultura o se deriva de éstos</w:t>
      </w:r>
      <w:r w:rsidRPr="004C6ED2">
        <w:rPr>
          <w:i/>
          <w:iCs/>
          <w:szCs w:val="22"/>
        </w:rPr>
        <w:t>”</w:t>
      </w:r>
      <w:r w:rsidRPr="004C6ED2">
        <w:rPr>
          <w:iCs/>
          <w:szCs w:val="22"/>
        </w:rPr>
        <w:t>.</w:t>
      </w:r>
      <w:r w:rsidRPr="004C6ED2">
        <w:rPr>
          <w:rStyle w:val="FootnoteReference"/>
          <w:iCs/>
          <w:szCs w:val="22"/>
        </w:rPr>
        <w:footnoteReference w:id="42"/>
      </w:r>
    </w:p>
    <w:p w:rsidR="00627FCD" w:rsidRPr="004C6ED2" w:rsidRDefault="00627FCD" w:rsidP="00BE7C0A">
      <w:pPr>
        <w:pStyle w:val="ONUMFS"/>
        <w:keepNext/>
        <w:numPr>
          <w:ilvl w:val="0"/>
          <w:numId w:val="0"/>
        </w:numPr>
        <w:rPr>
          <w:b/>
          <w:szCs w:val="22"/>
        </w:rPr>
      </w:pPr>
      <w:r w:rsidRPr="004C6ED2">
        <w:rPr>
          <w:b/>
          <w:szCs w:val="22"/>
        </w:rPr>
        <w:lastRenderedPageBreak/>
        <w:t>Atentado a (la obra) (art. 6</w:t>
      </w:r>
      <w:r w:rsidRPr="004C6ED2">
        <w:rPr>
          <w:b/>
          <w:i/>
          <w:iCs/>
          <w:szCs w:val="22"/>
        </w:rPr>
        <w:t>bis</w:t>
      </w:r>
      <w:r w:rsidRPr="004C6ED2">
        <w:rPr>
          <w:b/>
          <w:szCs w:val="22"/>
        </w:rPr>
        <w:t xml:space="preserve"> del Convenio de Berna)</w:t>
      </w:r>
    </w:p>
    <w:p w:rsidR="004C32C3" w:rsidRPr="004C6ED2" w:rsidRDefault="00627FCD" w:rsidP="00BE7C0A">
      <w:pPr>
        <w:pStyle w:val="ONUMFS"/>
        <w:keepNext/>
        <w:numPr>
          <w:ilvl w:val="0"/>
          <w:numId w:val="0"/>
        </w:numPr>
        <w:rPr>
          <w:szCs w:val="22"/>
        </w:rPr>
      </w:pPr>
      <w:r w:rsidRPr="004C6ED2">
        <w:rPr>
          <w:szCs w:val="22"/>
        </w:rPr>
        <w:t>Con arreglo a lo que se establece en el artículo 6</w:t>
      </w:r>
      <w:r w:rsidRPr="004C6ED2">
        <w:rPr>
          <w:i/>
          <w:iCs/>
          <w:szCs w:val="22"/>
        </w:rPr>
        <w:t>bis</w:t>
      </w:r>
      <w:r w:rsidRPr="004C6ED2">
        <w:rPr>
          <w:szCs w:val="22"/>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4C6ED2">
        <w:rPr>
          <w:rStyle w:val="FootnoteReference"/>
          <w:szCs w:val="22"/>
        </w:rPr>
        <w:footnoteReference w:id="43"/>
      </w:r>
    </w:p>
    <w:p w:rsidR="00627FCD" w:rsidRPr="004C6ED2" w:rsidRDefault="00627FCD" w:rsidP="00627FCD">
      <w:pPr>
        <w:pStyle w:val="ONUMFS"/>
        <w:numPr>
          <w:ilvl w:val="0"/>
          <w:numId w:val="0"/>
        </w:numPr>
        <w:rPr>
          <w:b/>
          <w:szCs w:val="22"/>
        </w:rPr>
      </w:pPr>
      <w:r w:rsidRPr="004C6ED2">
        <w:rPr>
          <w:b/>
          <w:szCs w:val="22"/>
        </w:rPr>
        <w:t>Conocimientos tradicionales divulgados</w:t>
      </w:r>
    </w:p>
    <w:p w:rsidR="00627FCD" w:rsidRPr="004C6ED2" w:rsidRDefault="00627FCD" w:rsidP="00627FCD">
      <w:pPr>
        <w:pStyle w:val="ONUMFS"/>
        <w:numPr>
          <w:ilvl w:val="0"/>
          <w:numId w:val="0"/>
        </w:numPr>
        <w:rPr>
          <w:szCs w:val="22"/>
        </w:rPr>
      </w:pPr>
      <w:r w:rsidRPr="004C6ED2">
        <w:rPr>
          <w:szCs w:val="22"/>
        </w:rPr>
        <w:t>Por “conocimientos tradicionales divulgados” se entiende “los conocimientos tradicionales</w:t>
      </w:r>
      <w:r w:rsidRPr="004C6ED2">
        <w:rPr>
          <w:i/>
          <w:iCs/>
          <w:szCs w:val="22"/>
        </w:rPr>
        <w:t xml:space="preserve"> </w:t>
      </w:r>
      <w:r w:rsidRPr="004C6ED2">
        <w:rPr>
          <w:iCs/>
          <w:szCs w:val="22"/>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C6ED2">
        <w:rPr>
          <w:szCs w:val="22"/>
        </w:rPr>
        <w:t>”</w:t>
      </w:r>
      <w:r w:rsidRPr="004C6ED2">
        <w:rPr>
          <w:rStyle w:val="FootnoteReference"/>
          <w:szCs w:val="22"/>
        </w:rPr>
        <w:footnoteReference w:id="44"/>
      </w:r>
    </w:p>
    <w:p w:rsidR="00627FCD" w:rsidRPr="004C6ED2" w:rsidRDefault="00627FCD" w:rsidP="00627FCD">
      <w:pPr>
        <w:pStyle w:val="ONUMFS"/>
        <w:numPr>
          <w:ilvl w:val="0"/>
          <w:numId w:val="0"/>
        </w:numPr>
        <w:rPr>
          <w:szCs w:val="22"/>
        </w:rPr>
      </w:pPr>
      <w:r w:rsidRPr="004C6ED2">
        <w:rPr>
          <w:szCs w:val="22"/>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2E4904" w:rsidRPr="004C6ED2" w:rsidRDefault="002E4904" w:rsidP="002E4904">
      <w:pPr>
        <w:pStyle w:val="ONUMFS"/>
        <w:numPr>
          <w:ilvl w:val="0"/>
          <w:numId w:val="0"/>
        </w:numPr>
        <w:rPr>
          <w:b/>
          <w:szCs w:val="22"/>
        </w:rPr>
      </w:pPr>
      <w:r w:rsidRPr="004C6ED2">
        <w:rPr>
          <w:b/>
          <w:szCs w:val="22"/>
        </w:rPr>
        <w:t>Divulgación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“divulgar” es </w:t>
      </w:r>
      <w:r w:rsidRPr="004C6ED2">
        <w:rPr>
          <w:iCs/>
          <w:szCs w:val="22"/>
        </w:rPr>
        <w:t>“publicar, extender, poner al alcance del público algo”</w:t>
      </w:r>
      <w:r w:rsidRPr="004C6ED2">
        <w:rPr>
          <w:szCs w:val="22"/>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C6ED2">
        <w:rPr>
          <w:rStyle w:val="FootnoteReference"/>
          <w:szCs w:val="22"/>
        </w:rPr>
        <w:footnoteReference w:id="45"/>
      </w:r>
      <w:r w:rsidRPr="004C6ED2">
        <w:rPr>
          <w:szCs w:val="22"/>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4C6ED2">
        <w:rPr>
          <w:rStyle w:val="FootnoteReference"/>
          <w:szCs w:val="22"/>
        </w:rPr>
        <w:footnoteReference w:id="46"/>
      </w:r>
      <w:r w:rsidRPr="004C6ED2">
        <w:rPr>
          <w:szCs w:val="22"/>
        </w:rPr>
        <w:t xml:space="preserve">  En virtud de determinadas legislaciones nacionales, el “derecho de divulgación” constituye un derecho moral.</w:t>
      </w:r>
    </w:p>
    <w:p w:rsidR="002E4904" w:rsidRPr="004C6ED2" w:rsidRDefault="002E4904" w:rsidP="002E4904">
      <w:pPr>
        <w:pStyle w:val="ONUMFS"/>
        <w:numPr>
          <w:ilvl w:val="0"/>
          <w:numId w:val="0"/>
        </w:numPr>
        <w:rPr>
          <w:b/>
          <w:szCs w:val="22"/>
        </w:rPr>
      </w:pPr>
      <w:r w:rsidRPr="004C6ED2">
        <w:rPr>
          <w:b/>
          <w:szCs w:val="22"/>
        </w:rPr>
        <w:t>Requisitos de divulgación</w:t>
      </w:r>
    </w:p>
    <w:p w:rsidR="002E4904" w:rsidRPr="004C6ED2" w:rsidRDefault="002E4904" w:rsidP="002E4904">
      <w:pPr>
        <w:pStyle w:val="ONUMFS"/>
        <w:numPr>
          <w:ilvl w:val="0"/>
          <w:numId w:val="0"/>
        </w:numPr>
        <w:rPr>
          <w:szCs w:val="22"/>
        </w:rPr>
      </w:pPr>
      <w:r w:rsidRPr="004C6ED2">
        <w:rPr>
          <w:szCs w:val="22"/>
        </w:rPr>
        <w:t>La divulgación forma parte de la base fundamental del Derecho de patentes.</w:t>
      </w:r>
      <w:bookmarkStart w:id="10" w:name="sdfootnote19anc"/>
      <w:r w:rsidRPr="004C6ED2">
        <w:rPr>
          <w:rStyle w:val="FootnoteReference"/>
          <w:szCs w:val="22"/>
        </w:rPr>
        <w:footnoteReference w:id="47"/>
      </w:r>
      <w:bookmarkEnd w:id="10"/>
      <w:r w:rsidRPr="004C6ED2">
        <w:rPr>
          <w:szCs w:val="22"/>
        </w:rPr>
        <w:t xml:space="preserve">  El Derecho de patentes impone una obligación general a los solicitantes de patentes, como se establece en el artículo 5 del Tratado de Cooperación en materia de Patentes: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w:t>
      </w:r>
      <w:r w:rsidRPr="004C6ED2">
        <w:rPr>
          <w:szCs w:val="22"/>
        </w:rPr>
        <w:lastRenderedPageBreak/>
        <w:t>tradicionales y recursos genéticos cuando se utilizan para llevar a cabo una invención reivindicada en una patente o en una solicitud de patente.</w:t>
      </w:r>
      <w:r w:rsidRPr="004C6ED2">
        <w:rPr>
          <w:rStyle w:val="FootnoteReference"/>
          <w:szCs w:val="22"/>
        </w:rPr>
        <w:footnoteReference w:id="48"/>
      </w:r>
    </w:p>
    <w:p w:rsidR="002E4904" w:rsidRPr="004C6ED2" w:rsidRDefault="002E4904" w:rsidP="002E4904">
      <w:pPr>
        <w:pStyle w:val="ONUMFS"/>
        <w:numPr>
          <w:ilvl w:val="0"/>
          <w:numId w:val="0"/>
        </w:numPr>
        <w:rPr>
          <w:szCs w:val="22"/>
        </w:rPr>
      </w:pPr>
      <w:r w:rsidRPr="004C6ED2">
        <w:rPr>
          <w:szCs w:val="22"/>
        </w:rPr>
        <w:t>Se han examinado tres amplias funciones en relación con los métodos de divulgación relativos a los RR.GG. y CC.TT.:</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los RR.GG./CC.TT. utilizados realmente en el proceso de puesta a punto de la invención (función descriptiva o de transparencia, relativa a los RR.GG./CC.TT. como tales y a su relación con la invención);</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2E4904" w:rsidRPr="004C6ED2" w:rsidRDefault="002E4904" w:rsidP="00565E1A">
      <w:pPr>
        <w:pStyle w:val="ONUMFS"/>
        <w:numPr>
          <w:ilvl w:val="0"/>
          <w:numId w:val="0"/>
        </w:numPr>
        <w:ind w:left="567"/>
        <w:rPr>
          <w:szCs w:val="22"/>
        </w:rPr>
      </w:pPr>
      <w:r w:rsidRPr="004C6ED2">
        <w:rPr>
          <w:szCs w:val="22"/>
        </w:rPr>
        <w:t>–</w:t>
      </w:r>
      <w:r w:rsidRPr="004C6ED2">
        <w:rPr>
          <w:szCs w:val="22"/>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C6ED2">
        <w:rPr>
          <w:rStyle w:val="FootnoteReference"/>
          <w:szCs w:val="22"/>
        </w:rPr>
        <w:footnoteReference w:id="49"/>
      </w:r>
    </w:p>
    <w:p w:rsidR="002E4904" w:rsidRPr="004C6ED2" w:rsidRDefault="002E4904" w:rsidP="002E4904">
      <w:pPr>
        <w:pStyle w:val="ONUMFS"/>
        <w:numPr>
          <w:ilvl w:val="0"/>
          <w:numId w:val="0"/>
        </w:numPr>
        <w:rPr>
          <w:szCs w:val="22"/>
        </w:rPr>
      </w:pPr>
      <w:r w:rsidRPr="004C6ED2">
        <w:rPr>
          <w:szCs w:val="22"/>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4C6ED2">
        <w:rPr>
          <w:rStyle w:val="FootnoteReference"/>
          <w:szCs w:val="22"/>
        </w:rPr>
        <w:footnoteReference w:id="50"/>
      </w:r>
    </w:p>
    <w:p w:rsidR="002E4904" w:rsidRPr="004C6ED2" w:rsidRDefault="002E4904" w:rsidP="002E4904">
      <w:pPr>
        <w:pStyle w:val="ONUMFS"/>
        <w:numPr>
          <w:ilvl w:val="0"/>
          <w:numId w:val="0"/>
        </w:numPr>
        <w:rPr>
          <w:szCs w:val="22"/>
        </w:rPr>
      </w:pPr>
      <w:r w:rsidRPr="004C6ED2">
        <w:rPr>
          <w:szCs w:val="22"/>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4C6ED2">
        <w:rPr>
          <w:rStyle w:val="FootnoteReference"/>
          <w:szCs w:val="22"/>
        </w:rPr>
        <w:footnoteReference w:id="51"/>
      </w:r>
      <w:r w:rsidRPr="004C6ED2">
        <w:rPr>
          <w:szCs w:val="22"/>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4C6ED2">
        <w:rPr>
          <w:rStyle w:val="FootnoteReference"/>
          <w:szCs w:val="22"/>
        </w:rPr>
        <w:footnoteReference w:id="52"/>
      </w:r>
      <w:r w:rsidRPr="004C6ED2">
        <w:rPr>
          <w:szCs w:val="22"/>
        </w:rPr>
        <w:t xml:space="preserve">  La propuesta del Grupo Africano, basada en las propuestas de Suiza y la Unión Europea, comprende también la introducción de un certificado de cumplimiento reconocido a escala internacional, como estipula el Protocolo de Nagoya de Acceso a los Recursos Genético y Participación Justa y Equitativa en los Beneficios que se Deriven de su Utilización (2010).</w:t>
      </w:r>
      <w:r w:rsidRPr="004C6ED2">
        <w:rPr>
          <w:rStyle w:val="FootnoteReference"/>
          <w:szCs w:val="22"/>
        </w:rPr>
        <w:footnoteReference w:id="53"/>
      </w:r>
      <w:r w:rsidRPr="004C6ED2">
        <w:rPr>
          <w:szCs w:val="22"/>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w:t>
      </w:r>
      <w:r w:rsidRPr="004C6ED2">
        <w:rPr>
          <w:szCs w:val="22"/>
        </w:rPr>
        <w:lastRenderedPageBreak/>
        <w:t>condiciones mutuamente convenidas, además de información oral y escrita que permita efectuar la búsqueda y el examen de tales solicitudes.</w:t>
      </w:r>
      <w:r w:rsidRPr="004C6ED2">
        <w:rPr>
          <w:rStyle w:val="FootnoteReference"/>
          <w:szCs w:val="22"/>
        </w:rPr>
        <w:footnoteReference w:id="54"/>
      </w:r>
    </w:p>
    <w:p w:rsidR="00627FCD" w:rsidRPr="004C6ED2" w:rsidRDefault="002E4904" w:rsidP="002E4904">
      <w:pPr>
        <w:pStyle w:val="ONUMFS"/>
        <w:numPr>
          <w:ilvl w:val="0"/>
          <w:numId w:val="0"/>
        </w:numPr>
        <w:rPr>
          <w:b/>
          <w:szCs w:val="22"/>
        </w:rPr>
      </w:pPr>
      <w:r w:rsidRPr="004C6ED2">
        <w:rPr>
          <w:szCs w:val="22"/>
        </w:rPr>
        <w:t>Asimismo, se han propuesto mecanismos alternativos a los requisitos de divulgación.</w:t>
      </w:r>
      <w:r w:rsidRPr="004C6ED2">
        <w:rPr>
          <w:rStyle w:val="FootnoteReference"/>
          <w:szCs w:val="22"/>
        </w:rPr>
        <w:footnoteReference w:id="55"/>
      </w:r>
      <w:r w:rsidRPr="004C6ED2">
        <w:rPr>
          <w:szCs w:val="22"/>
        </w:rPr>
        <w:t xml:space="preserve">  Y una de las iniciativas internacionales emprendidas actualmente con relación al requisito de divulgación:  el artículo 29</w:t>
      </w:r>
      <w:r w:rsidRPr="004C6ED2">
        <w:rPr>
          <w:i/>
          <w:iCs/>
          <w:szCs w:val="22"/>
        </w:rPr>
        <w:t>bis</w:t>
      </w:r>
      <w:r w:rsidRPr="004C6ED2">
        <w:rPr>
          <w:szCs w:val="22"/>
        </w:rPr>
        <w:t xml:space="preserve"> del Acuerdo sobre los ADPIC de la OMC, propuesto por algunos países.</w:t>
      </w:r>
      <w:r w:rsidRPr="004C6ED2">
        <w:rPr>
          <w:rStyle w:val="FootnoteReference"/>
          <w:szCs w:val="22"/>
        </w:rPr>
        <w:footnoteReference w:id="56"/>
      </w:r>
    </w:p>
    <w:p w:rsidR="002E4904" w:rsidRPr="004C6ED2" w:rsidRDefault="002E4904" w:rsidP="002E4904">
      <w:pPr>
        <w:pStyle w:val="ONUMFS"/>
        <w:numPr>
          <w:ilvl w:val="0"/>
          <w:numId w:val="0"/>
        </w:numPr>
        <w:rPr>
          <w:b/>
          <w:szCs w:val="22"/>
        </w:rPr>
      </w:pPr>
      <w:r w:rsidRPr="004C6ED2">
        <w:rPr>
          <w:b/>
          <w:szCs w:val="22"/>
        </w:rPr>
        <w:t>Catalogación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“catalogar” es </w:t>
      </w:r>
      <w:r w:rsidRPr="004C6ED2">
        <w:rPr>
          <w:i/>
          <w:iCs/>
          <w:szCs w:val="22"/>
        </w:rPr>
        <w:t>“</w:t>
      </w:r>
      <w:r w:rsidRPr="004C6ED2">
        <w:rPr>
          <w:iCs/>
          <w:szCs w:val="22"/>
        </w:rPr>
        <w:t>apuntar, registrar ordenadamente libros, documentos, etc., formando catálogo de ellos”</w:t>
      </w:r>
      <w:r w:rsidRPr="004C6ED2">
        <w:rPr>
          <w:szCs w:val="22"/>
        </w:rPr>
        <w:t xml:space="preserve"> y, a su vez, por “catálogo” se entiende lo siguiente:  “</w:t>
      </w:r>
      <w:r w:rsidRPr="004C6ED2">
        <w:rPr>
          <w:iCs/>
          <w:szCs w:val="22"/>
        </w:rPr>
        <w:t>relación ordenada en la que se incluyen o describen de forma individual libros, documentos, personas, objetos, etc., que están relacionados entre sí”</w:t>
      </w:r>
      <w:r w:rsidRPr="004C6ED2">
        <w:rPr>
          <w:szCs w:val="22"/>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4C6ED2">
        <w:rPr>
          <w:rStyle w:val="FootnoteReference"/>
          <w:szCs w:val="22"/>
        </w:rPr>
        <w:footnoteReference w:id="57"/>
      </w:r>
    </w:p>
    <w:p w:rsidR="00627FCD" w:rsidRPr="004C6ED2" w:rsidRDefault="002E4904" w:rsidP="002E4904">
      <w:pPr>
        <w:pStyle w:val="ONUMFS"/>
        <w:numPr>
          <w:ilvl w:val="0"/>
          <w:numId w:val="0"/>
        </w:numPr>
        <w:rPr>
          <w:b/>
          <w:szCs w:val="22"/>
        </w:rPr>
      </w:pPr>
      <w:r w:rsidRPr="004C6ED2">
        <w:rPr>
          <w:szCs w:val="22"/>
        </w:rPr>
        <w:t>La catalogación es especialmente importante, pues a menudo es la manera en que las personas ajenas al círculo tradicional pueden acceder a los conocimientos.</w:t>
      </w:r>
      <w:r w:rsidRPr="004C6ED2">
        <w:rPr>
          <w:rStyle w:val="FootnoteReference"/>
          <w:szCs w:val="22"/>
        </w:rPr>
        <w:footnoteReference w:id="58"/>
      </w:r>
      <w:r w:rsidRPr="004C6ED2">
        <w:rPr>
          <w:szCs w:val="22"/>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0E5DD8" w:rsidRPr="004C6ED2" w:rsidRDefault="000E5DD8" w:rsidP="000E5DD8">
      <w:pPr>
        <w:pStyle w:val="ONUMFS"/>
        <w:numPr>
          <w:ilvl w:val="0"/>
          <w:numId w:val="0"/>
        </w:numPr>
        <w:rPr>
          <w:b/>
          <w:szCs w:val="22"/>
        </w:rPr>
      </w:pPr>
      <w:r w:rsidRPr="004C6ED2">
        <w:rPr>
          <w:b/>
          <w:szCs w:val="22"/>
        </w:rPr>
        <w:t>Remuneración equitativa</w:t>
      </w:r>
    </w:p>
    <w:p w:rsidR="00627FCD" w:rsidRPr="004C6ED2" w:rsidRDefault="000E5DD8" w:rsidP="000E5DD8">
      <w:pPr>
        <w:pStyle w:val="ONUMFS"/>
        <w:numPr>
          <w:ilvl w:val="0"/>
          <w:numId w:val="0"/>
        </w:numPr>
        <w:rPr>
          <w:b/>
          <w:szCs w:val="22"/>
        </w:rPr>
      </w:pPr>
      <w:r w:rsidRPr="004C6ED2">
        <w:rPr>
          <w:szCs w:val="22"/>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C6ED2">
        <w:rPr>
          <w:rStyle w:val="FootnoteReference"/>
          <w:szCs w:val="22"/>
        </w:rPr>
        <w:footnoteReference w:id="59"/>
      </w:r>
      <w:r w:rsidRPr="004C6ED2">
        <w:rPr>
          <w:szCs w:val="22"/>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0E5DD8" w:rsidRPr="004C6ED2" w:rsidRDefault="000E5DD8" w:rsidP="000E5DD8">
      <w:pPr>
        <w:pStyle w:val="ONUMFS"/>
        <w:numPr>
          <w:ilvl w:val="0"/>
          <w:numId w:val="0"/>
        </w:numPr>
        <w:rPr>
          <w:b/>
          <w:szCs w:val="22"/>
        </w:rPr>
      </w:pPr>
      <w:r w:rsidRPr="004C6ED2">
        <w:rPr>
          <w:b/>
          <w:szCs w:val="22"/>
        </w:rPr>
        <w:t>Excepciones</w:t>
      </w:r>
    </w:p>
    <w:p w:rsidR="00627FCD" w:rsidRPr="004C6ED2" w:rsidRDefault="000E5DD8" w:rsidP="000E5DD8">
      <w:pPr>
        <w:pStyle w:val="ONUMFS"/>
        <w:numPr>
          <w:ilvl w:val="0"/>
          <w:numId w:val="0"/>
        </w:numPr>
        <w:rPr>
          <w:b/>
          <w:szCs w:val="22"/>
        </w:rPr>
      </w:pPr>
      <w:r w:rsidRPr="004C6ED2">
        <w:rPr>
          <w:szCs w:val="22"/>
        </w:rPr>
        <w:t xml:space="preserve">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w:t>
      </w:r>
      <w:r w:rsidRPr="004C6ED2">
        <w:rPr>
          <w:szCs w:val="22"/>
        </w:rPr>
        <w:lastRenderedPageBreak/>
        <w:t>remuneración.</w:t>
      </w:r>
      <w:r w:rsidRPr="004C6ED2">
        <w:rPr>
          <w:rStyle w:val="FootnoteReference"/>
          <w:szCs w:val="22"/>
        </w:rPr>
        <w:footnoteReference w:id="60"/>
      </w:r>
      <w:r w:rsidRPr="004C6ED2">
        <w:rPr>
          <w:szCs w:val="22"/>
        </w:rPr>
        <w:t xml:space="preserve">  En el Convenio de Berna para la Protección de las Obras Literarias y Artísticas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4C6ED2">
        <w:rPr>
          <w:rStyle w:val="FootnoteReference"/>
          <w:szCs w:val="22"/>
        </w:rPr>
        <w:footnoteReference w:id="61"/>
      </w:r>
    </w:p>
    <w:p w:rsidR="003142C6" w:rsidRPr="004C6ED2" w:rsidRDefault="003142C6" w:rsidP="00B61063">
      <w:pPr>
        <w:pStyle w:val="ONUMFS"/>
        <w:numPr>
          <w:ilvl w:val="0"/>
          <w:numId w:val="0"/>
        </w:numPr>
        <w:rPr>
          <w:b/>
          <w:szCs w:val="22"/>
        </w:rPr>
      </w:pPr>
      <w:r w:rsidRPr="004C6ED2">
        <w:rPr>
          <w:b/>
          <w:szCs w:val="22"/>
        </w:rPr>
        <w:t>Expresión corporal</w:t>
      </w:r>
    </w:p>
    <w:p w:rsidR="00627FCD" w:rsidRPr="004C6ED2" w:rsidRDefault="003142C6" w:rsidP="003142C6">
      <w:pPr>
        <w:pStyle w:val="ONUMFS"/>
        <w:numPr>
          <w:ilvl w:val="0"/>
          <w:numId w:val="0"/>
        </w:numPr>
        <w:rPr>
          <w:b/>
          <w:szCs w:val="22"/>
        </w:rPr>
      </w:pPr>
      <w:r w:rsidRPr="004C6ED2">
        <w:rPr>
          <w:szCs w:val="22"/>
        </w:rPr>
        <w:t>La “expresión corporal” es el modo de expresarse gracias al movimiento del cuerpo humano.</w:t>
      </w:r>
      <w:r w:rsidRPr="004C6ED2">
        <w:rPr>
          <w:rStyle w:val="FootnoteReference"/>
          <w:szCs w:val="22"/>
        </w:rPr>
        <w:footnoteReference w:id="62"/>
      </w:r>
      <w:r w:rsidRPr="004C6ED2">
        <w:rPr>
          <w:szCs w:val="22"/>
        </w:rPr>
        <w:t xml:space="preserve">  Comprende, entre otras, las danzas y representaciones escénicas populares y formas artísticas de rituales, y no necesitan estar fijadas en un soporte, por ejemplo, estar escritas mediante la notación coreográfica</w:t>
      </w:r>
      <w:r w:rsidRPr="004C6ED2">
        <w:rPr>
          <w:szCs w:val="22"/>
          <w:vertAlign w:val="superscript"/>
        </w:rPr>
        <w:t>”</w:t>
      </w:r>
      <w:r w:rsidRPr="004C6ED2">
        <w:rPr>
          <w:szCs w:val="22"/>
        </w:rPr>
        <w:t>.</w:t>
      </w:r>
      <w:r w:rsidRPr="004C6ED2">
        <w:rPr>
          <w:rStyle w:val="FootnoteReference"/>
          <w:szCs w:val="22"/>
        </w:rPr>
        <w:footnoteReference w:id="63"/>
      </w:r>
    </w:p>
    <w:p w:rsidR="003142C6" w:rsidRPr="004C6ED2" w:rsidRDefault="003142C6" w:rsidP="003142C6">
      <w:pPr>
        <w:pStyle w:val="ONUMFS"/>
        <w:numPr>
          <w:ilvl w:val="0"/>
          <w:numId w:val="0"/>
        </w:numPr>
        <w:rPr>
          <w:b/>
          <w:szCs w:val="22"/>
        </w:rPr>
      </w:pPr>
      <w:r w:rsidRPr="004C6ED2">
        <w:rPr>
          <w:b/>
          <w:szCs w:val="22"/>
        </w:rPr>
        <w:t>Expresiones del folclore</w:t>
      </w:r>
    </w:p>
    <w:p w:rsidR="003142C6" w:rsidRPr="004C6ED2" w:rsidRDefault="003142C6" w:rsidP="003142C6">
      <w:pPr>
        <w:pStyle w:val="ONUMFS"/>
        <w:numPr>
          <w:ilvl w:val="0"/>
          <w:numId w:val="0"/>
        </w:numPr>
        <w:rPr>
          <w:szCs w:val="22"/>
        </w:rPr>
      </w:pPr>
      <w:r w:rsidRPr="004C6ED2">
        <w:rPr>
          <w:szCs w:val="22"/>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3142C6" w:rsidRPr="004C6ED2" w:rsidRDefault="003142C6" w:rsidP="003C2497">
      <w:pPr>
        <w:pStyle w:val="ONUMFS"/>
        <w:numPr>
          <w:ilvl w:val="0"/>
          <w:numId w:val="0"/>
        </w:numPr>
        <w:ind w:left="567"/>
        <w:rPr>
          <w:szCs w:val="22"/>
        </w:rPr>
      </w:pPr>
      <w:r w:rsidRPr="004C6ED2">
        <w:rPr>
          <w:szCs w:val="22"/>
        </w:rPr>
        <w:t>i)</w:t>
      </w:r>
      <w:r w:rsidRPr="004C6ED2">
        <w:rPr>
          <w:szCs w:val="22"/>
        </w:rPr>
        <w:tab/>
        <w:t>las expresiones verbales, tales como los cuentos populares, la poesía popular y los enigmas;</w:t>
      </w:r>
    </w:p>
    <w:p w:rsidR="003142C6" w:rsidRPr="004C6ED2" w:rsidRDefault="003142C6" w:rsidP="003C2497">
      <w:pPr>
        <w:pStyle w:val="ONUMFS"/>
        <w:numPr>
          <w:ilvl w:val="0"/>
          <w:numId w:val="0"/>
        </w:numPr>
        <w:ind w:left="567"/>
        <w:rPr>
          <w:szCs w:val="22"/>
        </w:rPr>
      </w:pPr>
      <w:r w:rsidRPr="004C6ED2">
        <w:rPr>
          <w:szCs w:val="22"/>
        </w:rPr>
        <w:t>ii)</w:t>
      </w:r>
      <w:r w:rsidRPr="004C6ED2">
        <w:rPr>
          <w:szCs w:val="22"/>
        </w:rPr>
        <w:tab/>
        <w:t>las expresiones musicales, tales como las canciones y la música instrumental populares;</w:t>
      </w:r>
    </w:p>
    <w:p w:rsidR="003142C6" w:rsidRPr="004C6ED2" w:rsidRDefault="003142C6" w:rsidP="003C2497">
      <w:pPr>
        <w:pStyle w:val="ONUMFS"/>
        <w:numPr>
          <w:ilvl w:val="0"/>
          <w:numId w:val="0"/>
        </w:numPr>
        <w:ind w:left="567"/>
        <w:rPr>
          <w:szCs w:val="22"/>
        </w:rPr>
      </w:pPr>
      <w:r w:rsidRPr="004C6ED2">
        <w:rPr>
          <w:szCs w:val="22"/>
        </w:rPr>
        <w:t>iii)</w:t>
      </w:r>
      <w:r w:rsidRPr="004C6ED2">
        <w:rPr>
          <w:szCs w:val="22"/>
        </w:rPr>
        <w:tab/>
        <w:t>las expresiones corporales, tales como las danzas y representaciones escénicas populares y formas artísticas de rituales, estén o no fijadas en un soporte;  y</w:t>
      </w:r>
    </w:p>
    <w:p w:rsidR="003142C6" w:rsidRPr="004C6ED2" w:rsidRDefault="003142C6" w:rsidP="003C2497">
      <w:pPr>
        <w:pStyle w:val="ONUMFS"/>
        <w:numPr>
          <w:ilvl w:val="0"/>
          <w:numId w:val="0"/>
        </w:numPr>
        <w:ind w:left="567"/>
        <w:rPr>
          <w:szCs w:val="22"/>
        </w:rPr>
      </w:pPr>
      <w:r w:rsidRPr="004C6ED2">
        <w:rPr>
          <w:szCs w:val="22"/>
        </w:rPr>
        <w:t>iv)</w:t>
      </w:r>
      <w:r w:rsidRPr="004C6ED2">
        <w:rPr>
          <w:szCs w:val="22"/>
        </w:rPr>
        <w:tab/>
        <w:t>las expresiones ta</w:t>
      </w:r>
      <w:bookmarkStart w:id="11" w:name="sdfootnote40anc"/>
      <w:r w:rsidRPr="004C6ED2">
        <w:rPr>
          <w:szCs w:val="22"/>
        </w:rPr>
        <w:t>ngibles</w:t>
      </w:r>
      <w:bookmarkEnd w:id="11"/>
      <w:r w:rsidRPr="004C6ED2">
        <w:rPr>
          <w:szCs w:val="22"/>
        </w:rPr>
        <w:t>.</w:t>
      </w:r>
      <w:r w:rsidRPr="004C6ED2">
        <w:rPr>
          <w:rStyle w:val="FootnoteReference"/>
          <w:szCs w:val="22"/>
        </w:rPr>
        <w:footnoteReference w:id="64"/>
      </w:r>
    </w:p>
    <w:p w:rsidR="000E5DD8" w:rsidRPr="004C6ED2" w:rsidRDefault="003142C6" w:rsidP="003142C6">
      <w:pPr>
        <w:pStyle w:val="ONUMFS"/>
        <w:numPr>
          <w:ilvl w:val="0"/>
          <w:numId w:val="0"/>
        </w:numPr>
        <w:rPr>
          <w:b/>
          <w:szCs w:val="22"/>
        </w:rPr>
      </w:pPr>
      <w:r w:rsidRPr="004C6ED2">
        <w:rPr>
          <w:szCs w:val="22"/>
        </w:rPr>
        <w:t>En el contexto del CIG, los términos “expresiones culturales tradicionales” y “expresiones del folclore” son sinónimos y se usan indistintamente.</w:t>
      </w:r>
    </w:p>
    <w:p w:rsidR="003142C6" w:rsidRPr="004C6ED2" w:rsidRDefault="003142C6" w:rsidP="003142C6">
      <w:pPr>
        <w:pStyle w:val="ONUMFS"/>
        <w:numPr>
          <w:ilvl w:val="0"/>
          <w:numId w:val="0"/>
        </w:numPr>
        <w:rPr>
          <w:b/>
          <w:szCs w:val="22"/>
        </w:rPr>
      </w:pPr>
      <w:r w:rsidRPr="004C6ED2">
        <w:rPr>
          <w:b/>
          <w:i/>
          <w:iCs/>
          <w:szCs w:val="22"/>
        </w:rPr>
        <w:t>Ex-situ</w:t>
      </w:r>
    </w:p>
    <w:p w:rsidR="000E5DD8" w:rsidRPr="004C6ED2" w:rsidRDefault="003142C6" w:rsidP="003142C6">
      <w:pPr>
        <w:pStyle w:val="ONUMFS"/>
        <w:numPr>
          <w:ilvl w:val="0"/>
          <w:numId w:val="0"/>
        </w:numPr>
        <w:rPr>
          <w:szCs w:val="22"/>
        </w:rPr>
      </w:pPr>
      <w:r w:rsidRPr="004C6ED2">
        <w:rPr>
          <w:szCs w:val="22"/>
        </w:rPr>
        <w:t xml:space="preserve">En referencia a la definición de “conservación </w:t>
      </w:r>
      <w:r w:rsidR="00D57BA9" w:rsidRPr="004C6ED2">
        <w:rPr>
          <w:i/>
          <w:iCs/>
          <w:szCs w:val="22"/>
        </w:rPr>
        <w:t>ex situ</w:t>
      </w:r>
      <w:r w:rsidRPr="004C6ED2">
        <w:rPr>
          <w:szCs w:val="22"/>
        </w:rPr>
        <w:t>” del artículo 2 del Convenio sobre la Diversidad Biológica (1992), por “</w:t>
      </w:r>
      <w:r w:rsidR="00D57BA9" w:rsidRPr="004C6ED2">
        <w:rPr>
          <w:i/>
          <w:iCs/>
          <w:szCs w:val="22"/>
        </w:rPr>
        <w:t>ex situ</w:t>
      </w:r>
      <w:r w:rsidRPr="004C6ED2">
        <w:rPr>
          <w:iCs/>
          <w:szCs w:val="22"/>
        </w:rPr>
        <w:t>”</w:t>
      </w:r>
      <w:r w:rsidRPr="004C6ED2">
        <w:rPr>
          <w:szCs w:val="22"/>
        </w:rPr>
        <w:t xml:space="preserve"> se entiende “la conservación de componentes de la diversidad biológica fuera de sus hábitats naturales”.</w:t>
      </w:r>
    </w:p>
    <w:p w:rsidR="003142C6" w:rsidRPr="004C6ED2" w:rsidRDefault="003142C6" w:rsidP="003142C6">
      <w:pPr>
        <w:pStyle w:val="ONUMFS"/>
        <w:numPr>
          <w:ilvl w:val="0"/>
          <w:numId w:val="0"/>
        </w:numPr>
        <w:rPr>
          <w:b/>
          <w:bCs/>
          <w:szCs w:val="22"/>
        </w:rPr>
      </w:pPr>
      <w:r w:rsidRPr="004C6ED2">
        <w:rPr>
          <w:b/>
          <w:bCs/>
          <w:szCs w:val="22"/>
        </w:rPr>
        <w:t>Uso leal</w:t>
      </w:r>
    </w:p>
    <w:p w:rsidR="003142C6" w:rsidRPr="004C6ED2" w:rsidRDefault="003142C6" w:rsidP="003142C6">
      <w:pPr>
        <w:pStyle w:val="ONUMFS"/>
        <w:numPr>
          <w:ilvl w:val="0"/>
          <w:numId w:val="0"/>
        </w:numPr>
        <w:rPr>
          <w:b/>
          <w:szCs w:val="22"/>
        </w:rPr>
      </w:pPr>
      <w:r w:rsidRPr="004C6ED2">
        <w:rPr>
          <w:szCs w:val="22"/>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C6ED2">
        <w:rPr>
          <w:rStyle w:val="FootnoteReference"/>
          <w:szCs w:val="22"/>
        </w:rPr>
        <w:footnoteReference w:id="65"/>
      </w:r>
    </w:p>
    <w:p w:rsidR="003142C6" w:rsidRPr="004C6ED2" w:rsidRDefault="003142C6" w:rsidP="00B61063">
      <w:pPr>
        <w:pStyle w:val="ONUMFS"/>
        <w:keepNext/>
        <w:keepLines/>
        <w:numPr>
          <w:ilvl w:val="0"/>
          <w:numId w:val="0"/>
        </w:numPr>
        <w:rPr>
          <w:b/>
          <w:bCs/>
          <w:szCs w:val="22"/>
        </w:rPr>
      </w:pPr>
      <w:r w:rsidRPr="004C6ED2">
        <w:rPr>
          <w:b/>
          <w:bCs/>
          <w:szCs w:val="22"/>
        </w:rPr>
        <w:lastRenderedPageBreak/>
        <w:t>Derechos del agricultor</w:t>
      </w:r>
    </w:p>
    <w:p w:rsidR="000E5DD8" w:rsidRPr="004C6ED2" w:rsidRDefault="003142C6" w:rsidP="00B61063">
      <w:pPr>
        <w:pStyle w:val="ONUMFS"/>
        <w:keepNext/>
        <w:keepLines/>
        <w:numPr>
          <w:ilvl w:val="0"/>
          <w:numId w:val="0"/>
        </w:numPr>
        <w:rPr>
          <w:b/>
          <w:szCs w:val="22"/>
        </w:rPr>
      </w:pPr>
      <w:r w:rsidRPr="004C6ED2">
        <w:rPr>
          <w:szCs w:val="22"/>
        </w:rPr>
        <w:t>En el artículo 9.1 del Tratado Internacional sobre los Recursos Fitogenéticos para la Alimentación y la Agricultura se reconoce “</w:t>
      </w:r>
      <w:r w:rsidRPr="004C6ED2">
        <w:rPr>
          <w:iCs/>
          <w:szCs w:val="22"/>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C6ED2">
        <w:rPr>
          <w:szCs w:val="22"/>
        </w:rPr>
        <w:t>”.  En el artículo 9.2 se definen los “derechos del agricultor” como:  “</w:t>
      </w:r>
      <w:r w:rsidRPr="004C6ED2">
        <w:rPr>
          <w:iCs/>
          <w:szCs w:val="22"/>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C6ED2">
        <w:rPr>
          <w:szCs w:val="22"/>
        </w:rPr>
        <w:t>”.  En el artículo 2 del Código Internacional de Conducta para la Recolección y Transferencia de Germoplasma, de la FAO, se definen esos derechos como “</w:t>
      </w:r>
      <w:r w:rsidRPr="004C6ED2">
        <w:rPr>
          <w:iCs/>
          <w:szCs w:val="22"/>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C6ED2">
        <w:rPr>
          <w:szCs w:val="22"/>
        </w:rPr>
        <w:t>”.</w:t>
      </w:r>
    </w:p>
    <w:p w:rsidR="00D0451B" w:rsidRPr="004C6ED2" w:rsidRDefault="00D0451B" w:rsidP="00D0451B">
      <w:pPr>
        <w:pStyle w:val="ONUMFS"/>
        <w:numPr>
          <w:ilvl w:val="0"/>
          <w:numId w:val="0"/>
        </w:numPr>
        <w:rPr>
          <w:b/>
          <w:bCs/>
          <w:szCs w:val="22"/>
        </w:rPr>
      </w:pPr>
      <w:r w:rsidRPr="004C6ED2">
        <w:rPr>
          <w:b/>
          <w:bCs/>
          <w:szCs w:val="22"/>
        </w:rPr>
        <w:t>Fijación</w:t>
      </w:r>
    </w:p>
    <w:p w:rsidR="00D0451B" w:rsidRPr="004C6ED2" w:rsidRDefault="00D0451B" w:rsidP="00D0451B">
      <w:pPr>
        <w:pStyle w:val="ONUMFS"/>
        <w:numPr>
          <w:ilvl w:val="0"/>
          <w:numId w:val="0"/>
        </w:numPr>
        <w:rPr>
          <w:szCs w:val="22"/>
        </w:rPr>
      </w:pPr>
      <w:bookmarkStart w:id="12" w:name="_Ref289444051"/>
      <w:bookmarkEnd w:id="12"/>
      <w:r w:rsidRPr="004C6ED2">
        <w:rPr>
          <w:szCs w:val="22"/>
        </w:rPr>
        <w:t xml:space="preserve">El </w:t>
      </w:r>
      <w:r w:rsidRPr="004C6ED2">
        <w:rPr>
          <w:i/>
          <w:iCs/>
          <w:szCs w:val="22"/>
        </w:rPr>
        <w:t>Diccionario General de la Lengua Española VOX</w:t>
      </w:r>
      <w:r w:rsidRPr="004C6ED2">
        <w:rPr>
          <w:szCs w:val="22"/>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C6ED2">
        <w:rPr>
          <w:rStyle w:val="FootnoteReference"/>
          <w:szCs w:val="22"/>
        </w:rPr>
        <w:footnoteReference w:id="66"/>
      </w:r>
      <w:r w:rsidRPr="004C6ED2">
        <w:rPr>
          <w:szCs w:val="22"/>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4C6ED2">
        <w:rPr>
          <w:rStyle w:val="FootnoteReference"/>
          <w:szCs w:val="22"/>
        </w:rPr>
        <w:footnoteReference w:id="67"/>
      </w:r>
      <w:r w:rsidRPr="004C6ED2">
        <w:rPr>
          <w:szCs w:val="22"/>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C6ED2">
        <w:rPr>
          <w:rStyle w:val="FootnoteReference"/>
          <w:szCs w:val="22"/>
        </w:rPr>
        <w:footnoteReference w:id="68"/>
      </w:r>
      <w:r w:rsidRPr="004C6ED2">
        <w:rPr>
          <w:szCs w:val="22"/>
        </w:rPr>
        <w:t xml:space="preserve">  Se ha sostenido que el uso del término “expresión” parece indicar que es necesario cumplir el requisito de la fijación para obtener la protección de las expresiones culturales tradicionales.</w:t>
      </w:r>
      <w:r w:rsidRPr="004C6ED2">
        <w:rPr>
          <w:rStyle w:val="FootnoteReference"/>
          <w:szCs w:val="22"/>
        </w:rPr>
        <w:footnoteReference w:id="69"/>
      </w:r>
    </w:p>
    <w:p w:rsidR="00D0451B" w:rsidRPr="004C6ED2" w:rsidRDefault="00D0451B" w:rsidP="00D0451B">
      <w:pPr>
        <w:pStyle w:val="ONUMFS"/>
        <w:numPr>
          <w:ilvl w:val="0"/>
          <w:numId w:val="0"/>
        </w:numPr>
        <w:rPr>
          <w:b/>
          <w:bCs/>
          <w:szCs w:val="22"/>
        </w:rPr>
      </w:pPr>
      <w:r w:rsidRPr="004C6ED2">
        <w:rPr>
          <w:b/>
          <w:bCs/>
          <w:szCs w:val="22"/>
        </w:rPr>
        <w:t>Folclore</w:t>
      </w:r>
    </w:p>
    <w:p w:rsidR="00D0451B" w:rsidRPr="004C6ED2" w:rsidRDefault="00D0451B" w:rsidP="00D0451B">
      <w:pPr>
        <w:pStyle w:val="ONUMFS"/>
        <w:numPr>
          <w:ilvl w:val="0"/>
          <w:numId w:val="0"/>
        </w:numPr>
        <w:rPr>
          <w:szCs w:val="22"/>
        </w:rPr>
      </w:pPr>
      <w:r w:rsidRPr="004C6ED2">
        <w:rPr>
          <w:szCs w:val="22"/>
        </w:rPr>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D0451B" w:rsidRPr="004C6ED2" w:rsidRDefault="00D0451B" w:rsidP="00D0451B">
      <w:pPr>
        <w:pStyle w:val="ONUMFS"/>
        <w:numPr>
          <w:ilvl w:val="0"/>
          <w:numId w:val="0"/>
        </w:numPr>
        <w:rPr>
          <w:szCs w:val="22"/>
        </w:rPr>
      </w:pPr>
      <w:r w:rsidRPr="004C6ED2">
        <w:rPr>
          <w:szCs w:val="22"/>
        </w:rPr>
        <w:lastRenderedPageBreak/>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 y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C6ED2">
        <w:rPr>
          <w:rStyle w:val="FootnoteReference"/>
          <w:szCs w:val="22"/>
        </w:rPr>
        <w:footnoteReference w:id="70"/>
      </w:r>
    </w:p>
    <w:p w:rsidR="00D0451B" w:rsidRPr="004C6ED2" w:rsidRDefault="00D0451B" w:rsidP="00D0451B">
      <w:pPr>
        <w:pStyle w:val="ONUMFS"/>
        <w:numPr>
          <w:ilvl w:val="0"/>
          <w:numId w:val="0"/>
        </w:numPr>
        <w:rPr>
          <w:b/>
          <w:bCs/>
          <w:szCs w:val="22"/>
        </w:rPr>
      </w:pPr>
      <w:r w:rsidRPr="004C6ED2">
        <w:rPr>
          <w:b/>
          <w:bCs/>
          <w:szCs w:val="22"/>
        </w:rPr>
        <w:t>Formalidades</w:t>
      </w:r>
    </w:p>
    <w:p w:rsidR="009D13E8" w:rsidRPr="004C6ED2" w:rsidRDefault="00D0451B" w:rsidP="009D13E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“formalidades” se entiende “cada uno de los requisitos para ejecutar algo”.  El </w:t>
      </w:r>
      <w:r w:rsidRPr="004C6ED2">
        <w:rPr>
          <w:i/>
          <w:iCs/>
          <w:szCs w:val="22"/>
        </w:rPr>
        <w:t>Diccionario de uso del español</w:t>
      </w:r>
      <w:r w:rsidRPr="004C6ED2">
        <w:rPr>
          <w:szCs w:val="22"/>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C6ED2">
        <w:rPr>
          <w:rStyle w:val="FootnoteReference"/>
          <w:szCs w:val="22"/>
        </w:rPr>
        <w:footnoteReference w:id="71"/>
      </w:r>
      <w:r w:rsidRPr="004C6ED2">
        <w:rPr>
          <w:szCs w:val="22"/>
        </w:rPr>
        <w:t xml:space="preserve">  En el Convenio de Berna para la Protección de las Obras Literarias y Artísticas (1971), el Acuerdo sobre los ADPIC, el Tratado de la OMPI sobre Derecho de Autor y el Tratado de la OMPI sobre Interpretación o Ejecución y Fonogramas, “el goce y el ejercicio de estos derechos no estarán subordinados a ninguna formalidad”.</w:t>
      </w:r>
      <w:r w:rsidR="004C6ED2" w:rsidRPr="004C6ED2">
        <w:rPr>
          <w:rStyle w:val="FootnoteReference"/>
          <w:szCs w:val="22"/>
        </w:rPr>
        <w:footnoteReference w:id="72"/>
      </w:r>
    </w:p>
    <w:p w:rsidR="00D0451B" w:rsidRPr="004C6ED2" w:rsidRDefault="00D0451B" w:rsidP="00D0451B">
      <w:pPr>
        <w:pStyle w:val="ONUMFS"/>
        <w:numPr>
          <w:ilvl w:val="0"/>
          <w:numId w:val="0"/>
        </w:numPr>
        <w:rPr>
          <w:b/>
          <w:bCs/>
          <w:szCs w:val="22"/>
        </w:rPr>
      </w:pPr>
      <w:r w:rsidRPr="004C6ED2">
        <w:rPr>
          <w:b/>
          <w:bCs/>
          <w:szCs w:val="22"/>
        </w:rPr>
        <w:t>Material genético</w:t>
      </w:r>
    </w:p>
    <w:p w:rsidR="00627FCD" w:rsidRPr="004C6ED2" w:rsidRDefault="00D0451B" w:rsidP="00D0451B">
      <w:pPr>
        <w:pStyle w:val="ONUMFS"/>
        <w:numPr>
          <w:ilvl w:val="0"/>
          <w:numId w:val="0"/>
        </w:numPr>
        <w:rPr>
          <w:b/>
          <w:szCs w:val="22"/>
        </w:rPr>
      </w:pPr>
      <w:r w:rsidRPr="004C6ED2">
        <w:rPr>
          <w:szCs w:val="22"/>
        </w:rPr>
        <w:t xml:space="preserve">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w:t>
      </w:r>
      <w:r w:rsidRPr="004C6ED2">
        <w:rPr>
          <w:szCs w:val="22"/>
        </w:rPr>
        <w:lastRenderedPageBreak/>
        <w:t>como “material procedente de toda fuente biológica en que las unidades de la herencia efectúan o tienen una función”.</w:t>
      </w:r>
      <w:r w:rsidRPr="004C6ED2">
        <w:rPr>
          <w:rStyle w:val="FootnoteReference"/>
          <w:szCs w:val="22"/>
        </w:rPr>
        <w:footnoteReference w:id="73"/>
      </w:r>
    </w:p>
    <w:p w:rsidR="00D0451B" w:rsidRPr="004C6ED2" w:rsidRDefault="00D0451B" w:rsidP="00D0451B">
      <w:pPr>
        <w:pStyle w:val="ONUMFS"/>
        <w:numPr>
          <w:ilvl w:val="0"/>
          <w:numId w:val="0"/>
        </w:numPr>
        <w:rPr>
          <w:b/>
          <w:bCs/>
          <w:szCs w:val="22"/>
        </w:rPr>
      </w:pPr>
      <w:r w:rsidRPr="004C6ED2">
        <w:rPr>
          <w:b/>
          <w:bCs/>
          <w:szCs w:val="22"/>
        </w:rPr>
        <w:t>Recursos genéticos</w:t>
      </w:r>
    </w:p>
    <w:p w:rsidR="00D57BA9" w:rsidRPr="004C6ED2" w:rsidRDefault="00D0451B" w:rsidP="00D0451B">
      <w:pPr>
        <w:pStyle w:val="ONUMFS"/>
        <w:numPr>
          <w:ilvl w:val="0"/>
          <w:numId w:val="0"/>
        </w:numPr>
        <w:rPr>
          <w:szCs w:val="22"/>
        </w:rPr>
      </w:pPr>
      <w:r w:rsidRPr="004C6ED2">
        <w:rPr>
          <w:szCs w:val="22"/>
        </w:rPr>
        <w:t>En el artículo 2 del Convenio sobre la Diversidad Biológica (1992) se define “</w:t>
      </w:r>
      <w:r w:rsidRPr="004C6ED2">
        <w:rPr>
          <w:iCs/>
          <w:szCs w:val="22"/>
        </w:rPr>
        <w:t>recursos genéticos”</w:t>
      </w:r>
      <w:r w:rsidRPr="004C6ED2">
        <w:rPr>
          <w:szCs w:val="22"/>
        </w:rPr>
        <w:t xml:space="preserve"> como “todo material genético de valor real o potencial”</w:t>
      </w:r>
      <w:r w:rsidR="00D57BA9" w:rsidRPr="004C6ED2">
        <w:rPr>
          <w:szCs w:val="22"/>
        </w:rPr>
        <w:t>.</w:t>
      </w:r>
    </w:p>
    <w:p w:rsidR="00D0451B" w:rsidRPr="004C6ED2" w:rsidRDefault="00D0451B" w:rsidP="00D0451B">
      <w:pPr>
        <w:pStyle w:val="ONUMFS"/>
        <w:numPr>
          <w:ilvl w:val="0"/>
          <w:numId w:val="0"/>
        </w:numPr>
        <w:rPr>
          <w:szCs w:val="22"/>
        </w:rPr>
      </w:pPr>
      <w:r w:rsidRPr="004C6ED2">
        <w:rPr>
          <w:szCs w:val="22"/>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D0451B" w:rsidRPr="004C6ED2" w:rsidRDefault="00D0451B" w:rsidP="00D0451B">
      <w:pPr>
        <w:pStyle w:val="ONUMFS"/>
        <w:numPr>
          <w:ilvl w:val="0"/>
          <w:numId w:val="0"/>
        </w:numPr>
        <w:rPr>
          <w:szCs w:val="22"/>
        </w:rPr>
      </w:pPr>
      <w:r w:rsidRPr="004C6ED2">
        <w:rPr>
          <w:szCs w:val="22"/>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D0451B" w:rsidRPr="004C6ED2" w:rsidRDefault="00D0451B" w:rsidP="00D0451B">
      <w:pPr>
        <w:pStyle w:val="ONUMFS"/>
        <w:numPr>
          <w:ilvl w:val="0"/>
          <w:numId w:val="0"/>
        </w:numPr>
        <w:rPr>
          <w:szCs w:val="22"/>
        </w:rPr>
      </w:pPr>
      <w:r w:rsidRPr="004C6ED2">
        <w:rPr>
          <w:szCs w:val="22"/>
        </w:rPr>
        <w:t>En otros instrumentos jurídicos se hace referencia a los recursos genéticos mediante diferentes términos:</w:t>
      </w:r>
    </w:p>
    <w:p w:rsidR="00D0451B" w:rsidRPr="004C6ED2" w:rsidRDefault="00D0451B" w:rsidP="00D0451B">
      <w:pPr>
        <w:pStyle w:val="ONUMFS"/>
        <w:numPr>
          <w:ilvl w:val="0"/>
          <w:numId w:val="0"/>
        </w:numPr>
        <w:rPr>
          <w:i/>
          <w:szCs w:val="22"/>
        </w:rPr>
      </w:pPr>
      <w:r w:rsidRPr="004C6ED2">
        <w:rPr>
          <w:rStyle w:val="Emphasis"/>
          <w:i w:val="0"/>
          <w:szCs w:val="22"/>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D0451B" w:rsidRPr="004C6ED2" w:rsidRDefault="00D0451B" w:rsidP="00D0451B">
      <w:pPr>
        <w:pStyle w:val="ONUMFS"/>
        <w:numPr>
          <w:ilvl w:val="0"/>
          <w:numId w:val="0"/>
        </w:numPr>
        <w:rPr>
          <w:i/>
          <w:szCs w:val="22"/>
        </w:rPr>
      </w:pPr>
      <w:r w:rsidRPr="004C6ED2">
        <w:rPr>
          <w:rStyle w:val="Emphasis"/>
          <w:i w:val="0"/>
          <w:szCs w:val="22"/>
        </w:rPr>
        <w:t>En el artículo 2 del Código Internacional de Conducta para la Recolección y Transferencia de Germoplasma Vegetal de la FAO, el término se define como “material de reproducción o de propagación vegetativa de las plantas”.</w:t>
      </w:r>
    </w:p>
    <w:p w:rsidR="00D0451B" w:rsidRPr="004C6ED2" w:rsidRDefault="00D0451B" w:rsidP="00D0451B">
      <w:pPr>
        <w:pStyle w:val="ONUMFS"/>
        <w:numPr>
          <w:ilvl w:val="0"/>
          <w:numId w:val="0"/>
        </w:numPr>
        <w:rPr>
          <w:szCs w:val="22"/>
        </w:rPr>
      </w:pPr>
      <w:r w:rsidRPr="004C6ED2">
        <w:rPr>
          <w:szCs w:val="22"/>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D0451B" w:rsidRPr="004C6ED2" w:rsidRDefault="00D0451B" w:rsidP="00D0451B">
      <w:pPr>
        <w:pStyle w:val="ONUMFS"/>
        <w:numPr>
          <w:ilvl w:val="0"/>
          <w:numId w:val="0"/>
        </w:numPr>
        <w:rPr>
          <w:szCs w:val="22"/>
        </w:rPr>
      </w:pPr>
      <w:r w:rsidRPr="004C6ED2">
        <w:rPr>
          <w:rStyle w:val="Emphasis"/>
          <w:i w:val="0"/>
          <w:szCs w:val="22"/>
        </w:rPr>
        <w:t>En otros instrumentos jurídicos sobre P.I. no se utiliza el término, sino que se habla de “materia biológica”.  En la Directiva de la Unión Europea sobre la protección jurídica de las invenciones biotecnológicas, se define como</w:t>
      </w:r>
      <w:r w:rsidRPr="004C6ED2">
        <w:rPr>
          <w:iCs/>
          <w:szCs w:val="22"/>
        </w:rPr>
        <w:t xml:space="preserve"> </w:t>
      </w:r>
      <w:r w:rsidRPr="004C6ED2">
        <w:rPr>
          <w:szCs w:val="22"/>
        </w:rPr>
        <w:t>“materia que contenga información genética autorreproducible o reproducible en un sistema biológico”.</w:t>
      </w:r>
    </w:p>
    <w:p w:rsidR="00D0451B" w:rsidRPr="004C6ED2" w:rsidRDefault="00D0451B" w:rsidP="00D0451B">
      <w:pPr>
        <w:pStyle w:val="ONUMFS"/>
        <w:numPr>
          <w:ilvl w:val="0"/>
          <w:numId w:val="0"/>
        </w:numPr>
        <w:rPr>
          <w:szCs w:val="22"/>
        </w:rPr>
      </w:pPr>
      <w:r w:rsidRPr="004C6ED2">
        <w:rPr>
          <w:szCs w:val="22"/>
        </w:rPr>
        <w:t>Con arreglo al Código de Reglamentos Federales estadounidense, la definición del término “materia biológica” comprenderá “toda materia capaz de autorreproducirse directa o indirectamente”.</w:t>
      </w:r>
    </w:p>
    <w:p w:rsidR="00D0451B" w:rsidRPr="004C6ED2" w:rsidRDefault="00D0451B" w:rsidP="00D0451B">
      <w:pPr>
        <w:pStyle w:val="ONUMFS"/>
        <w:numPr>
          <w:ilvl w:val="0"/>
          <w:numId w:val="0"/>
        </w:numPr>
        <w:rPr>
          <w:b/>
          <w:szCs w:val="22"/>
        </w:rPr>
      </w:pPr>
      <w:r w:rsidRPr="004C6ED2">
        <w:rPr>
          <w:szCs w:val="22"/>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D0451B" w:rsidRPr="004C6ED2" w:rsidRDefault="00D0451B" w:rsidP="00B61063">
      <w:pPr>
        <w:pStyle w:val="ONUMFS"/>
        <w:keepNext/>
        <w:numPr>
          <w:ilvl w:val="0"/>
          <w:numId w:val="0"/>
        </w:numPr>
        <w:rPr>
          <w:b/>
          <w:bCs/>
          <w:szCs w:val="22"/>
        </w:rPr>
      </w:pPr>
      <w:r w:rsidRPr="004C6ED2">
        <w:rPr>
          <w:b/>
          <w:bCs/>
          <w:szCs w:val="22"/>
        </w:rPr>
        <w:lastRenderedPageBreak/>
        <w:t>Patrimonio (de los pueblos indígenas)</w:t>
      </w:r>
    </w:p>
    <w:p w:rsidR="00D0451B" w:rsidRPr="004C6ED2" w:rsidRDefault="00D0451B" w:rsidP="00B61063">
      <w:pPr>
        <w:pStyle w:val="ONUMFS"/>
        <w:keepNext/>
        <w:numPr>
          <w:ilvl w:val="0"/>
          <w:numId w:val="0"/>
        </w:numPr>
        <w:rPr>
          <w:szCs w:val="22"/>
        </w:rPr>
      </w:pPr>
      <w:r w:rsidRPr="004C6ED2">
        <w:rPr>
          <w:szCs w:val="22"/>
        </w:rPr>
        <w:t xml:space="preserve">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w:t>
      </w:r>
      <w:r w:rsidR="00D57BA9" w:rsidRPr="004C6ED2">
        <w:rPr>
          <w:szCs w:val="22"/>
        </w:rPr>
        <w:t>Sra. </w:t>
      </w:r>
      <w:r w:rsidRPr="004C6ED2">
        <w:rPr>
          <w:szCs w:val="22"/>
        </w:rPr>
        <w:t>Erica-Irene Daes.  Las definiciones se recogen en los párrafos 12, 13 y 14 de las Directrices.</w:t>
      </w:r>
    </w:p>
    <w:p w:rsidR="00D0451B" w:rsidRPr="004C6ED2" w:rsidRDefault="00D0451B" w:rsidP="00D0451B">
      <w:pPr>
        <w:pStyle w:val="ONUMFS"/>
        <w:numPr>
          <w:ilvl w:val="0"/>
          <w:numId w:val="0"/>
        </w:numPr>
        <w:rPr>
          <w:b/>
          <w:szCs w:val="22"/>
        </w:rPr>
      </w:pPr>
      <w:r w:rsidRPr="004C6ED2">
        <w:rPr>
          <w:szCs w:val="22"/>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C6ED2">
        <w:rPr>
          <w:rStyle w:val="FootnoteReference"/>
          <w:szCs w:val="22"/>
        </w:rPr>
        <w:footnoteReference w:id="74"/>
      </w:r>
    </w:p>
    <w:p w:rsidR="001B1036" w:rsidRPr="004C6ED2" w:rsidRDefault="001B1036" w:rsidP="001B1036">
      <w:pPr>
        <w:pStyle w:val="ONUMFS"/>
        <w:numPr>
          <w:ilvl w:val="0"/>
          <w:numId w:val="0"/>
        </w:numPr>
        <w:rPr>
          <w:b/>
          <w:bCs/>
          <w:szCs w:val="22"/>
        </w:rPr>
      </w:pPr>
      <w:r w:rsidRPr="004C6ED2">
        <w:rPr>
          <w:b/>
          <w:bCs/>
          <w:szCs w:val="22"/>
        </w:rPr>
        <w:t>Comunidades indígenas y locales</w:t>
      </w:r>
    </w:p>
    <w:p w:rsidR="001B1036" w:rsidRPr="004C6ED2" w:rsidRDefault="001B1036" w:rsidP="001B1036">
      <w:pPr>
        <w:pStyle w:val="ONUMFS"/>
        <w:numPr>
          <w:ilvl w:val="0"/>
          <w:numId w:val="0"/>
        </w:numPr>
        <w:rPr>
          <w:szCs w:val="22"/>
        </w:rPr>
      </w:pPr>
      <w:r w:rsidRPr="004C6ED2">
        <w:rPr>
          <w:szCs w:val="22"/>
        </w:rPr>
        <w:t xml:space="preserve">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w:t>
      </w:r>
      <w:r w:rsidRPr="004C6ED2">
        <w:rPr>
          <w:szCs w:val="22"/>
        </w:rPr>
        <w:lastRenderedPageBreak/>
        <w:t>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1B1036" w:rsidRPr="004C6ED2" w:rsidRDefault="001B1036" w:rsidP="001B1036">
      <w:pPr>
        <w:pStyle w:val="ONUMFS"/>
        <w:numPr>
          <w:ilvl w:val="0"/>
          <w:numId w:val="0"/>
        </w:numPr>
        <w:rPr>
          <w:szCs w:val="22"/>
        </w:rPr>
      </w:pPr>
      <w:r w:rsidRPr="004C6ED2">
        <w:rPr>
          <w:szCs w:val="22"/>
        </w:rPr>
        <w:t>En el Convenio sobre la Diversidad Biológica</w:t>
      </w:r>
      <w:r w:rsidRPr="004C6ED2">
        <w:rPr>
          <w:i/>
          <w:szCs w:val="22"/>
        </w:rPr>
        <w:t xml:space="preserve"> </w:t>
      </w:r>
      <w:r w:rsidRPr="004C6ED2">
        <w:rPr>
          <w:szCs w:val="22"/>
        </w:rPr>
        <w:t>(1992) se utiliza el término “comunidades indígenas y locales” en referencia a comunidades que se identifican desde antaño con las tierras y las aguas en las que viven o que han utilizado</w:t>
      </w:r>
      <w:r w:rsidRPr="004C6ED2">
        <w:rPr>
          <w:rStyle w:val="FootnoteReference"/>
          <w:szCs w:val="22"/>
        </w:rPr>
        <w:footnoteReference w:id="75"/>
      </w:r>
      <w:r w:rsidRPr="004C6ED2">
        <w:rPr>
          <w:szCs w:val="22"/>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C6ED2">
        <w:rPr>
          <w:rStyle w:val="FootnoteReference"/>
          <w:szCs w:val="22"/>
        </w:rPr>
        <w:footnoteReference w:id="76"/>
      </w:r>
    </w:p>
    <w:p w:rsidR="001B1036" w:rsidRPr="004C6ED2" w:rsidRDefault="001B1036" w:rsidP="001B1036">
      <w:pPr>
        <w:pStyle w:val="ONUMFS"/>
        <w:numPr>
          <w:ilvl w:val="0"/>
          <w:numId w:val="0"/>
        </w:numPr>
        <w:rPr>
          <w:szCs w:val="22"/>
        </w:rPr>
      </w:pPr>
      <w:r w:rsidRPr="004C6ED2">
        <w:rPr>
          <w:szCs w:val="22"/>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  “A los fines del presente artículo, la expresión “comunidades locales” incluirá cualquier clasificación de identidad social y cultural de un Estado miembro tal como se define en la legislación nacional”.</w:t>
      </w:r>
    </w:p>
    <w:p w:rsidR="001B1036" w:rsidRPr="004C6ED2" w:rsidRDefault="001B1036" w:rsidP="001B1036">
      <w:pPr>
        <w:pStyle w:val="ONUMFS"/>
        <w:numPr>
          <w:ilvl w:val="0"/>
          <w:numId w:val="0"/>
        </w:numPr>
        <w:rPr>
          <w:szCs w:val="22"/>
        </w:rPr>
      </w:pPr>
      <w:r w:rsidRPr="004C6ED2">
        <w:rPr>
          <w:szCs w:val="22"/>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00D57BA9" w:rsidRPr="004C6ED2">
        <w:rPr>
          <w:i/>
          <w:szCs w:val="22"/>
        </w:rPr>
        <w:t>in situ</w:t>
      </w:r>
      <w:r w:rsidRPr="004C6ED2">
        <w:rPr>
          <w:szCs w:val="22"/>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4C6ED2">
        <w:rPr>
          <w:iCs/>
          <w:szCs w:val="22"/>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C6ED2">
        <w:rPr>
          <w:szCs w:val="22"/>
        </w:rPr>
        <w:t>”.</w:t>
      </w:r>
    </w:p>
    <w:p w:rsidR="001B1036" w:rsidRPr="004C6ED2" w:rsidRDefault="001B1036" w:rsidP="001B1036">
      <w:pPr>
        <w:pStyle w:val="ONUMFS"/>
        <w:numPr>
          <w:ilvl w:val="0"/>
          <w:numId w:val="0"/>
        </w:numPr>
        <w:rPr>
          <w:szCs w:val="22"/>
        </w:rPr>
      </w:pPr>
      <w:r w:rsidRPr="004C6ED2">
        <w:rPr>
          <w:szCs w:val="22"/>
        </w:rPr>
        <w:t>En otros instrumentos jurídicos se utiliza una terminología diferente:  la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1B1036" w:rsidRPr="004C6ED2" w:rsidRDefault="001B1036" w:rsidP="001B1036">
      <w:pPr>
        <w:pStyle w:val="ONUMFS"/>
        <w:numPr>
          <w:ilvl w:val="0"/>
          <w:numId w:val="0"/>
        </w:numPr>
        <w:rPr>
          <w:szCs w:val="22"/>
        </w:rPr>
      </w:pPr>
      <w:r w:rsidRPr="004C6ED2">
        <w:rPr>
          <w:szCs w:val="22"/>
        </w:rPr>
        <w:t>En el artículo 1 de la Decisión 391 de la Comunidad Andina acerca de un Régimen Común sobre Acceso a los Recursos Genéticos se define “comunidad indígena, afroamericana o local” como “</w:t>
      </w:r>
      <w:r w:rsidRPr="004C6ED2">
        <w:rPr>
          <w:iCs/>
          <w:szCs w:val="22"/>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C6ED2">
        <w:rPr>
          <w:szCs w:val="22"/>
        </w:rPr>
        <w:t>”.</w:t>
      </w:r>
    </w:p>
    <w:p w:rsidR="00D0451B" w:rsidRPr="004C6ED2" w:rsidRDefault="001B1036" w:rsidP="003C2497">
      <w:pPr>
        <w:pStyle w:val="ONUMFS"/>
        <w:keepNext/>
        <w:keepLines/>
        <w:numPr>
          <w:ilvl w:val="0"/>
          <w:numId w:val="0"/>
        </w:numPr>
        <w:rPr>
          <w:b/>
          <w:szCs w:val="22"/>
        </w:rPr>
      </w:pPr>
      <w:r w:rsidRPr="004C6ED2">
        <w:rPr>
          <w:szCs w:val="22"/>
        </w:rPr>
        <w:lastRenderedPageBreak/>
        <w:t xml:space="preserve">En el artículo 7.III de la Ley provisional del Brasil </w:t>
      </w:r>
      <w:r w:rsidR="00D57BA9" w:rsidRPr="004C6ED2">
        <w:rPr>
          <w:szCs w:val="22"/>
        </w:rPr>
        <w:t>Nº </w:t>
      </w:r>
      <w:r w:rsidRPr="004C6ED2">
        <w:rPr>
          <w:szCs w:val="22"/>
        </w:rPr>
        <w:t>2, 186 16, con fecha 23 de agosto de 2001, se define “comunidad local” como ”</w:t>
      </w:r>
      <w:r w:rsidRPr="004C6ED2">
        <w:rPr>
          <w:iCs/>
          <w:szCs w:val="22"/>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C6ED2">
        <w:rPr>
          <w:szCs w:val="22"/>
        </w:rPr>
        <w:t>”.</w:t>
      </w:r>
    </w:p>
    <w:p w:rsidR="001B1036" w:rsidRPr="004C6ED2" w:rsidRDefault="001B1036" w:rsidP="001B1036">
      <w:pPr>
        <w:pStyle w:val="ONUMFS"/>
        <w:numPr>
          <w:ilvl w:val="0"/>
          <w:numId w:val="0"/>
        </w:numPr>
        <w:rPr>
          <w:b/>
          <w:bCs/>
          <w:szCs w:val="22"/>
        </w:rPr>
      </w:pPr>
      <w:r w:rsidRPr="004C6ED2">
        <w:rPr>
          <w:b/>
          <w:bCs/>
          <w:szCs w:val="22"/>
        </w:rPr>
        <w:t>Conocimientos indígenas</w:t>
      </w:r>
    </w:p>
    <w:p w:rsidR="00D0451B" w:rsidRPr="004C6ED2" w:rsidRDefault="001B1036" w:rsidP="001B1036">
      <w:pPr>
        <w:pStyle w:val="ONUMFS"/>
        <w:numPr>
          <w:ilvl w:val="0"/>
          <w:numId w:val="0"/>
        </w:numPr>
        <w:rPr>
          <w:b/>
          <w:szCs w:val="22"/>
        </w:rPr>
      </w:pPr>
      <w:r w:rsidRPr="004C6ED2">
        <w:rPr>
          <w:szCs w:val="22"/>
        </w:rPr>
        <w:t>La expresión “conocimientos indígenas” se utiliza para describir “</w:t>
      </w:r>
      <w:r w:rsidRPr="004C6ED2">
        <w:rPr>
          <w:iCs/>
          <w:szCs w:val="22"/>
        </w:rPr>
        <w:t>los conocimientos que poseen y utilizan comunidades, pueblos y naciones indígenas</w:t>
      </w:r>
      <w:r w:rsidRPr="004C6ED2">
        <w:rPr>
          <w:szCs w:val="22"/>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C6ED2">
        <w:rPr>
          <w:rStyle w:val="FootnoteReference"/>
          <w:szCs w:val="22"/>
        </w:rPr>
        <w:footnoteReference w:id="77"/>
      </w:r>
    </w:p>
    <w:p w:rsidR="001B1036" w:rsidRPr="004C6ED2" w:rsidRDefault="001B1036" w:rsidP="001B1036">
      <w:pPr>
        <w:pStyle w:val="ONUMFS"/>
        <w:numPr>
          <w:ilvl w:val="0"/>
          <w:numId w:val="0"/>
        </w:numPr>
        <w:rPr>
          <w:b/>
          <w:bCs/>
          <w:szCs w:val="22"/>
        </w:rPr>
      </w:pPr>
      <w:r w:rsidRPr="004C6ED2">
        <w:rPr>
          <w:b/>
          <w:bCs/>
          <w:szCs w:val="22"/>
        </w:rPr>
        <w:t>Pueblos indígenas</w:t>
      </w:r>
    </w:p>
    <w:p w:rsidR="001B1036" w:rsidRPr="004C6ED2" w:rsidRDefault="001B1036" w:rsidP="001B1036">
      <w:pPr>
        <w:pStyle w:val="ONUMFS"/>
        <w:numPr>
          <w:ilvl w:val="0"/>
          <w:numId w:val="0"/>
        </w:numPr>
        <w:rPr>
          <w:szCs w:val="22"/>
        </w:rPr>
      </w:pPr>
      <w:r w:rsidRPr="004C6ED2">
        <w:rPr>
          <w:szCs w:val="22"/>
        </w:rPr>
        <w:t>La expresión “pueblos indígenas” ha sido objeto de considerable debate y estudio por cuanto no existe una definición universal estándar.</w:t>
      </w:r>
    </w:p>
    <w:p w:rsidR="001B1036" w:rsidRPr="004C6ED2" w:rsidRDefault="001B1036" w:rsidP="001B1036">
      <w:pPr>
        <w:pStyle w:val="ONUMFS"/>
        <w:numPr>
          <w:ilvl w:val="0"/>
          <w:numId w:val="0"/>
        </w:numPr>
        <w:rPr>
          <w:szCs w:val="22"/>
        </w:rPr>
      </w:pPr>
      <w:r w:rsidRPr="004C6ED2">
        <w:rPr>
          <w:szCs w:val="22"/>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1B1036" w:rsidRPr="004C6ED2" w:rsidRDefault="001B1036" w:rsidP="001B1036">
      <w:pPr>
        <w:pStyle w:val="ONUMFS"/>
        <w:numPr>
          <w:ilvl w:val="0"/>
          <w:numId w:val="0"/>
        </w:numPr>
        <w:rPr>
          <w:szCs w:val="22"/>
        </w:rPr>
      </w:pPr>
      <w:r w:rsidRPr="004C6ED2">
        <w:rPr>
          <w:szCs w:val="22"/>
        </w:rPr>
        <w:t xml:space="preserve">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w:t>
      </w:r>
      <w:r w:rsidR="004C6ED2" w:rsidRPr="004C6ED2">
        <w:rPr>
          <w:szCs w:val="22"/>
        </w:rPr>
        <w:t>Sr. J. M</w:t>
      </w:r>
      <w:r w:rsidRPr="004C6ED2">
        <w:rPr>
          <w:szCs w:val="22"/>
        </w:rPr>
        <w:t>artínez Cobo, es considerada una definición de trabajo aceptable por muchos pueblos indígenas y organizaciones que los representan.  En el estudio, por “comunidades indígenas” se entiende los pueblos y las naciones que “</w:t>
      </w:r>
      <w:r w:rsidRPr="004C6ED2">
        <w:rPr>
          <w:iCs/>
          <w:szCs w:val="22"/>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szCs w:val="22"/>
        </w:rPr>
        <w:t>”.</w:t>
      </w:r>
    </w:p>
    <w:p w:rsidR="001B1036" w:rsidRPr="004C6ED2" w:rsidRDefault="001B1036" w:rsidP="001B1036">
      <w:pPr>
        <w:pStyle w:val="ONUMFS"/>
        <w:numPr>
          <w:ilvl w:val="0"/>
          <w:numId w:val="0"/>
        </w:numPr>
        <w:rPr>
          <w:szCs w:val="22"/>
        </w:rPr>
      </w:pPr>
      <w:r w:rsidRPr="004C6ED2">
        <w:rPr>
          <w:szCs w:val="22"/>
        </w:rPr>
        <w:t>El artículo 1 del Convenio de la OIT sobre pueblos indígenas y tribales en países independientes establece que dicho Convenio se aplicará:</w:t>
      </w:r>
    </w:p>
    <w:p w:rsidR="001B1036" w:rsidRPr="004C6ED2" w:rsidRDefault="001B1036" w:rsidP="00381BB6">
      <w:pPr>
        <w:pStyle w:val="ONUMFS"/>
        <w:numPr>
          <w:ilvl w:val="0"/>
          <w:numId w:val="0"/>
        </w:numPr>
        <w:ind w:left="567"/>
        <w:rPr>
          <w:szCs w:val="22"/>
        </w:rPr>
      </w:pPr>
      <w:r w:rsidRPr="004C6ED2">
        <w:rPr>
          <w:szCs w:val="22"/>
        </w:rPr>
        <w:t>“a)</w:t>
      </w:r>
      <w:r w:rsidRPr="004C6ED2">
        <w:rPr>
          <w:szCs w:val="22"/>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1B1036" w:rsidRPr="004C6ED2" w:rsidRDefault="001B1036" w:rsidP="00381BB6">
      <w:pPr>
        <w:pStyle w:val="ONUMFS"/>
        <w:numPr>
          <w:ilvl w:val="0"/>
          <w:numId w:val="0"/>
        </w:numPr>
        <w:ind w:left="567"/>
        <w:rPr>
          <w:szCs w:val="22"/>
        </w:rPr>
      </w:pPr>
      <w:r w:rsidRPr="004C6ED2">
        <w:rPr>
          <w:szCs w:val="22"/>
        </w:rPr>
        <w:t>b)</w:t>
      </w:r>
      <w:r w:rsidRPr="004C6ED2">
        <w:rPr>
          <w:szCs w:val="22"/>
        </w:rPr>
        <w:tab/>
        <w:t xml:space="preserve">A los pueblos en países independientes, considerados indígenas por el hecho de descender de poblaciones que habitaban en el país o en una región geográfica a la que pertenece el país en la época de la conquista o la colonización o del establecimiento de las </w:t>
      </w:r>
      <w:r w:rsidRPr="004C6ED2">
        <w:rPr>
          <w:szCs w:val="22"/>
        </w:rPr>
        <w:lastRenderedPageBreak/>
        <w:t>actuales fronteras estatales y que, cualquiera que sea su situación jurídica, conservan todas sus propias instituciones sociales, económicas, culturales y políticas o parte de ellas”.</w:t>
      </w:r>
      <w:r w:rsidRPr="004C6ED2">
        <w:rPr>
          <w:rStyle w:val="FootnoteReference"/>
          <w:szCs w:val="22"/>
        </w:rPr>
        <w:footnoteReference w:id="78"/>
      </w:r>
    </w:p>
    <w:p w:rsidR="001B1036" w:rsidRPr="004C6ED2" w:rsidRDefault="001B1036" w:rsidP="001B1036">
      <w:pPr>
        <w:pStyle w:val="ONUMFS"/>
        <w:numPr>
          <w:ilvl w:val="0"/>
          <w:numId w:val="0"/>
        </w:numPr>
        <w:rPr>
          <w:szCs w:val="22"/>
        </w:rPr>
      </w:pPr>
      <w:r w:rsidRPr="004C6ED2">
        <w:rPr>
          <w:szCs w:val="22"/>
        </w:rPr>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C6ED2">
        <w:rPr>
          <w:szCs w:val="22"/>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C6ED2">
        <w:rPr>
          <w:rStyle w:val="FootnoteReference"/>
          <w:szCs w:val="22"/>
        </w:rPr>
        <w:footnoteReference w:id="79"/>
      </w:r>
    </w:p>
    <w:p w:rsidR="001B1036" w:rsidRPr="004C6ED2" w:rsidRDefault="001B1036" w:rsidP="001B1036">
      <w:pPr>
        <w:pStyle w:val="ONUMFS"/>
        <w:numPr>
          <w:ilvl w:val="0"/>
          <w:numId w:val="0"/>
        </w:numPr>
        <w:rPr>
          <w:szCs w:val="22"/>
        </w:rPr>
      </w:pPr>
      <w:r w:rsidRPr="004C6ED2">
        <w:rPr>
          <w:szCs w:val="22"/>
        </w:rPr>
        <w:t>El Banco Mundial emplea el término “pueblos indígenas” en sentido genérico y mediante el mismo se designa a diferentes grupos que presentan las siguientes características en mayor o menor proporción:</w:t>
      </w:r>
    </w:p>
    <w:p w:rsidR="001B1036" w:rsidRPr="004C6ED2" w:rsidRDefault="001B1036" w:rsidP="00AA530C">
      <w:pPr>
        <w:pStyle w:val="ONUMFS"/>
        <w:numPr>
          <w:ilvl w:val="0"/>
          <w:numId w:val="0"/>
        </w:numPr>
        <w:ind w:left="567"/>
        <w:rPr>
          <w:szCs w:val="22"/>
        </w:rPr>
      </w:pPr>
      <w:r w:rsidRPr="004C6ED2">
        <w:rPr>
          <w:szCs w:val="22"/>
        </w:rPr>
        <w:t>i)</w:t>
      </w:r>
      <w:r w:rsidRPr="004C6ED2">
        <w:rPr>
          <w:szCs w:val="22"/>
        </w:rPr>
        <w:tab/>
        <w:t>“su propia identificación como miembros de un grupo determinado de cultura indígena y el reconocimiento de su identidad por otros;</w:t>
      </w:r>
    </w:p>
    <w:p w:rsidR="001B1036" w:rsidRPr="004C6ED2" w:rsidRDefault="001B1036" w:rsidP="00AA530C">
      <w:pPr>
        <w:pStyle w:val="ONUMFS"/>
        <w:numPr>
          <w:ilvl w:val="0"/>
          <w:numId w:val="0"/>
        </w:numPr>
        <w:ind w:left="567"/>
        <w:rPr>
          <w:szCs w:val="22"/>
        </w:rPr>
      </w:pPr>
      <w:r w:rsidRPr="004C6ED2">
        <w:rPr>
          <w:szCs w:val="22"/>
        </w:rPr>
        <w:t>ii)</w:t>
      </w:r>
      <w:r w:rsidRPr="004C6ED2">
        <w:rPr>
          <w:szCs w:val="22"/>
        </w:rPr>
        <w:tab/>
        <w:t>un apego colectivo a hábitats geográficamente definidos o territorios ancestrales en la zona del proyecto y a los recursos naturales de esos hábitats o territorios;</w:t>
      </w:r>
    </w:p>
    <w:p w:rsidR="001B1036" w:rsidRPr="004C6ED2" w:rsidRDefault="001B1036" w:rsidP="00AA530C">
      <w:pPr>
        <w:pStyle w:val="ONUMFS"/>
        <w:numPr>
          <w:ilvl w:val="0"/>
          <w:numId w:val="0"/>
        </w:numPr>
        <w:ind w:left="567"/>
        <w:rPr>
          <w:szCs w:val="22"/>
        </w:rPr>
      </w:pPr>
      <w:r w:rsidRPr="004C6ED2">
        <w:rPr>
          <w:szCs w:val="22"/>
        </w:rPr>
        <w:t>iii)</w:t>
      </w:r>
      <w:r w:rsidRPr="004C6ED2">
        <w:rPr>
          <w:szCs w:val="22"/>
        </w:rPr>
        <w:tab/>
        <w:t>instituciones consuetudinarias culturales, económicas, sociales o políticas distintas de las de la sociedad y cultura dominantes;  y</w:t>
      </w:r>
    </w:p>
    <w:p w:rsidR="001B1036" w:rsidRPr="004C6ED2" w:rsidRDefault="001B1036" w:rsidP="00AA530C">
      <w:pPr>
        <w:pStyle w:val="ONUMFS"/>
        <w:numPr>
          <w:ilvl w:val="0"/>
          <w:numId w:val="0"/>
        </w:numPr>
        <w:ind w:left="567"/>
        <w:rPr>
          <w:szCs w:val="22"/>
        </w:rPr>
      </w:pPr>
      <w:r w:rsidRPr="004C6ED2">
        <w:rPr>
          <w:szCs w:val="22"/>
        </w:rPr>
        <w:t>iv)</w:t>
      </w:r>
      <w:r w:rsidRPr="004C6ED2">
        <w:rPr>
          <w:szCs w:val="22"/>
        </w:rPr>
        <w:tab/>
        <w:t>una lengua indígena, con frecuencia distinta de la lengua oficial del país o región”.</w:t>
      </w:r>
      <w:r w:rsidRPr="004C6ED2">
        <w:rPr>
          <w:rStyle w:val="FootnoteReference"/>
          <w:szCs w:val="22"/>
        </w:rPr>
        <w:footnoteReference w:id="80"/>
      </w:r>
    </w:p>
    <w:p w:rsidR="001B1036" w:rsidRPr="004C6ED2" w:rsidRDefault="001B1036" w:rsidP="001B1036">
      <w:pPr>
        <w:pStyle w:val="ONUMFS"/>
        <w:numPr>
          <w:ilvl w:val="0"/>
          <w:numId w:val="0"/>
        </w:numPr>
        <w:rPr>
          <w:szCs w:val="22"/>
        </w:rPr>
      </w:pPr>
      <w:r w:rsidRPr="004C6ED2">
        <w:rPr>
          <w:szCs w:val="22"/>
        </w:rPr>
        <w:t>La Política de actuación del Fondo Internacional de Desarrollo Agrícola (FIDA) en relación con los pueblos indígenas establece que “De conformidad con la práctica internacional,</w:t>
      </w:r>
      <w:r w:rsidRPr="004C6ED2">
        <w:rPr>
          <w:rStyle w:val="FootnoteReference"/>
          <w:szCs w:val="22"/>
        </w:rPr>
        <w:footnoteReference w:id="81"/>
      </w:r>
      <w:r w:rsidRPr="004C6ED2">
        <w:rPr>
          <w:szCs w:val="22"/>
        </w:rPr>
        <w:t xml:space="preserve"> y a los fines de la presente política, el IFAD utilizará una definición de “pueblos indígenas” basada en los siguiente criterios: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prioridad en el tiempo por lo que respecta a la ocupación y el uso de determinado territorio;</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la perpetuación voluntaria de la diferenciación cultural, que puede incluir los aspectos del idioma, la organización social, la religión y los valores espirituales, los modos de producción, las leyes y las instituciones;</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lastRenderedPageBreak/>
        <w:t>la conciencia de la propia identidad, así como su reconocimiento por otros grupos, o por las autoridades estatales, como una colectividad distinta;  y</w:t>
      </w:r>
    </w:p>
    <w:p w:rsidR="001B1036" w:rsidRPr="004C6ED2" w:rsidRDefault="001B1036" w:rsidP="00C411C0">
      <w:pPr>
        <w:pStyle w:val="ONUMFS"/>
        <w:numPr>
          <w:ilvl w:val="0"/>
          <w:numId w:val="47"/>
        </w:numPr>
        <w:tabs>
          <w:tab w:val="clear" w:pos="1741"/>
        </w:tabs>
        <w:suppressAutoHyphens w:val="0"/>
        <w:ind w:left="1134" w:hanging="567"/>
        <w:rPr>
          <w:szCs w:val="22"/>
        </w:rPr>
      </w:pPr>
      <w:r w:rsidRPr="004C6ED2">
        <w:rPr>
          <w:szCs w:val="22"/>
        </w:rPr>
        <w:t>una experiencia de sometimiento, marginación, desposeimiento, exclusión o discriminación.”</w:t>
      </w:r>
      <w:r w:rsidRPr="004C6ED2">
        <w:rPr>
          <w:rStyle w:val="FootnoteReference"/>
          <w:szCs w:val="22"/>
        </w:rPr>
        <w:footnoteReference w:id="82"/>
      </w:r>
    </w:p>
    <w:p w:rsidR="001B1036" w:rsidRPr="004C6ED2" w:rsidRDefault="001B1036" w:rsidP="001B1036">
      <w:pPr>
        <w:pStyle w:val="ONUMFS"/>
        <w:numPr>
          <w:ilvl w:val="0"/>
          <w:numId w:val="0"/>
        </w:numPr>
        <w:rPr>
          <w:szCs w:val="22"/>
        </w:rPr>
      </w:pPr>
      <w:r w:rsidRPr="004C6ED2">
        <w:rPr>
          <w:szCs w:val="22"/>
        </w:rPr>
        <w:t>En el documento “El PNUD y los pueblos indígenas:  Una política de compromiso”,</w:t>
      </w:r>
      <w:r w:rsidRPr="004C6ED2">
        <w:rPr>
          <w:rStyle w:val="FootnoteReference"/>
          <w:szCs w:val="22"/>
        </w:rPr>
        <w:footnoteReference w:id="83"/>
      </w:r>
      <w:r w:rsidRPr="004C6ED2">
        <w:rPr>
          <w:szCs w:val="22"/>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1B1036" w:rsidRPr="004C6ED2" w:rsidRDefault="001B1036" w:rsidP="001B1036">
      <w:pPr>
        <w:pStyle w:val="ONUMFS"/>
        <w:numPr>
          <w:ilvl w:val="0"/>
          <w:numId w:val="0"/>
        </w:numPr>
        <w:rPr>
          <w:szCs w:val="22"/>
        </w:rPr>
      </w:pPr>
      <w:r w:rsidRPr="004C6ED2">
        <w:rPr>
          <w:szCs w:val="22"/>
        </w:rPr>
        <w:t xml:space="preserve">En la Ley </w:t>
      </w:r>
      <w:r w:rsidR="00D57BA9" w:rsidRPr="004C6ED2">
        <w:rPr>
          <w:szCs w:val="22"/>
        </w:rPr>
        <w:t>Nº </w:t>
      </w:r>
      <w:r w:rsidRPr="004C6ED2">
        <w:rPr>
          <w:szCs w:val="22"/>
        </w:rPr>
        <w:t>27811 del Perú, de 24 de julio de 2002, que establece el régimen de protección de los conocimientos colectivos de los pueblos indígenas vinculados a los recursos biológicos, se define “pueblos indígenas” como “</w:t>
      </w:r>
      <w:r w:rsidRPr="004C6ED2">
        <w:rPr>
          <w:iCs/>
          <w:szCs w:val="22"/>
        </w:rPr>
        <w:t>pueblos originarios que tienen derechos anteriores a la formación del Estado peruano, mantienen una cultura propia, un espacio territorial y se autorreconocen como tales.  En éstos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4C6ED2">
        <w:rPr>
          <w:szCs w:val="22"/>
        </w:rPr>
        <w:t>”.</w:t>
      </w:r>
    </w:p>
    <w:p w:rsidR="001B1036" w:rsidRPr="004C6ED2" w:rsidRDefault="001B1036" w:rsidP="001B1036">
      <w:pPr>
        <w:pStyle w:val="ONUMFS"/>
        <w:numPr>
          <w:ilvl w:val="0"/>
          <w:numId w:val="0"/>
        </w:numPr>
        <w:rPr>
          <w:szCs w:val="22"/>
        </w:rPr>
      </w:pPr>
      <w:r w:rsidRPr="004C6ED2">
        <w:rPr>
          <w:szCs w:val="22"/>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C6ED2">
        <w:rPr>
          <w:i/>
          <w:iCs/>
          <w:szCs w:val="22"/>
        </w:rPr>
        <w:t>indígena</w:t>
      </w:r>
      <w:r w:rsidRPr="004C6ED2">
        <w:rPr>
          <w:szCs w:val="22"/>
        </w:rPr>
        <w:t xml:space="preserve">, este último vocablo es el usual en las campañas coloniales para designar a la población nativa.  La voz se emplea con preferencia en plural:  </w:t>
      </w:r>
      <w:r w:rsidRPr="004C6ED2">
        <w:rPr>
          <w:i/>
          <w:iCs/>
          <w:szCs w:val="22"/>
        </w:rPr>
        <w:t>aborígenes</w:t>
      </w:r>
      <w:r w:rsidRPr="004C6ED2">
        <w:rPr>
          <w:szCs w:val="22"/>
        </w:rPr>
        <w:t>.  En el Diccionario Oxford se define dicho término también como pueblo que vivía u ocupaba un país antes de la llegada de los colonos europeos […] y también como nombre característico del pueblo indígena de Australia.</w:t>
      </w:r>
    </w:p>
    <w:p w:rsidR="001B1036" w:rsidRPr="004C6ED2" w:rsidRDefault="001B1036" w:rsidP="001B1036">
      <w:pPr>
        <w:pStyle w:val="ONUMFS"/>
        <w:numPr>
          <w:ilvl w:val="0"/>
          <w:numId w:val="0"/>
        </w:numPr>
        <w:rPr>
          <w:szCs w:val="22"/>
        </w:rPr>
      </w:pPr>
      <w:r w:rsidRPr="004C6ED2">
        <w:rPr>
          <w:szCs w:val="22"/>
        </w:rPr>
        <w:t xml:space="preserve">En el artículo 35 de la Constitución del Canadá se estipula lo siguiente:  </w:t>
      </w:r>
      <w:r w:rsidRPr="004C6ED2">
        <w:rPr>
          <w:iCs/>
          <w:szCs w:val="22"/>
        </w:rPr>
        <w:t>[…] el pueblo aborigen del Canadá incluye los pueblos indígena, inuit y mestizo del Canadá.</w:t>
      </w:r>
      <w:r w:rsidRPr="004C6ED2">
        <w:rPr>
          <w:szCs w:val="22"/>
        </w:rPr>
        <w:t xml:space="preserve"> </w:t>
      </w:r>
      <w:r w:rsidRPr="004C6ED2">
        <w:rPr>
          <w:iCs/>
          <w:szCs w:val="22"/>
        </w:rPr>
        <w:t xml:space="preserve"> </w:t>
      </w:r>
      <w:r w:rsidRPr="004C6ED2">
        <w:rPr>
          <w:szCs w:val="22"/>
        </w:rPr>
        <w:t>En 1996, la</w:t>
      </w:r>
      <w:r w:rsidRPr="004C6ED2">
        <w:rPr>
          <w:iCs/>
          <w:szCs w:val="22"/>
        </w:rPr>
        <w:t xml:space="preserve"> </w:t>
      </w:r>
      <w:r w:rsidRPr="004C6ED2">
        <w:rPr>
          <w:i/>
          <w:iCs/>
          <w:szCs w:val="22"/>
        </w:rPr>
        <w:t>Canadian Royal Commission on Aboriginal People</w:t>
      </w:r>
      <w:r w:rsidRPr="004C6ED2">
        <w:rPr>
          <w:szCs w:val="22"/>
        </w:rPr>
        <w:t xml:space="preserve"> definió a su grupo destinatario en tanto que:  […] </w:t>
      </w:r>
      <w:r w:rsidRPr="004C6ED2">
        <w:rPr>
          <w:iCs/>
          <w:szCs w:val="22"/>
        </w:rPr>
        <w:t>entidades políticas y culturales orgánicas que proceden del pueblo original de América del Norte</w:t>
      </w:r>
      <w:r w:rsidRPr="004C6ED2">
        <w:rPr>
          <w:szCs w:val="22"/>
        </w:rPr>
        <w:t xml:space="preserve"> […].</w:t>
      </w:r>
    </w:p>
    <w:p w:rsidR="00D0451B" w:rsidRPr="004C6ED2" w:rsidRDefault="001B1036" w:rsidP="001B1036">
      <w:pPr>
        <w:pStyle w:val="ONUMFS"/>
        <w:numPr>
          <w:ilvl w:val="0"/>
          <w:numId w:val="0"/>
        </w:numPr>
        <w:rPr>
          <w:b/>
          <w:szCs w:val="22"/>
        </w:rPr>
      </w:pPr>
      <w:r w:rsidRPr="004C6ED2">
        <w:rPr>
          <w:szCs w:val="22"/>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rStyle w:val="FootnoteReference"/>
          <w:szCs w:val="22"/>
        </w:rPr>
        <w:footnoteReference w:id="84"/>
      </w:r>
    </w:p>
    <w:p w:rsidR="0087238F" w:rsidRPr="004C6ED2" w:rsidRDefault="0087238F" w:rsidP="00AB7287">
      <w:pPr>
        <w:pStyle w:val="ONUMFS"/>
        <w:keepNext/>
        <w:numPr>
          <w:ilvl w:val="0"/>
          <w:numId w:val="0"/>
        </w:numPr>
        <w:rPr>
          <w:b/>
          <w:szCs w:val="22"/>
        </w:rPr>
      </w:pPr>
      <w:r w:rsidRPr="004C6ED2">
        <w:rPr>
          <w:b/>
          <w:bCs/>
          <w:szCs w:val="22"/>
        </w:rPr>
        <w:lastRenderedPageBreak/>
        <w:t>Infracción</w:t>
      </w:r>
    </w:p>
    <w:p w:rsidR="00D0451B" w:rsidRPr="004C6ED2" w:rsidRDefault="0087238F" w:rsidP="00AB7287">
      <w:pPr>
        <w:pStyle w:val="ONUMFS"/>
        <w:keepNext/>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C6ED2">
        <w:rPr>
          <w:rStyle w:val="FootnoteReference"/>
          <w:szCs w:val="22"/>
        </w:rPr>
        <w:footnoteReference w:id="85"/>
      </w:r>
    </w:p>
    <w:p w:rsidR="0087238F" w:rsidRPr="004C6ED2" w:rsidRDefault="0087238F" w:rsidP="0087238F">
      <w:pPr>
        <w:pStyle w:val="ONUMFS"/>
        <w:numPr>
          <w:ilvl w:val="0"/>
          <w:numId w:val="0"/>
        </w:numPr>
        <w:rPr>
          <w:b/>
          <w:i/>
          <w:szCs w:val="22"/>
        </w:rPr>
      </w:pPr>
      <w:r w:rsidRPr="004C6ED2">
        <w:rPr>
          <w:b/>
          <w:i/>
          <w:szCs w:val="22"/>
        </w:rPr>
        <w:t>In-situ</w:t>
      </w:r>
    </w:p>
    <w:p w:rsidR="00D0451B" w:rsidRPr="004C6ED2" w:rsidRDefault="0087238F" w:rsidP="0087238F">
      <w:pPr>
        <w:pStyle w:val="ONUMFS"/>
        <w:numPr>
          <w:ilvl w:val="0"/>
          <w:numId w:val="0"/>
        </w:numPr>
        <w:rPr>
          <w:szCs w:val="22"/>
        </w:rPr>
      </w:pPr>
      <w:r w:rsidRPr="004C6ED2">
        <w:rPr>
          <w:szCs w:val="22"/>
        </w:rPr>
        <w:t>Según el Convenio sobre la Diversidad Biológica</w:t>
      </w:r>
      <w:r w:rsidRPr="004C6ED2">
        <w:rPr>
          <w:i/>
          <w:szCs w:val="22"/>
        </w:rPr>
        <w:t xml:space="preserve"> </w:t>
      </w:r>
      <w:r w:rsidRPr="004C6ED2">
        <w:rPr>
          <w:szCs w:val="22"/>
        </w:rPr>
        <w:t xml:space="preserve">(1992), por “condiciones </w:t>
      </w:r>
      <w:r w:rsidRPr="004C6ED2">
        <w:rPr>
          <w:i/>
          <w:szCs w:val="22"/>
        </w:rPr>
        <w:t>in-situ</w:t>
      </w:r>
      <w:r w:rsidRPr="004C6ED2">
        <w:rPr>
          <w:szCs w:val="22"/>
        </w:rPr>
        <w:t>” se entiende “las condiciones en que existen recursos genéticos dentro de ecosistemas y hábitats naturales y, en el caso de las especies domesticadas o cultivadas, en los entornos en que hayan desarrollado sus propiedades específicas”.</w:t>
      </w:r>
    </w:p>
    <w:p w:rsidR="004D6289" w:rsidRPr="004C6ED2" w:rsidRDefault="004D6289" w:rsidP="004D6289">
      <w:pPr>
        <w:pStyle w:val="ONUMFS"/>
        <w:numPr>
          <w:ilvl w:val="0"/>
          <w:numId w:val="0"/>
        </w:numPr>
        <w:rPr>
          <w:b/>
          <w:bCs/>
          <w:szCs w:val="22"/>
        </w:rPr>
      </w:pPr>
      <w:r w:rsidRPr="004C6ED2">
        <w:rPr>
          <w:b/>
          <w:bCs/>
          <w:szCs w:val="22"/>
        </w:rPr>
        <w:t>Patrimonio cultural inmaterial</w:t>
      </w:r>
    </w:p>
    <w:p w:rsidR="004D6289" w:rsidRPr="004C6ED2" w:rsidRDefault="004D6289" w:rsidP="004D6289">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“inmaterial” significa “no material”;  el </w:t>
      </w:r>
      <w:r w:rsidRPr="004C6ED2">
        <w:rPr>
          <w:i/>
          <w:iCs/>
          <w:szCs w:val="22"/>
        </w:rPr>
        <w:t>Diccionario de uso del español</w:t>
      </w:r>
      <w:r w:rsidRPr="004C6ED2">
        <w:rPr>
          <w:szCs w:val="22"/>
        </w:rPr>
        <w:t xml:space="preserve"> de María Moliner repite la definición y remite a “Incorpóreo, infigurable, ingrávido.  Espiritual.  Moral” y dice también que es sinónimo de “impalpable”:  “aplicable a las cosas no perceptibles por el tacto”.  A su vez, de “incorpóreo” el </w:t>
      </w:r>
      <w:r w:rsidRPr="004C6ED2">
        <w:rPr>
          <w:i/>
          <w:iCs/>
          <w:szCs w:val="22"/>
        </w:rPr>
        <w:t>Diccionario Espasa de la lengua española</w:t>
      </w:r>
      <w:r w:rsidRPr="004C6ED2">
        <w:rPr>
          <w:szCs w:val="22"/>
        </w:rPr>
        <w:t xml:space="preserve"> dice:  “Que no tiene cuerpo o que no existe físicamente”.  Por el contrario, según la RAE, “material” es aquello “perteneciente o relativo a la materia” y “opuesto a lo espiritual”.</w:t>
      </w:r>
    </w:p>
    <w:p w:rsidR="004D6289" w:rsidRPr="004C6ED2" w:rsidRDefault="004D6289" w:rsidP="004D6289">
      <w:pPr>
        <w:pStyle w:val="ONUMFS"/>
        <w:numPr>
          <w:ilvl w:val="0"/>
          <w:numId w:val="0"/>
        </w:numPr>
        <w:rPr>
          <w:szCs w:val="22"/>
        </w:rPr>
      </w:pPr>
      <w:r w:rsidRPr="004C6ED2">
        <w:rPr>
          <w:szCs w:val="22"/>
        </w:rPr>
        <w:t>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D6289" w:rsidRPr="004C6ED2" w:rsidRDefault="004D6289" w:rsidP="004D6289">
      <w:pPr>
        <w:pStyle w:val="ONUMFS"/>
        <w:numPr>
          <w:ilvl w:val="0"/>
          <w:numId w:val="0"/>
        </w:numPr>
        <w:rPr>
          <w:szCs w:val="22"/>
        </w:rPr>
      </w:pPr>
      <w:r w:rsidRPr="004C6ED2">
        <w:rPr>
          <w:szCs w:val="22"/>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D6289" w:rsidRPr="004C6ED2" w:rsidRDefault="004D6289" w:rsidP="004D6289">
      <w:pPr>
        <w:pStyle w:val="ONUMFS"/>
        <w:numPr>
          <w:ilvl w:val="0"/>
          <w:numId w:val="0"/>
        </w:numPr>
        <w:rPr>
          <w:b/>
          <w:szCs w:val="22"/>
        </w:rPr>
      </w:pPr>
      <w:r w:rsidRPr="004C6ED2">
        <w:rPr>
          <w:b/>
          <w:bCs/>
          <w:szCs w:val="22"/>
        </w:rPr>
        <w:t>Integridad [derecho de] [de la obra]</w:t>
      </w:r>
    </w:p>
    <w:p w:rsidR="0087238F" w:rsidRPr="004C6ED2" w:rsidRDefault="004D6289" w:rsidP="004D6289">
      <w:pPr>
        <w:pStyle w:val="ONUMFS"/>
        <w:numPr>
          <w:ilvl w:val="0"/>
          <w:numId w:val="0"/>
        </w:numPr>
        <w:rPr>
          <w:b/>
          <w:szCs w:val="22"/>
        </w:rPr>
      </w:pPr>
      <w:r w:rsidRPr="004C6ED2">
        <w:rPr>
          <w:szCs w:val="22"/>
        </w:rPr>
        <w:t>Gracias al derecho de integridad, el autor puede oponerse a los actos de modificación o alteración de la obra que carezcan de su consentimiento.</w:t>
      </w:r>
      <w:r w:rsidRPr="004C6ED2">
        <w:rPr>
          <w:rStyle w:val="FootnoteReference"/>
          <w:szCs w:val="22"/>
        </w:rPr>
        <w:footnoteReference w:id="86"/>
      </w:r>
      <w:r w:rsidRPr="004C6ED2">
        <w:rPr>
          <w:szCs w:val="22"/>
        </w:rPr>
        <w:t xml:space="preserve">  En la revisión de Bruselas del Convenio de Berna (1949), se acordó prohibir “cualquier atentado a la misma [la obra] que cause perjuicio a su honor o a su reputación [del autor] (artículo 6</w:t>
      </w:r>
      <w:r w:rsidRPr="004C6ED2">
        <w:rPr>
          <w:i/>
          <w:szCs w:val="22"/>
        </w:rPr>
        <w:t>bis</w:t>
      </w:r>
      <w:r w:rsidRPr="004C6ED2">
        <w:rPr>
          <w:szCs w:val="22"/>
        </w:rPr>
        <w:t>).</w:t>
      </w:r>
    </w:p>
    <w:p w:rsidR="004D6289" w:rsidRPr="004C6ED2" w:rsidRDefault="004D6289" w:rsidP="004D6289">
      <w:pPr>
        <w:pStyle w:val="ONUMFS"/>
        <w:numPr>
          <w:ilvl w:val="0"/>
          <w:numId w:val="0"/>
        </w:numPr>
        <w:rPr>
          <w:b/>
          <w:szCs w:val="22"/>
        </w:rPr>
      </w:pPr>
      <w:r w:rsidRPr="004C6ED2">
        <w:rPr>
          <w:b/>
          <w:bCs/>
          <w:szCs w:val="22"/>
        </w:rPr>
        <w:lastRenderedPageBreak/>
        <w:t>Directrices de propiedad intelectual sobre acceso y participación en los beneficios</w:t>
      </w:r>
    </w:p>
    <w:p w:rsidR="004D6289" w:rsidRPr="004C6ED2" w:rsidRDefault="004D6289" w:rsidP="004D6289">
      <w:pPr>
        <w:pStyle w:val="ONUMFS"/>
        <w:numPr>
          <w:ilvl w:val="0"/>
          <w:numId w:val="0"/>
        </w:numPr>
        <w:rPr>
          <w:szCs w:val="22"/>
        </w:rPr>
      </w:pPr>
      <w:r w:rsidRPr="004C6ED2">
        <w:rPr>
          <w:szCs w:val="22"/>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3" w:name="sdfootnote31anc"/>
      <w:r w:rsidRPr="004C6ED2">
        <w:rPr>
          <w:rStyle w:val="FootnoteReference"/>
          <w:szCs w:val="22"/>
        </w:rPr>
        <w:footnoteReference w:id="87"/>
      </w:r>
      <w:r w:rsidRPr="004C6ED2">
        <w:rPr>
          <w:szCs w:val="22"/>
        </w:rPr>
        <w:t xml:space="preserve">  </w:t>
      </w:r>
      <w:bookmarkEnd w:id="13"/>
    </w:p>
    <w:p w:rsidR="004D6289" w:rsidRPr="004C6ED2" w:rsidRDefault="004D6289" w:rsidP="004D6289">
      <w:pPr>
        <w:pStyle w:val="ONUMFS"/>
        <w:numPr>
          <w:ilvl w:val="0"/>
          <w:numId w:val="0"/>
        </w:numPr>
        <w:rPr>
          <w:szCs w:val="22"/>
        </w:rPr>
      </w:pPr>
      <w:r w:rsidRPr="004C6ED2">
        <w:rPr>
          <w:szCs w:val="22"/>
        </w:rPr>
        <w:t>Se preparó un primer borrador</w:t>
      </w:r>
      <w:r w:rsidRPr="004C6ED2">
        <w:rPr>
          <w:rStyle w:val="FootnoteReference"/>
          <w:szCs w:val="22"/>
        </w:rPr>
        <w:footnoteReference w:id="88"/>
      </w:r>
      <w:r w:rsidRPr="004C6ED2">
        <w:rPr>
          <w:szCs w:val="22"/>
        </w:rPr>
        <w:t xml:space="preserve"> teniendo en cuenta los principios operativos señalados por el CIG con respecto a la elaboración de tales directrices.</w:t>
      </w:r>
      <w:r w:rsidRPr="004C6ED2">
        <w:rPr>
          <w:rStyle w:val="FootnoteReference"/>
          <w:szCs w:val="22"/>
        </w:rPr>
        <w:footnoteReference w:id="89"/>
      </w:r>
      <w:r w:rsidRPr="004C6ED2">
        <w:rPr>
          <w:szCs w:val="22"/>
        </w:rPr>
        <w:t xml:space="preserve">  Posteriormente, dicho borrador fue actualizado con motivo de la decimoséptima sesión del CIG.</w:t>
      </w:r>
      <w:r w:rsidRPr="004C6ED2">
        <w:rPr>
          <w:rStyle w:val="FootnoteReference"/>
          <w:szCs w:val="22"/>
        </w:rPr>
        <w:footnoteReference w:id="90"/>
      </w:r>
      <w:r w:rsidRPr="004C6ED2">
        <w:rPr>
          <w:szCs w:val="22"/>
        </w:rPr>
        <w:t xml:space="preserve"> </w:t>
      </w:r>
    </w:p>
    <w:p w:rsidR="004D6289" w:rsidRPr="004C6ED2" w:rsidRDefault="004D6289" w:rsidP="004D6289">
      <w:pPr>
        <w:pStyle w:val="ONUMFS"/>
        <w:numPr>
          <w:ilvl w:val="0"/>
          <w:numId w:val="0"/>
        </w:numPr>
        <w:rPr>
          <w:szCs w:val="22"/>
        </w:rPr>
      </w:pPr>
      <w:r w:rsidRPr="004C6ED2">
        <w:rPr>
          <w:szCs w:val="22"/>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D6289" w:rsidRPr="004C6ED2" w:rsidRDefault="004D6289" w:rsidP="004D6289">
      <w:pPr>
        <w:pStyle w:val="ONUMFS"/>
        <w:numPr>
          <w:ilvl w:val="0"/>
          <w:numId w:val="0"/>
        </w:numPr>
        <w:rPr>
          <w:szCs w:val="22"/>
        </w:rPr>
      </w:pPr>
      <w:r w:rsidRPr="004C6ED2">
        <w:rPr>
          <w:szCs w:val="22"/>
        </w:rPr>
        <w:t>Por otra parte, ninguno de los contenidos de las directrices afectan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C6ED2">
        <w:rPr>
          <w:rStyle w:val="FootnoteReference"/>
          <w:szCs w:val="22"/>
        </w:rPr>
        <w:footnoteReference w:id="91"/>
      </w:r>
      <w:r w:rsidRPr="004C6ED2">
        <w:rPr>
          <w:szCs w:val="22"/>
        </w:rPr>
        <w:t xml:space="preserve"> </w:t>
      </w:r>
    </w:p>
    <w:p w:rsidR="00627FCD" w:rsidRPr="004C6ED2" w:rsidRDefault="004D6289" w:rsidP="004D6289">
      <w:pPr>
        <w:pStyle w:val="ONUMFS"/>
        <w:numPr>
          <w:ilvl w:val="0"/>
          <w:numId w:val="0"/>
        </w:numPr>
        <w:rPr>
          <w:b/>
          <w:szCs w:val="22"/>
        </w:rPr>
      </w:pPr>
      <w:r w:rsidRPr="004C6ED2">
        <w:rPr>
          <w:szCs w:val="22"/>
        </w:rPr>
        <w:t>Los conocimientos tradicionales se asocian a menudo con los recursos genéticos, y esto puede aportar valiosas indicaciones sobre el modo en que éstos últimos pueden preservarse, conservarse, y utilizarse en beneficio de la humanidad.</w:t>
      </w:r>
      <w:r w:rsidRPr="004C6ED2">
        <w:rPr>
          <w:rStyle w:val="FootnoteReference"/>
          <w:szCs w:val="22"/>
        </w:rPr>
        <w:footnoteReference w:id="92"/>
      </w:r>
      <w:r w:rsidRPr="004C6ED2">
        <w:rPr>
          <w:szCs w:val="22"/>
        </w:rPr>
        <w:t xml:space="preserve">  Las directrices se aplican también a los conocimientos tradicionales relacionados con los recursos genéticos.</w:t>
      </w:r>
      <w:r w:rsidRPr="004C6ED2">
        <w:rPr>
          <w:rStyle w:val="FootnoteReference"/>
          <w:szCs w:val="22"/>
        </w:rPr>
        <w:footnoteReference w:id="93"/>
      </w:r>
    </w:p>
    <w:p w:rsidR="004D6289" w:rsidRPr="004C6ED2" w:rsidRDefault="004D6289" w:rsidP="004D6289">
      <w:pPr>
        <w:pStyle w:val="ONUMFS"/>
        <w:numPr>
          <w:ilvl w:val="0"/>
          <w:numId w:val="0"/>
        </w:numPr>
        <w:rPr>
          <w:b/>
          <w:szCs w:val="22"/>
        </w:rPr>
      </w:pPr>
      <w:r w:rsidRPr="004C6ED2">
        <w:rPr>
          <w:b/>
          <w:szCs w:val="22"/>
        </w:rPr>
        <w:t>Clasificación Internacional de Patentes (CIP)</w:t>
      </w:r>
    </w:p>
    <w:p w:rsidR="004D6289" w:rsidRPr="004C6ED2" w:rsidRDefault="004D6289" w:rsidP="004D6289">
      <w:pPr>
        <w:pStyle w:val="ONUMFS"/>
        <w:numPr>
          <w:ilvl w:val="0"/>
          <w:numId w:val="0"/>
        </w:numPr>
        <w:rPr>
          <w:szCs w:val="22"/>
        </w:rPr>
      </w:pPr>
      <w:r w:rsidRPr="004C6ED2">
        <w:rPr>
          <w:szCs w:val="22"/>
        </w:rPr>
        <w:t>La Clasificación Internacional de Patentes (CIP) es “</w:t>
      </w:r>
      <w:r w:rsidRPr="004C6ED2">
        <w:rPr>
          <w:iCs/>
          <w:szCs w:val="22"/>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C6ED2">
        <w:rPr>
          <w:i/>
          <w:iCs/>
          <w:szCs w:val="22"/>
        </w:rPr>
        <w:t>estado de la técnica</w:t>
      </w:r>
      <w:r w:rsidRPr="004C6ED2">
        <w:rPr>
          <w:szCs w:val="22"/>
        </w:rPr>
        <w:t>”.</w:t>
      </w:r>
      <w:r w:rsidRPr="004C6ED2">
        <w:rPr>
          <w:rStyle w:val="FootnoteReference"/>
          <w:szCs w:val="22"/>
        </w:rPr>
        <w:footnoteReference w:id="94"/>
      </w:r>
    </w:p>
    <w:p w:rsidR="00627FCD" w:rsidRPr="004C6ED2" w:rsidRDefault="004D6289" w:rsidP="004D6289">
      <w:pPr>
        <w:pStyle w:val="ONUMFS"/>
        <w:numPr>
          <w:ilvl w:val="0"/>
          <w:numId w:val="0"/>
        </w:numPr>
        <w:rPr>
          <w:b/>
          <w:szCs w:val="22"/>
        </w:rPr>
      </w:pPr>
      <w:r w:rsidRPr="004C6ED2">
        <w:rPr>
          <w:szCs w:val="22"/>
        </w:rPr>
        <w:t>La CIP fue establecida a raíz de la adopción, en 1971, del Arreglo de Estrasburgo relativo a la Clasificación Internacional de Patentes.  En el artículo 2.1)a) de dicho Arreglo se estipula lo siguiente:  “</w:t>
      </w:r>
      <w:r w:rsidRPr="004C6ED2">
        <w:rPr>
          <w:iCs/>
          <w:szCs w:val="22"/>
        </w:rPr>
        <w:t xml:space="preserve">la Clasificación estará constituida por:  i) el texto establecido conforme a las disposiciones del Convenio Europeo sobre la Clasificación Internacional de las Patentes de </w:t>
      </w:r>
      <w:r w:rsidRPr="004C6ED2">
        <w:rPr>
          <w:iCs/>
          <w:szCs w:val="22"/>
        </w:rPr>
        <w:lastRenderedPageBreak/>
        <w:t>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C6ED2">
        <w:rPr>
          <w:szCs w:val="22"/>
        </w:rPr>
        <w:t>”.</w:t>
      </w:r>
    </w:p>
    <w:p w:rsidR="004D6289" w:rsidRPr="004C6ED2" w:rsidRDefault="004D6289" w:rsidP="004D6289">
      <w:pPr>
        <w:pStyle w:val="ONUMFS"/>
        <w:numPr>
          <w:ilvl w:val="0"/>
          <w:numId w:val="0"/>
        </w:numPr>
        <w:rPr>
          <w:b/>
          <w:szCs w:val="22"/>
        </w:rPr>
      </w:pPr>
      <w:r w:rsidRPr="004C6ED2">
        <w:rPr>
          <w:b/>
          <w:szCs w:val="22"/>
        </w:rPr>
        <w:t>Actividad inventiva</w:t>
      </w:r>
    </w:p>
    <w:p w:rsidR="004D6289" w:rsidRPr="004C6ED2" w:rsidRDefault="004D6289" w:rsidP="004D6289">
      <w:pPr>
        <w:pStyle w:val="ONUMFS"/>
        <w:numPr>
          <w:ilvl w:val="0"/>
          <w:numId w:val="0"/>
        </w:numPr>
        <w:rPr>
          <w:szCs w:val="22"/>
        </w:rPr>
      </w:pPr>
      <w:r w:rsidRPr="004C6ED2">
        <w:rPr>
          <w:szCs w:val="22"/>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C6ED2">
        <w:rPr>
          <w:rStyle w:val="FootnoteReference"/>
          <w:szCs w:val="22"/>
        </w:rPr>
        <w:footnoteReference w:id="95"/>
      </w:r>
    </w:p>
    <w:p w:rsidR="004D6289" w:rsidRPr="004C6ED2" w:rsidRDefault="004D6289" w:rsidP="004D6289">
      <w:pPr>
        <w:pStyle w:val="ONUMFS"/>
        <w:numPr>
          <w:ilvl w:val="0"/>
          <w:numId w:val="0"/>
        </w:numPr>
        <w:rPr>
          <w:szCs w:val="22"/>
        </w:rPr>
      </w:pPr>
      <w:r w:rsidRPr="004C6ED2">
        <w:rPr>
          <w:szCs w:val="22"/>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627FCD" w:rsidRPr="004C6ED2" w:rsidRDefault="004D6289" w:rsidP="004D6289">
      <w:pPr>
        <w:pStyle w:val="ONUMFS"/>
        <w:numPr>
          <w:ilvl w:val="0"/>
          <w:numId w:val="0"/>
        </w:numPr>
        <w:rPr>
          <w:b/>
          <w:szCs w:val="22"/>
        </w:rPr>
      </w:pPr>
      <w:r w:rsidRPr="004C6ED2">
        <w:rPr>
          <w:szCs w:val="22"/>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4D6289" w:rsidRPr="004C6ED2" w:rsidRDefault="004D6289" w:rsidP="004D6289">
      <w:pPr>
        <w:pStyle w:val="ONUMFS"/>
        <w:numPr>
          <w:ilvl w:val="0"/>
          <w:numId w:val="0"/>
        </w:numPr>
        <w:rPr>
          <w:b/>
          <w:szCs w:val="22"/>
        </w:rPr>
      </w:pPr>
      <w:r w:rsidRPr="004C6ED2">
        <w:rPr>
          <w:b/>
          <w:szCs w:val="22"/>
        </w:rPr>
        <w:t>Acuerdos de licencia</w:t>
      </w:r>
    </w:p>
    <w:p w:rsidR="00627FCD" w:rsidRPr="004C6ED2" w:rsidRDefault="004D6289" w:rsidP="004D6289">
      <w:pPr>
        <w:pStyle w:val="ONUMFS"/>
        <w:numPr>
          <w:ilvl w:val="0"/>
          <w:numId w:val="0"/>
        </w:numPr>
        <w:rPr>
          <w:b/>
          <w:szCs w:val="22"/>
        </w:rPr>
      </w:pPr>
      <w:r w:rsidRPr="004C6ED2">
        <w:rPr>
          <w:szCs w:val="22"/>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C6ED2">
        <w:rPr>
          <w:rStyle w:val="FootnoteReference"/>
          <w:szCs w:val="22"/>
        </w:rPr>
        <w:footnoteReference w:id="96"/>
      </w:r>
    </w:p>
    <w:p w:rsidR="00024EEB" w:rsidRPr="004C6ED2" w:rsidRDefault="00024EEB" w:rsidP="00024EEB">
      <w:pPr>
        <w:pStyle w:val="ONUMFS"/>
        <w:numPr>
          <w:ilvl w:val="0"/>
          <w:numId w:val="0"/>
        </w:numPr>
        <w:rPr>
          <w:b/>
          <w:szCs w:val="22"/>
        </w:rPr>
      </w:pPr>
      <w:r w:rsidRPr="004C6ED2">
        <w:rPr>
          <w:b/>
          <w:szCs w:val="22"/>
        </w:rPr>
        <w:t>Limitación</w:t>
      </w:r>
    </w:p>
    <w:p w:rsidR="00024EEB" w:rsidRPr="004C6ED2" w:rsidRDefault="00024EEB" w:rsidP="00024EEB">
      <w:pPr>
        <w:pStyle w:val="ONUMFS"/>
        <w:numPr>
          <w:ilvl w:val="0"/>
          <w:numId w:val="0"/>
        </w:numPr>
        <w:rPr>
          <w:szCs w:val="22"/>
        </w:rPr>
      </w:pPr>
      <w:r w:rsidRPr="004C6ED2">
        <w:rPr>
          <w:szCs w:val="22"/>
        </w:rPr>
        <w:t>La Real Academia Española explica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4C6ED2">
        <w:rPr>
          <w:rStyle w:val="FootnoteReference"/>
          <w:szCs w:val="22"/>
        </w:rPr>
        <w:footnoteReference w:id="97"/>
      </w:r>
      <w:r w:rsidRPr="004C6ED2">
        <w:rPr>
          <w:szCs w:val="22"/>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C6ED2">
        <w:rPr>
          <w:rStyle w:val="FootnoteReference"/>
          <w:szCs w:val="22"/>
        </w:rPr>
        <w:footnoteReference w:id="98"/>
      </w:r>
    </w:p>
    <w:p w:rsidR="004D6289" w:rsidRPr="004C6ED2" w:rsidRDefault="00024EEB" w:rsidP="00024EEB">
      <w:pPr>
        <w:pStyle w:val="ONUMFS"/>
        <w:numPr>
          <w:ilvl w:val="0"/>
          <w:numId w:val="0"/>
        </w:numPr>
        <w:rPr>
          <w:b/>
          <w:szCs w:val="22"/>
        </w:rPr>
      </w:pPr>
      <w:r w:rsidRPr="004C6ED2">
        <w:rPr>
          <w:szCs w:val="22"/>
        </w:rPr>
        <w:t>En el Convenio de Berna para la Protección de las Obras Literarias y Artísticas (1971) se fijan los supuestos en que quedan limitados los derechos del autor y, en consecuencia, es posible hacer uso libremente de la obra.</w:t>
      </w:r>
      <w:r w:rsidRPr="004C6ED2">
        <w:rPr>
          <w:rStyle w:val="FootnoteReference"/>
          <w:szCs w:val="22"/>
        </w:rPr>
        <w:footnoteReference w:id="99"/>
      </w:r>
      <w:r w:rsidRPr="004C6ED2">
        <w:rPr>
          <w:szCs w:val="22"/>
        </w:rPr>
        <w:t xml:space="preserve">  La prueba del criterio triple establece las condiciones que ponen límites a los derechos del autor.</w:t>
      </w:r>
      <w:r w:rsidRPr="004C6ED2">
        <w:rPr>
          <w:rStyle w:val="FootnoteReference"/>
          <w:szCs w:val="22"/>
        </w:rPr>
        <w:footnoteReference w:id="100"/>
      </w:r>
      <w:r w:rsidRPr="004C6ED2">
        <w:rPr>
          <w:szCs w:val="22"/>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4C6ED2">
        <w:rPr>
          <w:rStyle w:val="FootnoteReference"/>
          <w:szCs w:val="22"/>
        </w:rPr>
        <w:footnoteReference w:id="101"/>
      </w:r>
    </w:p>
    <w:p w:rsidR="00385233" w:rsidRPr="004C6ED2" w:rsidRDefault="00385233" w:rsidP="003618E9">
      <w:pPr>
        <w:pStyle w:val="ONUMFS"/>
        <w:keepNext/>
        <w:numPr>
          <w:ilvl w:val="0"/>
          <w:numId w:val="0"/>
        </w:numPr>
        <w:rPr>
          <w:b/>
          <w:szCs w:val="22"/>
        </w:rPr>
      </w:pPr>
      <w:r w:rsidRPr="004C6ED2">
        <w:rPr>
          <w:b/>
          <w:szCs w:val="22"/>
        </w:rPr>
        <w:lastRenderedPageBreak/>
        <w:t>Acuerdos de transferencia de material</w:t>
      </w:r>
    </w:p>
    <w:p w:rsidR="004D6289" w:rsidRPr="004C6ED2" w:rsidRDefault="00385233" w:rsidP="003618E9">
      <w:pPr>
        <w:pStyle w:val="ONUMFS"/>
        <w:keepNext/>
        <w:numPr>
          <w:ilvl w:val="0"/>
          <w:numId w:val="0"/>
        </w:numPr>
        <w:rPr>
          <w:b/>
          <w:szCs w:val="22"/>
        </w:rPr>
      </w:pPr>
      <w:r w:rsidRPr="004C6ED2">
        <w:rPr>
          <w:szCs w:val="22"/>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00D57BA9" w:rsidRPr="004C6ED2">
        <w:rPr>
          <w:i/>
          <w:iCs/>
          <w:szCs w:val="22"/>
        </w:rPr>
        <w:t>in situ</w:t>
      </w:r>
      <w:r w:rsidRPr="004C6ED2">
        <w:rPr>
          <w:i/>
          <w:iCs/>
          <w:szCs w:val="22"/>
        </w:rPr>
        <w:t>.</w:t>
      </w:r>
      <w:r w:rsidRPr="004C6ED2">
        <w:rPr>
          <w:rStyle w:val="FootnoteReference"/>
          <w:iCs/>
          <w:szCs w:val="22"/>
        </w:rPr>
        <w:footnoteReference w:id="102"/>
      </w:r>
      <w:r w:rsidRPr="004C6ED2">
        <w:rPr>
          <w:szCs w:val="22"/>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C6ED2">
        <w:rPr>
          <w:rStyle w:val="FootnoteReference"/>
          <w:szCs w:val="22"/>
        </w:rPr>
        <w:footnoteReference w:id="103"/>
      </w:r>
      <w:r w:rsidRPr="004C6ED2">
        <w:rPr>
          <w:szCs w:val="22"/>
          <w:vertAlign w:val="superscript"/>
        </w:rPr>
        <w:t xml:space="preserve"> </w:t>
      </w:r>
      <w:r w:rsidRPr="004C6ED2">
        <w:rPr>
          <w:szCs w:val="22"/>
        </w:rPr>
        <w:t xml:space="preserve"> En 2006, la FAO constituyó y aprobó el Acuerdo de Transferencia de Material Normalizado, relativo a la aplicación del Tratado Internacional sobre los Recursos Fitogenéticos para la Alimentación y la Agricultura.</w:t>
      </w:r>
      <w:r w:rsidRPr="004C6ED2">
        <w:rPr>
          <w:rStyle w:val="FootnoteReference"/>
          <w:szCs w:val="22"/>
        </w:rPr>
        <w:footnoteReference w:id="104"/>
      </w:r>
      <w:r w:rsidRPr="004C6ED2">
        <w:rPr>
          <w:szCs w:val="22"/>
        </w:rPr>
        <w:t xml:space="preserve">  En el Apéndice I de las Directrices de Bonn se hacen sugerencias con respecto a los acuerdos de transferencia de materiales.</w:t>
      </w:r>
    </w:p>
    <w:p w:rsidR="00385233" w:rsidRPr="004C6ED2" w:rsidRDefault="00385233" w:rsidP="00385233">
      <w:pPr>
        <w:pStyle w:val="ONUMFS"/>
        <w:numPr>
          <w:ilvl w:val="0"/>
          <w:numId w:val="0"/>
        </w:numPr>
        <w:rPr>
          <w:b/>
          <w:szCs w:val="22"/>
        </w:rPr>
      </w:pPr>
      <w:r w:rsidRPr="004C6ED2">
        <w:rPr>
          <w:b/>
          <w:szCs w:val="22"/>
        </w:rPr>
        <w:t>Documentación mínima del PCT</w:t>
      </w:r>
    </w:p>
    <w:p w:rsidR="00385233" w:rsidRPr="004C6ED2" w:rsidRDefault="00385233" w:rsidP="00385233">
      <w:pPr>
        <w:pStyle w:val="ONUMFS"/>
        <w:numPr>
          <w:ilvl w:val="0"/>
          <w:numId w:val="0"/>
        </w:numPr>
        <w:rPr>
          <w:szCs w:val="22"/>
        </w:rPr>
      </w:pPr>
      <w:r w:rsidRPr="004C6ED2">
        <w:rPr>
          <w:szCs w:val="22"/>
        </w:rPr>
        <w:t>Según el Glosario del PCT de la OMPI, podría definirse “documentación mínima” como “documentos que la Administración encargada de la búsqueda internacional debe consultar a fin de descubrir el estado de la técnica pertinente</w:t>
      </w:r>
      <w:r w:rsidRPr="004C6ED2">
        <w:rPr>
          <w:i/>
          <w:iCs/>
          <w:szCs w:val="22"/>
        </w:rPr>
        <w:t>.</w:t>
      </w:r>
      <w:r w:rsidRPr="004C6ED2">
        <w:rPr>
          <w:szCs w:val="22"/>
        </w:rPr>
        <w:t xml:space="preserve"> </w:t>
      </w:r>
      <w:r w:rsidRPr="004C6ED2">
        <w:rPr>
          <w:i/>
          <w:iCs/>
          <w:szCs w:val="22"/>
        </w:rPr>
        <w:t xml:space="preserve"> </w:t>
      </w:r>
      <w:r w:rsidRPr="004C6ED2">
        <w:rPr>
          <w:szCs w:val="22"/>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C6ED2">
        <w:rPr>
          <w:rStyle w:val="FootnoteReference"/>
          <w:szCs w:val="22"/>
        </w:rPr>
        <w:footnoteReference w:id="105"/>
      </w:r>
    </w:p>
    <w:p w:rsidR="00385233" w:rsidRPr="004C6ED2" w:rsidRDefault="00385233" w:rsidP="00385233">
      <w:pPr>
        <w:pStyle w:val="ONUMFS"/>
        <w:numPr>
          <w:ilvl w:val="0"/>
          <w:numId w:val="0"/>
        </w:numPr>
        <w:rPr>
          <w:szCs w:val="22"/>
        </w:rPr>
      </w:pPr>
      <w:r w:rsidRPr="004C6ED2">
        <w:rPr>
          <w:szCs w:val="22"/>
        </w:rPr>
        <w:t>En las Directrices de búsqueda internacional del PCT, la documentación internacional mínima de búsqueda se define como “una</w:t>
      </w:r>
      <w:r w:rsidRPr="004C6ED2">
        <w:rPr>
          <w:i/>
          <w:iCs/>
          <w:szCs w:val="22"/>
        </w:rPr>
        <w:t xml:space="preserve"> </w:t>
      </w:r>
      <w:r w:rsidRPr="004C6ED2">
        <w:rPr>
          <w:szCs w:val="22"/>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4C6ED2">
        <w:rPr>
          <w:rStyle w:val="FootnoteReference"/>
          <w:szCs w:val="22"/>
        </w:rPr>
        <w:footnoteReference w:id="106"/>
      </w:r>
    </w:p>
    <w:p w:rsidR="004D6289" w:rsidRPr="004C6ED2" w:rsidRDefault="00385233" w:rsidP="00385233">
      <w:pPr>
        <w:pStyle w:val="ONUMFS"/>
        <w:numPr>
          <w:ilvl w:val="0"/>
          <w:numId w:val="0"/>
        </w:numPr>
        <w:rPr>
          <w:b/>
          <w:szCs w:val="22"/>
        </w:rPr>
      </w:pPr>
      <w:r w:rsidRPr="004C6ED2">
        <w:rPr>
          <w:szCs w:val="22"/>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C6ED2">
        <w:rPr>
          <w:rStyle w:val="FootnoteReference"/>
          <w:szCs w:val="22"/>
        </w:rPr>
        <w:footnoteReference w:id="107"/>
      </w:r>
      <w:r w:rsidRPr="004C6ED2">
        <w:rPr>
          <w:szCs w:val="22"/>
        </w:rPr>
        <w:t xml:space="preserve">  Por ejemplo, el </w:t>
      </w:r>
      <w:r w:rsidRPr="004C6ED2">
        <w:rPr>
          <w:i/>
          <w:iCs/>
          <w:szCs w:val="22"/>
        </w:rPr>
        <w:t xml:space="preserve">Indian Journal of Traditional Knowledge </w:t>
      </w:r>
      <w:r w:rsidRPr="004C6ED2">
        <w:rPr>
          <w:szCs w:val="22"/>
        </w:rPr>
        <w:t xml:space="preserve">y el </w:t>
      </w:r>
      <w:r w:rsidRPr="004C6ED2">
        <w:rPr>
          <w:i/>
          <w:iCs/>
          <w:szCs w:val="22"/>
        </w:rPr>
        <w:t>Korean Journal of Traditional Knowledge</w:t>
      </w:r>
      <w:r w:rsidRPr="004C6ED2">
        <w:rPr>
          <w:szCs w:val="22"/>
        </w:rPr>
        <w:t xml:space="preserve"> se consideran literatura distinta de la de patentes en “Documentación Mínima del PCT – Lista de publicaciones periódicas:  Publicaciones periódicas que deben emplearse en la búsqueda y el examen”.</w:t>
      </w:r>
    </w:p>
    <w:p w:rsidR="00385233" w:rsidRPr="004C6ED2" w:rsidRDefault="00385233" w:rsidP="00385233">
      <w:pPr>
        <w:pStyle w:val="ONUMFS"/>
        <w:numPr>
          <w:ilvl w:val="0"/>
          <w:numId w:val="0"/>
        </w:numPr>
        <w:rPr>
          <w:b/>
          <w:szCs w:val="22"/>
        </w:rPr>
      </w:pPr>
      <w:r w:rsidRPr="004C6ED2">
        <w:rPr>
          <w:b/>
          <w:szCs w:val="22"/>
        </w:rPr>
        <w:t>Minoría</w:t>
      </w:r>
    </w:p>
    <w:p w:rsidR="00385233" w:rsidRPr="004C6ED2" w:rsidRDefault="00385233" w:rsidP="00385233">
      <w:pPr>
        <w:pStyle w:val="ONUMFS"/>
        <w:numPr>
          <w:ilvl w:val="0"/>
          <w:numId w:val="0"/>
        </w:numPr>
        <w:rPr>
          <w:szCs w:val="22"/>
        </w:rPr>
      </w:pPr>
      <w:r w:rsidRPr="004C6ED2">
        <w:rPr>
          <w:szCs w:val="22"/>
        </w:rPr>
        <w:t xml:space="preserve">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w:t>
      </w:r>
      <w:r w:rsidRPr="004C6ED2">
        <w:rPr>
          <w:szCs w:val="22"/>
        </w:rPr>
        <w:lastRenderedPageBreak/>
        <w:t>implícita, mantienen un sentido de solidaridad encaminada a preservar su cultura, tradiciones, religión o idioma”.</w:t>
      </w:r>
      <w:r w:rsidRPr="004C6ED2">
        <w:rPr>
          <w:rStyle w:val="FootnoteReference"/>
          <w:szCs w:val="22"/>
        </w:rPr>
        <w:footnoteReference w:id="108"/>
      </w:r>
    </w:p>
    <w:p w:rsidR="00385233" w:rsidRPr="004C6ED2" w:rsidRDefault="00385233" w:rsidP="00757184">
      <w:pPr>
        <w:pStyle w:val="ONUMFS"/>
        <w:keepNext/>
        <w:keepLines/>
        <w:numPr>
          <w:ilvl w:val="0"/>
          <w:numId w:val="0"/>
        </w:numPr>
        <w:rPr>
          <w:szCs w:val="22"/>
        </w:rPr>
      </w:pPr>
      <w:r w:rsidRPr="004C6ED2">
        <w:rPr>
          <w:szCs w:val="22"/>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4C6ED2">
        <w:rPr>
          <w:rStyle w:val="FootnoteReference"/>
          <w:szCs w:val="22"/>
        </w:rPr>
        <w:footnoteReference w:id="109"/>
      </w:r>
      <w:r w:rsidRPr="004C6ED2">
        <w:rPr>
          <w:szCs w:val="22"/>
        </w:rPr>
        <w:t xml:space="preserve">  “Los Estados protegerán la existencia y la identidad nacional o étnica, cultural, religiosa y lingüística de las minorías dentro de sus territorios respectivos y fomentarán las condiciones para la promoción de esa identidad”.</w:t>
      </w:r>
      <w:r w:rsidRPr="004C6ED2">
        <w:rPr>
          <w:rStyle w:val="FootnoteReference"/>
          <w:szCs w:val="22"/>
        </w:rPr>
        <w:footnoteReference w:id="110"/>
      </w:r>
    </w:p>
    <w:p w:rsidR="004D6289" w:rsidRPr="004C6ED2" w:rsidRDefault="00385233" w:rsidP="00385233">
      <w:pPr>
        <w:pStyle w:val="ONUMFS"/>
        <w:numPr>
          <w:ilvl w:val="0"/>
          <w:numId w:val="0"/>
        </w:numPr>
        <w:rPr>
          <w:b/>
          <w:szCs w:val="22"/>
        </w:rPr>
      </w:pPr>
      <w:r w:rsidRPr="004C6ED2">
        <w:rPr>
          <w:szCs w:val="22"/>
        </w:rPr>
        <w:t>El “Pacto Internacional</w:t>
      </w:r>
      <w:r w:rsidRPr="004C6ED2">
        <w:rPr>
          <w:rStyle w:val="FootnoteReference"/>
          <w:szCs w:val="22"/>
        </w:rPr>
        <w:footnoteReference w:id="111"/>
      </w:r>
      <w:r w:rsidRPr="004C6ED2">
        <w:rPr>
          <w:szCs w:val="22"/>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385233" w:rsidRPr="004C6ED2" w:rsidRDefault="00385233" w:rsidP="00385233">
      <w:pPr>
        <w:pStyle w:val="ONUMFS"/>
        <w:numPr>
          <w:ilvl w:val="0"/>
          <w:numId w:val="0"/>
        </w:numPr>
        <w:rPr>
          <w:b/>
          <w:szCs w:val="22"/>
        </w:rPr>
      </w:pPr>
      <w:r w:rsidRPr="004C6ED2">
        <w:rPr>
          <w:b/>
          <w:szCs w:val="22"/>
        </w:rPr>
        <w:t>Apropiación indebida</w:t>
      </w:r>
    </w:p>
    <w:p w:rsidR="00385233" w:rsidRPr="004C6ED2" w:rsidRDefault="00385233" w:rsidP="00385233">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C6ED2">
        <w:rPr>
          <w:i/>
          <w:iCs/>
          <w:szCs w:val="22"/>
        </w:rPr>
        <w:t>common law</w:t>
      </w:r>
      <w:r w:rsidRPr="004C6ED2">
        <w:rPr>
          <w:szCs w:val="22"/>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385233" w:rsidRPr="004C6ED2" w:rsidRDefault="00385233" w:rsidP="00385233">
      <w:pPr>
        <w:pStyle w:val="ONUMFS"/>
        <w:numPr>
          <w:ilvl w:val="0"/>
          <w:numId w:val="0"/>
        </w:numPr>
        <w:rPr>
          <w:szCs w:val="22"/>
        </w:rPr>
      </w:pPr>
      <w:r w:rsidRPr="004C6ED2">
        <w:rPr>
          <w:szCs w:val="22"/>
        </w:rPr>
        <w:t xml:space="preserve">En el sistema del </w:t>
      </w:r>
      <w:r w:rsidRPr="004C6ED2">
        <w:rPr>
          <w:i/>
          <w:iCs/>
          <w:szCs w:val="22"/>
        </w:rPr>
        <w:t>common law</w:t>
      </w:r>
      <w:r w:rsidRPr="004C6ED2">
        <w:rPr>
          <w:szCs w:val="22"/>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D6289" w:rsidRPr="004C6ED2" w:rsidRDefault="00385233" w:rsidP="00385233">
      <w:pPr>
        <w:pStyle w:val="ONUMFS"/>
        <w:numPr>
          <w:ilvl w:val="0"/>
          <w:numId w:val="0"/>
        </w:numPr>
        <w:rPr>
          <w:b/>
          <w:szCs w:val="22"/>
        </w:rPr>
      </w:pPr>
      <w:r w:rsidRPr="004C6ED2">
        <w:rPr>
          <w:szCs w:val="22"/>
        </w:rPr>
        <w:t xml:space="preserve">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w:t>
      </w:r>
      <w:r w:rsidRPr="004C6ED2">
        <w:rPr>
          <w:szCs w:val="22"/>
        </w:rPr>
        <w:lastRenderedPageBreak/>
        <w:t>a las prácticas leales que dé lugar a beneficios ilegítimos e injustos a partir de conocimientos tradicionales”.</w:t>
      </w:r>
      <w:r w:rsidRPr="004C6ED2">
        <w:rPr>
          <w:rStyle w:val="FootnoteReference"/>
          <w:szCs w:val="22"/>
        </w:rPr>
        <w:footnoteReference w:id="112"/>
      </w:r>
    </w:p>
    <w:p w:rsidR="00385233" w:rsidRPr="004C6ED2" w:rsidRDefault="00385233" w:rsidP="00385233">
      <w:pPr>
        <w:pStyle w:val="ONUMFS"/>
        <w:numPr>
          <w:ilvl w:val="0"/>
          <w:numId w:val="0"/>
        </w:numPr>
        <w:rPr>
          <w:b/>
          <w:szCs w:val="22"/>
        </w:rPr>
      </w:pPr>
      <w:r w:rsidRPr="004C6ED2">
        <w:rPr>
          <w:b/>
          <w:szCs w:val="22"/>
        </w:rPr>
        <w:t>Utilización indebida</w:t>
      </w:r>
      <w:r w:rsidRPr="004C6ED2">
        <w:rPr>
          <w:rStyle w:val="FootnoteReference"/>
          <w:b/>
          <w:bCs/>
          <w:szCs w:val="22"/>
        </w:rPr>
        <w:footnoteReference w:id="113"/>
      </w:r>
    </w:p>
    <w:p w:rsidR="00385233" w:rsidRPr="004C6ED2" w:rsidRDefault="00385233" w:rsidP="00385233">
      <w:pPr>
        <w:pStyle w:val="ONUMFS"/>
        <w:numPr>
          <w:ilvl w:val="0"/>
          <w:numId w:val="0"/>
        </w:numPr>
        <w:rPr>
          <w:b/>
          <w:szCs w:val="22"/>
        </w:rPr>
      </w:pPr>
      <w:r w:rsidRPr="004C6ED2">
        <w:rPr>
          <w:szCs w:val="22"/>
        </w:rPr>
        <w:t>En el ámbito de las patentes, en el diccionario jurídico de Black se define la expresión “utilización indebida” en tanto que “</w:t>
      </w:r>
      <w:r w:rsidRPr="004C6ED2">
        <w:rPr>
          <w:i/>
          <w:iCs/>
          <w:szCs w:val="22"/>
        </w:rPr>
        <w:t>utilización de una patente para ampliar indebidamente el monopolio concedido para dar cabida a productos no patentados o para infringir leyes antimonopolio</w:t>
      </w:r>
      <w:r w:rsidRPr="004C6ED2">
        <w:rPr>
          <w:szCs w:val="22"/>
        </w:rPr>
        <w:t>”</w:t>
      </w:r>
      <w:r w:rsidRPr="004C6ED2">
        <w:rPr>
          <w:i/>
          <w:iCs/>
          <w:szCs w:val="22"/>
        </w:rPr>
        <w:t>.</w:t>
      </w:r>
      <w:r w:rsidRPr="004C6ED2">
        <w:rPr>
          <w:szCs w:val="22"/>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385233" w:rsidRPr="004C6ED2" w:rsidRDefault="00385233" w:rsidP="00385233">
      <w:pPr>
        <w:pStyle w:val="ONUMFS"/>
        <w:numPr>
          <w:ilvl w:val="0"/>
          <w:numId w:val="0"/>
        </w:numPr>
        <w:rPr>
          <w:b/>
          <w:szCs w:val="22"/>
        </w:rPr>
      </w:pPr>
      <w:r w:rsidRPr="004C6ED2">
        <w:rPr>
          <w:b/>
          <w:szCs w:val="22"/>
        </w:rPr>
        <w:t>Modificación</w:t>
      </w:r>
    </w:p>
    <w:p w:rsidR="00385233" w:rsidRPr="004C6ED2" w:rsidRDefault="00385233" w:rsidP="00385233">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“modificar” significa “transformar o cambiar algo mudando alguno de sus accidentes” y es sinónimo de “alterar”, que quiere decir “cambiar la esencia o forma de algo”.  En el artículo 6</w:t>
      </w:r>
      <w:r w:rsidRPr="004C6ED2">
        <w:rPr>
          <w:i/>
          <w:iCs/>
          <w:szCs w:val="22"/>
        </w:rPr>
        <w:t>bis</w:t>
      </w:r>
      <w:r w:rsidRPr="004C6ED2">
        <w:rPr>
          <w:szCs w:val="22"/>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3C7CE9" w:rsidRPr="004C6ED2" w:rsidRDefault="003C7CE9" w:rsidP="003C7CE9">
      <w:pPr>
        <w:pStyle w:val="ONUMFS"/>
        <w:numPr>
          <w:ilvl w:val="0"/>
          <w:numId w:val="0"/>
        </w:numPr>
        <w:rPr>
          <w:b/>
          <w:szCs w:val="22"/>
        </w:rPr>
      </w:pPr>
      <w:r w:rsidRPr="004C6ED2">
        <w:rPr>
          <w:b/>
          <w:szCs w:val="22"/>
        </w:rPr>
        <w:t>Expresión musical</w:t>
      </w:r>
    </w:p>
    <w:p w:rsidR="00385233" w:rsidRPr="004C6ED2" w:rsidRDefault="003C7CE9" w:rsidP="003C7CE9">
      <w:pPr>
        <w:pStyle w:val="ONUMFS"/>
        <w:numPr>
          <w:ilvl w:val="0"/>
          <w:numId w:val="0"/>
        </w:numPr>
        <w:rPr>
          <w:b/>
          <w:szCs w:val="22"/>
        </w:rPr>
      </w:pPr>
      <w:r w:rsidRPr="004C6ED2">
        <w:rPr>
          <w:szCs w:val="22"/>
        </w:rPr>
        <w:t>Son expresiones mediante sonidos musicales.</w:t>
      </w:r>
      <w:r w:rsidRPr="004C6ED2">
        <w:rPr>
          <w:rStyle w:val="FootnoteReference"/>
          <w:szCs w:val="22"/>
        </w:rPr>
        <w:footnoteReference w:id="114"/>
      </w:r>
    </w:p>
    <w:p w:rsidR="003C7CE9" w:rsidRPr="004C6ED2" w:rsidRDefault="003C7CE9" w:rsidP="003C7CE9">
      <w:pPr>
        <w:pStyle w:val="ONUMFS"/>
        <w:numPr>
          <w:ilvl w:val="0"/>
          <w:numId w:val="0"/>
        </w:numPr>
        <w:rPr>
          <w:b/>
          <w:szCs w:val="22"/>
        </w:rPr>
      </w:pPr>
      <w:r w:rsidRPr="004C6ED2">
        <w:rPr>
          <w:b/>
          <w:szCs w:val="22"/>
        </w:rPr>
        <w:t>Mutilación</w:t>
      </w:r>
    </w:p>
    <w:p w:rsidR="004D6289" w:rsidRPr="004C6ED2" w:rsidRDefault="003C7CE9" w:rsidP="003C7CE9">
      <w:pPr>
        <w:pStyle w:val="ONUMFS"/>
        <w:numPr>
          <w:ilvl w:val="0"/>
          <w:numId w:val="0"/>
        </w:numPr>
        <w:rPr>
          <w:b/>
          <w:szCs w:val="22"/>
        </w:rPr>
      </w:pPr>
      <w:r w:rsidRPr="004C6ED2">
        <w:rPr>
          <w:szCs w:val="22"/>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C6ED2">
        <w:rPr>
          <w:i/>
          <w:iCs/>
          <w:szCs w:val="22"/>
        </w:rPr>
        <w:t>bis</w:t>
      </w:r>
      <w:r w:rsidRPr="004C6ED2">
        <w:rPr>
          <w:szCs w:val="22"/>
        </w:rPr>
        <w:t xml:space="preserve"> del Convenio de Berna).</w:t>
      </w:r>
    </w:p>
    <w:p w:rsidR="003C7CE9" w:rsidRPr="004C6ED2" w:rsidRDefault="003C7CE9" w:rsidP="003C7CE9">
      <w:pPr>
        <w:pStyle w:val="ONUMFS"/>
        <w:numPr>
          <w:ilvl w:val="0"/>
          <w:numId w:val="0"/>
        </w:numPr>
        <w:rPr>
          <w:b/>
          <w:bCs/>
          <w:szCs w:val="22"/>
        </w:rPr>
      </w:pPr>
      <w:r w:rsidRPr="004C6ED2">
        <w:rPr>
          <w:b/>
          <w:bCs/>
          <w:szCs w:val="22"/>
        </w:rPr>
        <w:t>Respeto mutuo</w:t>
      </w:r>
    </w:p>
    <w:p w:rsidR="004D6289" w:rsidRPr="004C6ED2" w:rsidRDefault="003C7CE9" w:rsidP="003C7CE9">
      <w:pPr>
        <w:pStyle w:val="ONUMFS"/>
        <w:numPr>
          <w:ilvl w:val="0"/>
          <w:numId w:val="0"/>
        </w:numPr>
        <w:rPr>
          <w:b/>
          <w:szCs w:val="22"/>
        </w:rPr>
      </w:pPr>
      <w:r w:rsidRPr="004C6ED2">
        <w:rPr>
          <w:szCs w:val="22"/>
        </w:rPr>
        <w:t>En el preámbulo de la “Declaración de las Naciones Unidas sobre los Derechos de los Pueblos Indígenas” se afirma que es el “ideal común que debe perseguirse en un espíritu de solidaridad y respeto mutuo”.</w:t>
      </w:r>
      <w:r w:rsidR="004C6ED2" w:rsidRPr="004C6ED2">
        <w:rPr>
          <w:szCs w:val="22"/>
          <w:vertAlign w:val="superscript"/>
        </w:rPr>
        <w:t>.</w:t>
      </w:r>
      <w:r w:rsidR="004C6ED2" w:rsidRPr="004C6ED2">
        <w:rPr>
          <w:szCs w:val="22"/>
        </w:rPr>
        <w:t xml:space="preserve"> </w:t>
      </w:r>
      <w:r w:rsidR="004C6ED2" w:rsidRPr="004C6ED2">
        <w:rPr>
          <w:szCs w:val="22"/>
          <w:vertAlign w:val="superscript"/>
        </w:rPr>
        <w:t xml:space="preserve"> </w:t>
      </w:r>
      <w:r w:rsidR="004C6ED2" w:rsidRPr="004C6ED2">
        <w:rPr>
          <w:szCs w:val="22"/>
        </w:rPr>
        <w:t>E</w:t>
      </w:r>
      <w:r w:rsidRPr="004C6ED2">
        <w:rPr>
          <w:szCs w:val="22"/>
        </w:rPr>
        <w:t xml:space="preserve">l </w:t>
      </w:r>
      <w:r w:rsidRPr="004C6ED2">
        <w:rPr>
          <w:i/>
          <w:iCs/>
          <w:szCs w:val="22"/>
        </w:rPr>
        <w:t>Diccionario de uso del español</w:t>
      </w:r>
      <w:r w:rsidRPr="004C6ED2">
        <w:rPr>
          <w:szCs w:val="22"/>
        </w:rPr>
        <w:t xml:space="preserve"> de María Moliner explica que “mutuo” es aquello que “se aplica a los sentimientos o acciones que son tenidos o realizados por dos o más personas, de modo que cada una hace objeto de ellos a otra de la que, a su vez, los recibe”.</w:t>
      </w:r>
    </w:p>
    <w:p w:rsidR="003C7CE9" w:rsidRPr="004C6ED2" w:rsidRDefault="003C7CE9" w:rsidP="003C7CE9">
      <w:pPr>
        <w:pStyle w:val="ONUMFS"/>
        <w:numPr>
          <w:ilvl w:val="0"/>
          <w:numId w:val="0"/>
        </w:numPr>
        <w:rPr>
          <w:b/>
          <w:bCs/>
          <w:szCs w:val="22"/>
        </w:rPr>
      </w:pPr>
      <w:r w:rsidRPr="004C6ED2">
        <w:rPr>
          <w:b/>
          <w:bCs/>
          <w:szCs w:val="22"/>
        </w:rPr>
        <w:t>Condiciones mutuamente convenidas</w:t>
      </w:r>
    </w:p>
    <w:p w:rsidR="003C7CE9" w:rsidRPr="004C6ED2" w:rsidRDefault="003C7CE9" w:rsidP="003C7CE9">
      <w:pPr>
        <w:pStyle w:val="ONUMFS"/>
        <w:numPr>
          <w:ilvl w:val="0"/>
          <w:numId w:val="0"/>
        </w:numPr>
        <w:rPr>
          <w:szCs w:val="22"/>
        </w:rPr>
      </w:pPr>
      <w:r w:rsidRPr="004C6ED2">
        <w:rPr>
          <w:szCs w:val="22"/>
        </w:rPr>
        <w:t>Además de reconocer la soberanía de los gobiernos nacionales para determinar el acceso a los recursos genéticos, en el artículo 15.4 del Convenio sobre la Diversidad Biológica</w:t>
      </w:r>
      <w:r w:rsidRPr="004C6ED2">
        <w:rPr>
          <w:i/>
          <w:szCs w:val="22"/>
        </w:rPr>
        <w:t xml:space="preserve"> </w:t>
      </w:r>
      <w:r w:rsidRPr="004C6ED2">
        <w:rPr>
          <w:szCs w:val="22"/>
        </w:rPr>
        <w:t xml:space="preserve">(1992) se establece que “cuando se conceda acceso, este será en condiciones mutuamente convenidas y </w:t>
      </w:r>
      <w:r w:rsidRPr="004C6ED2">
        <w:rPr>
          <w:szCs w:val="22"/>
        </w:rPr>
        <w:lastRenderedPageBreak/>
        <w:t>estará sometido a lo dispuesto en el presente artículo”.  El Secretario Ejecutivo del CDB ha señalado que “los contratos son el modo más común de establecer los términos mutuamente convenidos”.</w:t>
      </w:r>
      <w:r w:rsidRPr="004C6ED2">
        <w:rPr>
          <w:rStyle w:val="FootnoteReference"/>
          <w:szCs w:val="22"/>
        </w:rPr>
        <w:footnoteReference w:id="115"/>
      </w:r>
      <w:r w:rsidRPr="004C6ED2">
        <w:rPr>
          <w:szCs w:val="22"/>
        </w:rPr>
        <w:t xml:space="preserve">  En los artículos 41 a 44 de las Directrices de Bonn se señalan algunos requisitos básicos de las condiciones mutuamente convenidas.</w:t>
      </w:r>
    </w:p>
    <w:p w:rsidR="004D6289" w:rsidRPr="004C6ED2" w:rsidRDefault="003C7CE9" w:rsidP="003C7CE9">
      <w:pPr>
        <w:pStyle w:val="ONUMFS"/>
        <w:numPr>
          <w:ilvl w:val="0"/>
          <w:numId w:val="0"/>
        </w:numPr>
        <w:rPr>
          <w:b/>
          <w:szCs w:val="22"/>
        </w:rPr>
      </w:pPr>
      <w:r w:rsidRPr="004C6ED2">
        <w:rPr>
          <w:szCs w:val="22"/>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4C6ED2">
        <w:rPr>
          <w:iCs/>
          <w:szCs w:val="22"/>
        </w:rPr>
        <w:t>1.</w:t>
      </w:r>
      <w:r w:rsidRPr="004C6ED2">
        <w:rPr>
          <w:szCs w:val="22"/>
        </w:rPr>
        <w:t xml:space="preserve"> </w:t>
      </w:r>
      <w:r w:rsidRPr="004C6ED2">
        <w:rPr>
          <w:iCs/>
          <w:szCs w:val="22"/>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C6ED2">
        <w:rPr>
          <w:szCs w:val="22"/>
        </w:rPr>
        <w:t>”.</w:t>
      </w:r>
    </w:p>
    <w:p w:rsidR="003C7CE9" w:rsidRPr="004C6ED2" w:rsidRDefault="003C7CE9" w:rsidP="003C7CE9">
      <w:pPr>
        <w:pStyle w:val="ONUMFS"/>
        <w:numPr>
          <w:ilvl w:val="0"/>
          <w:numId w:val="0"/>
        </w:numPr>
        <w:rPr>
          <w:b/>
          <w:szCs w:val="22"/>
        </w:rPr>
      </w:pPr>
      <w:r w:rsidRPr="004C6ED2">
        <w:rPr>
          <w:b/>
          <w:szCs w:val="22"/>
        </w:rPr>
        <w:t>Protocolo de Nagoya sobre Acceso a los Recursos Genéticos y Participación Justa y Equitativa en los Beneficios que se Deriven de su Utilización al Convenio sobre la Diversidad Biológica (2010)</w:t>
      </w:r>
    </w:p>
    <w:p w:rsidR="003C7CE9" w:rsidRPr="004C6ED2" w:rsidRDefault="003C7CE9" w:rsidP="003C7CE9">
      <w:pPr>
        <w:pStyle w:val="ONUMFS"/>
        <w:numPr>
          <w:ilvl w:val="0"/>
          <w:numId w:val="0"/>
        </w:numPr>
        <w:rPr>
          <w:szCs w:val="22"/>
        </w:rPr>
      </w:pPr>
      <w:r w:rsidRPr="004C6ED2">
        <w:rPr>
          <w:szCs w:val="22"/>
        </w:rPr>
        <w:t>Durante la décima reunión de la Conferencia de las Partes (COP 10), celebrada en Nagoya (Japón) en octubre de 2010, se adoptó un protocolo.  Con arreglo al artículo 1, el objetivo del Protocolo es “</w:t>
      </w:r>
      <w:r w:rsidRPr="004C6ED2">
        <w:rPr>
          <w:iCs/>
          <w:szCs w:val="22"/>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4C6ED2">
        <w:rPr>
          <w:szCs w:val="22"/>
        </w:rPr>
        <w:t>”.  El Secretario General de las Naciones Unidas será el depositario del Protocolo y lo abrirá a la firma en la Sede de las Naciones Unidas de Nueva York del 2 de febrero de 2011 al 1 de febrero de 2012.</w:t>
      </w:r>
    </w:p>
    <w:p w:rsidR="00627FCD" w:rsidRPr="004C6ED2" w:rsidRDefault="003C7CE9" w:rsidP="003C7CE9">
      <w:pPr>
        <w:pStyle w:val="ONUMFS"/>
        <w:numPr>
          <w:ilvl w:val="0"/>
          <w:numId w:val="0"/>
        </w:numPr>
        <w:rPr>
          <w:b/>
          <w:szCs w:val="22"/>
        </w:rPr>
      </w:pPr>
      <w:r w:rsidRPr="004C6ED2">
        <w:rPr>
          <w:szCs w:val="22"/>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1B475A" w:rsidRPr="004C6ED2" w:rsidRDefault="001B475A" w:rsidP="001B475A">
      <w:pPr>
        <w:pStyle w:val="ONUMFS"/>
        <w:numPr>
          <w:ilvl w:val="0"/>
          <w:numId w:val="0"/>
        </w:numPr>
        <w:rPr>
          <w:b/>
          <w:bCs/>
          <w:szCs w:val="22"/>
        </w:rPr>
      </w:pPr>
      <w:r w:rsidRPr="004C6ED2">
        <w:rPr>
          <w:b/>
          <w:bCs/>
          <w:szCs w:val="22"/>
        </w:rPr>
        <w:t>Nación</w:t>
      </w:r>
    </w:p>
    <w:p w:rsidR="00627FCD" w:rsidRPr="004C6ED2" w:rsidRDefault="001B475A" w:rsidP="001B475A">
      <w:pPr>
        <w:pStyle w:val="ONUMFS"/>
        <w:numPr>
          <w:ilvl w:val="0"/>
          <w:numId w:val="0"/>
        </w:numPr>
        <w:rPr>
          <w:b/>
          <w:szCs w:val="22"/>
        </w:rPr>
      </w:pPr>
      <w:bookmarkStart w:id="14" w:name="_Ref289681765"/>
      <w:bookmarkEnd w:id="14"/>
      <w:r w:rsidRPr="004C6ED2">
        <w:rPr>
          <w:szCs w:val="22"/>
        </w:rPr>
        <w:t xml:space="preserve">Según el </w:t>
      </w:r>
      <w:r w:rsidRPr="004C6ED2">
        <w:rPr>
          <w:i/>
          <w:iCs/>
          <w:szCs w:val="22"/>
        </w:rPr>
        <w:t>Diccionario de la lengua española</w:t>
      </w:r>
      <w:r w:rsidRPr="004C6ED2">
        <w:rPr>
          <w:szCs w:val="22"/>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4C6ED2">
        <w:rPr>
          <w:rStyle w:val="FootnoteReference"/>
          <w:szCs w:val="22"/>
        </w:rPr>
        <w:footnoteReference w:id="116"/>
      </w:r>
      <w:r w:rsidRPr="004C6ED2">
        <w:rPr>
          <w:szCs w:val="22"/>
        </w:rPr>
        <w:t xml:space="preserve">  La voz “nación” suele connotar que la comunidad está forjada por un mismo origen, </w:t>
      </w:r>
      <w:r w:rsidRPr="004C6ED2">
        <w:rPr>
          <w:szCs w:val="22"/>
        </w:rPr>
        <w:lastRenderedPageBreak/>
        <w:t>cultura e historia, a lo cual se suma no pocas veces una lengua que es común.</w:t>
      </w:r>
      <w:r w:rsidRPr="004C6ED2">
        <w:rPr>
          <w:rStyle w:val="FootnoteReference"/>
          <w:szCs w:val="22"/>
        </w:rPr>
        <w:footnoteReference w:id="117"/>
      </w:r>
      <w:r w:rsidRPr="004C6ED2">
        <w:rPr>
          <w:szCs w:val="22"/>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C6ED2">
        <w:rPr>
          <w:rStyle w:val="FootnoteReference"/>
          <w:szCs w:val="22"/>
        </w:rPr>
        <w:footnoteReference w:id="118"/>
      </w:r>
    </w:p>
    <w:p w:rsidR="001B475A" w:rsidRPr="004C6ED2" w:rsidRDefault="001B475A" w:rsidP="001B475A">
      <w:pPr>
        <w:pStyle w:val="ONUMFS"/>
        <w:numPr>
          <w:ilvl w:val="0"/>
          <w:numId w:val="0"/>
        </w:numPr>
        <w:rPr>
          <w:b/>
          <w:bCs/>
          <w:szCs w:val="22"/>
        </w:rPr>
      </w:pPr>
      <w:r w:rsidRPr="004C6ED2">
        <w:rPr>
          <w:b/>
          <w:bCs/>
          <w:szCs w:val="22"/>
        </w:rPr>
        <w:t>Novedad</w:t>
      </w:r>
    </w:p>
    <w:p w:rsidR="001B475A" w:rsidRPr="004C6ED2" w:rsidRDefault="001B475A" w:rsidP="001B475A">
      <w:pPr>
        <w:pStyle w:val="ONUMFS"/>
        <w:numPr>
          <w:ilvl w:val="0"/>
          <w:numId w:val="0"/>
        </w:numPr>
        <w:rPr>
          <w:szCs w:val="22"/>
        </w:rPr>
      </w:pPr>
      <w:r w:rsidRPr="004C6ED2">
        <w:rPr>
          <w:szCs w:val="22"/>
        </w:rPr>
        <w:t>La novedad es uno de los criterios que se aplican en todo examen de patentes para determinar si se concede una patente.  Una invención es nueva si no existe en el estado de la técnica.</w:t>
      </w:r>
      <w:r w:rsidRPr="004C6ED2">
        <w:rPr>
          <w:rStyle w:val="FootnoteReference"/>
          <w:szCs w:val="22"/>
        </w:rPr>
        <w:footnoteReference w:id="119"/>
      </w:r>
    </w:p>
    <w:p w:rsidR="001B475A" w:rsidRPr="004C6ED2" w:rsidRDefault="001B475A" w:rsidP="001B475A">
      <w:pPr>
        <w:pStyle w:val="ONUMFS"/>
        <w:numPr>
          <w:ilvl w:val="0"/>
          <w:numId w:val="0"/>
        </w:numPr>
        <w:rPr>
          <w:szCs w:val="22"/>
        </w:rPr>
      </w:pPr>
      <w:r w:rsidRPr="004C6ED2">
        <w:rPr>
          <w:szCs w:val="22"/>
        </w:rPr>
        <w:t>En el artículo 33 del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1B475A" w:rsidRPr="004C6ED2" w:rsidRDefault="001B475A" w:rsidP="001B475A">
      <w:pPr>
        <w:pStyle w:val="ONUMFS"/>
        <w:numPr>
          <w:ilvl w:val="0"/>
          <w:numId w:val="0"/>
        </w:numPr>
        <w:rPr>
          <w:szCs w:val="22"/>
        </w:rPr>
      </w:pPr>
      <w:r w:rsidRPr="004C6ED2">
        <w:rPr>
          <w:szCs w:val="22"/>
        </w:rPr>
        <w:t>En el artículo 54 del Convenio sobre la Patente Europea,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311C84" w:rsidRPr="004C6ED2" w:rsidRDefault="001B475A" w:rsidP="001B475A">
      <w:pPr>
        <w:pStyle w:val="ONUMFS"/>
        <w:numPr>
          <w:ilvl w:val="0"/>
          <w:numId w:val="0"/>
        </w:numPr>
        <w:rPr>
          <w:szCs w:val="22"/>
        </w:rPr>
      </w:pPr>
      <w:r w:rsidRPr="004C6ED2">
        <w:rPr>
          <w:szCs w:val="22"/>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7B312B" w:rsidRPr="004C6ED2" w:rsidRDefault="007B312B" w:rsidP="00757184">
      <w:pPr>
        <w:pStyle w:val="ONUMFS"/>
        <w:numPr>
          <w:ilvl w:val="0"/>
          <w:numId w:val="0"/>
        </w:numPr>
        <w:rPr>
          <w:b/>
          <w:bCs/>
          <w:szCs w:val="22"/>
        </w:rPr>
      </w:pPr>
      <w:r w:rsidRPr="004C6ED2">
        <w:rPr>
          <w:b/>
          <w:bCs/>
          <w:szCs w:val="22"/>
        </w:rPr>
        <w:t>Ofensivo</w:t>
      </w:r>
    </w:p>
    <w:p w:rsidR="001B475A" w:rsidRPr="004C6ED2" w:rsidRDefault="007B312B" w:rsidP="007B312B">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“ofensivo” se entiende “que ofende o puede ofender” y, a su vez, “ofender” significa “ir en contra de lo que se tiene comúnmente por bueno, correcto o agradable”.</w:t>
      </w:r>
    </w:p>
    <w:p w:rsidR="007B312B" w:rsidRPr="004C6ED2" w:rsidRDefault="007B312B" w:rsidP="007B312B">
      <w:pPr>
        <w:pStyle w:val="ONUMFS"/>
        <w:numPr>
          <w:ilvl w:val="0"/>
          <w:numId w:val="0"/>
        </w:numPr>
        <w:rPr>
          <w:b/>
          <w:bCs/>
          <w:szCs w:val="22"/>
        </w:rPr>
      </w:pPr>
      <w:r w:rsidRPr="004C6ED2">
        <w:rPr>
          <w:b/>
          <w:bCs/>
          <w:szCs w:val="22"/>
        </w:rPr>
        <w:t>Patente</w:t>
      </w:r>
    </w:p>
    <w:p w:rsidR="007B312B" w:rsidRPr="004C6ED2" w:rsidRDefault="007B312B" w:rsidP="007B312B">
      <w:pPr>
        <w:pStyle w:val="ONUMFS"/>
        <w:numPr>
          <w:ilvl w:val="0"/>
          <w:numId w:val="0"/>
        </w:numPr>
        <w:rPr>
          <w:szCs w:val="22"/>
        </w:rPr>
      </w:pPr>
      <w:r w:rsidRPr="004C6ED2">
        <w:rPr>
          <w:szCs w:val="22"/>
        </w:rPr>
        <w:t>Se entiende por patente “</w:t>
      </w:r>
      <w:r w:rsidRPr="004C6ED2">
        <w:rPr>
          <w:iCs/>
          <w:szCs w:val="22"/>
        </w:rPr>
        <w:t xml:space="preserve">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w:t>
      </w:r>
      <w:r w:rsidRPr="004C6ED2">
        <w:rPr>
          <w:iCs/>
          <w:szCs w:val="22"/>
        </w:rPr>
        <w:lastRenderedPageBreak/>
        <w:t>acuerdo entre un inventor y un país.  El acuerdo permite al propietario impedir a terceros fabricar, utilizar o comercializar la invención reivindicada.</w:t>
      </w:r>
      <w:r w:rsidRPr="004C6ED2">
        <w:rPr>
          <w:szCs w:val="22"/>
        </w:rPr>
        <w:t>”</w:t>
      </w:r>
      <w:r w:rsidRPr="004C6ED2">
        <w:rPr>
          <w:rStyle w:val="FootnoteReference"/>
          <w:szCs w:val="22"/>
        </w:rPr>
        <w:footnoteReference w:id="120"/>
      </w:r>
    </w:p>
    <w:p w:rsidR="001B475A" w:rsidRPr="004C6ED2" w:rsidRDefault="007B312B" w:rsidP="007B312B">
      <w:pPr>
        <w:pStyle w:val="ONUMFS"/>
        <w:numPr>
          <w:ilvl w:val="0"/>
          <w:numId w:val="0"/>
        </w:numPr>
        <w:rPr>
          <w:szCs w:val="22"/>
        </w:rPr>
      </w:pPr>
      <w:r w:rsidRPr="004C6ED2">
        <w:rPr>
          <w:szCs w:val="22"/>
        </w:rPr>
        <w:t xml:space="preserve">En el artículo 27.1 del Acuerdo sobre </w:t>
      </w:r>
      <w:r w:rsidR="00F03D07">
        <w:rPr>
          <w:szCs w:val="22"/>
        </w:rPr>
        <w:t xml:space="preserve">los Derechos de Propiedad Intelectual relacionados con el Comercio (Acuerdo sobre </w:t>
      </w:r>
      <w:r w:rsidRPr="004C6ED2">
        <w:rPr>
          <w:szCs w:val="22"/>
        </w:rPr>
        <w:t>los ADPIC</w:t>
      </w:r>
      <w:r w:rsidR="00F03D07">
        <w:rPr>
          <w:szCs w:val="22"/>
        </w:rPr>
        <w:t>)</w:t>
      </w:r>
      <w:r w:rsidRPr="004C6ED2">
        <w:rPr>
          <w:szCs w:val="22"/>
        </w:rPr>
        <w:t xml:space="preserve"> se estipula que </w:t>
      </w:r>
      <w:r w:rsidRPr="004C6ED2">
        <w:rPr>
          <w:iCs/>
          <w:szCs w:val="22"/>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7B312B" w:rsidRPr="004C6ED2" w:rsidRDefault="007B312B" w:rsidP="007B312B">
      <w:pPr>
        <w:pStyle w:val="ONUMFS"/>
        <w:numPr>
          <w:ilvl w:val="0"/>
          <w:numId w:val="0"/>
        </w:numPr>
        <w:rPr>
          <w:b/>
          <w:bCs/>
          <w:szCs w:val="22"/>
        </w:rPr>
      </w:pPr>
      <w:r w:rsidRPr="004C6ED2">
        <w:rPr>
          <w:b/>
          <w:bCs/>
          <w:szCs w:val="22"/>
        </w:rPr>
        <w:t>Conservación</w:t>
      </w:r>
    </w:p>
    <w:p w:rsidR="007B312B" w:rsidRPr="004C6ED2" w:rsidRDefault="007B312B" w:rsidP="007B312B">
      <w:pPr>
        <w:pStyle w:val="ONUMFS"/>
        <w:numPr>
          <w:ilvl w:val="0"/>
          <w:numId w:val="0"/>
        </w:numPr>
        <w:rPr>
          <w:szCs w:val="22"/>
        </w:rPr>
      </w:pPr>
      <w:r w:rsidRPr="004C6ED2">
        <w:rPr>
          <w:szCs w:val="22"/>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4C6ED2">
        <w:rPr>
          <w:rStyle w:val="FootnoteReference"/>
          <w:szCs w:val="22"/>
        </w:rPr>
        <w:footnoteReference w:id="121"/>
      </w:r>
    </w:p>
    <w:p w:rsidR="001B475A" w:rsidRPr="004C6ED2" w:rsidRDefault="007B312B" w:rsidP="007B312B">
      <w:pPr>
        <w:pStyle w:val="ONUMFS"/>
        <w:numPr>
          <w:ilvl w:val="0"/>
          <w:numId w:val="0"/>
        </w:numPr>
        <w:rPr>
          <w:szCs w:val="22"/>
        </w:rPr>
      </w:pPr>
      <w:r w:rsidRPr="004C6ED2">
        <w:rPr>
          <w:szCs w:val="22"/>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4C6ED2">
        <w:rPr>
          <w:i/>
          <w:szCs w:val="22"/>
        </w:rPr>
        <w:t xml:space="preserve"> </w:t>
      </w:r>
      <w:r w:rsidRPr="004C6ED2">
        <w:rPr>
          <w:szCs w:val="22"/>
        </w:rPr>
        <w:t>(1992) y la UNESCO, se ocupan de los aspectos relacionados con la conservación, conservación y salvaguardia de los conocimientos tradicionales en el contexto de sus respectivas políticas”.</w:t>
      </w:r>
      <w:r w:rsidRPr="004C6ED2">
        <w:rPr>
          <w:rStyle w:val="FootnoteReference"/>
          <w:szCs w:val="22"/>
        </w:rPr>
        <w:footnoteReference w:id="122"/>
      </w:r>
    </w:p>
    <w:p w:rsidR="007B312B" w:rsidRPr="004C6ED2" w:rsidRDefault="007B312B" w:rsidP="007B312B">
      <w:pPr>
        <w:pStyle w:val="ONUMFS"/>
        <w:numPr>
          <w:ilvl w:val="0"/>
          <w:numId w:val="0"/>
        </w:numPr>
        <w:rPr>
          <w:b/>
          <w:bCs/>
          <w:szCs w:val="22"/>
        </w:rPr>
      </w:pPr>
      <w:r w:rsidRPr="004C6ED2">
        <w:rPr>
          <w:b/>
          <w:bCs/>
          <w:szCs w:val="22"/>
        </w:rPr>
        <w:t>Consentimiento fundamentado previo</w:t>
      </w:r>
    </w:p>
    <w:p w:rsidR="007B312B" w:rsidRPr="004C6ED2" w:rsidRDefault="007B312B" w:rsidP="007B312B">
      <w:pPr>
        <w:pStyle w:val="ONUMFS"/>
        <w:numPr>
          <w:ilvl w:val="0"/>
          <w:numId w:val="0"/>
        </w:numPr>
        <w:rPr>
          <w:szCs w:val="22"/>
        </w:rPr>
      </w:pPr>
      <w:r w:rsidRPr="004C6ED2">
        <w:rPr>
          <w:szCs w:val="22"/>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4C6ED2">
        <w:rPr>
          <w:i/>
          <w:szCs w:val="22"/>
        </w:rPr>
        <w:t xml:space="preserve"> </w:t>
      </w:r>
      <w:r w:rsidRPr="004C6ED2">
        <w:rPr>
          <w:szCs w:val="22"/>
        </w:rPr>
        <w:t>(1992).</w:t>
      </w:r>
    </w:p>
    <w:p w:rsidR="007B312B" w:rsidRPr="004C6ED2" w:rsidRDefault="007B312B" w:rsidP="007B312B">
      <w:pPr>
        <w:pStyle w:val="ONUMFS"/>
        <w:numPr>
          <w:ilvl w:val="0"/>
          <w:numId w:val="0"/>
        </w:numPr>
        <w:rPr>
          <w:szCs w:val="22"/>
        </w:rPr>
      </w:pPr>
      <w:r w:rsidRPr="004C6ED2">
        <w:rPr>
          <w:szCs w:val="22"/>
        </w:rPr>
        <w:t>En lo que respecta al acceso a recursos genéticos, en el artículo 15.5 del CDB se estipula que “estará sometido al consentimiento fundamentado previo de la Parte Contratante que proporciona los recursos, a menos que esa Parte decida otra cosa”.</w:t>
      </w:r>
    </w:p>
    <w:p w:rsidR="007B312B" w:rsidRPr="004C6ED2" w:rsidRDefault="007B312B" w:rsidP="007B312B">
      <w:pPr>
        <w:pStyle w:val="ONUMFS"/>
        <w:numPr>
          <w:ilvl w:val="0"/>
          <w:numId w:val="0"/>
        </w:numPr>
        <w:rPr>
          <w:szCs w:val="22"/>
        </w:rPr>
      </w:pPr>
      <w:r w:rsidRPr="004C6ED2">
        <w:rPr>
          <w:szCs w:val="22"/>
        </w:rPr>
        <w:t xml:space="preserve">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w:t>
      </w:r>
      <w:r w:rsidRPr="004C6ED2">
        <w:rPr>
          <w:szCs w:val="22"/>
        </w:rPr>
        <w:lastRenderedPageBreak/>
        <w:t>condiciones mutuamente acordadas como se especifica en la legislación o los requisitos reglamentarios nacionales de acceso y participación en los beneficios de la otra Parte donde se encuentran dichas comunidades indígenas y locales”.</w:t>
      </w:r>
    </w:p>
    <w:p w:rsidR="007B312B" w:rsidRPr="004C6ED2" w:rsidRDefault="007B312B" w:rsidP="007B312B">
      <w:pPr>
        <w:pStyle w:val="ONUMFS"/>
        <w:numPr>
          <w:ilvl w:val="0"/>
          <w:numId w:val="0"/>
        </w:numPr>
        <w:rPr>
          <w:szCs w:val="22"/>
        </w:rPr>
      </w:pPr>
      <w:r w:rsidRPr="004C6ED2">
        <w:rPr>
          <w:szCs w:val="22"/>
        </w:rPr>
        <w:t>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w:t>
      </w:r>
    </w:p>
    <w:p w:rsidR="007B312B" w:rsidRPr="004C6ED2" w:rsidRDefault="007B312B" w:rsidP="007B312B">
      <w:pPr>
        <w:pStyle w:val="ONUMFS"/>
        <w:numPr>
          <w:ilvl w:val="0"/>
          <w:numId w:val="0"/>
        </w:numPr>
        <w:rPr>
          <w:szCs w:val="22"/>
        </w:rPr>
      </w:pPr>
      <w:r w:rsidRPr="004C6ED2">
        <w:rPr>
          <w:szCs w:val="22"/>
        </w:rPr>
        <w:t>El concepto ha sido acuñado con el fin de poner en vigor el principio general de la participación de los pueblos indígenas en la decisión, elaboración, ejecución y evaluación de los programas que los afecten.</w:t>
      </w:r>
      <w:r w:rsidRPr="004C6ED2">
        <w:rPr>
          <w:rStyle w:val="FootnoteReference"/>
          <w:szCs w:val="22"/>
        </w:rPr>
        <w:footnoteReference w:id="123"/>
      </w:r>
    </w:p>
    <w:p w:rsidR="007B312B" w:rsidRPr="004C6ED2" w:rsidRDefault="007B312B" w:rsidP="007B312B">
      <w:pPr>
        <w:pStyle w:val="ONUMFS"/>
        <w:numPr>
          <w:ilvl w:val="0"/>
          <w:numId w:val="0"/>
        </w:numPr>
        <w:rPr>
          <w:szCs w:val="22"/>
        </w:rPr>
      </w:pPr>
      <w:r w:rsidRPr="004C6ED2">
        <w:rPr>
          <w:szCs w:val="22"/>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1B475A" w:rsidRPr="004C6ED2" w:rsidRDefault="007B312B" w:rsidP="007B312B">
      <w:pPr>
        <w:pStyle w:val="ONUMFS"/>
        <w:numPr>
          <w:ilvl w:val="0"/>
          <w:numId w:val="0"/>
        </w:numPr>
        <w:rPr>
          <w:szCs w:val="22"/>
        </w:rPr>
      </w:pPr>
      <w:r w:rsidRPr="004C6ED2">
        <w:rPr>
          <w:szCs w:val="22"/>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C6ED2">
        <w:rPr>
          <w:rStyle w:val="FootnoteReference"/>
          <w:szCs w:val="22"/>
        </w:rPr>
        <w:footnoteReference w:id="124"/>
      </w:r>
    </w:p>
    <w:p w:rsidR="007B312B" w:rsidRPr="004C6ED2" w:rsidRDefault="007B312B" w:rsidP="007B312B">
      <w:pPr>
        <w:pStyle w:val="ONUMFS"/>
        <w:numPr>
          <w:ilvl w:val="0"/>
          <w:numId w:val="0"/>
        </w:numPr>
        <w:rPr>
          <w:b/>
          <w:bCs/>
          <w:kern w:val="36"/>
          <w:szCs w:val="22"/>
        </w:rPr>
      </w:pPr>
      <w:r w:rsidRPr="004C6ED2">
        <w:rPr>
          <w:b/>
          <w:bCs/>
          <w:kern w:val="36"/>
          <w:szCs w:val="22"/>
        </w:rPr>
        <w:t>Estado de la técnica</w:t>
      </w:r>
    </w:p>
    <w:p w:rsidR="007B312B" w:rsidRPr="004C6ED2" w:rsidRDefault="007B312B" w:rsidP="007B312B">
      <w:pPr>
        <w:pStyle w:val="ONUMFS"/>
        <w:numPr>
          <w:ilvl w:val="0"/>
          <w:numId w:val="0"/>
        </w:numPr>
        <w:rPr>
          <w:szCs w:val="22"/>
        </w:rPr>
      </w:pPr>
      <w:r w:rsidRPr="004C6ED2">
        <w:rPr>
          <w:szCs w:val="22"/>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C6ED2">
        <w:rPr>
          <w:rStyle w:val="FootnoteReference"/>
          <w:szCs w:val="22"/>
        </w:rPr>
        <w:footnoteReference w:id="125"/>
      </w:r>
    </w:p>
    <w:p w:rsidR="007B312B" w:rsidRPr="004C6ED2" w:rsidRDefault="007B312B" w:rsidP="007B312B">
      <w:pPr>
        <w:pStyle w:val="ONUMFS"/>
        <w:numPr>
          <w:ilvl w:val="0"/>
          <w:numId w:val="0"/>
        </w:numPr>
        <w:rPr>
          <w:szCs w:val="22"/>
        </w:rPr>
      </w:pPr>
      <w:r w:rsidRPr="004C6ED2">
        <w:rPr>
          <w:szCs w:val="22"/>
        </w:rPr>
        <w:t xml:space="preserve">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w:t>
      </w:r>
      <w:r w:rsidRPr="004C6ED2">
        <w:rPr>
          <w:szCs w:val="22"/>
        </w:rPr>
        <w:lastRenderedPageBreak/>
        <w:t>(es decir, si es evidente o no lo es), a condición de que la puesta a disposición del público haya tenido lugar antes de la fecha de presentación internacional”.</w:t>
      </w:r>
    </w:p>
    <w:p w:rsidR="007B312B" w:rsidRPr="004C6ED2" w:rsidRDefault="007B312B" w:rsidP="00757184">
      <w:pPr>
        <w:pStyle w:val="ONUMFS"/>
        <w:keepNext/>
        <w:keepLines/>
        <w:numPr>
          <w:ilvl w:val="0"/>
          <w:numId w:val="0"/>
        </w:numPr>
        <w:rPr>
          <w:szCs w:val="22"/>
        </w:rPr>
      </w:pPr>
      <w:r w:rsidRPr="004C6ED2">
        <w:rPr>
          <w:szCs w:val="22"/>
        </w:rPr>
        <w:t>En el caso de Europa, en el artículo 54.2 del Convenio sobre la Patente Europea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4C6ED2">
        <w:rPr>
          <w:rStyle w:val="FootnoteReference"/>
          <w:szCs w:val="22"/>
        </w:rPr>
        <w:footnoteReference w:id="126"/>
      </w:r>
    </w:p>
    <w:p w:rsidR="007B312B" w:rsidRPr="004C6ED2" w:rsidRDefault="007B312B" w:rsidP="007B312B">
      <w:pPr>
        <w:pStyle w:val="ONUMFS"/>
        <w:numPr>
          <w:ilvl w:val="0"/>
          <w:numId w:val="0"/>
        </w:numPr>
        <w:rPr>
          <w:szCs w:val="22"/>
        </w:rPr>
      </w:pPr>
      <w:r w:rsidRPr="004C6ED2">
        <w:rPr>
          <w:szCs w:val="22"/>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7B312B" w:rsidRPr="004C6ED2" w:rsidRDefault="007B312B" w:rsidP="007B312B">
      <w:pPr>
        <w:pStyle w:val="ONUMFS"/>
        <w:numPr>
          <w:ilvl w:val="0"/>
          <w:numId w:val="0"/>
        </w:numPr>
        <w:rPr>
          <w:szCs w:val="22"/>
        </w:rPr>
      </w:pPr>
      <w:r w:rsidRPr="004C6ED2">
        <w:rPr>
          <w:szCs w:val="22"/>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7B312B" w:rsidRPr="004C6ED2" w:rsidRDefault="007B312B" w:rsidP="007B312B">
      <w:pPr>
        <w:pStyle w:val="ONUMFS"/>
        <w:numPr>
          <w:ilvl w:val="0"/>
          <w:numId w:val="0"/>
        </w:numPr>
        <w:rPr>
          <w:b/>
          <w:bCs/>
          <w:szCs w:val="22"/>
        </w:rPr>
      </w:pPr>
      <w:r w:rsidRPr="004C6ED2">
        <w:rPr>
          <w:b/>
          <w:bCs/>
          <w:szCs w:val="22"/>
        </w:rPr>
        <w:t>Protección</w:t>
      </w:r>
    </w:p>
    <w:p w:rsidR="007B312B" w:rsidRPr="004C6ED2" w:rsidRDefault="007B312B" w:rsidP="007B312B">
      <w:pPr>
        <w:pStyle w:val="ONUMFS"/>
        <w:numPr>
          <w:ilvl w:val="0"/>
          <w:numId w:val="0"/>
        </w:numPr>
        <w:rPr>
          <w:szCs w:val="22"/>
        </w:rPr>
      </w:pPr>
      <w:r w:rsidRPr="004C6ED2">
        <w:rPr>
          <w:szCs w:val="22"/>
        </w:rPr>
        <w:t>En el contexto del CIG, por “protección” se entiende generalmente la protección de los conocimientos tradicionales y las expresiones culturales tradicionales contra algún tipo de utilización no autorizada por terceros.</w:t>
      </w:r>
      <w:r w:rsidRPr="004C6ED2">
        <w:rPr>
          <w:rStyle w:val="FootnoteReference"/>
          <w:szCs w:val="22"/>
        </w:rPr>
        <w:footnoteReference w:id="127"/>
      </w:r>
      <w:r w:rsidRPr="004C6ED2">
        <w:rPr>
          <w:szCs w:val="22"/>
        </w:rPr>
        <w:t xml:space="preserve">  Se han desarrollado y aplicado dos formas de protección.</w:t>
      </w:r>
    </w:p>
    <w:p w:rsidR="007B312B" w:rsidRPr="004C6ED2" w:rsidRDefault="007B312B" w:rsidP="007B312B">
      <w:pPr>
        <w:pStyle w:val="ONUMFS"/>
        <w:numPr>
          <w:ilvl w:val="0"/>
          <w:numId w:val="0"/>
        </w:numPr>
        <w:rPr>
          <w:szCs w:val="22"/>
        </w:rPr>
      </w:pPr>
      <w:r w:rsidRPr="004C6ED2">
        <w:rPr>
          <w:i/>
          <w:iCs/>
          <w:szCs w:val="22"/>
          <w:u w:val="single"/>
        </w:rPr>
        <w:t>Protección positiva</w:t>
      </w:r>
    </w:p>
    <w:p w:rsidR="007B312B" w:rsidRPr="004C6ED2" w:rsidRDefault="007B312B" w:rsidP="007B312B">
      <w:pPr>
        <w:pStyle w:val="ONUMFS"/>
        <w:numPr>
          <w:ilvl w:val="0"/>
          <w:numId w:val="0"/>
        </w:numPr>
        <w:rPr>
          <w:szCs w:val="22"/>
        </w:rPr>
      </w:pPr>
      <w:r w:rsidRPr="004C6ED2">
        <w:rPr>
          <w:szCs w:val="22"/>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4C6ED2">
        <w:rPr>
          <w:rStyle w:val="FootnoteReference"/>
          <w:szCs w:val="22"/>
        </w:rPr>
        <w:footnoteReference w:id="128"/>
      </w:r>
      <w:r w:rsidRPr="004C6ED2">
        <w:rPr>
          <w:szCs w:val="22"/>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C6ED2">
        <w:rPr>
          <w:rStyle w:val="FootnoteReference"/>
          <w:szCs w:val="22"/>
        </w:rPr>
        <w:footnoteReference w:id="129"/>
      </w:r>
    </w:p>
    <w:p w:rsidR="007B312B" w:rsidRPr="004C6ED2" w:rsidRDefault="007B312B" w:rsidP="00617968">
      <w:pPr>
        <w:pStyle w:val="ONUMFS"/>
        <w:keepNext/>
        <w:numPr>
          <w:ilvl w:val="0"/>
          <w:numId w:val="0"/>
        </w:numPr>
        <w:rPr>
          <w:i/>
          <w:szCs w:val="22"/>
          <w:u w:val="single"/>
        </w:rPr>
      </w:pPr>
      <w:r w:rsidRPr="004C6ED2">
        <w:rPr>
          <w:i/>
          <w:szCs w:val="22"/>
          <w:u w:val="single"/>
        </w:rPr>
        <w:lastRenderedPageBreak/>
        <w:t>Protección preventiva</w:t>
      </w:r>
    </w:p>
    <w:p w:rsidR="007B312B" w:rsidRPr="004C6ED2" w:rsidRDefault="007B312B" w:rsidP="00617968">
      <w:pPr>
        <w:pStyle w:val="ONUMFS"/>
        <w:keepNext/>
        <w:numPr>
          <w:ilvl w:val="0"/>
          <w:numId w:val="0"/>
        </w:numPr>
        <w:rPr>
          <w:szCs w:val="22"/>
        </w:rPr>
      </w:pPr>
      <w:r w:rsidRPr="004C6ED2">
        <w:rPr>
          <w:szCs w:val="22"/>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C6ED2">
        <w:rPr>
          <w:rStyle w:val="FootnoteReference"/>
          <w:szCs w:val="22"/>
        </w:rPr>
        <w:footnoteReference w:id="130"/>
      </w:r>
      <w:r w:rsidRPr="004C6ED2">
        <w:rPr>
          <w:szCs w:val="22"/>
        </w:rPr>
        <w:t xml:space="preserve">  La protección preventiva de los conocimientos tradicionales prevé medidas para impedir o invalidar patentes que reivindican ilegítimamente como invenciones conocimientos tradicionales preexistentes.</w:t>
      </w:r>
    </w:p>
    <w:p w:rsidR="007B312B" w:rsidRPr="004C6ED2" w:rsidRDefault="007B312B" w:rsidP="007B312B">
      <w:pPr>
        <w:pStyle w:val="ONUMFS"/>
        <w:numPr>
          <w:ilvl w:val="0"/>
          <w:numId w:val="0"/>
        </w:numPr>
        <w:rPr>
          <w:b/>
          <w:bCs/>
          <w:szCs w:val="22"/>
        </w:rPr>
      </w:pPr>
      <w:r w:rsidRPr="004C6ED2">
        <w:rPr>
          <w:b/>
          <w:bCs/>
          <w:szCs w:val="22"/>
        </w:rPr>
        <w:t>Protocolo</w:t>
      </w:r>
    </w:p>
    <w:p w:rsidR="001B475A" w:rsidRPr="004C6ED2" w:rsidRDefault="007B312B" w:rsidP="007B312B">
      <w:pPr>
        <w:pStyle w:val="ONUMFS"/>
        <w:numPr>
          <w:ilvl w:val="0"/>
          <w:numId w:val="0"/>
        </w:numPr>
        <w:rPr>
          <w:szCs w:val="22"/>
        </w:rPr>
      </w:pPr>
      <w:r w:rsidRPr="004C6ED2">
        <w:rPr>
          <w:szCs w:val="22"/>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C6ED2">
        <w:rPr>
          <w:rStyle w:val="FootnoteReference"/>
          <w:szCs w:val="22"/>
        </w:rPr>
        <w:footnoteReference w:id="131"/>
      </w:r>
    </w:p>
    <w:p w:rsidR="007B312B" w:rsidRPr="004C6ED2" w:rsidRDefault="007B312B" w:rsidP="007B312B">
      <w:pPr>
        <w:pStyle w:val="ONUMFS"/>
        <w:numPr>
          <w:ilvl w:val="0"/>
          <w:numId w:val="0"/>
        </w:numPr>
        <w:rPr>
          <w:b/>
          <w:bCs/>
          <w:szCs w:val="22"/>
        </w:rPr>
      </w:pPr>
      <w:r w:rsidRPr="004C6ED2">
        <w:rPr>
          <w:b/>
          <w:bCs/>
          <w:szCs w:val="22"/>
        </w:rPr>
        <w:t>Proveedores y beneficiarios</w:t>
      </w:r>
    </w:p>
    <w:p w:rsidR="001B475A" w:rsidRPr="004C6ED2" w:rsidRDefault="007B312B" w:rsidP="007B312B">
      <w:pPr>
        <w:pStyle w:val="ONUMFS"/>
        <w:numPr>
          <w:ilvl w:val="0"/>
          <w:numId w:val="0"/>
        </w:numPr>
        <w:rPr>
          <w:szCs w:val="22"/>
        </w:rPr>
      </w:pPr>
      <w:r w:rsidRPr="004C6ED2">
        <w:rPr>
          <w:szCs w:val="22"/>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C6ED2">
        <w:rPr>
          <w:rStyle w:val="FootnoteReference"/>
          <w:szCs w:val="22"/>
        </w:rPr>
        <w:footnoteReference w:id="132"/>
      </w:r>
    </w:p>
    <w:p w:rsidR="00D30E10" w:rsidRPr="004C6ED2" w:rsidRDefault="00D30E10" w:rsidP="00D30E10">
      <w:pPr>
        <w:pStyle w:val="ONUMFS"/>
        <w:numPr>
          <w:ilvl w:val="0"/>
          <w:numId w:val="0"/>
        </w:numPr>
        <w:rPr>
          <w:b/>
          <w:bCs/>
          <w:kern w:val="36"/>
          <w:szCs w:val="22"/>
        </w:rPr>
      </w:pPr>
      <w:r w:rsidRPr="004C6ED2">
        <w:rPr>
          <w:b/>
          <w:bCs/>
          <w:kern w:val="36"/>
          <w:szCs w:val="22"/>
        </w:rPr>
        <w:t>Dominio público</w:t>
      </w:r>
    </w:p>
    <w:p w:rsidR="00D30E10" w:rsidRPr="004C6ED2" w:rsidRDefault="00D30E10" w:rsidP="00D30E10">
      <w:pPr>
        <w:pStyle w:val="ONUMFS"/>
        <w:numPr>
          <w:ilvl w:val="0"/>
          <w:numId w:val="0"/>
        </w:numPr>
        <w:rPr>
          <w:szCs w:val="22"/>
        </w:rPr>
      </w:pPr>
      <w:r w:rsidRPr="004C6ED2">
        <w:rPr>
          <w:szCs w:val="22"/>
        </w:rPr>
        <w:t>En general, se considera que una obra forma parte del dominio público si no existe una restricción jurídica sobre su uso por parte del público.</w:t>
      </w:r>
      <w:r w:rsidRPr="004C6ED2">
        <w:rPr>
          <w:rStyle w:val="FootnoteReference"/>
          <w:szCs w:val="22"/>
        </w:rPr>
        <w:footnoteReference w:id="133"/>
      </w:r>
    </w:p>
    <w:p w:rsidR="00D30E10" w:rsidRPr="004C6ED2" w:rsidRDefault="00D30E10" w:rsidP="00D30E10">
      <w:pPr>
        <w:pStyle w:val="ONUMFS"/>
        <w:numPr>
          <w:ilvl w:val="0"/>
          <w:numId w:val="0"/>
        </w:numPr>
        <w:rPr>
          <w:szCs w:val="22"/>
        </w:rPr>
      </w:pPr>
      <w:r w:rsidRPr="004C6ED2">
        <w:rPr>
          <w:szCs w:val="22"/>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4C6ED2">
        <w:rPr>
          <w:rStyle w:val="FootnoteReference"/>
          <w:szCs w:val="22"/>
        </w:rPr>
        <w:footnoteReference w:id="134"/>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 xml:space="preserve">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w:t>
      </w:r>
      <w:r w:rsidRPr="004C6ED2">
        <w:rPr>
          <w:szCs w:val="22"/>
        </w:rPr>
        <w:lastRenderedPageBreak/>
        <w:t>expiración del plazo de protección, o debido a la ausencia de un tratado internacional que garantice la protección para estos titulares en un país determinado”.</w:t>
      </w:r>
      <w:bookmarkStart w:id="15" w:name="sdfootnote52anc"/>
      <w:r w:rsidRPr="004C6ED2">
        <w:rPr>
          <w:rStyle w:val="FootnoteReference"/>
          <w:szCs w:val="22"/>
        </w:rPr>
        <w:footnoteReference w:id="135"/>
      </w:r>
      <w:bookmarkEnd w:id="15"/>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C6ED2">
        <w:rPr>
          <w:rStyle w:val="FootnoteReference"/>
          <w:szCs w:val="22"/>
        </w:rPr>
        <w:footnoteReference w:id="136"/>
      </w:r>
      <w:r w:rsidRPr="004C6ED2">
        <w:rPr>
          <w:szCs w:val="22"/>
        </w:rPr>
        <w:t xml:space="preserve"> </w:t>
      </w:r>
    </w:p>
    <w:p w:rsidR="001B475A" w:rsidRPr="004C6ED2" w:rsidRDefault="00D30E10" w:rsidP="00D30E10">
      <w:pPr>
        <w:pStyle w:val="ONUMFS"/>
        <w:numPr>
          <w:ilvl w:val="0"/>
          <w:numId w:val="0"/>
        </w:numPr>
        <w:rPr>
          <w:szCs w:val="22"/>
        </w:rPr>
      </w:pPr>
      <w:r w:rsidRPr="004C6ED2">
        <w:rPr>
          <w:szCs w:val="22"/>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D30E10" w:rsidRPr="004C6ED2" w:rsidRDefault="00D30E10" w:rsidP="00D30E10">
      <w:pPr>
        <w:pStyle w:val="ONUMFS"/>
        <w:numPr>
          <w:ilvl w:val="0"/>
          <w:numId w:val="0"/>
        </w:numPr>
        <w:rPr>
          <w:b/>
          <w:szCs w:val="22"/>
        </w:rPr>
      </w:pPr>
      <w:r w:rsidRPr="004C6ED2">
        <w:rPr>
          <w:b/>
          <w:bCs/>
          <w:szCs w:val="22"/>
        </w:rPr>
        <w:t>Disponibilidad pública</w:t>
      </w:r>
    </w:p>
    <w:p w:rsidR="00D30E10" w:rsidRPr="004C6ED2" w:rsidRDefault="00D30E10" w:rsidP="00D30E10">
      <w:pPr>
        <w:pStyle w:val="ONUMFS"/>
        <w:numPr>
          <w:ilvl w:val="0"/>
          <w:numId w:val="0"/>
        </w:numPr>
        <w:rPr>
          <w:szCs w:val="22"/>
        </w:rPr>
      </w:pPr>
      <w:r w:rsidRPr="004C6ED2">
        <w:rPr>
          <w:szCs w:val="22"/>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C6ED2">
        <w:rPr>
          <w:iCs/>
          <w:szCs w:val="22"/>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C6ED2">
        <w:rPr>
          <w:rStyle w:val="FootnoteReference"/>
          <w:iCs/>
          <w:szCs w:val="22"/>
        </w:rPr>
        <w:footnoteReference w:id="137"/>
      </w:r>
    </w:p>
    <w:p w:rsidR="00311C84" w:rsidRPr="004C6ED2" w:rsidRDefault="00D30E10" w:rsidP="00D30E10">
      <w:pPr>
        <w:pStyle w:val="ONUMFS"/>
        <w:numPr>
          <w:ilvl w:val="0"/>
          <w:numId w:val="0"/>
        </w:numPr>
        <w:rPr>
          <w:szCs w:val="22"/>
        </w:rPr>
      </w:pPr>
      <w:r w:rsidRPr="004C6ED2">
        <w:rPr>
          <w:szCs w:val="22"/>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D30E10" w:rsidRPr="004C6ED2" w:rsidRDefault="00D30E10" w:rsidP="00617968">
      <w:pPr>
        <w:pStyle w:val="ONUMFS"/>
        <w:keepNext/>
        <w:numPr>
          <w:ilvl w:val="0"/>
          <w:numId w:val="0"/>
        </w:numPr>
        <w:rPr>
          <w:b/>
          <w:szCs w:val="22"/>
        </w:rPr>
      </w:pPr>
      <w:r w:rsidRPr="004C6ED2">
        <w:rPr>
          <w:b/>
          <w:bCs/>
          <w:szCs w:val="22"/>
        </w:rPr>
        <w:lastRenderedPageBreak/>
        <w:t>Registros de conocimientos tradicionales</w:t>
      </w:r>
    </w:p>
    <w:p w:rsidR="00D30E10" w:rsidRPr="004C6ED2" w:rsidRDefault="00D30E10" w:rsidP="00617968">
      <w:pPr>
        <w:pStyle w:val="ONUMFS"/>
        <w:keepNext/>
        <w:numPr>
          <w:ilvl w:val="0"/>
          <w:numId w:val="0"/>
        </w:numPr>
        <w:rPr>
          <w:szCs w:val="22"/>
        </w:rPr>
      </w:pPr>
      <w:r w:rsidRPr="004C6ED2">
        <w:rPr>
          <w:szCs w:val="22"/>
        </w:rPr>
        <w:t>Los registros se pueden analizar desde varias perspectivas distintas.  Según su naturaleza jurídica, los registros pueden ser o bien declarativos o bien constitutivos en función del sistema en el que se basan.</w:t>
      </w:r>
      <w:r w:rsidRPr="004C6ED2">
        <w:rPr>
          <w:rStyle w:val="FootnoteReference"/>
          <w:szCs w:val="22"/>
        </w:rPr>
        <w:footnoteReference w:id="138"/>
      </w:r>
    </w:p>
    <w:p w:rsidR="00D30E10" w:rsidRPr="004C6ED2" w:rsidRDefault="00D30E10" w:rsidP="00D30E10">
      <w:pPr>
        <w:pStyle w:val="ONUMFS"/>
        <w:numPr>
          <w:ilvl w:val="0"/>
          <w:numId w:val="0"/>
        </w:numPr>
        <w:rPr>
          <w:szCs w:val="22"/>
        </w:rPr>
      </w:pPr>
      <w:r w:rsidRPr="004C6ED2">
        <w:rPr>
          <w:szCs w:val="22"/>
        </w:rPr>
        <w:t>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C6ED2">
        <w:rPr>
          <w:rStyle w:val="FootnoteReference"/>
          <w:szCs w:val="22"/>
        </w:rPr>
        <w:footnoteReference w:id="139"/>
      </w:r>
    </w:p>
    <w:p w:rsidR="00D30E10" w:rsidRPr="004C6ED2" w:rsidRDefault="00D30E10" w:rsidP="00D30E10">
      <w:pPr>
        <w:pStyle w:val="ONUMFS"/>
        <w:numPr>
          <w:ilvl w:val="0"/>
          <w:numId w:val="0"/>
        </w:numPr>
        <w:rPr>
          <w:szCs w:val="22"/>
        </w:rPr>
      </w:pPr>
      <w:r w:rsidRPr="004C6ED2">
        <w:rPr>
          <w:szCs w:val="22"/>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C6ED2">
        <w:rPr>
          <w:rStyle w:val="FootnoteReference"/>
          <w:szCs w:val="22"/>
        </w:rPr>
        <w:footnoteReference w:id="140"/>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C6ED2">
        <w:rPr>
          <w:iCs/>
          <w:szCs w:val="22"/>
        </w:rPr>
        <w:t xml:space="preserve"> </w:t>
      </w:r>
      <w:r w:rsidRPr="004C6ED2">
        <w:rPr>
          <w:szCs w:val="22"/>
        </w:rPr>
        <w:t>se estipula que “</w:t>
      </w:r>
      <w:r w:rsidRPr="004C6ED2">
        <w:rPr>
          <w:iCs/>
          <w:szCs w:val="22"/>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C6ED2">
        <w:rPr>
          <w:szCs w:val="22"/>
        </w:rPr>
        <w:t>”.</w:t>
      </w:r>
      <w:r w:rsidRPr="004C6ED2">
        <w:rPr>
          <w:rStyle w:val="FootnoteReference"/>
          <w:szCs w:val="22"/>
        </w:rPr>
        <w:footnoteReference w:id="141"/>
      </w:r>
      <w:r w:rsidRPr="004C6ED2">
        <w:rPr>
          <w:szCs w:val="22"/>
        </w:rPr>
        <w:t xml:space="preserve">  En el artículo 15 se estipula además que “</w:t>
      </w:r>
      <w:r w:rsidRPr="004C6ED2">
        <w:rPr>
          <w:iCs/>
          <w:szCs w:val="22"/>
        </w:rPr>
        <w:t>[l]</w:t>
      </w:r>
      <w:r w:rsidRPr="004C6ED2">
        <w:rPr>
          <w:szCs w:val="22"/>
        </w:rPr>
        <w:t>os conocimientos colectivos de los pueblos indígenas podrán ser inscritos en tres tipos de registros</w:t>
      </w:r>
      <w:r w:rsidRPr="004C6ED2">
        <w:rPr>
          <w:iCs/>
          <w:szCs w:val="22"/>
        </w:rPr>
        <w:t>:  (a)</w:t>
      </w:r>
      <w:r w:rsidRPr="004C6ED2">
        <w:rPr>
          <w:szCs w:val="22"/>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C6ED2">
        <w:rPr>
          <w:i/>
          <w:iCs/>
          <w:szCs w:val="22"/>
        </w:rPr>
        <w:t>.</w:t>
      </w:r>
      <w:r w:rsidRPr="004C6ED2">
        <w:rPr>
          <w:szCs w:val="22"/>
        </w:rPr>
        <w:t>”</w:t>
      </w:r>
    </w:p>
    <w:p w:rsidR="00D30E10" w:rsidRPr="004C6ED2" w:rsidRDefault="00D30E10" w:rsidP="00D30E10">
      <w:pPr>
        <w:pStyle w:val="ONUMFS"/>
        <w:numPr>
          <w:ilvl w:val="0"/>
          <w:numId w:val="0"/>
        </w:numPr>
        <w:rPr>
          <w:b/>
          <w:bCs/>
          <w:kern w:val="36"/>
          <w:szCs w:val="22"/>
        </w:rPr>
      </w:pPr>
      <w:r w:rsidRPr="004C6ED2">
        <w:rPr>
          <w:b/>
          <w:bCs/>
          <w:kern w:val="36"/>
          <w:szCs w:val="22"/>
        </w:rPr>
        <w:t>Reputación</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es el “prestigio o estima en que son tenidos alguien o algo”.  La reputación está amparada por los derechos morales del autor.</w:t>
      </w:r>
      <w:r w:rsidRPr="004C6ED2">
        <w:rPr>
          <w:rStyle w:val="FootnoteReference"/>
          <w:szCs w:val="22"/>
        </w:rPr>
        <w:footnoteReference w:id="142"/>
      </w:r>
      <w:r w:rsidRPr="004C6ED2">
        <w:rPr>
          <w:szCs w:val="22"/>
        </w:rPr>
        <w:t xml:space="preserve">  En la Conferencia de Revisión de Bruselas del Convenio de Berna se acordó dar preeminencia al “honor” y la “reputación,” por entender que constituyen conceptos más objetivos </w:t>
      </w:r>
      <w:r w:rsidRPr="004C6ED2">
        <w:rPr>
          <w:szCs w:val="22"/>
        </w:rPr>
        <w:lastRenderedPageBreak/>
        <w:t>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C6ED2">
        <w:rPr>
          <w:rStyle w:val="FootnoteReference"/>
          <w:szCs w:val="22"/>
        </w:rPr>
        <w:footnoteReference w:id="143"/>
      </w:r>
    </w:p>
    <w:p w:rsidR="00D30E10" w:rsidRPr="004C6ED2" w:rsidRDefault="00D30E10" w:rsidP="00D30E10">
      <w:pPr>
        <w:pStyle w:val="ONUMFS"/>
        <w:numPr>
          <w:ilvl w:val="0"/>
          <w:numId w:val="0"/>
        </w:numPr>
        <w:rPr>
          <w:b/>
          <w:szCs w:val="22"/>
        </w:rPr>
      </w:pPr>
      <w:r w:rsidRPr="004C6ED2">
        <w:rPr>
          <w:b/>
          <w:szCs w:val="22"/>
        </w:rPr>
        <w:t>Sagrado</w:t>
      </w:r>
    </w:p>
    <w:p w:rsidR="00D30E10" w:rsidRPr="004C6ED2" w:rsidRDefault="00D30E10" w:rsidP="00D30E10">
      <w:pPr>
        <w:pStyle w:val="ONUMFS"/>
        <w:numPr>
          <w:ilvl w:val="0"/>
          <w:numId w:val="0"/>
        </w:numPr>
        <w:rPr>
          <w:szCs w:val="22"/>
        </w:rPr>
      </w:pPr>
      <w:r w:rsidRPr="004C6ED2">
        <w:rPr>
          <w:szCs w:val="22"/>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4C6ED2">
        <w:rPr>
          <w:rStyle w:val="FootnoteReference"/>
          <w:szCs w:val="22"/>
        </w:rPr>
        <w:footnoteReference w:id="144"/>
      </w:r>
    </w:p>
    <w:p w:rsidR="00D30E10" w:rsidRPr="004C6ED2" w:rsidRDefault="00D30E10" w:rsidP="00D30E10">
      <w:pPr>
        <w:pStyle w:val="ONUMFS"/>
        <w:numPr>
          <w:ilvl w:val="0"/>
          <w:numId w:val="0"/>
        </w:numPr>
        <w:rPr>
          <w:szCs w:val="22"/>
        </w:rPr>
      </w:pPr>
      <w:r w:rsidRPr="004C6ED2">
        <w:rPr>
          <w:szCs w:val="22"/>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D30E10" w:rsidRPr="004C6ED2" w:rsidRDefault="00D30E10" w:rsidP="00D30E10">
      <w:pPr>
        <w:pStyle w:val="ONUMFS"/>
        <w:numPr>
          <w:ilvl w:val="0"/>
          <w:numId w:val="0"/>
        </w:numPr>
        <w:rPr>
          <w:szCs w:val="22"/>
        </w:rPr>
      </w:pPr>
      <w:r w:rsidRPr="004C6ED2">
        <w:rPr>
          <w:szCs w:val="22"/>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C6ED2">
        <w:rPr>
          <w:szCs w:val="22"/>
          <w:vertAlign w:val="superscript"/>
        </w:rPr>
        <w:t xml:space="preserve"> </w:t>
      </w:r>
      <w:r w:rsidRPr="004C6ED2">
        <w:rPr>
          <w:szCs w:val="22"/>
        </w:rPr>
        <w:t xml:space="preserve"> En ciertos sistemas de CC.TT., se supone que las creencias y los códigos culturales explican o guían las consecuencias de las actividades de la vida.</w:t>
      </w:r>
      <w:r w:rsidRPr="004C6ED2">
        <w:rPr>
          <w:rStyle w:val="FootnoteReference"/>
          <w:szCs w:val="22"/>
        </w:rPr>
        <w:footnoteReference w:id="145"/>
      </w:r>
      <w:r w:rsidRPr="004C6ED2">
        <w:rPr>
          <w:szCs w:val="22"/>
          <w:vertAlign w:val="superscript"/>
        </w:rPr>
        <w:t xml:space="preserve"> </w:t>
      </w:r>
      <w:r w:rsidRPr="004C6ED2">
        <w:rPr>
          <w:szCs w:val="22"/>
        </w:rPr>
        <w:t xml:space="preserve"> En el Perú, algunos “conocimientos se transmitían de generación en generación en un ‘libro’ sagrado, no escrito”.</w:t>
      </w:r>
      <w:r w:rsidRPr="004C6ED2">
        <w:rPr>
          <w:rStyle w:val="FootnoteReference"/>
          <w:szCs w:val="22"/>
        </w:rPr>
        <w:footnoteReference w:id="146"/>
      </w:r>
      <w:r w:rsidRPr="004C6ED2">
        <w:rPr>
          <w:szCs w:val="22"/>
        </w:rPr>
        <w:t xml:space="preserve">  El núcleo de los CC.TT. sagrados y secretos es ponderado de distintas maneras en las comunidades indígenas y locales, y se almacena, se transmite y se registra de maneras diferentes.</w:t>
      </w:r>
    </w:p>
    <w:p w:rsidR="00D30E10" w:rsidRPr="004C6ED2" w:rsidRDefault="00D30E10" w:rsidP="00D30E10">
      <w:pPr>
        <w:pStyle w:val="ONUMFS"/>
        <w:numPr>
          <w:ilvl w:val="0"/>
          <w:numId w:val="0"/>
        </w:numPr>
        <w:rPr>
          <w:szCs w:val="22"/>
        </w:rPr>
      </w:pPr>
      <w:r w:rsidRPr="004C6ED2">
        <w:rPr>
          <w:szCs w:val="22"/>
        </w:rPr>
        <w:t>Desde la perspectiva de la P.I., y en particular de la labor del Comité, pueden formularse las observaciones siguientes:</w:t>
      </w:r>
    </w:p>
    <w:p w:rsidR="00D30E10" w:rsidRPr="004C6ED2" w:rsidRDefault="00D30E10" w:rsidP="008718A0">
      <w:pPr>
        <w:pStyle w:val="ONUMFS"/>
        <w:numPr>
          <w:ilvl w:val="0"/>
          <w:numId w:val="49"/>
        </w:numPr>
        <w:tabs>
          <w:tab w:val="clear" w:pos="1741"/>
          <w:tab w:val="num" w:pos="-5103"/>
        </w:tabs>
        <w:suppressAutoHyphens w:val="0"/>
        <w:ind w:left="567" w:firstLine="0"/>
        <w:rPr>
          <w:szCs w:val="22"/>
        </w:rPr>
      </w:pPr>
      <w:r w:rsidRPr="004C6ED2">
        <w:rPr>
          <w:szCs w:val="22"/>
        </w:rPr>
        <w:t>una delegación preguntó si los CC.TT. sagrados se tendrían en cuenta al examinar la protección por P.I. de los CC.TT.</w:t>
      </w:r>
      <w:r w:rsidRPr="004C6ED2">
        <w:rPr>
          <w:rStyle w:val="FootnoteReference"/>
          <w:szCs w:val="22"/>
        </w:rPr>
        <w:footnoteReference w:id="147"/>
      </w:r>
      <w:r w:rsidRPr="004C6ED2">
        <w:rPr>
          <w:szCs w:val="22"/>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6" w:name="sdfootnote53anc"/>
      <w:r w:rsidRPr="004C6ED2">
        <w:rPr>
          <w:rStyle w:val="FootnoteReference"/>
          <w:szCs w:val="22"/>
        </w:rPr>
        <w:footnoteReference w:id="148"/>
      </w:r>
      <w:bookmarkEnd w:id="16"/>
    </w:p>
    <w:p w:rsidR="00D30E10" w:rsidRPr="004C6ED2" w:rsidRDefault="00D30E10" w:rsidP="008718A0">
      <w:pPr>
        <w:pStyle w:val="ONUMFS"/>
        <w:keepNext/>
        <w:keepLines/>
        <w:numPr>
          <w:ilvl w:val="0"/>
          <w:numId w:val="49"/>
        </w:numPr>
        <w:tabs>
          <w:tab w:val="clear" w:pos="1741"/>
          <w:tab w:val="num" w:pos="-5103"/>
        </w:tabs>
        <w:suppressAutoHyphens w:val="0"/>
        <w:ind w:left="567" w:firstLine="0"/>
        <w:rPr>
          <w:szCs w:val="22"/>
        </w:rPr>
      </w:pPr>
      <w:r w:rsidRPr="004C6ED2">
        <w:rPr>
          <w:szCs w:val="22"/>
        </w:rPr>
        <w:lastRenderedPageBreak/>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4C6ED2">
        <w:rPr>
          <w:rStyle w:val="FootnoteReference"/>
          <w:szCs w:val="22"/>
        </w:rPr>
        <w:footnoteReference w:id="149"/>
      </w:r>
    </w:p>
    <w:p w:rsidR="00D30E10" w:rsidRPr="004C6ED2" w:rsidRDefault="00D30E10" w:rsidP="00D30E10">
      <w:pPr>
        <w:pStyle w:val="ONUMFS"/>
        <w:numPr>
          <w:ilvl w:val="0"/>
          <w:numId w:val="0"/>
        </w:numPr>
        <w:rPr>
          <w:b/>
          <w:szCs w:val="22"/>
        </w:rPr>
      </w:pPr>
      <w:r w:rsidRPr="004C6ED2">
        <w:rPr>
          <w:b/>
          <w:szCs w:val="22"/>
        </w:rPr>
        <w:t>Salvaguardia</w:t>
      </w:r>
    </w:p>
    <w:p w:rsidR="00D30E10" w:rsidRPr="004C6ED2" w:rsidRDefault="00D30E10" w:rsidP="00D30E10">
      <w:pPr>
        <w:pStyle w:val="ONUMFS"/>
        <w:numPr>
          <w:ilvl w:val="0"/>
          <w:numId w:val="0"/>
        </w:numPr>
        <w:rPr>
          <w:szCs w:val="22"/>
        </w:rPr>
      </w:pPr>
      <w:r w:rsidRPr="004C6ED2">
        <w:rPr>
          <w:szCs w:val="22"/>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4C6ED2">
        <w:rPr>
          <w:rStyle w:val="FootnoteReference"/>
          <w:szCs w:val="22"/>
        </w:rPr>
        <w:footnoteReference w:id="150"/>
      </w:r>
    </w:p>
    <w:p w:rsidR="00D30E10" w:rsidRPr="004C6ED2" w:rsidRDefault="00D30E10" w:rsidP="00D30E10">
      <w:pPr>
        <w:pStyle w:val="ONUMFS"/>
        <w:numPr>
          <w:ilvl w:val="0"/>
          <w:numId w:val="0"/>
        </w:numPr>
        <w:rPr>
          <w:b/>
          <w:szCs w:val="22"/>
        </w:rPr>
      </w:pPr>
      <w:r w:rsidRPr="004C6ED2">
        <w:rPr>
          <w:b/>
          <w:bCs/>
          <w:szCs w:val="22"/>
        </w:rPr>
        <w:t>Secreto</w:t>
      </w:r>
    </w:p>
    <w:p w:rsidR="007B312B" w:rsidRPr="004C6ED2" w:rsidRDefault="00D30E10" w:rsidP="00D30E10">
      <w:pPr>
        <w:pStyle w:val="ONUMFS"/>
        <w:numPr>
          <w:ilvl w:val="0"/>
          <w:numId w:val="0"/>
        </w:numPr>
        <w:rPr>
          <w:szCs w:val="22"/>
        </w:rPr>
      </w:pPr>
      <w:r w:rsidRPr="004C6ED2">
        <w:rPr>
          <w:szCs w:val="22"/>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C6ED2">
        <w:rPr>
          <w:rStyle w:val="FootnoteReference"/>
          <w:szCs w:val="22"/>
        </w:rPr>
        <w:footnoteReference w:id="151"/>
      </w:r>
    </w:p>
    <w:p w:rsidR="00D30E10" w:rsidRPr="004C6ED2" w:rsidRDefault="00D30E10" w:rsidP="00617968">
      <w:pPr>
        <w:pStyle w:val="ONUMFS"/>
        <w:numPr>
          <w:ilvl w:val="0"/>
          <w:numId w:val="0"/>
        </w:numPr>
        <w:rPr>
          <w:b/>
          <w:i/>
          <w:iCs/>
          <w:szCs w:val="22"/>
        </w:rPr>
      </w:pPr>
      <w:r w:rsidRPr="004C6ED2">
        <w:rPr>
          <w:rStyle w:val="Emphasis"/>
          <w:b/>
          <w:bCs/>
          <w:i w:val="0"/>
          <w:iCs w:val="0"/>
          <w:szCs w:val="22"/>
        </w:rPr>
        <w:t>Fuente de los recursos genéticos</w:t>
      </w:r>
    </w:p>
    <w:p w:rsidR="007B312B" w:rsidRPr="004C6ED2" w:rsidRDefault="00D30E10" w:rsidP="00D30E10">
      <w:pPr>
        <w:pStyle w:val="ONUMFS"/>
        <w:numPr>
          <w:ilvl w:val="0"/>
          <w:numId w:val="0"/>
        </w:numPr>
        <w:rPr>
          <w:szCs w:val="22"/>
        </w:rPr>
      </w:pPr>
      <w:r w:rsidRPr="004C6ED2">
        <w:rPr>
          <w:szCs w:val="22"/>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C6ED2">
        <w:rPr>
          <w:rStyle w:val="FootnoteReference"/>
          <w:szCs w:val="22"/>
        </w:rPr>
        <w:footnoteReference w:id="152"/>
      </w:r>
      <w:r w:rsidRPr="004C6ED2">
        <w:rPr>
          <w:szCs w:val="22"/>
        </w:rPr>
        <w:t xml:space="preserve"> y, por último, el Sistema Multilateral del Tratado Internacional de la FAO,</w:t>
      </w:r>
      <w:r w:rsidRPr="004C6ED2">
        <w:rPr>
          <w:rStyle w:val="FootnoteReference"/>
          <w:szCs w:val="22"/>
        </w:rPr>
        <w:footnoteReference w:id="153"/>
      </w:r>
      <w:r w:rsidRPr="004C6ED2">
        <w:rPr>
          <w:szCs w:val="22"/>
        </w:rPr>
        <w:t xml:space="preserve"> las comunidades indígenas y locales;</w:t>
      </w:r>
      <w:bookmarkStart w:id="17" w:name="sdfootnote57anc"/>
      <w:r w:rsidRPr="004C6ED2">
        <w:rPr>
          <w:rStyle w:val="FootnoteReference"/>
          <w:szCs w:val="22"/>
        </w:rPr>
        <w:footnoteReference w:id="154"/>
      </w:r>
      <w:bookmarkEnd w:id="17"/>
      <w:r w:rsidRPr="004C6ED2">
        <w:rPr>
          <w:szCs w:val="22"/>
        </w:rPr>
        <w:t xml:space="preserve">  y las fuentes secundarias, incluidas en particular las colecciones </w:t>
      </w:r>
      <w:r w:rsidR="00D57BA9" w:rsidRPr="004C6ED2">
        <w:rPr>
          <w:i/>
          <w:szCs w:val="22"/>
        </w:rPr>
        <w:t>ex situ</w:t>
      </w:r>
      <w:r w:rsidRPr="004C6ED2">
        <w:rPr>
          <w:szCs w:val="22"/>
        </w:rPr>
        <w:t xml:space="preserve"> y la literatura científica”.</w:t>
      </w:r>
      <w:r w:rsidRPr="004C6ED2">
        <w:rPr>
          <w:rStyle w:val="FootnoteReference"/>
          <w:szCs w:val="22"/>
        </w:rPr>
        <w:footnoteReference w:id="155"/>
      </w:r>
    </w:p>
    <w:p w:rsidR="00D30E10" w:rsidRPr="004C6ED2" w:rsidRDefault="00D30E10" w:rsidP="00617968">
      <w:pPr>
        <w:pStyle w:val="ONUMFS"/>
        <w:keepNext/>
        <w:numPr>
          <w:ilvl w:val="0"/>
          <w:numId w:val="0"/>
        </w:numPr>
        <w:rPr>
          <w:b/>
          <w:bCs/>
          <w:iCs/>
          <w:szCs w:val="22"/>
        </w:rPr>
      </w:pPr>
      <w:r w:rsidRPr="004C6ED2">
        <w:rPr>
          <w:b/>
          <w:bCs/>
          <w:iCs/>
          <w:szCs w:val="22"/>
        </w:rPr>
        <w:lastRenderedPageBreak/>
        <w:t>Sui géneris</w:t>
      </w:r>
    </w:p>
    <w:p w:rsidR="00D57BA9" w:rsidRPr="004C6ED2" w:rsidRDefault="00D30E10" w:rsidP="00617968">
      <w:pPr>
        <w:pStyle w:val="ONUMFS"/>
        <w:keepNext/>
        <w:numPr>
          <w:ilvl w:val="0"/>
          <w:numId w:val="0"/>
        </w:numPr>
        <w:rPr>
          <w:szCs w:val="22"/>
        </w:rPr>
      </w:pPr>
      <w:r w:rsidRPr="004C6ED2">
        <w:rPr>
          <w:szCs w:val="22"/>
        </w:rPr>
        <w:t xml:space="preserve">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w:t>
      </w:r>
      <w:r w:rsidR="00D57BA9" w:rsidRPr="004C6ED2">
        <w:rPr>
          <w:szCs w:val="22"/>
        </w:rPr>
        <w:t>Nº </w:t>
      </w:r>
      <w:r w:rsidRPr="004C6ED2">
        <w:rPr>
          <w:szCs w:val="22"/>
        </w:rPr>
        <w:t>20 de fecha 26 de junio de 2000, acerca del régimen especial de propiedad intelectual sobre los derechos colectivos de los pueblos indígenas para la protección y defensa de su identidad cultural y de sus conocimientos tradicionales, es un régimen sui géneris</w:t>
      </w:r>
      <w:r w:rsidR="00D57BA9" w:rsidRPr="004C6ED2">
        <w:rPr>
          <w:szCs w:val="22"/>
        </w:rPr>
        <w:t>.</w:t>
      </w:r>
    </w:p>
    <w:p w:rsidR="00D30E10" w:rsidRPr="004C6ED2" w:rsidRDefault="00D30E10" w:rsidP="00D30E10">
      <w:pPr>
        <w:pStyle w:val="ONUMFS"/>
        <w:numPr>
          <w:ilvl w:val="0"/>
          <w:numId w:val="0"/>
        </w:numPr>
        <w:rPr>
          <w:b/>
          <w:bCs/>
          <w:szCs w:val="22"/>
        </w:rPr>
      </w:pPr>
      <w:r w:rsidRPr="004C6ED2">
        <w:rPr>
          <w:b/>
          <w:bCs/>
          <w:szCs w:val="22"/>
        </w:rPr>
        <w:t>Protocolo de Swakopmund sobre la Protección de los Conocimientos Tradicionales y las Expresiones del Folclore</w:t>
      </w:r>
    </w:p>
    <w:p w:rsidR="007B312B" w:rsidRPr="004C6ED2" w:rsidRDefault="00D30E10" w:rsidP="00D30E10">
      <w:pPr>
        <w:pStyle w:val="ONUMFS"/>
        <w:numPr>
          <w:ilvl w:val="0"/>
          <w:numId w:val="0"/>
        </w:numPr>
        <w:rPr>
          <w:szCs w:val="22"/>
        </w:rPr>
      </w:pPr>
      <w:r w:rsidRPr="004C6ED2">
        <w:rPr>
          <w:szCs w:val="22"/>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D30E10" w:rsidRPr="004C6ED2" w:rsidRDefault="00D30E10" w:rsidP="00D30E10">
      <w:pPr>
        <w:pStyle w:val="ONUMFS"/>
        <w:numPr>
          <w:ilvl w:val="0"/>
          <w:numId w:val="0"/>
        </w:numPr>
        <w:rPr>
          <w:b/>
          <w:bCs/>
          <w:szCs w:val="22"/>
        </w:rPr>
      </w:pPr>
      <w:r w:rsidRPr="004C6ED2">
        <w:rPr>
          <w:b/>
          <w:bCs/>
          <w:szCs w:val="22"/>
        </w:rPr>
        <w:t>Expresiones materiales (o tangibles)</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D30E10" w:rsidRPr="004C6ED2" w:rsidRDefault="00D30E10" w:rsidP="00D30E10">
      <w:pPr>
        <w:pStyle w:val="ONUMFS"/>
        <w:numPr>
          <w:ilvl w:val="0"/>
          <w:numId w:val="0"/>
        </w:numPr>
        <w:rPr>
          <w:szCs w:val="22"/>
        </w:rPr>
      </w:pPr>
      <w:r w:rsidRPr="004C6ED2">
        <w:rPr>
          <w:szCs w:val="22"/>
        </w:rPr>
        <w:t>Las expresiones tangibles son las expresiones incorporadas en objetos materiales.</w:t>
      </w:r>
      <w:r w:rsidRPr="004C6ED2">
        <w:rPr>
          <w:rStyle w:val="FootnoteReference"/>
          <w:szCs w:val="22"/>
        </w:rPr>
        <w:footnoteReference w:id="156"/>
      </w:r>
      <w:r w:rsidRPr="004C6ED2">
        <w:rPr>
          <w:szCs w:val="22"/>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D30E10" w:rsidRPr="004C6ED2" w:rsidRDefault="00D30E10" w:rsidP="00871E23">
      <w:pPr>
        <w:pStyle w:val="ONUMFS"/>
        <w:numPr>
          <w:ilvl w:val="0"/>
          <w:numId w:val="0"/>
        </w:numPr>
        <w:ind w:left="1134" w:hanging="584"/>
        <w:rPr>
          <w:szCs w:val="22"/>
        </w:rPr>
      </w:pPr>
      <w:r w:rsidRPr="004C6ED2">
        <w:rPr>
          <w:szCs w:val="22"/>
        </w:rPr>
        <w:t>a)</w:t>
      </w:r>
      <w:r w:rsidRPr="004C6ED2">
        <w:rPr>
          <w:szCs w:val="22"/>
        </w:rPr>
        <w:tab/>
        <w:t>las obras de arte popular y tradicional, tales como:  dibujos, pinturas, tallas, esculturas, alfarería, terracota, mosaico, ebanistería, forja, joyería, cestería, labores de punto, textiles, tapices, trajes;</w:t>
      </w:r>
    </w:p>
    <w:p w:rsidR="00D30E10" w:rsidRPr="004C6ED2" w:rsidRDefault="00D30E10" w:rsidP="00871E23">
      <w:pPr>
        <w:pStyle w:val="ONUMFS"/>
        <w:numPr>
          <w:ilvl w:val="0"/>
          <w:numId w:val="0"/>
        </w:numPr>
        <w:ind w:left="1134" w:hanging="584"/>
        <w:rPr>
          <w:szCs w:val="22"/>
          <w:lang w:val="pt-BR"/>
        </w:rPr>
      </w:pPr>
      <w:r w:rsidRPr="004C6ED2">
        <w:rPr>
          <w:szCs w:val="22"/>
          <w:lang w:val="pt-BR"/>
        </w:rPr>
        <w:t>b)</w:t>
      </w:r>
      <w:r w:rsidRPr="004C6ED2">
        <w:rPr>
          <w:szCs w:val="22"/>
          <w:lang w:val="pt-BR"/>
        </w:rPr>
        <w:tab/>
        <w:t>los instrumentos musicales;</w:t>
      </w:r>
    </w:p>
    <w:p w:rsidR="007B312B" w:rsidRPr="004C6ED2" w:rsidRDefault="00D30E10" w:rsidP="000C43A2">
      <w:pPr>
        <w:pStyle w:val="ONUMFS"/>
        <w:numPr>
          <w:ilvl w:val="0"/>
          <w:numId w:val="0"/>
        </w:numPr>
        <w:ind w:left="1134" w:hanging="567"/>
        <w:rPr>
          <w:szCs w:val="22"/>
          <w:lang w:val="pt-BR"/>
        </w:rPr>
      </w:pPr>
      <w:r w:rsidRPr="004C6ED2">
        <w:rPr>
          <w:szCs w:val="22"/>
          <w:lang w:val="pt-BR"/>
        </w:rPr>
        <w:t>c)</w:t>
      </w:r>
      <w:r w:rsidRPr="004C6ED2">
        <w:rPr>
          <w:szCs w:val="22"/>
          <w:lang w:val="pt-BR"/>
        </w:rPr>
        <w:tab/>
        <w:t>las obras arquitectónicas.</w:t>
      </w:r>
      <w:r w:rsidRPr="004C6ED2">
        <w:rPr>
          <w:rStyle w:val="FootnoteReference"/>
          <w:szCs w:val="22"/>
        </w:rPr>
        <w:footnoteReference w:id="157"/>
      </w:r>
    </w:p>
    <w:p w:rsidR="00D30E10" w:rsidRPr="004C6ED2" w:rsidRDefault="00D30E10" w:rsidP="00324C45">
      <w:pPr>
        <w:pStyle w:val="ONUMFS"/>
        <w:keepNext/>
        <w:numPr>
          <w:ilvl w:val="0"/>
          <w:numId w:val="0"/>
        </w:numPr>
        <w:rPr>
          <w:b/>
          <w:bCs/>
          <w:szCs w:val="22"/>
          <w:lang w:val="pt-BR"/>
        </w:rPr>
      </w:pPr>
      <w:r w:rsidRPr="004C6ED2">
        <w:rPr>
          <w:b/>
          <w:bCs/>
          <w:szCs w:val="22"/>
          <w:lang w:val="pt-BR"/>
        </w:rPr>
        <w:lastRenderedPageBreak/>
        <w:t>Contexto tradicional</w:t>
      </w:r>
    </w:p>
    <w:p w:rsidR="00D30E10" w:rsidRPr="004C6ED2" w:rsidRDefault="00D30E10" w:rsidP="00324C45">
      <w:pPr>
        <w:pStyle w:val="ONUMFS"/>
        <w:keepNext/>
        <w:numPr>
          <w:ilvl w:val="0"/>
          <w:numId w:val="0"/>
        </w:numPr>
        <w:rPr>
          <w:szCs w:val="22"/>
        </w:rPr>
      </w:pPr>
      <w:r w:rsidRPr="004C6ED2">
        <w:rPr>
          <w:szCs w:val="22"/>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C6ED2">
        <w:rPr>
          <w:rStyle w:val="FootnoteReference"/>
          <w:szCs w:val="22"/>
        </w:rPr>
        <w:footnoteReference w:id="158"/>
      </w:r>
      <w:r w:rsidRPr="004C6ED2">
        <w:rPr>
          <w:szCs w:val="22"/>
        </w:rPr>
        <w:t xml:space="preserve">  El término “tradicional” significa “que las expresiones culturales se derivan o se basan en la tradición y se identifican o asocian con un pueblo indígena o tradicional determinado y pueden practicarse de manera tradicional”.</w:t>
      </w:r>
      <w:r w:rsidRPr="004C6ED2">
        <w:rPr>
          <w:rStyle w:val="FootnoteReference"/>
          <w:szCs w:val="22"/>
        </w:rPr>
        <w:footnoteReference w:id="159"/>
      </w:r>
      <w:r w:rsidRPr="004C6ED2">
        <w:rPr>
          <w:szCs w:val="22"/>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C6ED2">
        <w:rPr>
          <w:rStyle w:val="FootnoteReference"/>
          <w:szCs w:val="22"/>
        </w:rPr>
        <w:footnoteReference w:id="160"/>
      </w:r>
    </w:p>
    <w:p w:rsidR="00D30E10" w:rsidRPr="004C6ED2" w:rsidRDefault="00D30E10" w:rsidP="00D30E10">
      <w:pPr>
        <w:pStyle w:val="ONUMFS"/>
        <w:numPr>
          <w:ilvl w:val="0"/>
          <w:numId w:val="0"/>
        </w:numPr>
        <w:rPr>
          <w:szCs w:val="22"/>
        </w:rPr>
      </w:pPr>
      <w:r w:rsidRPr="004C6ED2">
        <w:rPr>
          <w:szCs w:val="22"/>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C6ED2">
        <w:rPr>
          <w:rStyle w:val="FootnoteReference"/>
          <w:szCs w:val="22"/>
        </w:rPr>
        <w:footnoteReference w:id="161"/>
      </w:r>
    </w:p>
    <w:p w:rsidR="00D30E10" w:rsidRPr="004C6ED2" w:rsidRDefault="00D30E10" w:rsidP="00D30E10">
      <w:pPr>
        <w:pStyle w:val="ONUMFS"/>
        <w:numPr>
          <w:ilvl w:val="0"/>
          <w:numId w:val="0"/>
        </w:numPr>
        <w:rPr>
          <w:b/>
          <w:bCs/>
          <w:szCs w:val="22"/>
        </w:rPr>
      </w:pPr>
      <w:r w:rsidRPr="004C6ED2">
        <w:rPr>
          <w:b/>
          <w:bCs/>
          <w:szCs w:val="22"/>
        </w:rPr>
        <w:t>Expresiones culturales tradicionales</w:t>
      </w:r>
    </w:p>
    <w:p w:rsidR="00D30E10" w:rsidRPr="004C6ED2" w:rsidRDefault="00D30E10" w:rsidP="00D30E10">
      <w:pPr>
        <w:pStyle w:val="ONUMFS"/>
        <w:numPr>
          <w:ilvl w:val="0"/>
          <w:numId w:val="0"/>
        </w:numPr>
        <w:rPr>
          <w:szCs w:val="22"/>
        </w:rPr>
      </w:pPr>
      <w:r w:rsidRPr="004C6ED2">
        <w:rPr>
          <w:szCs w:val="22"/>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E4710" w:rsidRPr="004C6ED2" w:rsidRDefault="008E4710" w:rsidP="008E4710">
      <w:pPr>
        <w:pStyle w:val="ONUMFS"/>
        <w:numPr>
          <w:ilvl w:val="0"/>
          <w:numId w:val="0"/>
        </w:numPr>
        <w:rPr>
          <w:b/>
          <w:bCs/>
          <w:szCs w:val="22"/>
        </w:rPr>
      </w:pPr>
      <w:r w:rsidRPr="004C6ED2">
        <w:rPr>
          <w:b/>
          <w:bCs/>
          <w:szCs w:val="22"/>
        </w:rPr>
        <w:t>Culturas tradicionales</w:t>
      </w:r>
    </w:p>
    <w:p w:rsidR="007B312B" w:rsidRPr="004C6ED2" w:rsidRDefault="008E4710" w:rsidP="008E4710">
      <w:pPr>
        <w:pStyle w:val="ONUMFS"/>
        <w:numPr>
          <w:ilvl w:val="0"/>
          <w:numId w:val="0"/>
        </w:numPr>
        <w:rPr>
          <w:szCs w:val="22"/>
        </w:rPr>
      </w:pPr>
      <w:r w:rsidRPr="004C6ED2">
        <w:rPr>
          <w:szCs w:val="22"/>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C6ED2">
        <w:rPr>
          <w:rStyle w:val="FootnoteReference"/>
          <w:szCs w:val="22"/>
        </w:rPr>
        <w:footnoteReference w:id="162"/>
      </w:r>
    </w:p>
    <w:p w:rsidR="008E4710" w:rsidRPr="004C6ED2" w:rsidRDefault="008E4710" w:rsidP="00A92210">
      <w:pPr>
        <w:pStyle w:val="ONUMFS"/>
        <w:numPr>
          <w:ilvl w:val="0"/>
          <w:numId w:val="0"/>
        </w:numPr>
        <w:rPr>
          <w:b/>
          <w:bCs/>
          <w:szCs w:val="22"/>
        </w:rPr>
      </w:pPr>
      <w:r w:rsidRPr="004C6ED2">
        <w:rPr>
          <w:b/>
          <w:bCs/>
          <w:szCs w:val="22"/>
        </w:rPr>
        <w:t>Conocimientos ecológicos tradicionales/conocimientos medioambientales tradicionales</w:t>
      </w:r>
    </w:p>
    <w:p w:rsidR="008E4710" w:rsidRPr="004C6ED2" w:rsidRDefault="008E4710" w:rsidP="008E4710">
      <w:pPr>
        <w:pStyle w:val="ONUMFS"/>
        <w:numPr>
          <w:ilvl w:val="0"/>
          <w:numId w:val="0"/>
        </w:numPr>
        <w:rPr>
          <w:szCs w:val="22"/>
        </w:rPr>
      </w:pPr>
      <w:r w:rsidRPr="004C6ED2">
        <w:rPr>
          <w:szCs w:val="22"/>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w:t>
      </w:r>
      <w:r w:rsidRPr="004C6ED2">
        <w:rPr>
          <w:szCs w:val="22"/>
        </w:rPr>
        <w:lastRenderedPageBreak/>
        <w:t>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4C6ED2">
        <w:rPr>
          <w:rStyle w:val="FootnoteReference"/>
          <w:szCs w:val="22"/>
        </w:rPr>
        <w:footnoteReference w:id="163"/>
      </w:r>
      <w:r w:rsidRPr="004C6ED2">
        <w:rPr>
          <w:szCs w:val="22"/>
        </w:rPr>
        <w:t xml:space="preserve">  (Traducción oficiosa de la Oficina Internacional).</w:t>
      </w:r>
    </w:p>
    <w:p w:rsidR="00311C84" w:rsidRPr="004C6ED2" w:rsidRDefault="008E4710" w:rsidP="008E4710">
      <w:pPr>
        <w:pStyle w:val="ONUMFS"/>
        <w:numPr>
          <w:ilvl w:val="0"/>
          <w:numId w:val="0"/>
        </w:numPr>
        <w:rPr>
          <w:szCs w:val="22"/>
        </w:rPr>
      </w:pPr>
      <w:r w:rsidRPr="004C6ED2">
        <w:rPr>
          <w:szCs w:val="22"/>
        </w:rPr>
        <w:t xml:space="preserve">Los conocimientos ecológicos tradicionales también pueden definirse como </w:t>
      </w:r>
      <w:r w:rsidRPr="004C6ED2">
        <w:rPr>
          <w:iCs/>
          <w:szCs w:val="22"/>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C6ED2">
        <w:rPr>
          <w:i/>
          <w:iCs/>
          <w:szCs w:val="22"/>
        </w:rPr>
        <w:t xml:space="preserve">.  </w:t>
      </w:r>
      <w:r w:rsidRPr="004C6ED2">
        <w:rPr>
          <w:szCs w:val="22"/>
        </w:rPr>
        <w:t>(Traducción oficiosa de la Oficina Internacional).</w:t>
      </w:r>
      <w:r w:rsidRPr="004C6ED2">
        <w:rPr>
          <w:rStyle w:val="FootnoteReference"/>
          <w:szCs w:val="22"/>
        </w:rPr>
        <w:footnoteReference w:id="164"/>
      </w:r>
    </w:p>
    <w:p w:rsidR="008E4710" w:rsidRPr="004C6ED2" w:rsidRDefault="008E4710" w:rsidP="008E4710">
      <w:pPr>
        <w:pStyle w:val="ONUMFS"/>
        <w:numPr>
          <w:ilvl w:val="0"/>
          <w:numId w:val="0"/>
        </w:numPr>
        <w:rPr>
          <w:b/>
          <w:bCs/>
          <w:szCs w:val="22"/>
        </w:rPr>
      </w:pPr>
      <w:r w:rsidRPr="004C6ED2">
        <w:rPr>
          <w:b/>
          <w:bCs/>
          <w:szCs w:val="22"/>
        </w:rPr>
        <w:t>Conocimientos tradicionales</w:t>
      </w:r>
    </w:p>
    <w:p w:rsidR="008E4710" w:rsidRPr="004C6ED2" w:rsidRDefault="008E4710" w:rsidP="008E4710">
      <w:pPr>
        <w:pStyle w:val="ONUMFS"/>
        <w:numPr>
          <w:ilvl w:val="0"/>
          <w:numId w:val="0"/>
        </w:numPr>
        <w:rPr>
          <w:szCs w:val="22"/>
        </w:rPr>
      </w:pPr>
      <w:r w:rsidRPr="004C6ED2">
        <w:rPr>
          <w:szCs w:val="22"/>
        </w:rPr>
        <w:t>Hasta el momento no se ha aceptado una definición estándar de “conocimientos tradicionales” en el ámbito internacional.</w:t>
      </w:r>
    </w:p>
    <w:p w:rsidR="008E4710" w:rsidRPr="004C6ED2" w:rsidRDefault="008E4710" w:rsidP="008E4710">
      <w:pPr>
        <w:pStyle w:val="ONUMFS"/>
        <w:numPr>
          <w:ilvl w:val="0"/>
          <w:numId w:val="0"/>
        </w:numPr>
        <w:rPr>
          <w:szCs w:val="22"/>
        </w:rPr>
      </w:pPr>
      <w:r w:rsidRPr="004C6ED2">
        <w:rPr>
          <w:szCs w:val="22"/>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D30E10" w:rsidRPr="004C6ED2" w:rsidRDefault="008E4710" w:rsidP="008E4710">
      <w:pPr>
        <w:pStyle w:val="ONUMFS"/>
        <w:numPr>
          <w:ilvl w:val="0"/>
          <w:numId w:val="0"/>
        </w:numPr>
        <w:rPr>
          <w:szCs w:val="22"/>
        </w:rPr>
      </w:pPr>
      <w:r w:rsidRPr="004C6ED2">
        <w:rPr>
          <w:szCs w:val="22"/>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4C6ED2">
        <w:rPr>
          <w:rStyle w:val="FootnoteReference"/>
          <w:szCs w:val="22"/>
        </w:rPr>
        <w:footnoteReference w:id="165"/>
      </w:r>
    </w:p>
    <w:p w:rsidR="000E2951" w:rsidRPr="004C6ED2" w:rsidRDefault="000E2951" w:rsidP="000E2951">
      <w:pPr>
        <w:pStyle w:val="ONUMFS"/>
        <w:numPr>
          <w:ilvl w:val="0"/>
          <w:numId w:val="0"/>
        </w:numPr>
        <w:tabs>
          <w:tab w:val="left" w:pos="7230"/>
        </w:tabs>
        <w:rPr>
          <w:b/>
          <w:bCs/>
          <w:szCs w:val="22"/>
        </w:rPr>
      </w:pPr>
      <w:r w:rsidRPr="004C6ED2">
        <w:rPr>
          <w:b/>
          <w:bCs/>
          <w:szCs w:val="22"/>
        </w:rPr>
        <w:t>Biblioteca digital so</w:t>
      </w:r>
      <w:r w:rsidR="00FA1614">
        <w:rPr>
          <w:b/>
          <w:bCs/>
          <w:szCs w:val="22"/>
        </w:rPr>
        <w:t>bre Conocimientos Tradicionales</w:t>
      </w:r>
    </w:p>
    <w:p w:rsidR="000E2951" w:rsidRPr="004C6ED2" w:rsidRDefault="000E2951" w:rsidP="000E2951">
      <w:pPr>
        <w:pStyle w:val="ONUMFS"/>
        <w:numPr>
          <w:ilvl w:val="0"/>
          <w:numId w:val="0"/>
        </w:numPr>
        <w:tabs>
          <w:tab w:val="left" w:pos="7230"/>
        </w:tabs>
        <w:rPr>
          <w:szCs w:val="22"/>
        </w:rPr>
      </w:pPr>
      <w:r w:rsidRPr="004C6ED2">
        <w:rPr>
          <w:szCs w:val="22"/>
        </w:rPr>
        <w:t xml:space="preserve">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w:t>
      </w:r>
      <w:r w:rsidRPr="004C6ED2">
        <w:rPr>
          <w:szCs w:val="22"/>
        </w:rPr>
        <w:lastRenderedPageBreak/>
        <w:t>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C6ED2">
        <w:rPr>
          <w:rStyle w:val="FootnoteReference"/>
          <w:szCs w:val="22"/>
        </w:rPr>
        <w:footnoteReference w:id="166"/>
      </w:r>
    </w:p>
    <w:p w:rsidR="00D30E10" w:rsidRPr="004C6ED2" w:rsidRDefault="000E2951" w:rsidP="000E2951">
      <w:pPr>
        <w:pStyle w:val="ONUMFS"/>
        <w:numPr>
          <w:ilvl w:val="0"/>
          <w:numId w:val="0"/>
        </w:numPr>
        <w:rPr>
          <w:szCs w:val="22"/>
        </w:rPr>
      </w:pPr>
      <w:r w:rsidRPr="004C6ED2">
        <w:rPr>
          <w:szCs w:val="22"/>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C6ED2">
        <w:rPr>
          <w:rStyle w:val="FootnoteReference"/>
          <w:szCs w:val="22"/>
        </w:rPr>
        <w:footnoteReference w:id="167"/>
      </w:r>
    </w:p>
    <w:p w:rsidR="000E2951" w:rsidRPr="004C6ED2" w:rsidRDefault="000E2951" w:rsidP="000E2951">
      <w:pPr>
        <w:pStyle w:val="ONUMFS"/>
        <w:numPr>
          <w:ilvl w:val="0"/>
          <w:numId w:val="0"/>
        </w:numPr>
        <w:rPr>
          <w:b/>
          <w:bCs/>
          <w:szCs w:val="22"/>
        </w:rPr>
      </w:pPr>
      <w:r w:rsidRPr="004C6ED2">
        <w:rPr>
          <w:b/>
          <w:bCs/>
          <w:szCs w:val="22"/>
        </w:rPr>
        <w:t>Poseedor de conocimientos tradicionales</w:t>
      </w:r>
    </w:p>
    <w:p w:rsidR="000E2951" w:rsidRPr="004C6ED2" w:rsidRDefault="000E2951" w:rsidP="000E2951">
      <w:pPr>
        <w:pStyle w:val="ONUMFS"/>
        <w:numPr>
          <w:ilvl w:val="0"/>
          <w:numId w:val="0"/>
        </w:numPr>
        <w:rPr>
          <w:szCs w:val="22"/>
        </w:rPr>
      </w:pPr>
      <w:r w:rsidRPr="004C6ED2">
        <w:rPr>
          <w:szCs w:val="22"/>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C6ED2">
        <w:rPr>
          <w:rStyle w:val="FootnoteReference"/>
          <w:szCs w:val="22"/>
        </w:rPr>
        <w:footnoteReference w:id="168"/>
      </w:r>
      <w:r w:rsidRPr="004C6ED2">
        <w:rPr>
          <w:szCs w:val="22"/>
        </w:rPr>
        <w:t xml:space="preserve">  En este contexto, “conocimientos tradicionales” se refiere tanto a los conocimientos tradicionales propiamente dichos como a las expresiones culturales tradicionales.</w:t>
      </w:r>
    </w:p>
    <w:p w:rsidR="00D30E10" w:rsidRPr="004C6ED2" w:rsidRDefault="000E2951" w:rsidP="000E2951">
      <w:pPr>
        <w:pStyle w:val="ONUMFS"/>
        <w:numPr>
          <w:ilvl w:val="0"/>
          <w:numId w:val="0"/>
        </w:numPr>
        <w:rPr>
          <w:szCs w:val="22"/>
        </w:rPr>
      </w:pPr>
      <w:r w:rsidRPr="004C6ED2">
        <w:rPr>
          <w:szCs w:val="22"/>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C6ED2">
        <w:rPr>
          <w:rStyle w:val="FootnoteReference"/>
          <w:iCs/>
          <w:szCs w:val="22"/>
        </w:rPr>
        <w:footnoteReference w:id="169"/>
      </w:r>
    </w:p>
    <w:p w:rsidR="001658E2" w:rsidRPr="004C6ED2" w:rsidRDefault="001658E2" w:rsidP="001658E2">
      <w:pPr>
        <w:pStyle w:val="ONUMFS"/>
        <w:numPr>
          <w:ilvl w:val="0"/>
          <w:numId w:val="0"/>
        </w:numPr>
        <w:rPr>
          <w:b/>
          <w:bCs/>
          <w:szCs w:val="22"/>
        </w:rPr>
      </w:pPr>
      <w:r w:rsidRPr="004C6ED2">
        <w:rPr>
          <w:b/>
          <w:bCs/>
          <w:szCs w:val="22"/>
        </w:rPr>
        <w:t>La Clasificación de Recursos so</w:t>
      </w:r>
      <w:r w:rsidR="004E1C35">
        <w:rPr>
          <w:b/>
          <w:bCs/>
          <w:szCs w:val="22"/>
        </w:rPr>
        <w:t>bre Conocimientos Tradicionales</w:t>
      </w:r>
    </w:p>
    <w:p w:rsidR="00D30E10" w:rsidRPr="004C6ED2" w:rsidRDefault="001658E2" w:rsidP="001658E2">
      <w:pPr>
        <w:pStyle w:val="ONUMFS"/>
        <w:numPr>
          <w:ilvl w:val="0"/>
          <w:numId w:val="0"/>
        </w:numPr>
        <w:rPr>
          <w:szCs w:val="22"/>
        </w:rPr>
      </w:pPr>
      <w:r w:rsidRPr="004C6ED2">
        <w:rPr>
          <w:szCs w:val="22"/>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C6ED2">
        <w:rPr>
          <w:rStyle w:val="FootnoteReference"/>
          <w:szCs w:val="22"/>
        </w:rPr>
        <w:footnoteReference w:id="170"/>
      </w:r>
      <w:r w:rsidRPr="004C6ED2">
        <w:rPr>
          <w:szCs w:val="22"/>
        </w:rPr>
        <w:t xml:space="preserve">  Esta clasificación, cuya aplicación está destinada a los sistemas de la medicina de la India (Ayurveda, Unani, Siddha y Yoga), goza </w:t>
      </w:r>
      <w:r w:rsidRPr="004C6ED2">
        <w:rPr>
          <w:szCs w:val="22"/>
        </w:rPr>
        <w:lastRenderedPageBreak/>
        <w:t>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4C6ED2">
        <w:rPr>
          <w:rStyle w:val="FootnoteReference"/>
          <w:szCs w:val="22"/>
        </w:rPr>
        <w:footnoteReference w:id="171"/>
      </w:r>
    </w:p>
    <w:p w:rsidR="001658E2" w:rsidRPr="004C6ED2" w:rsidRDefault="001658E2" w:rsidP="001658E2">
      <w:pPr>
        <w:pStyle w:val="ONUMFS"/>
        <w:numPr>
          <w:ilvl w:val="0"/>
          <w:numId w:val="0"/>
        </w:numPr>
        <w:tabs>
          <w:tab w:val="left" w:pos="6804"/>
        </w:tabs>
        <w:rPr>
          <w:b/>
          <w:bCs/>
          <w:szCs w:val="22"/>
        </w:rPr>
      </w:pPr>
      <w:r w:rsidRPr="004C6ED2">
        <w:rPr>
          <w:b/>
          <w:bCs/>
          <w:szCs w:val="22"/>
        </w:rPr>
        <w:t>Medicina tradicional</w:t>
      </w:r>
    </w:p>
    <w:p w:rsidR="00D30E10" w:rsidRPr="004C6ED2" w:rsidRDefault="001658E2" w:rsidP="001658E2">
      <w:pPr>
        <w:pStyle w:val="ONUMFS"/>
        <w:numPr>
          <w:ilvl w:val="0"/>
          <w:numId w:val="0"/>
        </w:numPr>
        <w:rPr>
          <w:szCs w:val="22"/>
        </w:rPr>
      </w:pPr>
      <w:r w:rsidRPr="004C6ED2">
        <w:rPr>
          <w:szCs w:val="22"/>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C6ED2">
        <w:rPr>
          <w:rStyle w:val="FootnoteReference"/>
          <w:szCs w:val="22"/>
        </w:rPr>
        <w:footnoteReference w:id="172"/>
      </w:r>
      <w:r w:rsidRPr="004C6ED2">
        <w:rPr>
          <w:szCs w:val="22"/>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C6ED2">
        <w:rPr>
          <w:rStyle w:val="FootnoteReference"/>
          <w:szCs w:val="22"/>
        </w:rPr>
        <w:footnoteReference w:id="173"/>
      </w:r>
    </w:p>
    <w:p w:rsidR="001658E2" w:rsidRPr="004C6ED2" w:rsidRDefault="001658E2" w:rsidP="001658E2">
      <w:pPr>
        <w:pStyle w:val="ONUMFS"/>
        <w:numPr>
          <w:ilvl w:val="0"/>
          <w:numId w:val="0"/>
        </w:numPr>
        <w:rPr>
          <w:b/>
          <w:bCs/>
          <w:szCs w:val="22"/>
        </w:rPr>
      </w:pPr>
      <w:r w:rsidRPr="004C6ED2">
        <w:rPr>
          <w:b/>
          <w:bCs/>
          <w:szCs w:val="22"/>
        </w:rPr>
        <w:t>Innovaciones y creaciones basadas en la tradición</w:t>
      </w:r>
    </w:p>
    <w:p w:rsidR="00D30E10" w:rsidRPr="004C6ED2" w:rsidRDefault="001658E2" w:rsidP="001658E2">
      <w:pPr>
        <w:pStyle w:val="ONUMFS"/>
        <w:numPr>
          <w:ilvl w:val="0"/>
          <w:numId w:val="0"/>
        </w:numPr>
        <w:rPr>
          <w:szCs w:val="22"/>
        </w:rPr>
      </w:pPr>
      <w:r w:rsidRPr="004C6ED2">
        <w:rPr>
          <w:szCs w:val="22"/>
        </w:rPr>
        <w:t>Las tradiciones constituyen un conjunto de ideas y prácticas culturales que pertenecen al pasado y a las cuales se les atribuye determinada categoría.</w:t>
      </w:r>
      <w:r w:rsidRPr="004C6ED2">
        <w:rPr>
          <w:rStyle w:val="FootnoteReference"/>
          <w:szCs w:val="22"/>
        </w:rPr>
        <w:footnoteReference w:id="174"/>
      </w:r>
      <w:r w:rsidRPr="004C6ED2">
        <w:rPr>
          <w:szCs w:val="22"/>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4C6ED2">
        <w:rPr>
          <w:rStyle w:val="FootnoteReference"/>
          <w:szCs w:val="22"/>
        </w:rPr>
        <w:footnoteReference w:id="175"/>
      </w:r>
      <w:r w:rsidRPr="004C6ED2">
        <w:rPr>
          <w:szCs w:val="22"/>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C6ED2">
        <w:rPr>
          <w:rStyle w:val="FootnoteReference"/>
          <w:szCs w:val="22"/>
        </w:rPr>
        <w:footnoteReference w:id="176"/>
      </w:r>
      <w:r w:rsidRPr="004C6ED2">
        <w:rPr>
          <w:szCs w:val="22"/>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C6ED2">
        <w:rPr>
          <w:szCs w:val="22"/>
          <w:vertAlign w:val="superscript"/>
        </w:rPr>
        <w:footnoteReference w:id="177"/>
      </w:r>
      <w:r w:rsidRPr="004C6ED2">
        <w:rPr>
          <w:szCs w:val="22"/>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C6ED2">
        <w:rPr>
          <w:color w:val="000000"/>
          <w:szCs w:val="22"/>
        </w:rPr>
        <w:t>.</w:t>
      </w:r>
      <w:r w:rsidRPr="004C6ED2">
        <w:rPr>
          <w:rStyle w:val="FootnoteReference"/>
          <w:color w:val="000000"/>
          <w:szCs w:val="22"/>
        </w:rPr>
        <w:footnoteReference w:id="178"/>
      </w:r>
    </w:p>
    <w:p w:rsidR="001658E2" w:rsidRPr="004C6ED2" w:rsidRDefault="001658E2" w:rsidP="001658E2">
      <w:pPr>
        <w:pStyle w:val="ONUMFS"/>
        <w:numPr>
          <w:ilvl w:val="0"/>
          <w:numId w:val="0"/>
        </w:numPr>
        <w:rPr>
          <w:b/>
          <w:bCs/>
          <w:szCs w:val="22"/>
        </w:rPr>
      </w:pPr>
      <w:r w:rsidRPr="004C6ED2">
        <w:rPr>
          <w:b/>
          <w:bCs/>
          <w:szCs w:val="22"/>
        </w:rPr>
        <w:t>Convención de la UNESCO sobre las medidas que deben adoptarse para prohibir e impedir la importación, la exportación y la transferencia de propiedad ilícitas de bienes culturales</w:t>
      </w:r>
    </w:p>
    <w:p w:rsidR="001658E2" w:rsidRPr="004C6ED2" w:rsidRDefault="001658E2" w:rsidP="001658E2">
      <w:pPr>
        <w:pStyle w:val="ONUMFS"/>
        <w:numPr>
          <w:ilvl w:val="0"/>
          <w:numId w:val="0"/>
        </w:numPr>
        <w:rPr>
          <w:szCs w:val="22"/>
        </w:rPr>
      </w:pPr>
      <w:r w:rsidRPr="004C6ED2">
        <w:rPr>
          <w:szCs w:val="22"/>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1658E2" w:rsidRPr="004C6ED2" w:rsidRDefault="001658E2" w:rsidP="001658E2">
      <w:pPr>
        <w:pStyle w:val="ONUMFS"/>
        <w:numPr>
          <w:ilvl w:val="0"/>
          <w:numId w:val="0"/>
        </w:numPr>
        <w:rPr>
          <w:szCs w:val="22"/>
        </w:rPr>
      </w:pPr>
      <w:r w:rsidRPr="004C6ED2">
        <w:rPr>
          <w:szCs w:val="22"/>
        </w:rPr>
        <w:t>“La Convención solicita a sus Estados Partes actuar esencialmente en los siguientes aspectos:</w:t>
      </w:r>
    </w:p>
    <w:p w:rsidR="001658E2" w:rsidRPr="004C6ED2" w:rsidRDefault="001658E2" w:rsidP="004056B6">
      <w:pPr>
        <w:pStyle w:val="ONUMFS"/>
        <w:numPr>
          <w:ilvl w:val="0"/>
          <w:numId w:val="0"/>
        </w:numPr>
        <w:ind w:left="567"/>
        <w:rPr>
          <w:szCs w:val="22"/>
        </w:rPr>
      </w:pPr>
      <w:r w:rsidRPr="004C6ED2">
        <w:rPr>
          <w:szCs w:val="22"/>
        </w:rPr>
        <w:lastRenderedPageBreak/>
        <w:t>1 - Medidas preventivas:  inventarios, certificados de exportación, medidas de control y aprobación de los negociantes de bienes culturales, aplicación de sanciones penales o administrativas, campañas de información, etcétera.</w:t>
      </w:r>
    </w:p>
    <w:p w:rsidR="001658E2" w:rsidRPr="004C6ED2" w:rsidRDefault="001658E2" w:rsidP="004056B6">
      <w:pPr>
        <w:pStyle w:val="ONUMFS"/>
        <w:numPr>
          <w:ilvl w:val="0"/>
          <w:numId w:val="0"/>
        </w:numPr>
        <w:ind w:left="567"/>
        <w:rPr>
          <w:szCs w:val="22"/>
        </w:rPr>
      </w:pPr>
      <w:r w:rsidRPr="004C6ED2">
        <w:rPr>
          <w:szCs w:val="22"/>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D30E10" w:rsidRPr="004C6ED2" w:rsidRDefault="001658E2" w:rsidP="004056B6">
      <w:pPr>
        <w:pStyle w:val="ONUMFS"/>
        <w:numPr>
          <w:ilvl w:val="0"/>
          <w:numId w:val="0"/>
        </w:numPr>
        <w:ind w:left="567"/>
        <w:rPr>
          <w:szCs w:val="22"/>
        </w:rPr>
      </w:pPr>
      <w:r w:rsidRPr="004C6ED2">
        <w:rPr>
          <w:szCs w:val="22"/>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1658E2" w:rsidRPr="004C6ED2" w:rsidRDefault="001658E2" w:rsidP="001658E2">
      <w:pPr>
        <w:pStyle w:val="ONUMFS"/>
        <w:numPr>
          <w:ilvl w:val="0"/>
          <w:numId w:val="0"/>
        </w:numPr>
        <w:rPr>
          <w:b/>
          <w:bCs/>
          <w:szCs w:val="22"/>
        </w:rPr>
      </w:pPr>
      <w:r w:rsidRPr="004C6ED2">
        <w:rPr>
          <w:b/>
          <w:bCs/>
          <w:szCs w:val="22"/>
        </w:rPr>
        <w:t>Convención de la UNESCO sobre la protección y la promoción de la diversidad de las expresiones culturales</w:t>
      </w:r>
    </w:p>
    <w:p w:rsidR="001658E2" w:rsidRPr="004C6ED2" w:rsidRDefault="001658E2" w:rsidP="001658E2">
      <w:pPr>
        <w:pStyle w:val="ONUMFS"/>
        <w:numPr>
          <w:ilvl w:val="0"/>
          <w:numId w:val="0"/>
        </w:numPr>
        <w:rPr>
          <w:szCs w:val="22"/>
        </w:rPr>
      </w:pPr>
      <w:r w:rsidRPr="004C6ED2">
        <w:rPr>
          <w:szCs w:val="22"/>
        </w:rPr>
        <w:t>La Convención sobre la protección y la promoción de la diversidad de las expresiones culturales es una convención internacional que fue adoptada por la UNESCO en 2005.  Entró en vigor el 18 de marzo de 2007.</w:t>
      </w:r>
    </w:p>
    <w:p w:rsidR="00D30E10" w:rsidRPr="004C6ED2" w:rsidRDefault="001658E2" w:rsidP="001658E2">
      <w:pPr>
        <w:pStyle w:val="ONUMFS"/>
        <w:numPr>
          <w:ilvl w:val="0"/>
          <w:numId w:val="0"/>
        </w:numPr>
        <w:rPr>
          <w:szCs w:val="22"/>
        </w:rPr>
      </w:pPr>
      <w:r w:rsidRPr="004C6ED2">
        <w:rPr>
          <w:szCs w:val="22"/>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1658E2" w:rsidRPr="004C6ED2" w:rsidRDefault="001658E2" w:rsidP="001658E2">
      <w:pPr>
        <w:pStyle w:val="ONUMFS"/>
        <w:numPr>
          <w:ilvl w:val="0"/>
          <w:numId w:val="0"/>
        </w:numPr>
        <w:rPr>
          <w:b/>
          <w:bCs/>
          <w:szCs w:val="22"/>
        </w:rPr>
      </w:pPr>
      <w:r w:rsidRPr="004C6ED2">
        <w:rPr>
          <w:b/>
          <w:bCs/>
          <w:szCs w:val="22"/>
        </w:rPr>
        <w:t>Convención de la UNESCO para la salvaguardia del patrimonio cultural inmaterial</w:t>
      </w:r>
    </w:p>
    <w:p w:rsidR="00D30E10" w:rsidRPr="004C6ED2" w:rsidRDefault="001658E2" w:rsidP="001658E2">
      <w:pPr>
        <w:pStyle w:val="ONUMFS"/>
        <w:numPr>
          <w:ilvl w:val="0"/>
          <w:numId w:val="0"/>
        </w:numPr>
        <w:rPr>
          <w:szCs w:val="22"/>
        </w:rPr>
      </w:pPr>
      <w:r w:rsidRPr="004C6ED2">
        <w:rPr>
          <w:szCs w:val="22"/>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311C84" w:rsidRPr="004C6ED2" w:rsidRDefault="00311C84" w:rsidP="00311C84">
      <w:pPr>
        <w:pStyle w:val="ONUMFS"/>
        <w:numPr>
          <w:ilvl w:val="0"/>
          <w:numId w:val="0"/>
        </w:numPr>
        <w:rPr>
          <w:b/>
          <w:bCs/>
          <w:szCs w:val="22"/>
        </w:rPr>
      </w:pPr>
      <w:bookmarkStart w:id="18" w:name="sdfootnote13anc"/>
      <w:r w:rsidRPr="004C6ED2">
        <w:rPr>
          <w:b/>
          <w:bCs/>
          <w:szCs w:val="22"/>
        </w:rPr>
        <w:t>Competencia desleal</w:t>
      </w:r>
    </w:p>
    <w:p w:rsidR="00311C84" w:rsidRPr="004C6ED2" w:rsidRDefault="00311C84" w:rsidP="00311C84">
      <w:pPr>
        <w:pStyle w:val="ONUMFS"/>
        <w:numPr>
          <w:ilvl w:val="0"/>
          <w:numId w:val="0"/>
        </w:numPr>
        <w:rPr>
          <w:szCs w:val="22"/>
        </w:rPr>
      </w:pPr>
      <w:r w:rsidRPr="004C6ED2">
        <w:rPr>
          <w:szCs w:val="22"/>
        </w:rPr>
        <w:t xml:space="preserve">En el </w:t>
      </w:r>
      <w:r w:rsidRPr="004C6ED2">
        <w:rPr>
          <w:i/>
          <w:iCs/>
          <w:szCs w:val="22"/>
        </w:rPr>
        <w:t>Diccionario de Derecho</w:t>
      </w:r>
      <w:r w:rsidRPr="004C6ED2">
        <w:rPr>
          <w:szCs w:val="22"/>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w:t>
      </w:r>
      <w:r w:rsidRPr="004C6ED2">
        <w:rPr>
          <w:szCs w:val="22"/>
        </w:rPr>
        <w:lastRenderedPageBreak/>
        <w:t xml:space="preserve">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C6ED2">
        <w:rPr>
          <w:i/>
          <w:iCs/>
          <w:szCs w:val="22"/>
        </w:rPr>
        <w:t>“unfair competition”</w:t>
      </w:r>
      <w:r w:rsidRPr="004C6ED2">
        <w:rPr>
          <w:szCs w:val="22"/>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311C84" w:rsidRPr="004C6ED2" w:rsidRDefault="00311C84" w:rsidP="00311C84">
      <w:pPr>
        <w:pStyle w:val="ONUMFS"/>
        <w:numPr>
          <w:ilvl w:val="0"/>
          <w:numId w:val="0"/>
        </w:numPr>
        <w:rPr>
          <w:szCs w:val="22"/>
        </w:rPr>
      </w:pPr>
      <w:r w:rsidRPr="004C6ED2">
        <w:rPr>
          <w:szCs w:val="22"/>
        </w:rPr>
        <w:t>En el párrafo 2 del artículo 10</w:t>
      </w:r>
      <w:r w:rsidRPr="004C6ED2">
        <w:rPr>
          <w:i/>
          <w:iCs/>
          <w:szCs w:val="22"/>
        </w:rPr>
        <w:t>bis</w:t>
      </w:r>
      <w:r w:rsidRPr="004C6ED2">
        <w:rPr>
          <w:szCs w:val="22"/>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4C6ED2">
        <w:rPr>
          <w:i/>
          <w:iCs/>
          <w:szCs w:val="22"/>
        </w:rPr>
        <w:t>bis</w:t>
      </w:r>
      <w:r w:rsidRPr="004C6ED2">
        <w:rPr>
          <w:szCs w:val="22"/>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8"/>
    <w:p w:rsidR="00311C84" w:rsidRPr="004C6ED2" w:rsidRDefault="001658E2" w:rsidP="00311C84">
      <w:pPr>
        <w:pStyle w:val="ONUMFS"/>
        <w:numPr>
          <w:ilvl w:val="0"/>
          <w:numId w:val="0"/>
        </w:numPr>
        <w:rPr>
          <w:b/>
          <w:szCs w:val="22"/>
        </w:rPr>
      </w:pPr>
      <w:r w:rsidRPr="004C6ED2">
        <w:rPr>
          <w:b/>
          <w:szCs w:val="22"/>
        </w:rPr>
        <w:t>Declaración de las Naciones Unidas sobre los Derechos de los Pueblos Indígenas</w:t>
      </w:r>
    </w:p>
    <w:p w:rsidR="00D57BA9" w:rsidRPr="004C6ED2" w:rsidRDefault="009D13E8" w:rsidP="00311C84">
      <w:pPr>
        <w:pStyle w:val="ONUMFS"/>
        <w:numPr>
          <w:ilvl w:val="0"/>
          <w:numId w:val="0"/>
        </w:numPr>
        <w:rPr>
          <w:szCs w:val="22"/>
        </w:rPr>
      </w:pPr>
      <w:r w:rsidRPr="004C6ED2">
        <w:rPr>
          <w:szCs w:val="22"/>
        </w:rPr>
        <w:t>La Asamblea General de las Naciones Unidas adoptó la Declaración de las Naciones Unidas sobre los Derechos de los Pueblos Indígenas e</w:t>
      </w:r>
      <w:r w:rsidR="004C6ED2" w:rsidRPr="004C6ED2">
        <w:rPr>
          <w:szCs w:val="22"/>
        </w:rPr>
        <w:t>n 2</w:t>
      </w:r>
      <w:r w:rsidRPr="004C6ED2">
        <w:rPr>
          <w:szCs w:val="22"/>
        </w:rPr>
        <w:t>007, en la que se reconocen los mismos derechos humanos para los pueblos indígenas que para todos los demás pueblos contra cualquier forma de discriminación y en la que se fomenta el respeto mutuo y las relaciones armoniosas entre los pueblos indígenas y los Estados</w:t>
      </w:r>
      <w:r w:rsidR="00D57BA9" w:rsidRPr="004C6ED2">
        <w:rPr>
          <w:szCs w:val="22"/>
        </w:rPr>
        <w:t>.</w:t>
      </w:r>
    </w:p>
    <w:p w:rsidR="009D13E8" w:rsidRPr="004C6ED2" w:rsidRDefault="009D13E8" w:rsidP="00311C84">
      <w:pPr>
        <w:pStyle w:val="ONUMFS"/>
        <w:numPr>
          <w:ilvl w:val="0"/>
          <w:numId w:val="0"/>
        </w:numPr>
        <w:rPr>
          <w:szCs w:val="22"/>
        </w:rPr>
      </w:pPr>
      <w:r w:rsidRPr="004C6ED2">
        <w:rPr>
          <w:szCs w:val="22"/>
        </w:rPr>
        <w:t>En relación con los conocimientos tradicionales, las expresiones culturales tradicionales y los recursos genéticos, la Declaración establece, en su artícul</w:t>
      </w:r>
      <w:r w:rsidR="004C6ED2" w:rsidRPr="004C6ED2">
        <w:rPr>
          <w:szCs w:val="22"/>
        </w:rPr>
        <w:t>o 3</w:t>
      </w:r>
      <w:r w:rsidRPr="004C6ED2">
        <w:rPr>
          <w:szCs w:val="22"/>
        </w:rPr>
        <w:t xml:space="preserve">1, que “los pueblos indígenas tienen derecho a mantener, controlar, proteger y desarrollar la propiedad intelectual de dicho patrimonio cultural, sus conocimientos tradicionales y sus expresiones culturales tradicionales </w:t>
      </w:r>
      <w:r w:rsidR="00A4108F" w:rsidRPr="004C6ED2">
        <w:rPr>
          <w:szCs w:val="22"/>
        </w:rPr>
        <w:t>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w:t>
      </w:r>
      <w:r w:rsidR="004C6ED2" w:rsidRPr="004C6ED2">
        <w:rPr>
          <w:szCs w:val="22"/>
        </w:rPr>
        <w:t>o 2</w:t>
      </w:r>
      <w:r w:rsidR="00A4108F" w:rsidRPr="004C6ED2">
        <w:rPr>
          <w:szCs w:val="22"/>
        </w:rPr>
        <w:t xml:space="preserve"> del artícul</w:t>
      </w:r>
      <w:r w:rsidR="004C6ED2" w:rsidRPr="004C6ED2">
        <w:rPr>
          <w:szCs w:val="22"/>
        </w:rPr>
        <w:t>o 3</w:t>
      </w:r>
      <w:r w:rsidR="00A4108F" w:rsidRPr="004C6ED2">
        <w:rPr>
          <w:szCs w:val="22"/>
        </w:rPr>
        <w:t>1 se establece además que “Conjuntamente con los pueblos indígenas, los Estados adoptarán medidas eficaces para reconocer y proteger el ejercicio de estos derechos”.  En lo que respecta a la medicina tradicional, el artícul</w:t>
      </w:r>
      <w:r w:rsidR="004C6ED2" w:rsidRPr="004C6ED2">
        <w:rPr>
          <w:szCs w:val="22"/>
        </w:rPr>
        <w:t>o 2</w:t>
      </w:r>
      <w:r w:rsidR="00A4108F" w:rsidRPr="004C6ED2">
        <w:rPr>
          <w:szCs w:val="22"/>
        </w:rPr>
        <w:t>4 establece que “Los pueblos indígenas tienen derecho a sus propias medicinas tradicionales y a mantener sus prácticas de salud, incluida la conservación de sus plantas medicinales, animales y minerales de interés vital”.</w:t>
      </w:r>
    </w:p>
    <w:p w:rsidR="00B66604" w:rsidRPr="004C6ED2" w:rsidRDefault="00B66604" w:rsidP="00B66604">
      <w:pPr>
        <w:pStyle w:val="ONUMFS"/>
        <w:numPr>
          <w:ilvl w:val="0"/>
          <w:numId w:val="0"/>
        </w:numPr>
        <w:rPr>
          <w:b/>
          <w:bCs/>
          <w:szCs w:val="22"/>
        </w:rPr>
      </w:pPr>
      <w:r w:rsidRPr="004C6ED2">
        <w:rPr>
          <w:b/>
          <w:bCs/>
          <w:szCs w:val="22"/>
        </w:rPr>
        <w:t>Uso de las expresiones culturales tradicionales</w:t>
      </w:r>
    </w:p>
    <w:p w:rsidR="00B66604" w:rsidRPr="004C6ED2" w:rsidRDefault="00B66604" w:rsidP="00B66604">
      <w:pPr>
        <w:pStyle w:val="ONUMFS"/>
        <w:numPr>
          <w:ilvl w:val="0"/>
          <w:numId w:val="0"/>
        </w:numPr>
        <w:rPr>
          <w:szCs w:val="22"/>
        </w:rPr>
      </w:pPr>
      <w:r w:rsidRPr="004C6ED2">
        <w:rPr>
          <w:szCs w:val="22"/>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B66604" w:rsidRPr="004C6ED2" w:rsidRDefault="00B66604" w:rsidP="00B66604">
      <w:pPr>
        <w:pStyle w:val="ONUMFS"/>
        <w:numPr>
          <w:ilvl w:val="0"/>
          <w:numId w:val="0"/>
        </w:numPr>
        <w:rPr>
          <w:szCs w:val="22"/>
        </w:rPr>
      </w:pPr>
      <w:r w:rsidRPr="004C6ED2">
        <w:rPr>
          <w:i/>
          <w:iCs/>
          <w:szCs w:val="22"/>
          <w:u w:val="single"/>
        </w:rPr>
        <w:t>Uso comercial</w:t>
      </w:r>
    </w:p>
    <w:p w:rsidR="00B66604" w:rsidRPr="004C6ED2" w:rsidRDefault="00B66604" w:rsidP="00B66604">
      <w:pPr>
        <w:pStyle w:val="ONUMFS"/>
        <w:numPr>
          <w:ilvl w:val="0"/>
          <w:numId w:val="0"/>
        </w:numPr>
        <w:rPr>
          <w:szCs w:val="22"/>
        </w:rPr>
      </w:pPr>
      <w:r w:rsidRPr="004C6ED2">
        <w:rPr>
          <w:szCs w:val="22"/>
        </w:rPr>
        <w:t xml:space="preserve">Se entiende por “uso comercial” todo uso con fines de comercio.  En el </w:t>
      </w:r>
      <w:r w:rsidRPr="004C6ED2">
        <w:rPr>
          <w:i/>
          <w:iCs/>
          <w:szCs w:val="22"/>
        </w:rPr>
        <w:t>Diccionario Enciclopédico de Derecho Usual</w:t>
      </w:r>
      <w:r w:rsidRPr="004C6ED2">
        <w:rPr>
          <w:szCs w:val="22"/>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C6ED2">
        <w:rPr>
          <w:i/>
          <w:iCs/>
          <w:szCs w:val="22"/>
        </w:rPr>
        <w:t>“commercial use”</w:t>
      </w:r>
      <w:r w:rsidRPr="004C6ED2">
        <w:rPr>
          <w:szCs w:val="22"/>
        </w:rPr>
        <w:t xml:space="preserve"> se </w:t>
      </w:r>
      <w:r w:rsidRPr="004C6ED2">
        <w:rPr>
          <w:szCs w:val="22"/>
        </w:rPr>
        <w:lastRenderedPageBreak/>
        <w:t xml:space="preserve">define como todo uso relacionado con una actividad permanente con fines de lucro o que promueve dicha actividad;  por otra parte, </w:t>
      </w:r>
      <w:r w:rsidRPr="004C6ED2">
        <w:rPr>
          <w:i/>
          <w:iCs/>
          <w:szCs w:val="22"/>
        </w:rPr>
        <w:t>“non-commercial use”</w:t>
      </w:r>
      <w:r w:rsidRPr="004C6ED2">
        <w:rPr>
          <w:szCs w:val="22"/>
        </w:rPr>
        <w:t xml:space="preserve"> se define como todo uso con fines privados o de negocios que no implica la generación de ingresos o el derecho a un reconocimiento u otro tipo de compensación.</w:t>
      </w:r>
    </w:p>
    <w:p w:rsidR="00B66604" w:rsidRPr="004C6ED2" w:rsidRDefault="00B66604" w:rsidP="00B66604">
      <w:pPr>
        <w:pStyle w:val="ONUMFS"/>
        <w:numPr>
          <w:ilvl w:val="0"/>
          <w:numId w:val="0"/>
        </w:numPr>
        <w:rPr>
          <w:szCs w:val="22"/>
        </w:rPr>
      </w:pPr>
      <w:r w:rsidRPr="004C6ED2">
        <w:rPr>
          <w:i/>
          <w:iCs/>
          <w:szCs w:val="22"/>
          <w:u w:val="single"/>
        </w:rPr>
        <w:t>Uso consuetudinario</w:t>
      </w:r>
    </w:p>
    <w:p w:rsidR="00B66604" w:rsidRPr="004C6ED2" w:rsidRDefault="00B66604" w:rsidP="00B66604">
      <w:pPr>
        <w:pStyle w:val="ONUMFS"/>
        <w:numPr>
          <w:ilvl w:val="0"/>
          <w:numId w:val="0"/>
        </w:numPr>
        <w:rPr>
          <w:szCs w:val="22"/>
        </w:rPr>
      </w:pPr>
      <w:r w:rsidRPr="004C6ED2">
        <w:rPr>
          <w:szCs w:val="22"/>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B66604" w:rsidRPr="004C6ED2" w:rsidRDefault="00B66604" w:rsidP="00B66604">
      <w:pPr>
        <w:pStyle w:val="ONUMFS"/>
        <w:numPr>
          <w:ilvl w:val="0"/>
          <w:numId w:val="0"/>
        </w:numPr>
        <w:rPr>
          <w:szCs w:val="22"/>
        </w:rPr>
      </w:pPr>
      <w:r w:rsidRPr="004C6ED2">
        <w:rPr>
          <w:szCs w:val="22"/>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B66604" w:rsidRPr="004C6ED2" w:rsidRDefault="00B66604" w:rsidP="00B66604">
      <w:pPr>
        <w:pStyle w:val="ONUMFS"/>
        <w:numPr>
          <w:ilvl w:val="0"/>
          <w:numId w:val="0"/>
        </w:numPr>
        <w:rPr>
          <w:szCs w:val="22"/>
        </w:rPr>
      </w:pPr>
      <w:r w:rsidRPr="004C6ED2">
        <w:rPr>
          <w:i/>
          <w:iCs/>
          <w:szCs w:val="22"/>
          <w:u w:val="single"/>
        </w:rPr>
        <w:t>Uso leal</w:t>
      </w:r>
    </w:p>
    <w:p w:rsidR="00B66604" w:rsidRPr="004C6ED2" w:rsidRDefault="00B66604" w:rsidP="00B66604">
      <w:pPr>
        <w:pStyle w:val="ONUMFS"/>
        <w:numPr>
          <w:ilvl w:val="0"/>
          <w:numId w:val="0"/>
        </w:numPr>
        <w:rPr>
          <w:szCs w:val="22"/>
        </w:rPr>
      </w:pPr>
      <w:r w:rsidRPr="004C6ED2">
        <w:rPr>
          <w:szCs w:val="22"/>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C6ED2">
        <w:rPr>
          <w:i/>
          <w:iCs/>
          <w:szCs w:val="22"/>
        </w:rPr>
        <w:t>“fair use”</w:t>
      </w:r>
      <w:r w:rsidRPr="004C6ED2">
        <w:rPr>
          <w:szCs w:val="22"/>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B66604" w:rsidRPr="004C6ED2" w:rsidRDefault="00B66604" w:rsidP="00B66604">
      <w:pPr>
        <w:pStyle w:val="ONUMFS"/>
        <w:numPr>
          <w:ilvl w:val="0"/>
          <w:numId w:val="0"/>
        </w:numPr>
        <w:rPr>
          <w:szCs w:val="22"/>
        </w:rPr>
      </w:pPr>
      <w:r w:rsidRPr="004C6ED2">
        <w:rPr>
          <w:i/>
          <w:iCs/>
          <w:szCs w:val="22"/>
          <w:u w:val="single"/>
        </w:rPr>
        <w:t>Uso doméstico / uso con fines de salud pública</w:t>
      </w:r>
    </w:p>
    <w:p w:rsidR="00B66604" w:rsidRPr="004C6ED2" w:rsidRDefault="00B66604" w:rsidP="00B66604">
      <w:pPr>
        <w:pStyle w:val="ONUMFS"/>
        <w:numPr>
          <w:ilvl w:val="0"/>
          <w:numId w:val="0"/>
        </w:numPr>
        <w:rPr>
          <w:szCs w:val="22"/>
        </w:rPr>
      </w:pPr>
      <w:r w:rsidRPr="004C6ED2">
        <w:rPr>
          <w:szCs w:val="22"/>
        </w:rPr>
        <w:t xml:space="preserve">Por “uso doméstico” se entiende todo uso </w:t>
      </w:r>
      <w:r w:rsidRPr="004C6ED2">
        <w:rPr>
          <w:iCs/>
          <w:szCs w:val="22"/>
        </w:rPr>
        <w:t xml:space="preserve">“[p]erteneciente o relativo a la casa u hogar” </w:t>
      </w:r>
      <w:r w:rsidRPr="004C6ED2">
        <w:rPr>
          <w:szCs w:val="22"/>
        </w:rPr>
        <w:t>según define el término “doméstico” en el Diccionario de la lengua española de la Real Academia Española</w:t>
      </w:r>
      <w:r w:rsidRPr="004C6ED2">
        <w:rPr>
          <w:i/>
          <w:iCs/>
          <w:szCs w:val="22"/>
        </w:rPr>
        <w:t xml:space="preserve">.  </w:t>
      </w:r>
      <w:r w:rsidRPr="004C6ED2">
        <w:rPr>
          <w:szCs w:val="22"/>
        </w:rPr>
        <w:t>Para la referencia del término en inglés se utilizó el diccionario jurídico de Black</w:t>
      </w:r>
      <w:r w:rsidRPr="004C6ED2">
        <w:rPr>
          <w:i/>
          <w:iCs/>
          <w:szCs w:val="22"/>
        </w:rPr>
        <w:t xml:space="preserve">, </w:t>
      </w:r>
      <w:r w:rsidRPr="004C6ED2">
        <w:rPr>
          <w:szCs w:val="22"/>
        </w:rPr>
        <w:t>en el que</w:t>
      </w:r>
      <w:r w:rsidRPr="004C6ED2">
        <w:rPr>
          <w:i/>
          <w:iCs/>
          <w:szCs w:val="22"/>
        </w:rPr>
        <w:t xml:space="preserve"> “household” </w:t>
      </w:r>
      <w:r w:rsidRPr="004C6ED2">
        <w:rPr>
          <w:szCs w:val="22"/>
        </w:rPr>
        <w:t>se define como perteneciente a la casa o la familia, o doméstico.</w:t>
      </w:r>
    </w:p>
    <w:p w:rsidR="00B66604" w:rsidRPr="004C6ED2" w:rsidRDefault="00B66604" w:rsidP="00B66604">
      <w:pPr>
        <w:pStyle w:val="ONUMFS"/>
        <w:numPr>
          <w:ilvl w:val="0"/>
          <w:numId w:val="0"/>
        </w:numPr>
        <w:rPr>
          <w:szCs w:val="22"/>
        </w:rPr>
      </w:pPr>
      <w:r w:rsidRPr="004C6ED2">
        <w:rPr>
          <w:szCs w:val="22"/>
        </w:rPr>
        <w:t>En cuanto al término “uso con fines de salud pública”, en el párrafo 1 de la Declaración de Doha relativa al acuerdo sobre los ADPIC y la salud pública se reconoce “</w:t>
      </w:r>
      <w:r w:rsidRPr="004C6ED2">
        <w:rPr>
          <w:iCs/>
          <w:szCs w:val="22"/>
        </w:rPr>
        <w:t>la gravedad de los problemas de salud pública que afligen a muchos países en desarrollo y menos adelantados, especialmente los resultantes del VIH/SIDA, la tuberculosis, el paludismo y otras epidemias</w:t>
      </w:r>
      <w:r w:rsidRPr="004C6ED2">
        <w:rPr>
          <w:szCs w:val="22"/>
        </w:rPr>
        <w:t>”.  En el párrafo 5.c) se estipula además que “</w:t>
      </w:r>
      <w:r w:rsidRPr="004C6ED2">
        <w:rPr>
          <w:iCs/>
          <w:szCs w:val="22"/>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B66604" w:rsidRPr="004C6ED2" w:rsidRDefault="00B66604" w:rsidP="00B66604">
      <w:pPr>
        <w:pStyle w:val="ONUMFS"/>
        <w:numPr>
          <w:ilvl w:val="0"/>
          <w:numId w:val="0"/>
        </w:numPr>
        <w:rPr>
          <w:szCs w:val="22"/>
        </w:rPr>
      </w:pPr>
      <w:r w:rsidRPr="004C6ED2">
        <w:rPr>
          <w:i/>
          <w:iCs/>
          <w:szCs w:val="22"/>
          <w:u w:val="single"/>
        </w:rPr>
        <w:t>Uso con fines de investigación / uso educativo</w:t>
      </w:r>
    </w:p>
    <w:p w:rsidR="00B66604" w:rsidRPr="004C6ED2" w:rsidRDefault="00B66604" w:rsidP="00B66604">
      <w:pPr>
        <w:pStyle w:val="ONUMFS"/>
        <w:numPr>
          <w:ilvl w:val="0"/>
          <w:numId w:val="0"/>
        </w:numPr>
        <w:rPr>
          <w:szCs w:val="22"/>
        </w:rPr>
      </w:pPr>
      <w:r w:rsidRPr="004C6ED2">
        <w:rPr>
          <w:szCs w:val="22"/>
        </w:rPr>
        <w:t xml:space="preserve">En el Diccionario de la lengua española de la Real Academia Española se define “investigación” como </w:t>
      </w:r>
      <w:r w:rsidRPr="004C6ED2">
        <w:rPr>
          <w:iCs/>
          <w:szCs w:val="22"/>
        </w:rPr>
        <w:t>“[a]cción y efecto de investigar</w:t>
      </w:r>
      <w:r w:rsidRPr="004C6ED2">
        <w:rPr>
          <w:szCs w:val="22"/>
        </w:rPr>
        <w:t xml:space="preserve">”;  a su vez “investigar” como </w:t>
      </w:r>
      <w:r w:rsidRPr="004C6ED2">
        <w:rPr>
          <w:iCs/>
          <w:szCs w:val="22"/>
        </w:rPr>
        <w:t>“[r]ealizar actividades intelectuales y experimentales de modo sistemático con el propósito de aumentar los conocimientos sobre una determinada materia</w:t>
      </w:r>
      <w:r w:rsidRPr="004C6ED2">
        <w:rPr>
          <w:szCs w:val="22"/>
        </w:rPr>
        <w:t xml:space="preserve">” y “experimentar” como </w:t>
      </w:r>
      <w:r w:rsidRPr="004C6ED2">
        <w:rPr>
          <w:iCs/>
          <w:szCs w:val="22"/>
        </w:rPr>
        <w:t>“[p]robar y examinar prácticamente la virtud y propiedades de algo</w:t>
      </w:r>
      <w:r w:rsidRPr="004C6ED2">
        <w:rPr>
          <w:szCs w:val="22"/>
        </w:rPr>
        <w:t>”.  Para la referencia del término en inglés se utilizó el diccionario jurídico de Black</w:t>
      </w:r>
      <w:r w:rsidRPr="004C6ED2">
        <w:rPr>
          <w:iCs/>
          <w:szCs w:val="22"/>
        </w:rPr>
        <w:t>,</w:t>
      </w:r>
      <w:r w:rsidRPr="004C6ED2">
        <w:rPr>
          <w:szCs w:val="22"/>
        </w:rPr>
        <w:t xml:space="preserve"> en el que la expresión “</w:t>
      </w:r>
      <w:r w:rsidRPr="004C6ED2">
        <w:rPr>
          <w:iCs/>
          <w:szCs w:val="22"/>
        </w:rPr>
        <w:t>experimental-use defense”</w:t>
      </w:r>
      <w:r w:rsidRPr="004C6ED2">
        <w:rPr>
          <w:szCs w:val="22"/>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w:t>
      </w:r>
      <w:r w:rsidRPr="004C6ED2">
        <w:rPr>
          <w:szCs w:val="22"/>
        </w:rPr>
        <w:lastRenderedPageBreak/>
        <w:t>actualidad se aplicaría únicamente a la investigación a los fines de comprobar las reivindicaciones del inventor.</w:t>
      </w:r>
    </w:p>
    <w:p w:rsidR="00B66604" w:rsidRPr="004C6ED2" w:rsidRDefault="00B66604" w:rsidP="00B66604">
      <w:pPr>
        <w:pStyle w:val="ONUMFS"/>
        <w:numPr>
          <w:ilvl w:val="0"/>
          <w:numId w:val="0"/>
        </w:numPr>
        <w:rPr>
          <w:szCs w:val="22"/>
        </w:rPr>
      </w:pPr>
      <w:r w:rsidRPr="004C6ED2">
        <w:rPr>
          <w:szCs w:val="22"/>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B66604" w:rsidRPr="004C6ED2" w:rsidRDefault="00B66604" w:rsidP="00B66604">
      <w:pPr>
        <w:pStyle w:val="ONUMFS"/>
        <w:numPr>
          <w:ilvl w:val="0"/>
          <w:numId w:val="0"/>
        </w:numPr>
        <w:ind w:left="550"/>
        <w:rPr>
          <w:szCs w:val="22"/>
        </w:rPr>
      </w:pPr>
      <w:r w:rsidRPr="004C6ED2">
        <w:rPr>
          <w:szCs w:val="22"/>
        </w:rPr>
        <w:t>a)</w:t>
      </w:r>
      <w:r w:rsidRPr="004C6ED2">
        <w:rPr>
          <w:szCs w:val="22"/>
        </w:rPr>
        <w:tab/>
        <w:t>actos efectuados con fines privados o no comerciales;</w:t>
      </w:r>
    </w:p>
    <w:p w:rsidR="00311C84" w:rsidRPr="004C6ED2" w:rsidRDefault="00A92210" w:rsidP="00B66604">
      <w:pPr>
        <w:pStyle w:val="ONUMFS"/>
        <w:numPr>
          <w:ilvl w:val="0"/>
          <w:numId w:val="0"/>
        </w:numPr>
        <w:rPr>
          <w:szCs w:val="22"/>
        </w:rPr>
      </w:pPr>
      <w:r w:rsidRPr="004C6ED2">
        <w:rPr>
          <w:szCs w:val="22"/>
        </w:rPr>
        <w:tab/>
      </w:r>
      <w:r w:rsidR="00B66604" w:rsidRPr="004C6ED2">
        <w:rPr>
          <w:szCs w:val="22"/>
        </w:rPr>
        <w:t>b)</w:t>
      </w:r>
      <w:r w:rsidR="00B66604" w:rsidRPr="004C6ED2">
        <w:rPr>
          <w:szCs w:val="22"/>
        </w:rPr>
        <w:tab/>
        <w:t>actos efectuados con fines experimentales o de investigación.</w:t>
      </w:r>
    </w:p>
    <w:p w:rsidR="00B66604" w:rsidRPr="004C6ED2" w:rsidRDefault="00B66604" w:rsidP="00B66604">
      <w:pPr>
        <w:pStyle w:val="ONUMFS"/>
        <w:numPr>
          <w:ilvl w:val="0"/>
          <w:numId w:val="0"/>
        </w:numPr>
        <w:rPr>
          <w:b/>
          <w:bCs/>
          <w:szCs w:val="22"/>
        </w:rPr>
      </w:pPr>
      <w:r w:rsidRPr="004C6ED2">
        <w:rPr>
          <w:b/>
          <w:bCs/>
          <w:szCs w:val="22"/>
        </w:rPr>
        <w:t>Utilización</w:t>
      </w:r>
    </w:p>
    <w:p w:rsidR="00B66604" w:rsidRPr="004C6ED2" w:rsidRDefault="00B66604" w:rsidP="00B66604">
      <w:pPr>
        <w:pStyle w:val="ONUMFS"/>
        <w:numPr>
          <w:ilvl w:val="0"/>
          <w:numId w:val="0"/>
        </w:numPr>
        <w:rPr>
          <w:szCs w:val="22"/>
        </w:rPr>
      </w:pPr>
      <w:r w:rsidRPr="004C6ED2">
        <w:rPr>
          <w:szCs w:val="22"/>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311C84" w:rsidRPr="004C6ED2" w:rsidRDefault="00B66604" w:rsidP="00B66604">
      <w:pPr>
        <w:pStyle w:val="ONUMFS"/>
        <w:numPr>
          <w:ilvl w:val="0"/>
          <w:numId w:val="0"/>
        </w:numPr>
        <w:rPr>
          <w:szCs w:val="22"/>
        </w:rPr>
      </w:pPr>
      <w:r w:rsidRPr="004C6ED2">
        <w:rPr>
          <w:szCs w:val="22"/>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w:t>
      </w:r>
      <w:r w:rsidR="004C6ED2" w:rsidRPr="004C6ED2">
        <w:rPr>
          <w:szCs w:val="22"/>
        </w:rPr>
        <w:t>, i</w:t>
      </w:r>
      <w:r w:rsidRPr="004C6ED2">
        <w:rPr>
          <w:szCs w:val="22"/>
        </w:rPr>
        <w:t>ncluyendo mediante la aplicación de biotecnología”.</w:t>
      </w:r>
    </w:p>
    <w:p w:rsidR="009D13E8" w:rsidRPr="004C6ED2" w:rsidRDefault="009D13E8" w:rsidP="009D13E8">
      <w:pPr>
        <w:pStyle w:val="ONUMFS"/>
        <w:numPr>
          <w:ilvl w:val="0"/>
          <w:numId w:val="0"/>
        </w:numPr>
        <w:rPr>
          <w:b/>
          <w:bCs/>
          <w:szCs w:val="22"/>
        </w:rPr>
      </w:pPr>
      <w:r w:rsidRPr="004C6ED2">
        <w:rPr>
          <w:b/>
          <w:bCs/>
          <w:szCs w:val="22"/>
        </w:rPr>
        <w:t>Guía de la OMPI para la catalogación de conocimientos tradicionales</w:t>
      </w:r>
    </w:p>
    <w:p w:rsidR="009D13E8" w:rsidRPr="004C6ED2" w:rsidRDefault="009D13E8" w:rsidP="009D13E8">
      <w:pPr>
        <w:pStyle w:val="ONUMFS"/>
        <w:numPr>
          <w:ilvl w:val="0"/>
          <w:numId w:val="0"/>
        </w:numPr>
        <w:rPr>
          <w:szCs w:val="22"/>
        </w:rPr>
      </w:pPr>
      <w:r w:rsidRPr="004C6ED2">
        <w:rPr>
          <w:szCs w:val="22"/>
        </w:rPr>
        <w:t xml:space="preserve">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w:t>
      </w:r>
      <w:r w:rsidR="00053048">
        <w:rPr>
          <w:szCs w:val="22"/>
        </w:rPr>
        <w:t xml:space="preserve">consulta de </w:t>
      </w:r>
      <w:r w:rsidRPr="004C6ED2">
        <w:rPr>
          <w:szCs w:val="22"/>
        </w:rPr>
        <w:t xml:space="preserve">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w:t>
      </w:r>
      <w:r w:rsidR="00053048">
        <w:rPr>
          <w:szCs w:val="22"/>
        </w:rPr>
        <w:t xml:space="preserve">consulta de </w:t>
      </w:r>
      <w:r w:rsidRPr="004C6ED2">
        <w:rPr>
          <w:szCs w:val="22"/>
        </w:rPr>
        <w:t>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4C6ED2">
        <w:rPr>
          <w:rStyle w:val="FootnoteReference"/>
          <w:szCs w:val="22"/>
        </w:rPr>
        <w:footnoteReference w:id="179"/>
      </w:r>
    </w:p>
    <w:p w:rsidR="009D13E8" w:rsidRPr="004C6ED2" w:rsidRDefault="009D13E8" w:rsidP="009D13E8">
      <w:pPr>
        <w:pStyle w:val="ONUMFS"/>
        <w:numPr>
          <w:ilvl w:val="0"/>
          <w:numId w:val="0"/>
        </w:numPr>
        <w:rPr>
          <w:szCs w:val="22"/>
        </w:rPr>
      </w:pPr>
      <w:r w:rsidRPr="004C6ED2">
        <w:rPr>
          <w:szCs w:val="22"/>
        </w:rPr>
        <w:t xml:space="preserve">El borrador de </w:t>
      </w:r>
      <w:r w:rsidR="00053048">
        <w:rPr>
          <w:szCs w:val="22"/>
        </w:rPr>
        <w:t xml:space="preserve">consulta de </w:t>
      </w:r>
      <w:r w:rsidRPr="004C6ED2">
        <w:rPr>
          <w:szCs w:val="22"/>
        </w:rPr>
        <w:t xml:space="preserve">la </w:t>
      </w:r>
      <w:r w:rsidR="00053048">
        <w:rPr>
          <w:szCs w:val="22"/>
        </w:rPr>
        <w:t>g</w:t>
      </w:r>
      <w:r w:rsidR="00053048" w:rsidRPr="00053048">
        <w:rPr>
          <w:szCs w:val="22"/>
        </w:rPr>
        <w:t>uía de la OMPI para la catalogación de conocimientos tradicionales</w:t>
      </w:r>
      <w:r w:rsidR="00053048">
        <w:rPr>
          <w:szCs w:val="22"/>
        </w:rPr>
        <w:t xml:space="preserve"> </w:t>
      </w:r>
      <w:r w:rsidRPr="004C6ED2">
        <w:rPr>
          <w:szCs w:val="22"/>
        </w:rPr>
        <w:t>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311C84" w:rsidRPr="004C6ED2" w:rsidRDefault="009D13E8" w:rsidP="009D13E8">
      <w:pPr>
        <w:pStyle w:val="ONUMFS"/>
        <w:numPr>
          <w:ilvl w:val="0"/>
          <w:numId w:val="0"/>
        </w:numPr>
        <w:rPr>
          <w:szCs w:val="22"/>
        </w:rPr>
      </w:pPr>
      <w:r w:rsidRPr="004C6ED2">
        <w:rPr>
          <w:szCs w:val="22"/>
        </w:rPr>
        <w:t xml:space="preserve">Durante el proceso de catalogación es posible proteger los conocimientos mediante derechos de propiedad intelectual y otros instrumentos jurídicos, pero únicamente si se toman las medidas adecuadas.  </w:t>
      </w:r>
      <w:r w:rsidR="00053048" w:rsidRPr="00053048">
        <w:rPr>
          <w:szCs w:val="22"/>
        </w:rPr>
        <w:t xml:space="preserve">El borrador de consulta de la guía de la OMPI para la catalogación de conocimientos tradicionales </w:t>
      </w:r>
      <w:r w:rsidRPr="004C6ED2">
        <w:rPr>
          <w:szCs w:val="22"/>
        </w:rPr>
        <w:t xml:space="preserve">ayudará a evaluar las opciones de propiedad intelectual así como a planificar y </w:t>
      </w:r>
      <w:r w:rsidRPr="004C6ED2">
        <w:rPr>
          <w:szCs w:val="22"/>
        </w:rPr>
        <w:lastRenderedPageBreak/>
        <w:t>aplicar las opciones y estrategias de propiedad intelectual a la hora de catalogar conocimientos tradicionales o recursos biológicos.</w:t>
      </w:r>
    </w:p>
    <w:p w:rsidR="00311C84" w:rsidRPr="004C6ED2" w:rsidRDefault="00311C84" w:rsidP="00311C84">
      <w:pPr>
        <w:pStyle w:val="ONUMFS"/>
        <w:numPr>
          <w:ilvl w:val="0"/>
          <w:numId w:val="0"/>
        </w:numPr>
        <w:rPr>
          <w:b/>
          <w:bCs/>
          <w:szCs w:val="22"/>
        </w:rPr>
      </w:pPr>
      <w:r w:rsidRPr="004C6ED2">
        <w:rPr>
          <w:b/>
          <w:bCs/>
          <w:szCs w:val="22"/>
        </w:rPr>
        <w:t>Disposiciones Tipo OMPI-UNESCO para leyes nacionales sobre la protección de las expresiones del folclore contra la explotación ilícita y otras acciones lesivas</w:t>
      </w:r>
    </w:p>
    <w:p w:rsidR="00311C84" w:rsidRPr="004C6ED2" w:rsidRDefault="00311C84" w:rsidP="00311C84">
      <w:pPr>
        <w:pStyle w:val="ONUMFS"/>
        <w:numPr>
          <w:ilvl w:val="0"/>
          <w:numId w:val="0"/>
        </w:numPr>
        <w:rPr>
          <w:szCs w:val="22"/>
        </w:rPr>
      </w:pPr>
      <w:r w:rsidRPr="004C6ED2">
        <w:rPr>
          <w:szCs w:val="22"/>
        </w:rPr>
        <w:t xml:space="preserve">Las Disposiciones Tipo fueron aprobadas en 1982 por un Comité de Expertos Gubernamentales nombrado por la OMPI y la UNESCO.  En ellas se establece un modelo </w:t>
      </w:r>
      <w:r w:rsidRPr="004C6ED2">
        <w:rPr>
          <w:iCs/>
          <w:szCs w:val="22"/>
        </w:rPr>
        <w:t>sui g</w:t>
      </w:r>
      <w:r w:rsidR="009D5433" w:rsidRPr="004C6ED2">
        <w:rPr>
          <w:iCs/>
          <w:szCs w:val="22"/>
        </w:rPr>
        <w:t>é</w:t>
      </w:r>
      <w:r w:rsidRPr="004C6ED2">
        <w:rPr>
          <w:iCs/>
          <w:szCs w:val="22"/>
        </w:rPr>
        <w:t>neris</w:t>
      </w:r>
      <w:r w:rsidRPr="004C6ED2">
        <w:rPr>
          <w:i/>
          <w:iCs/>
          <w:szCs w:val="22"/>
        </w:rPr>
        <w:t xml:space="preserve"> </w:t>
      </w:r>
      <w:r w:rsidRPr="004C6ED2">
        <w:rPr>
          <w:szCs w:val="22"/>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311C84" w:rsidRPr="004C6ED2" w:rsidRDefault="00311C84" w:rsidP="00311C84">
      <w:pPr>
        <w:pStyle w:val="ONUMFS"/>
        <w:numPr>
          <w:ilvl w:val="0"/>
          <w:numId w:val="0"/>
        </w:numPr>
        <w:rPr>
          <w:szCs w:val="22"/>
        </w:rPr>
      </w:pPr>
      <w:r w:rsidRPr="004C6ED2">
        <w:rPr>
          <w:szCs w:val="22"/>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311C84" w:rsidRPr="004C6ED2" w:rsidRDefault="00311C84" w:rsidP="00311C84">
      <w:pPr>
        <w:pStyle w:val="ONUMFS"/>
        <w:numPr>
          <w:ilvl w:val="0"/>
          <w:numId w:val="0"/>
        </w:numPr>
        <w:rPr>
          <w:szCs w:val="22"/>
        </w:rPr>
      </w:pPr>
      <w:r w:rsidRPr="004C6ED2">
        <w:rPr>
          <w:szCs w:val="22"/>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311C84" w:rsidRPr="002E06EB" w:rsidRDefault="00311C84" w:rsidP="00311C84">
      <w:pPr>
        <w:pStyle w:val="Endofdocument-Annex"/>
        <w:rPr>
          <w:szCs w:val="22"/>
        </w:rPr>
      </w:pPr>
      <w:r w:rsidRPr="004C6ED2">
        <w:rPr>
          <w:szCs w:val="22"/>
        </w:rPr>
        <w:t>[Fin del Anexo y del documento]</w:t>
      </w:r>
    </w:p>
    <w:p w:rsidR="00311C84" w:rsidRPr="00FF7DA7" w:rsidRDefault="00311C84" w:rsidP="00311C84">
      <w:pPr>
        <w:rPr>
          <w:lang w:eastAsia="zh-CN"/>
        </w:rPr>
      </w:pPr>
    </w:p>
    <w:sectPr w:rsidR="00311C84" w:rsidRPr="00FF7DA7" w:rsidSect="00A00502">
      <w:headerReference w:type="default" r:id="rId10"/>
      <w:headerReference w:type="first" r:id="rId11"/>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BE" w:rsidRDefault="00AF5EBE">
      <w:r>
        <w:separator/>
      </w:r>
    </w:p>
  </w:endnote>
  <w:endnote w:type="continuationSeparator" w:id="0">
    <w:p w:rsidR="00AF5EBE" w:rsidRDefault="00AF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BE" w:rsidRDefault="00AF5EBE">
      <w:r>
        <w:separator/>
      </w:r>
    </w:p>
  </w:footnote>
  <w:footnote w:type="continuationSeparator" w:id="0">
    <w:p w:rsidR="00AF5EBE" w:rsidRDefault="00AF5EBE">
      <w:r>
        <w:continuationSeparator/>
      </w:r>
    </w:p>
  </w:footnote>
  <w:footnote w:id="1">
    <w:p w:rsidR="00403F66" w:rsidRPr="00A94654" w:rsidRDefault="00403F66" w:rsidP="00311C84">
      <w:pPr>
        <w:pStyle w:val="FootnoteText"/>
        <w:ind w:left="550" w:hanging="550"/>
      </w:pPr>
      <w:r w:rsidRPr="00A94654">
        <w:rPr>
          <w:rStyle w:val="FootnoteReference"/>
        </w:rPr>
        <w:footnoteRef/>
      </w:r>
      <w:r w:rsidRPr="00A94654">
        <w:t xml:space="preserve"> </w:t>
      </w:r>
      <w:r w:rsidRPr="00A94654">
        <w:tab/>
        <w:t>Informe de la decimosexta sesión del Comité (WIPO/GRTKF/IC/16/8) y de la decimoséptima sesión del Comité (WIPO/GRTKF/IC/17/12).</w:t>
      </w:r>
    </w:p>
  </w:footnote>
  <w:footnote w:id="2">
    <w:p w:rsidR="00403F66" w:rsidRPr="00A94654" w:rsidRDefault="00403F66" w:rsidP="00311C84">
      <w:pPr>
        <w:pStyle w:val="FootnoteText"/>
      </w:pPr>
      <w:r w:rsidRPr="00A94654">
        <w:rPr>
          <w:rStyle w:val="FootnoteReference"/>
        </w:rPr>
        <w:footnoteRef/>
      </w:r>
      <w:r w:rsidRPr="00A94654">
        <w:t xml:space="preserve"> </w:t>
      </w:r>
      <w:r w:rsidRPr="00A94654">
        <w:tab/>
        <w:t>Informe de la decimonovena sesión del Comité (WIPO/GRTKF/IC/19/12).</w:t>
      </w:r>
    </w:p>
  </w:footnote>
  <w:footnote w:id="3">
    <w:p w:rsidR="00403F66" w:rsidRPr="00A94654" w:rsidRDefault="00403F66">
      <w:pPr>
        <w:pStyle w:val="FootnoteText"/>
      </w:pPr>
      <w:r w:rsidRPr="00A94654">
        <w:rPr>
          <w:rStyle w:val="FootnoteReference"/>
        </w:rPr>
        <w:t>*</w:t>
      </w:r>
      <w:r w:rsidRPr="00A94654">
        <w:t xml:space="preserve"> </w:t>
      </w:r>
      <w:r w:rsidRPr="00A94654">
        <w:tab/>
        <w:t>Los términos aparecen en el orden alfabético de la versión en inglés.</w:t>
      </w:r>
    </w:p>
  </w:footnote>
  <w:footnote w:id="4">
    <w:p w:rsidR="00403F66" w:rsidRPr="00A94654" w:rsidRDefault="00403F66"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Protocolo de Nagoya sobre Acceso a los Recursos Genéticos y Participación Justa y Equitativa en los Beneficios que se Deriven de su Utilización al Convenio sobre la Diversidad Biológica, art. 5.4.</w:t>
      </w:r>
    </w:p>
  </w:footnote>
  <w:footnote w:id="5">
    <w:p w:rsidR="00403F66" w:rsidRPr="00A94654" w:rsidRDefault="00403F66"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Directrices de Bonn sobre Acceso a los Recursos Genéticos y Distribución Justa y Equitativa de los Beneficios Provenientes de su Utilización, párr. 23.</w:t>
      </w:r>
    </w:p>
  </w:footnote>
  <w:footnote w:id="6">
    <w:p w:rsidR="00403F66" w:rsidRPr="00A94654" w:rsidRDefault="00403F66"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Guía sobre los tratados de derecho de autor y derechos conexos administrados por la OMPI</w:t>
      </w:r>
      <w:r w:rsidRPr="00A94654">
        <w:rPr>
          <w:szCs w:val="18"/>
        </w:rPr>
        <w:t xml:space="preserve"> y Glosario de términos y expresiones sobre derecho de autor y derechos conexos, pág. 273, OMPI.</w:t>
      </w:r>
    </w:p>
  </w:footnote>
  <w:footnote w:id="7">
    <w:p w:rsidR="00403F66" w:rsidRPr="00A94654" w:rsidRDefault="00403F66"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La edición consultada del </w:t>
      </w:r>
      <w:r w:rsidRPr="00A94654">
        <w:rPr>
          <w:i/>
          <w:iCs/>
          <w:szCs w:val="18"/>
        </w:rPr>
        <w:t>Black’s Law Dictionary</w:t>
      </w:r>
      <w:r w:rsidRPr="00A94654">
        <w:rPr>
          <w:szCs w:val="18"/>
        </w:rPr>
        <w:t xml:space="preserve"> es la 8ª, a cargo de Bryan A. Garner.</w:t>
      </w:r>
    </w:p>
  </w:footnote>
  <w:footnote w:id="8">
    <w:p w:rsidR="00403F66" w:rsidRPr="00A94654" w:rsidRDefault="00403F66" w:rsidP="004C32C3">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r w:rsidRPr="00A94654">
        <w:rPr>
          <w:i/>
          <w:szCs w:val="18"/>
          <w:lang w:val="en-US"/>
        </w:rPr>
        <w:t xml:space="preserve">Recommendations </w:t>
      </w:r>
      <w:r w:rsidRPr="00A94654">
        <w:rPr>
          <w:i/>
          <w:iCs/>
          <w:szCs w:val="18"/>
          <w:lang w:val="en-US"/>
        </w:rPr>
        <w:t>for</w:t>
      </w:r>
      <w:r w:rsidRPr="00A94654">
        <w:rPr>
          <w:i/>
          <w:szCs w:val="18"/>
          <w:lang w:val="en-US"/>
        </w:rPr>
        <w:t xml:space="preserve"> African Negotiators from the 2nd Preparatory Meeting of African Indigenous Peoples and Local Communities</w:t>
      </w:r>
      <w:r w:rsidRPr="00A94654">
        <w:rPr>
          <w:szCs w:val="18"/>
          <w:lang w:val="en-US"/>
        </w:rPr>
        <w:t xml:space="preserve"> (UNEP/CBD/COP/10/INF/37) 14 de octubre de 2010.</w:t>
      </w:r>
    </w:p>
  </w:footnote>
  <w:footnote w:id="9">
    <w:p w:rsidR="00403F66" w:rsidRPr="00A94654" w:rsidRDefault="00403F66" w:rsidP="00D05BA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w:t>
      </w:r>
    </w:p>
  </w:footnote>
  <w:footnote w:id="10">
    <w:p w:rsidR="00403F66" w:rsidRPr="00A94654" w:rsidRDefault="00403F66"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2.1a).</w:t>
      </w:r>
    </w:p>
  </w:footnote>
  <w:footnote w:id="11">
    <w:p w:rsidR="00403F66" w:rsidRPr="00A94654" w:rsidRDefault="00403F66"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Código de Reglamentos Federales y Manual de procedimiento para el examen de patentes (MPEP) de la USPTO:  2403.01, art 1.801, Cap. 37.  (Traducción oficiosa de la Oficina Internacional).</w:t>
      </w:r>
    </w:p>
  </w:footnote>
  <w:footnote w:id="12">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3.1.</w:t>
      </w:r>
    </w:p>
  </w:footnote>
  <w:footnote w:id="13">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WIPO/GRTKF/IC/1/3, párr.16.</w:t>
      </w:r>
    </w:p>
  </w:footnote>
  <w:footnote w:id="14">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Declaración de la FAO sobre biotecnología, disponible en:  </w:t>
      </w:r>
      <w:hyperlink r:id="rId1" w:history="1">
        <w:r w:rsidRPr="00A94654">
          <w:rPr>
            <w:rStyle w:val="Hyperlink"/>
            <w:szCs w:val="18"/>
          </w:rPr>
          <w:t>http://www.fao.org/biotech/stat.asp</w:t>
        </w:r>
      </w:hyperlink>
      <w:r w:rsidRPr="00A94654">
        <w:rPr>
          <w:szCs w:val="18"/>
        </w:rPr>
        <w:t>.</w:t>
      </w:r>
    </w:p>
  </w:footnote>
  <w:footnote w:id="15">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definición y la definición basada en la lista completa en:  </w:t>
      </w:r>
      <w:hyperlink r:id="rId2" w:history="1">
        <w:r w:rsidRPr="00BB3678">
          <w:rPr>
            <w:rStyle w:val="Hyperlink"/>
            <w:szCs w:val="18"/>
          </w:rPr>
          <w:t>http://www.oecd.org/sti/biotechnologypolicies/statisticaldefinitionofbiotechnology.htm</w:t>
        </w:r>
      </w:hyperlink>
      <w:r>
        <w:rPr>
          <w:szCs w:val="18"/>
        </w:rPr>
        <w:t xml:space="preserve">. </w:t>
      </w:r>
    </w:p>
  </w:footnote>
  <w:footnote w:id="16">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1, 7.a) y 17 a 21.</w:t>
      </w:r>
    </w:p>
  </w:footnote>
  <w:footnote w:id="17">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24 a 50, Apéndice II.</w:t>
      </w:r>
    </w:p>
  </w:footnote>
  <w:footnote w:id="18">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 xml:space="preserve">Véase el glosario del PNUMA de términos para negociadores de acuerdos ambientales multilaterales, </w:t>
      </w:r>
      <w:r w:rsidRPr="00A94654">
        <w:rPr>
          <w:szCs w:val="18"/>
        </w:rPr>
        <w:t xml:space="preserve">disponible en:  </w:t>
      </w:r>
      <w:hyperlink r:id="rId3" w:history="1">
        <w:r w:rsidRPr="00BB3678">
          <w:rPr>
            <w:rStyle w:val="Hyperlink"/>
            <w:szCs w:val="18"/>
          </w:rPr>
          <w:t>http://www.unep.org/delc/portals/119/Glossary/terms%20_for_Negotiators_MEAs.pdf</w:t>
        </w:r>
      </w:hyperlink>
      <w:r>
        <w:rPr>
          <w:szCs w:val="18"/>
        </w:rPr>
        <w:t xml:space="preserve">. </w:t>
      </w:r>
    </w:p>
  </w:footnote>
  <w:footnote w:id="19">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Para más información, </w:t>
      </w:r>
      <w:r>
        <w:rPr>
          <w:szCs w:val="18"/>
        </w:rPr>
        <w:t xml:space="preserve">véase:  </w:t>
      </w:r>
      <w:hyperlink r:id="rId4" w:history="1">
        <w:r w:rsidRPr="00BB3678">
          <w:rPr>
            <w:rStyle w:val="Hyperlink"/>
            <w:szCs w:val="18"/>
          </w:rPr>
          <w:t>http://www.cbd.int/chm/</w:t>
        </w:r>
      </w:hyperlink>
      <w:r>
        <w:rPr>
          <w:szCs w:val="18"/>
        </w:rPr>
        <w:t xml:space="preserve">. </w:t>
      </w:r>
    </w:p>
  </w:footnote>
  <w:footnote w:id="20">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“Lista y breve descripción técnica de las diferentes formas que pueden presentar los conocimientos tradicionales” (WIPO/GRTKF/IC/17/INF/9), párr. 16 del Anexo.</w:t>
      </w:r>
    </w:p>
  </w:footnote>
  <w:footnote w:id="21">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Ayurveda es un sistema codificado de medicina tradicional que se legó por escrito en el período védico, cuando los arios compilaron los cuatro Vedas (1500-1800 A.C.) y cuyas referencias máximas se hallan en el </w:t>
      </w:r>
      <w:r w:rsidRPr="00A94654">
        <w:rPr>
          <w:i/>
          <w:iCs/>
          <w:szCs w:val="18"/>
        </w:rPr>
        <w:t>Rigveda</w:t>
      </w:r>
      <w:r w:rsidRPr="00A94654">
        <w:rPr>
          <w:szCs w:val="18"/>
        </w:rPr>
        <w:t xml:space="preserve"> y el </w:t>
      </w:r>
      <w:r w:rsidRPr="00A94654">
        <w:rPr>
          <w:i/>
          <w:iCs/>
          <w:szCs w:val="18"/>
        </w:rPr>
        <w:t>Atharvaveda.</w:t>
      </w:r>
    </w:p>
  </w:footnote>
  <w:footnote w:id="22">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tradicional china fue codificada y se divulgó inicialmente por escrito en el </w:t>
      </w:r>
      <w:r w:rsidRPr="00A94654">
        <w:rPr>
          <w:i/>
          <w:iCs/>
          <w:szCs w:val="18"/>
        </w:rPr>
        <w:t>Canon de Medicina Interna del Emperador Amarillo</w:t>
      </w:r>
      <w:r w:rsidRPr="00A94654">
        <w:rPr>
          <w:szCs w:val="18"/>
        </w:rPr>
        <w:t>, primer clásico monumental que estableció la medicina tradicional china.  El Canon se compiló durante varios cientos de años y apareció entre los años 300 y 100 A.C.</w:t>
      </w:r>
    </w:p>
  </w:footnote>
  <w:footnote w:id="23">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lang w:val="en-US"/>
        </w:rPr>
        <w:t>8.  Véase también, Karin Timmermans y Togi Hutadjulu:  “The TRIPs Agreement and Pharmaceuticals:  Report of an ASEAN Workshop on the TRIPs Agreement and its Impact on Pharmaceuticals”, pág. 45.</w:t>
      </w:r>
    </w:p>
  </w:footnote>
  <w:footnote w:id="24">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Intervención de la Delegación del Canadá.  Véase el informe de la segunda sesión (OMPI/GRTKF/IC/2/16), párr. </w:t>
      </w:r>
      <w:r w:rsidRPr="00A94654">
        <w:rPr>
          <w:szCs w:val="18"/>
          <w:lang w:val="en-US"/>
        </w:rPr>
        <w:t>131.</w:t>
      </w:r>
    </w:p>
  </w:footnote>
  <w:footnote w:id="25">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Terri Janke, </w:t>
      </w:r>
      <w:r w:rsidRPr="00A94654">
        <w:rPr>
          <w:i/>
          <w:iCs/>
          <w:szCs w:val="18"/>
          <w:lang w:val="en-US"/>
        </w:rPr>
        <w:t>Pathways &amp; Protocols – A Filmaker’s guide to Working with Indigenous People, Culture and Concepts</w:t>
      </w:r>
      <w:r w:rsidRPr="00A94654">
        <w:rPr>
          <w:iCs/>
          <w:szCs w:val="18"/>
          <w:lang w:val="en-US"/>
        </w:rPr>
        <w:t>, pág. 51.</w:t>
      </w:r>
    </w:p>
  </w:footnote>
  <w:footnote w:id="26">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Proyecto de glosario encargado por la Comisión Nacional de los Países Bajos ante la UNESCO a un grupo de expertos de dicho país (TER/CH/2002/WD/4) 2002.  (Traducción oficiosa de la Oficina Internacional).</w:t>
      </w:r>
    </w:p>
  </w:footnote>
  <w:footnote w:id="27">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4.1.</w:t>
      </w:r>
    </w:p>
  </w:footnote>
  <w:footnote w:id="28">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4.3).</w:t>
      </w:r>
    </w:p>
  </w:footnote>
  <w:footnote w:id="29">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ab/>
        <w:t xml:space="preserve">Tesauro de la UNESCO, </w:t>
      </w:r>
      <w:hyperlink r:id="rId5" w:history="1">
        <w:r w:rsidRPr="00A94654">
          <w:rPr>
            <w:rStyle w:val="Hyperlink"/>
            <w:szCs w:val="18"/>
          </w:rPr>
          <w:t>http://www.vocabularyserver.com/unesco/?tema=2563</w:t>
        </w:r>
      </w:hyperlink>
      <w:r w:rsidRPr="00A94654">
        <w:rPr>
          <w:szCs w:val="18"/>
        </w:rPr>
        <w:t xml:space="preserve">. </w:t>
      </w:r>
      <w:hyperlink r:id="rId6" w:history="1">
        <w:r w:rsidRPr="00A94654">
          <w:rPr>
            <w:rStyle w:val="Hyperlink"/>
            <w:szCs w:val="18"/>
          </w:rPr>
          <w:t>http://www.vocabularyserver.com/unesco/index.php?tema=6846?/identidad-cultural</w:t>
        </w:r>
      </w:hyperlink>
      <w:r w:rsidRPr="00A94654">
        <w:rPr>
          <w:szCs w:val="18"/>
        </w:rPr>
        <w:t>.  (Traducción oficiosa de la Oficina Internacional).</w:t>
      </w:r>
    </w:p>
  </w:footnote>
  <w:footnote w:id="30">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ab/>
        <w:t>Convenio Nº 169 de la OIT sobre pueblos indígenas y tribales en países independientes, 1989, art. 2.2)b).</w:t>
      </w:r>
    </w:p>
  </w:footnote>
  <w:footnote w:id="31">
    <w:p w:rsidR="00403F66" w:rsidRPr="00A94654" w:rsidRDefault="00403F66" w:rsidP="00114A0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Parte III, párr. 42.</w:t>
      </w:r>
    </w:p>
  </w:footnote>
  <w:footnote w:id="32">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Proteger los derechos de la comunidad sobre los conocimientos tradicionales:  repercusiones de las leyes y prácticas consuetudinarias.  Seminario de planificación de la investigación, Cuzco (Perú), 20 a 25 de mayo de 2005.</w:t>
      </w:r>
    </w:p>
  </w:footnote>
  <w:footnote w:id="33">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A94654">
          <w:rPr>
            <w:rStyle w:val="Hyperlink"/>
            <w:szCs w:val="18"/>
          </w:rPr>
          <w:t>http://www.wipo.int/tk/es/consultaciones/customary_law/index.html</w:t>
        </w:r>
      </w:hyperlink>
    </w:p>
  </w:footnote>
  <w:footnote w:id="34">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Paul Kuruk, “El derecho consuetudinario en África y la protección del folclore”, en </w:t>
      </w:r>
      <w:r w:rsidRPr="00A94654">
        <w:rPr>
          <w:i/>
          <w:iCs/>
          <w:szCs w:val="18"/>
        </w:rPr>
        <w:t>Boletín de Derecho de Autor,</w:t>
      </w:r>
      <w:r w:rsidRPr="00A94654">
        <w:rPr>
          <w:szCs w:val="18"/>
        </w:rPr>
        <w:t xml:space="preserve"> XXXVI, No.2, 2002, pág. 6 (</w:t>
      </w:r>
      <w:hyperlink r:id="rId8" w:history="1">
        <w:r w:rsidRPr="00A94654">
          <w:rPr>
            <w:rStyle w:val="Hyperlink"/>
            <w:szCs w:val="18"/>
          </w:rPr>
          <w:t>http://unesdoc.unesco.org/images/0012/001277/127784s.pdf</w:t>
        </w:r>
      </w:hyperlink>
      <w:r w:rsidRPr="00A94654">
        <w:rPr>
          <w:szCs w:val="18"/>
        </w:rPr>
        <w:t xml:space="preserve">), extraído </w:t>
      </w:r>
      <w:r w:rsidRPr="00A94654">
        <w:rPr>
          <w:iCs/>
          <w:szCs w:val="18"/>
        </w:rPr>
        <w:t xml:space="preserve">en parte, París, 15 de junio de 1982, </w:t>
      </w:r>
      <w:r w:rsidRPr="00A94654">
        <w:rPr>
          <w:i/>
          <w:iCs/>
          <w:szCs w:val="18"/>
        </w:rPr>
        <w:t>Gazette du Palais</w:t>
      </w:r>
      <w:r w:rsidRPr="00A94654">
        <w:rPr>
          <w:iCs/>
          <w:szCs w:val="18"/>
        </w:rPr>
        <w:t xml:space="preserve">, 1982.2, Resumen, pág. 378, o París, 25 de abril de 1978, </w:t>
      </w:r>
      <w:r w:rsidRPr="00A94654">
        <w:rPr>
          <w:i/>
          <w:iCs/>
          <w:szCs w:val="18"/>
        </w:rPr>
        <w:t>Gazette du Palais</w:t>
      </w:r>
      <w:r w:rsidRPr="00A94654">
        <w:rPr>
          <w:iCs/>
          <w:szCs w:val="18"/>
        </w:rPr>
        <w:t>,</w:t>
      </w:r>
      <w:r w:rsidRPr="00A94654">
        <w:rPr>
          <w:szCs w:val="18"/>
        </w:rPr>
        <w:t xml:space="preserve"> 1978,2, pág. 448.</w:t>
      </w:r>
    </w:p>
  </w:footnote>
  <w:footnote w:id="35">
    <w:p w:rsidR="00403F66" w:rsidRPr="00A94654" w:rsidRDefault="00403F66" w:rsidP="00CA50CF">
      <w:pPr>
        <w:pStyle w:val="FootnoteText"/>
        <w:tabs>
          <w:tab w:val="left" w:pos="550"/>
        </w:tabs>
        <w:ind w:left="550" w:hanging="550"/>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A94654">
          <w:rPr>
            <w:rStyle w:val="Hyperlink"/>
            <w:szCs w:val="18"/>
          </w:rPr>
          <w:t>http://www.wipo.int/tk/es/consultaciones/customary_law/index.html</w:t>
        </w:r>
      </w:hyperlink>
      <w:r w:rsidRPr="00A94654">
        <w:t>.</w:t>
      </w:r>
    </w:p>
  </w:footnote>
  <w:footnote w:id="36">
    <w:p w:rsidR="00403F66" w:rsidRPr="00A94654" w:rsidRDefault="00403F66"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documento WIPO/GRTKF/IC/2/3, párr. 2;  la base de datos de Internet está disponible en:  </w:t>
      </w:r>
      <w:hyperlink r:id="rId10" w:history="1">
        <w:r w:rsidRPr="00BB3678">
          <w:rPr>
            <w:rStyle w:val="Hyperlink"/>
            <w:szCs w:val="18"/>
          </w:rPr>
          <w:t>http://www.wipo.int/tk/es/databases/contracts/index.html</w:t>
        </w:r>
      </w:hyperlink>
      <w:r>
        <w:rPr>
          <w:szCs w:val="18"/>
        </w:rPr>
        <w:t xml:space="preserve">. </w:t>
      </w:r>
    </w:p>
  </w:footnote>
  <w:footnote w:id="37">
    <w:p w:rsidR="00403F66" w:rsidRPr="00A94654" w:rsidRDefault="00403F66"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WIPO/GRTKF/IC/17/INF/11.</w:t>
      </w:r>
    </w:p>
  </w:footnote>
  <w:footnote w:id="38">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9">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 xml:space="preserve">Guía de la OMPI sobre los tratados de derecho de autor y </w:t>
      </w:r>
      <w:r w:rsidRPr="00A94654">
        <w:rPr>
          <w:iCs/>
          <w:snapToGrid w:val="0"/>
          <w:szCs w:val="18"/>
        </w:rPr>
        <w:t>derechos conexos</w:t>
      </w:r>
      <w:r w:rsidRPr="00A94654">
        <w:rPr>
          <w:iCs/>
          <w:szCs w:val="18"/>
        </w:rPr>
        <w:t xml:space="preserve"> administrados por la OMPI (Capítulo 7:  “Glosario de términos y expresiones sobre derecho de autor y </w:t>
      </w:r>
      <w:r w:rsidRPr="00A94654">
        <w:rPr>
          <w:iCs/>
          <w:snapToGrid w:val="0"/>
          <w:szCs w:val="18"/>
        </w:rPr>
        <w:t>derechos conexos</w:t>
      </w:r>
      <w:r w:rsidRPr="00A94654">
        <w:rPr>
          <w:i/>
          <w:iCs/>
          <w:szCs w:val="18"/>
        </w:rPr>
        <w:t>”</w:t>
      </w:r>
      <w:r w:rsidRPr="00A94654">
        <w:rPr>
          <w:iCs/>
          <w:szCs w:val="18"/>
        </w:rPr>
        <w:t>), OMPI.</w:t>
      </w:r>
    </w:p>
  </w:footnote>
  <w:footnote w:id="40">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2.5), Acuerdo sobre los ADPIC, art. 10.2) y Tratado de la OMPI sobre Derecho de Autor, art. 6</w:t>
      </w:r>
    </w:p>
  </w:footnote>
  <w:footnote w:id="41">
    <w:p w:rsidR="00403F66" w:rsidRPr="00A94654" w:rsidRDefault="00403F66" w:rsidP="00627FCD">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Sam Ricketson y Jane C. Ginsburg, </w:t>
      </w:r>
      <w:r w:rsidRPr="00A94654">
        <w:rPr>
          <w:i/>
          <w:iCs/>
          <w:szCs w:val="18"/>
          <w:lang w:val="en-US"/>
        </w:rPr>
        <w:t xml:space="preserve">International Copyright and Neighboring Rights—The Berne Convention and Beyond, </w:t>
      </w:r>
      <w:r w:rsidRPr="00A94654">
        <w:rPr>
          <w:szCs w:val="18"/>
          <w:lang w:val="en-US"/>
        </w:rPr>
        <w:t>Oxford, Vol. I., pág. 485.</w:t>
      </w:r>
    </w:p>
  </w:footnote>
  <w:footnote w:id="42">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  (Traducción oficiosa de la Oficina Internacional).</w:t>
      </w:r>
    </w:p>
  </w:footnote>
  <w:footnote w:id="43">
    <w:p w:rsidR="00403F66" w:rsidRPr="00A94654" w:rsidRDefault="00403F66"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Sam Ricketson y Jane C. Ginsburg, </w:t>
      </w:r>
      <w:r w:rsidRPr="00A94654">
        <w:rPr>
          <w:i/>
          <w:iCs/>
          <w:szCs w:val="18"/>
        </w:rPr>
        <w:t>op. cit.</w:t>
      </w:r>
      <w:r w:rsidRPr="00A94654">
        <w:rPr>
          <w:szCs w:val="18"/>
        </w:rPr>
        <w:t xml:space="preserve"> en la nota 46, pág. 603.</w:t>
      </w:r>
    </w:p>
  </w:footnote>
  <w:footnote w:id="44">
    <w:p w:rsidR="00403F66" w:rsidRPr="00A94654" w:rsidRDefault="00403F66"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“Lista y breve descripción técnica de las diferentes formas que pueden presentar los conocimientos tradicionales” (WIPO/GRTKF/IC/17/INF/9), párr. 4 del Anexo.</w:t>
      </w:r>
    </w:p>
  </w:footnote>
  <w:footnote w:id="45">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i/>
          <w:iCs/>
          <w:szCs w:val="18"/>
        </w:rPr>
        <w:t>,</w:t>
      </w:r>
      <w:r w:rsidRPr="00A94654">
        <w:rPr>
          <w:szCs w:val="18"/>
        </w:rPr>
        <w:t xml:space="preserve"> </w:t>
      </w:r>
      <w:r w:rsidRPr="00A94654">
        <w:rPr>
          <w:i/>
          <w:iCs/>
          <w:szCs w:val="18"/>
        </w:rPr>
        <w:t>op. cit.</w:t>
      </w:r>
      <w:r w:rsidRPr="00A94654">
        <w:rPr>
          <w:szCs w:val="18"/>
        </w:rPr>
        <w:t xml:space="preserve"> en la nota 44, pág. 291.</w:t>
      </w:r>
    </w:p>
  </w:footnote>
  <w:footnote w:id="46">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ab/>
        <w:t>Art. 10</w:t>
      </w:r>
      <w:r w:rsidRPr="00A94654">
        <w:rPr>
          <w:i/>
          <w:iCs/>
          <w:szCs w:val="18"/>
        </w:rPr>
        <w:t>bis</w:t>
      </w:r>
      <w:r w:rsidRPr="00A94654">
        <w:rPr>
          <w:szCs w:val="18"/>
        </w:rPr>
        <w:t xml:space="preserve"> y 11.  Véase asimismo Sam Ricketson y Jane C. Ginsburg, </w:t>
      </w:r>
      <w:r w:rsidRPr="00A94654">
        <w:rPr>
          <w:i/>
          <w:iCs/>
          <w:szCs w:val="18"/>
        </w:rPr>
        <w:t>op. cit.</w:t>
      </w:r>
      <w:r w:rsidRPr="00A94654">
        <w:rPr>
          <w:szCs w:val="18"/>
        </w:rPr>
        <w:t xml:space="preserve"> en la nota 46, pág. 614.</w:t>
      </w:r>
    </w:p>
  </w:footnote>
  <w:footnote w:id="47">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WO/GA/32/8, párr. 75 del Anexo.</w:t>
      </w:r>
    </w:p>
  </w:footnote>
  <w:footnote w:id="48">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Para más información, véanse las págs. 7 a 11 del Anexo I del documento WIPO/GRTKF/IC/16/6 y la base de datos de medidas legislativas nacionales y regionales del derecho de patentes de la División de Conocimientos Tradicionales, disponible en:  http://www.wipo.int/tk/en/laws/genetic.html.</w:t>
      </w:r>
    </w:p>
  </w:footnote>
  <w:footnote w:id="49">
    <w:p w:rsidR="00403F66" w:rsidRPr="00A94654" w:rsidRDefault="00403F66" w:rsidP="002E4904">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Publicación Nº 786 de la OMPI, </w:t>
      </w:r>
      <w:r w:rsidRPr="00A94654">
        <w:rPr>
          <w:i/>
          <w:szCs w:val="18"/>
          <w:lang w:val="en-US"/>
        </w:rPr>
        <w:t>WIPO Technical Study on Patent Disclosure Requirements related to Genetic Resources and Traditional Knowledge</w:t>
      </w:r>
      <w:r w:rsidRPr="00A94654">
        <w:rPr>
          <w:szCs w:val="18"/>
          <w:lang w:val="en-US"/>
        </w:rPr>
        <w:t>, pág. 65.</w:t>
      </w:r>
    </w:p>
  </w:footnote>
  <w:footnote w:id="50">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documento WO/GA/32/8, “Proyecto de examen de las cuestiones relativas a la relación mutua entre el acceso a los recursos genéticos y los requisitos de divulgación en las solicitudes de derechos de propiedad intelectual”, 2005.</w:t>
      </w:r>
    </w:p>
  </w:footnote>
  <w:footnote w:id="51">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WIPO/GRTKF/IC/11/10 (propuesta de Suiza) y el Anexo del documento WIPO/GRTKF/IC/16/6.</w:t>
      </w:r>
    </w:p>
  </w:footnote>
  <w:footnote w:id="52">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WIPO/GRTKF/IC/8/11 (propuesta de la UE) y el Anexo del documento WIPO/GRTKF/IC/16/6.</w:t>
      </w:r>
    </w:p>
  </w:footnote>
  <w:footnote w:id="53">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Anexo del documento WIPO/GRTKF/IC/17/10.</w:t>
      </w:r>
    </w:p>
  </w:footnote>
  <w:footnote w:id="54">
    <w:p w:rsidR="00403F66" w:rsidRPr="00A94654" w:rsidRDefault="00403F66" w:rsidP="002E4904">
      <w:pPr>
        <w:pStyle w:val="FootnoteText"/>
      </w:pPr>
      <w:r w:rsidRPr="00A94654">
        <w:rPr>
          <w:rStyle w:val="FootnoteReference"/>
        </w:rPr>
        <w:footnoteRef/>
      </w:r>
      <w:r w:rsidRPr="00A94654">
        <w:t xml:space="preserve"> </w:t>
      </w:r>
      <w:r w:rsidRPr="00A94654">
        <w:tab/>
        <w:t>Véase el artículo 3 del documento WIPO/GRTKF/IC/19/11.</w:t>
      </w:r>
    </w:p>
  </w:footnote>
  <w:footnote w:id="55">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WIPO/GRTKF/IC/9/13 (propuesta alternativa).</w:t>
      </w:r>
    </w:p>
  </w:footnote>
  <w:footnote w:id="56">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TN/C/W/52.</w:t>
      </w:r>
    </w:p>
  </w:footnote>
  <w:footnote w:id="57">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(documento WIPO/GRTKF/IC/5/5).</w:t>
      </w:r>
    </w:p>
  </w:footnote>
  <w:footnote w:id="58">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(WIPO/GRTKF/IC/5/5), pág. 4 del Anexo.</w:t>
      </w:r>
    </w:p>
  </w:footnote>
  <w:footnote w:id="59">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w:t>
      </w:r>
    </w:p>
  </w:footnote>
  <w:footnote w:id="60">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Excepciones y limitaciones al derecho de autor y los derechos conexos</w:t>
      </w:r>
      <w:r w:rsidRPr="00A94654">
        <w:rPr>
          <w:szCs w:val="18"/>
        </w:rPr>
        <w:t>, estudio preparado por Pierre Sirinelli (WCT-WPPT/IMP/1), 1999, pág. 2.</w:t>
      </w:r>
    </w:p>
  </w:footnote>
  <w:footnote w:id="61">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2">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párr. 37.</w:t>
      </w:r>
    </w:p>
  </w:footnote>
  <w:footnote w:id="63">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Ibíd.</w:t>
      </w:r>
      <w:r w:rsidRPr="00A94654">
        <w:rPr>
          <w:szCs w:val="18"/>
        </w:rPr>
        <w:t xml:space="preserve"> </w:t>
      </w:r>
    </w:p>
  </w:footnote>
  <w:footnote w:id="64">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art. 2.</w:t>
      </w:r>
    </w:p>
  </w:footnote>
  <w:footnote w:id="65">
    <w:p w:rsidR="00403F66" w:rsidRPr="00A94654" w:rsidRDefault="00403F66" w:rsidP="003142C6">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289.</w:t>
      </w:r>
    </w:p>
  </w:footnote>
  <w:footnote w:id="66">
    <w:p w:rsidR="00403F66" w:rsidRPr="00A94654" w:rsidRDefault="00403F66"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294.</w:t>
      </w:r>
    </w:p>
  </w:footnote>
  <w:footnote w:id="67">
    <w:p w:rsidR="00403F66" w:rsidRPr="00A94654" w:rsidRDefault="00403F66"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2.2) del Convenio de Berna.</w:t>
      </w:r>
    </w:p>
  </w:footnote>
  <w:footnote w:id="68">
    <w:p w:rsidR="00403F66" w:rsidRPr="00A94654" w:rsidRDefault="00403F66" w:rsidP="00D0451B">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Terri Janke, “</w:t>
      </w:r>
      <w:r w:rsidRPr="00A94654">
        <w:rPr>
          <w:i/>
          <w:szCs w:val="18"/>
          <w:lang w:val="en-US"/>
        </w:rPr>
        <w:t>Unauthorized Reproduction of Rock Art</w:t>
      </w:r>
      <w:r w:rsidRPr="00A94654">
        <w:rPr>
          <w:szCs w:val="18"/>
          <w:lang w:val="en-US"/>
        </w:rPr>
        <w:t xml:space="preserve">”, en </w:t>
      </w:r>
      <w:r w:rsidRPr="00A94654">
        <w:rPr>
          <w:i/>
          <w:iCs/>
          <w:szCs w:val="18"/>
          <w:lang w:val="en-US"/>
        </w:rPr>
        <w:t>Minding Culture:  Case Studies on Intellectual Property and Traditional Cultural Expressions</w:t>
      </w:r>
      <w:r w:rsidRPr="00A94654">
        <w:rPr>
          <w:szCs w:val="18"/>
          <w:lang w:val="en-US"/>
        </w:rPr>
        <w:t>, OMPI, 2003.</w:t>
      </w:r>
    </w:p>
  </w:footnote>
  <w:footnote w:id="69">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 párr. 50.</w:t>
      </w:r>
    </w:p>
  </w:footnote>
  <w:footnote w:id="70">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 (1982), </w:t>
      </w:r>
      <w:r w:rsidRPr="00A94654">
        <w:rPr>
          <w:i/>
          <w:iCs/>
          <w:szCs w:val="18"/>
        </w:rPr>
        <w:t>op. cit.</w:t>
      </w:r>
      <w:r w:rsidRPr="00A94654">
        <w:rPr>
          <w:szCs w:val="18"/>
        </w:rPr>
        <w:t xml:space="preserve"> en la nota 36, Parte I, párrafos 5, 6 y 7.</w:t>
      </w:r>
    </w:p>
  </w:footnote>
  <w:footnote w:id="71">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295.</w:t>
      </w:r>
    </w:p>
  </w:footnote>
  <w:footnote w:id="72">
    <w:p w:rsidR="00403F66" w:rsidRPr="00A94654" w:rsidRDefault="00403F66" w:rsidP="009D13E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5">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“El concepto de comunidades locales”, documento preparado por la Secretaría del Foro Permanente para las Cuestiones Indígenas en el Taller de expertos sobre la desagregación de datos (PFII/2004/WS.1/3/Add.1).  Véase también el documento</w:t>
      </w:r>
      <w:r w:rsidRPr="00A94654">
        <w:rPr>
          <w:i/>
          <w:szCs w:val="18"/>
        </w:rPr>
        <w:t xml:space="preserve"> </w:t>
      </w:r>
      <w:r w:rsidRPr="00A94654">
        <w:rPr>
          <w:szCs w:val="18"/>
        </w:rPr>
        <w:t>UNEP/CBD/WS-CB/LAC/1/INF/5.</w:t>
      </w:r>
    </w:p>
  </w:footnote>
  <w:footnote w:id="76">
    <w:p w:rsidR="00403F66" w:rsidRPr="00A85B12" w:rsidRDefault="00403F66" w:rsidP="001B1036">
      <w:pPr>
        <w:pStyle w:val="FootnoteText"/>
        <w:tabs>
          <w:tab w:val="left" w:pos="550"/>
        </w:tabs>
        <w:ind w:left="550" w:hanging="550"/>
        <w:rPr>
          <w:szCs w:val="18"/>
          <w:lang w:val="en-US"/>
        </w:rPr>
      </w:pPr>
      <w:r w:rsidRPr="00A94654">
        <w:rPr>
          <w:rStyle w:val="FootnoteReference"/>
          <w:szCs w:val="18"/>
        </w:rPr>
        <w:footnoteRef/>
      </w:r>
      <w:r w:rsidRPr="00A85B12">
        <w:rPr>
          <w:szCs w:val="18"/>
          <w:lang w:val="en-US"/>
        </w:rPr>
        <w:tab/>
        <w:t xml:space="preserve">Véase </w:t>
      </w:r>
      <w:r>
        <w:rPr>
          <w:szCs w:val="18"/>
          <w:lang w:val="en-US"/>
        </w:rPr>
        <w:t xml:space="preserve">el documento </w:t>
      </w:r>
      <w:r w:rsidRPr="005B6A85">
        <w:rPr>
          <w:i/>
          <w:iCs/>
          <w:szCs w:val="18"/>
          <w:lang w:val="en-US"/>
        </w:rPr>
        <w:t>Development of Elements of Sui Generis Systems for the Protection of Traditional Knowledge, Innovations and Practices</w:t>
      </w:r>
      <w:r w:rsidRPr="00A85B12">
        <w:rPr>
          <w:szCs w:val="18"/>
          <w:lang w:val="en-US"/>
        </w:rPr>
        <w:t xml:space="preserve"> (documento UNEP/CBD/WG8J/4/INF/18), pág. 5 (Traducción oficiosa de la Oficina Internacional).</w:t>
      </w:r>
    </w:p>
  </w:footnote>
  <w:footnote w:id="77">
    <w:p w:rsidR="00403F66" w:rsidRPr="00A94654" w:rsidRDefault="00403F66" w:rsidP="001B1036">
      <w:pPr>
        <w:pStyle w:val="FootnoteText"/>
        <w:tabs>
          <w:tab w:val="left" w:pos="550"/>
        </w:tabs>
        <w:ind w:left="550" w:hanging="550"/>
        <w:rPr>
          <w:szCs w:val="18"/>
        </w:rPr>
      </w:pPr>
      <w:r w:rsidRPr="00A94654">
        <w:rPr>
          <w:rStyle w:val="FootnoteReference"/>
          <w:szCs w:val="18"/>
        </w:rPr>
        <w:footnoteRef/>
      </w:r>
      <w:r w:rsidRPr="00A94654">
        <w:rPr>
          <w:szCs w:val="18"/>
        </w:rPr>
        <w:tab/>
        <w:t>“Informe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Artículo 1 del Convenio Nº 169 de la OIT sobre pueblos indígenas y tribales en países independientes.</w:t>
      </w:r>
    </w:p>
  </w:footnote>
  <w:footnote w:id="79">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Glosario del PNUMA de términos para negociadores de acuerdos ambientales multilaterales</w:t>
      </w:r>
      <w:r w:rsidRPr="00A94654">
        <w:rPr>
          <w:szCs w:val="18"/>
        </w:rPr>
        <w:t xml:space="preserve">, disponible en:  </w:t>
      </w:r>
      <w:hyperlink r:id="rId11" w:history="1">
        <w:r w:rsidRPr="00365A6B">
          <w:rPr>
            <w:rStyle w:val="Hyperlink"/>
            <w:szCs w:val="18"/>
          </w:rPr>
          <w:t>http://www.unep.org/delc/portals/119/Glossary/terms%20_for_Negotiators_MEAs.pdf</w:t>
        </w:r>
      </w:hyperlink>
    </w:p>
  </w:footnote>
  <w:footnote w:id="80">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Política Operacional 4.10, sobre pueblos indígenas, del Banco Mundial (2005);  John Henriksen, </w:t>
      </w:r>
      <w:r w:rsidRPr="00A94654">
        <w:rPr>
          <w:i/>
          <w:iCs/>
          <w:szCs w:val="18"/>
        </w:rPr>
        <w:t>Key Principles in Implementing ILO Convention Nº 169,</w:t>
      </w:r>
      <w:r w:rsidRPr="00A94654">
        <w:rPr>
          <w:szCs w:val="18"/>
        </w:rPr>
        <w:t xml:space="preserve"> 2008.</w:t>
      </w:r>
    </w:p>
  </w:footnote>
  <w:footnote w:id="81">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http://www.ifad.org./english/indigenous/documents/ip_policy_s.pdf.</w:t>
      </w:r>
    </w:p>
  </w:footnote>
  <w:footnote w:id="83">
    <w:p w:rsidR="00403F66" w:rsidRPr="00A94654" w:rsidRDefault="00403F66" w:rsidP="001B1036">
      <w:pPr>
        <w:tabs>
          <w:tab w:val="left" w:pos="550"/>
        </w:tabs>
        <w:ind w:left="567" w:hanging="550"/>
        <w:rPr>
          <w:sz w:val="18"/>
          <w:szCs w:val="18"/>
        </w:rPr>
      </w:pPr>
      <w:r w:rsidRPr="00A94654">
        <w:rPr>
          <w:rStyle w:val="FootnoteReference"/>
          <w:sz w:val="18"/>
          <w:szCs w:val="18"/>
        </w:rPr>
        <w:footnoteRef/>
      </w:r>
      <w:r w:rsidRPr="00A94654">
        <w:rPr>
          <w:sz w:val="18"/>
          <w:szCs w:val="18"/>
        </w:rPr>
        <w:t xml:space="preserve"> </w:t>
      </w:r>
      <w:r w:rsidRPr="00A94654">
        <w:rPr>
          <w:rStyle w:val="FootnoteReference"/>
          <w:sz w:val="18"/>
          <w:szCs w:val="18"/>
        </w:rPr>
        <w:tab/>
      </w:r>
      <w:r w:rsidRPr="00A94654">
        <w:rPr>
          <w:sz w:val="18"/>
          <w:szCs w:val="18"/>
        </w:rPr>
        <w:t>Disponible en:  http://www.hreoc.gov.au/social_justice/conference/engaging_communities/unpan021101.pdf.</w:t>
      </w:r>
    </w:p>
  </w:footnote>
  <w:footnote w:id="84">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Subcomisión de las Naciones Unidas de Prevención de Discriminaciones y Protección a las Minorías:  “Estudio del problema de la discriminación contra las poblaciones indígenas" (documento E/CN.4/Sub.2/1986/7/Add.4.), párr. 379 (1986).</w:t>
      </w:r>
    </w:p>
  </w:footnote>
  <w:footnote w:id="85">
    <w:p w:rsidR="00403F66" w:rsidRPr="00A94654" w:rsidRDefault="00403F66" w:rsidP="0087238F">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 pág. 298.</w:t>
      </w:r>
    </w:p>
  </w:footnote>
  <w:footnote w:id="86">
    <w:p w:rsidR="00403F66" w:rsidRPr="00EA0BA3"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Ricketson y Ginsburg, </w:t>
      </w:r>
      <w:r w:rsidRPr="00A94654">
        <w:rPr>
          <w:i/>
          <w:szCs w:val="18"/>
          <w:lang w:val="en-US"/>
        </w:rPr>
        <w:t xml:space="preserve">International Copyright and Neighboring Rights-The Berne Convention and Beyond, </w:t>
      </w:r>
      <w:r w:rsidRPr="00A94654">
        <w:rPr>
          <w:szCs w:val="18"/>
          <w:lang w:val="en-US"/>
        </w:rPr>
        <w:t xml:space="preserve">Oxford, Vol. </w:t>
      </w:r>
      <w:r w:rsidRPr="00EA0BA3">
        <w:rPr>
          <w:szCs w:val="18"/>
        </w:rPr>
        <w:t>I, p. 602.</w:t>
      </w:r>
    </w:p>
  </w:footnote>
  <w:footnote w:id="87">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WIPO/GRTKF/IC/2/3, párr. 133.</w:t>
      </w:r>
    </w:p>
  </w:footnote>
  <w:footnote w:id="88">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WIPO/GRTKF/IC/7/9 “Los recursos genéticos:  Proyecto de directrices de propiedad intelectual para el acceso a los recursos genéticos y la participación equitativa en los beneficios”.</w:t>
      </w:r>
    </w:p>
  </w:footnote>
  <w:footnote w:id="89">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Véanse los principios operativos en la sección V.B del documento WIPO/GRTKF/IC/2/3.</w:t>
      </w:r>
    </w:p>
  </w:footnote>
  <w:footnote w:id="90">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 “Recursos genéticos:  Proyecto de directrices de propiedad intelectual para el acceso y la participación equitativa en los beneficios:  versión actualizada”.</w:t>
      </w:r>
    </w:p>
  </w:footnote>
  <w:footnote w:id="91">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w:t>
      </w:r>
    </w:p>
  </w:footnote>
  <w:footnote w:id="92">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 pág. 4 del Anexo.</w:t>
      </w:r>
    </w:p>
  </w:footnote>
  <w:footnote w:id="93">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4">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Glosario PATENTSCOPE de la OMPI.</w:t>
      </w:r>
    </w:p>
  </w:footnote>
  <w:footnote w:id="95">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Publicación Nº 489 (E) de la OMPI, </w:t>
      </w:r>
      <w:r w:rsidRPr="00A94654">
        <w:rPr>
          <w:i/>
          <w:szCs w:val="18"/>
        </w:rPr>
        <w:t xml:space="preserve">WIPO Intellectual Property Handbook, </w:t>
      </w:r>
      <w:r w:rsidRPr="00A94654">
        <w:rPr>
          <w:szCs w:val="18"/>
        </w:rPr>
        <w:t>2008.</w:t>
      </w:r>
    </w:p>
  </w:footnote>
  <w:footnote w:id="96">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7">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w:t>
      </w:r>
      <w:r w:rsidRPr="00A94654">
        <w:rPr>
          <w:iCs/>
          <w:szCs w:val="18"/>
        </w:rPr>
        <w:t>Excepciones y limitaciones al derecho de autor y los derechos conexos”,</w:t>
      </w:r>
      <w:r w:rsidRPr="00A94654">
        <w:rPr>
          <w:szCs w:val="18"/>
        </w:rPr>
        <w:t xml:space="preserve"> documento WCT</w:t>
      </w:r>
      <w:r w:rsidRPr="00A94654">
        <w:rPr>
          <w:szCs w:val="18"/>
        </w:rPr>
        <w:noBreakHyphen/>
        <w:t>WPPT/IMP/1, pág. 2.</w:t>
      </w:r>
    </w:p>
  </w:footnote>
  <w:footnote w:id="98">
    <w:p w:rsidR="00403F66" w:rsidRPr="00A94654" w:rsidRDefault="00403F66" w:rsidP="00024EEB">
      <w:pPr>
        <w:pStyle w:val="FootnoteText"/>
        <w:tabs>
          <w:tab w:val="left" w:pos="550"/>
        </w:tabs>
        <w:ind w:left="567" w:hanging="550"/>
        <w:rPr>
          <w:szCs w:val="18"/>
          <w:lang w:val="de-DE"/>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Sección del sitio Web de la OMPI sobre Derecho de Autor y Derechos Conexos.  </w:t>
      </w:r>
      <w:r w:rsidRPr="003F0672">
        <w:rPr>
          <w:szCs w:val="18"/>
          <w:lang w:val="en-US"/>
        </w:rPr>
        <w:t>(</w:t>
      </w:r>
      <w:hyperlink r:id="rId12" w:history="1">
        <w:r w:rsidRPr="00A94654">
          <w:rPr>
            <w:rStyle w:val="Hyperlink"/>
            <w:szCs w:val="18"/>
            <w:lang w:val="de-DE"/>
          </w:rPr>
          <w:t>http://www.wipo.int/copyright/es/limitations/index.html</w:t>
        </w:r>
      </w:hyperlink>
      <w:r w:rsidRPr="00A94654">
        <w:rPr>
          <w:szCs w:val="18"/>
          <w:lang w:val="de-DE"/>
        </w:rPr>
        <w:t>)</w:t>
      </w:r>
    </w:p>
  </w:footnote>
  <w:footnote w:id="99">
    <w:p w:rsidR="00403F66" w:rsidRPr="00A94654" w:rsidRDefault="00403F66" w:rsidP="00024EEB">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1">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48, pág. 316.</w:t>
      </w:r>
    </w:p>
  </w:footnote>
  <w:footnote w:id="102">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103">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http://www.wipo.int/tk/es/databases/contracts/index.html.</w:t>
      </w:r>
    </w:p>
  </w:footnote>
  <w:footnote w:id="104">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ftp://ftp.fao.org/ag/cgrfa/gb1/SMTAe.pdf.</w:t>
      </w:r>
    </w:p>
  </w:footnote>
  <w:footnote w:id="105">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http://www.wipo.int/pct/es/texts/glossary.html#M.</w:t>
      </w:r>
    </w:p>
  </w:footnote>
  <w:footnote w:id="106">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búsqueda internacional del PCT (en vigor desde el 18 de septiembre de 1998), párr. IX-2.1.</w:t>
      </w:r>
    </w:p>
  </w:footnote>
  <w:footnote w:id="107">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8">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09">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0">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1">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“Marco jurídico de protección de los conocimientos tradicionales en Sri Lanka”, versión en documento de trabajo, 1 de enero de 2009.</w:t>
      </w:r>
    </w:p>
  </w:footnote>
  <w:footnote w:id="113">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A94654">
        <w:rPr>
          <w:rStyle w:val="FootnoteReference"/>
          <w:szCs w:val="18"/>
        </w:rPr>
        <w:t>recursos</w:t>
      </w:r>
      <w:r w:rsidRPr="00A94654">
        <w:rPr>
          <w:szCs w:val="18"/>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403F66" w:rsidRPr="00A94654" w:rsidRDefault="00403F66" w:rsidP="003C7CE9">
      <w:pPr>
        <w:pStyle w:val="FootnoteText"/>
        <w:tabs>
          <w:tab w:val="left" w:pos="550"/>
        </w:tabs>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art. 2.</w:t>
      </w:r>
    </w:p>
  </w:footnote>
  <w:footnote w:id="115">
    <w:p w:rsidR="00403F66" w:rsidRPr="00A94654" w:rsidRDefault="00403F66" w:rsidP="003C7CE9">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Véase el documento UNEP/CBD/COP/4/22, párr. </w:t>
      </w:r>
      <w:r w:rsidRPr="00A94654">
        <w:rPr>
          <w:szCs w:val="18"/>
          <w:lang w:val="en-US"/>
        </w:rPr>
        <w:t>32.</w:t>
      </w:r>
    </w:p>
  </w:footnote>
  <w:footnote w:id="116">
    <w:p w:rsidR="00403F66" w:rsidRPr="00A94654" w:rsidRDefault="00403F66"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Daniel Gervais, </w:t>
      </w:r>
      <w:r w:rsidRPr="00A94654">
        <w:rPr>
          <w:i/>
          <w:iCs/>
          <w:szCs w:val="18"/>
          <w:lang w:val="en-US"/>
        </w:rPr>
        <w:t>The TRIPS Agreement.  Drafting and Analysis</w:t>
      </w:r>
      <w:r w:rsidRPr="00A94654">
        <w:rPr>
          <w:szCs w:val="18"/>
          <w:lang w:val="en-US"/>
        </w:rPr>
        <w:t>, 3ª ed., Sweet &amp; Maxwell.</w:t>
      </w:r>
    </w:p>
  </w:footnote>
  <w:footnote w:id="117">
    <w:p w:rsidR="00403F66" w:rsidRPr="00A94654" w:rsidRDefault="00403F66"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Dieter Kugelmann, </w:t>
      </w:r>
      <w:r w:rsidRPr="00A94654">
        <w:rPr>
          <w:i/>
          <w:iCs/>
          <w:szCs w:val="18"/>
          <w:lang w:val="en-US"/>
        </w:rPr>
        <w:t>The Protection of Minorities and Indigenous Peoples Respective Cultural Diversity</w:t>
      </w:r>
      <w:r w:rsidRPr="00A94654">
        <w:rPr>
          <w:szCs w:val="18"/>
          <w:lang w:val="en-US"/>
        </w:rPr>
        <w:t xml:space="preserve">, A. Von Bogdandy y R. Wolffrum (eds), </w:t>
      </w:r>
      <w:r w:rsidRPr="00A94654">
        <w:rPr>
          <w:i/>
          <w:iCs/>
          <w:szCs w:val="18"/>
          <w:lang w:val="en-US"/>
        </w:rPr>
        <w:t>Max Planck Yearbook of United Nations Law</w:t>
      </w:r>
      <w:r w:rsidRPr="00A94654">
        <w:rPr>
          <w:szCs w:val="18"/>
          <w:lang w:val="en-US"/>
        </w:rPr>
        <w:t>, Vol. 11, 2007, pág. 235.</w:t>
      </w:r>
    </w:p>
  </w:footnote>
  <w:footnote w:id="118">
    <w:p w:rsidR="00403F66" w:rsidRPr="00A94654" w:rsidRDefault="00403F66"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w:t>
      </w:r>
      <w:r w:rsidRPr="00A94654">
        <w:rPr>
          <w:i/>
          <w:iCs/>
          <w:szCs w:val="18"/>
        </w:rPr>
        <w:t>Glossary on Intangible Cultural Heritage</w:t>
      </w:r>
      <w:r w:rsidRPr="00A94654">
        <w:rPr>
          <w:szCs w:val="18"/>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9">
    <w:p w:rsidR="00403F66" w:rsidRPr="00A94654" w:rsidRDefault="00403F66"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Publicación Nº 489 de la OMPI, </w:t>
      </w:r>
      <w:r w:rsidRPr="00A94654">
        <w:rPr>
          <w:i/>
          <w:iCs/>
          <w:szCs w:val="18"/>
        </w:rPr>
        <w:t>WIPO Intellectual Property Handbook</w:t>
      </w:r>
      <w:r w:rsidRPr="00A94654">
        <w:rPr>
          <w:szCs w:val="18"/>
        </w:rPr>
        <w:t>.</w:t>
      </w:r>
    </w:p>
  </w:footnote>
  <w:footnote w:id="120">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1">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las actividades y resultados del Comité Intergubernamental” (WIPO/GRTKF/IC/5/12), párr. 37.</w:t>
      </w:r>
    </w:p>
  </w:footnote>
  <w:footnote w:id="122">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  Proyecto de análisis de las carencias:  Revisión” (documento WIPO/GRTKF/IC/13/5(b) Rev. Anexo I), página 7, párr. 13.</w:t>
      </w:r>
    </w:p>
  </w:footnote>
  <w:footnote w:id="123">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 32.2) de la Declaración de las Naciones Unidas sobre los Derechos de los Pueblos Indígenas;  véanse asimismo las Directrices sobre los Asuntos de los Pueblos Indígenas del Grupo de Naciones Unidas para el Desarrollo.</w:t>
      </w:r>
    </w:p>
  </w:footnote>
  <w:footnote w:id="124">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lang w:val="en-US"/>
        </w:rPr>
        <w:t xml:space="preserve"> </w:t>
      </w:r>
      <w:r w:rsidRPr="00A94654">
        <w:rPr>
          <w:szCs w:val="18"/>
          <w:lang w:val="en-US"/>
        </w:rPr>
        <w:tab/>
        <w:t xml:space="preserve">Stephen Allen y Alexandra Xanthaki, </w:t>
      </w:r>
      <w:r w:rsidRPr="00A94654">
        <w:rPr>
          <w:i/>
          <w:iCs/>
          <w:szCs w:val="18"/>
          <w:lang w:val="en-US"/>
        </w:rPr>
        <w:t>Reflections on the UN Declaration on the Rights of Indigenous Peoples,</w:t>
      </w:r>
      <w:r w:rsidRPr="00A94654">
        <w:rPr>
          <w:szCs w:val="18"/>
          <w:lang w:val="en-US"/>
        </w:rPr>
        <w:t xml:space="preserve"> Oxford y Portland, Oregon, pág. 49.  </w:t>
      </w:r>
      <w:r w:rsidRPr="00A94654">
        <w:rPr>
          <w:szCs w:val="18"/>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5">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Véase la Publicación Nº 489 de la OMPI, </w:t>
      </w:r>
      <w:r w:rsidRPr="00A94654">
        <w:rPr>
          <w:i/>
          <w:iCs/>
          <w:szCs w:val="18"/>
        </w:rPr>
        <w:t>WIPO Intellectual Property Handbook</w:t>
      </w:r>
      <w:r w:rsidRPr="00A94654">
        <w:rPr>
          <w:szCs w:val="18"/>
        </w:rPr>
        <w:t>, pág. 19.</w:t>
      </w:r>
    </w:p>
  </w:footnote>
  <w:footnote w:id="126">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Capítulo IV, Parte C, de las Directrices de Examen de la Oficina Europea de Patentes.  (Traducción oficiosa de la Oficina Internacional).</w:t>
      </w:r>
    </w:p>
  </w:footnote>
  <w:footnote w:id="127">
    <w:p w:rsidR="00403F66" w:rsidRPr="003F0672" w:rsidRDefault="00403F66" w:rsidP="007B312B">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“Reseña de actividades y resultados del Comité Intergubernamental” (WIPO/GRTKF/IC/5/12), párr. </w:t>
      </w:r>
      <w:r w:rsidRPr="003F0672">
        <w:rPr>
          <w:szCs w:val="18"/>
          <w:lang w:val="en-US"/>
        </w:rPr>
        <w:t>20.</w:t>
      </w:r>
    </w:p>
  </w:footnote>
  <w:footnote w:id="128">
    <w:p w:rsidR="00403F66" w:rsidRPr="003F0672" w:rsidRDefault="00403F66" w:rsidP="007B312B">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t>Ídem, párrafos 21 y 22.</w:t>
      </w:r>
    </w:p>
  </w:footnote>
  <w:footnote w:id="129">
    <w:p w:rsidR="00403F66" w:rsidRPr="003F0672" w:rsidRDefault="00403F66" w:rsidP="007B312B">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t>Ídem, párr. 21.</w:t>
      </w:r>
    </w:p>
  </w:footnote>
  <w:footnote w:id="130">
    <w:p w:rsidR="00403F66" w:rsidRPr="003F0672" w:rsidRDefault="00403F66" w:rsidP="007B312B">
      <w:pPr>
        <w:pStyle w:val="FootnoteText"/>
        <w:tabs>
          <w:tab w:val="left" w:pos="550"/>
        </w:tabs>
        <w:rPr>
          <w:szCs w:val="18"/>
          <w:lang w:val="en-US"/>
        </w:rPr>
      </w:pPr>
      <w:r w:rsidRPr="00A94654">
        <w:rPr>
          <w:rStyle w:val="FootnoteReference"/>
          <w:szCs w:val="18"/>
        </w:rPr>
        <w:footnoteRef/>
      </w:r>
      <w:r w:rsidRPr="003F0672">
        <w:rPr>
          <w:szCs w:val="18"/>
          <w:lang w:val="en-US"/>
        </w:rPr>
        <w:t xml:space="preserve"> </w:t>
      </w:r>
      <w:r w:rsidRPr="003F0672">
        <w:rPr>
          <w:szCs w:val="18"/>
          <w:lang w:val="en-US"/>
        </w:rPr>
        <w:tab/>
        <w:t>Ídem, párr. 28.</w:t>
      </w:r>
    </w:p>
  </w:footnote>
  <w:footnote w:id="131">
    <w:p w:rsidR="00403F66" w:rsidRPr="003F0672" w:rsidRDefault="00403F66" w:rsidP="007B312B">
      <w:pPr>
        <w:pStyle w:val="FootnoteText"/>
        <w:tabs>
          <w:tab w:val="left" w:pos="550"/>
        </w:tabs>
        <w:ind w:left="550" w:hanging="550"/>
        <w:rPr>
          <w:szCs w:val="18"/>
          <w:lang w:val="en-US"/>
        </w:rPr>
      </w:pPr>
      <w:r w:rsidRPr="00A94654">
        <w:rPr>
          <w:rStyle w:val="FootnoteReference"/>
          <w:szCs w:val="18"/>
        </w:rPr>
        <w:footnoteRef/>
      </w:r>
      <w:r w:rsidRPr="003F0672">
        <w:rPr>
          <w:szCs w:val="18"/>
          <w:lang w:val="en-US"/>
        </w:rPr>
        <w:tab/>
        <w:t>Jane Anderson, “</w:t>
      </w:r>
      <w:r w:rsidRPr="003F0672">
        <w:rPr>
          <w:i/>
          <w:szCs w:val="18"/>
          <w:lang w:val="en-US"/>
        </w:rPr>
        <w:t>Indigenous Knowledge/Traditional Knowledge and Intellectual Property</w:t>
      </w:r>
      <w:r w:rsidRPr="003F0672">
        <w:rPr>
          <w:szCs w:val="18"/>
          <w:lang w:val="en-US"/>
        </w:rPr>
        <w:t>”, Documento de trabajo, Centre for the Public Domain, Duke University, 2011, disponible en:  http://www.law.duke.edu/cspd/itkpaper</w:t>
      </w:r>
    </w:p>
  </w:footnote>
  <w:footnote w:id="132">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ab/>
        <w:t>Véase el documento WIPO/GRTKF/17/INF/12.</w:t>
      </w:r>
    </w:p>
  </w:footnote>
  <w:footnote w:id="133">
    <w:p w:rsidR="00403F66" w:rsidRPr="003F0672" w:rsidRDefault="00403F66" w:rsidP="00D30E10">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t>Véase el documento SCP/13/5.</w:t>
      </w:r>
    </w:p>
  </w:footnote>
  <w:footnote w:id="134">
    <w:p w:rsidR="00403F66" w:rsidRPr="003F0672" w:rsidRDefault="00403F66" w:rsidP="00D30E10">
      <w:pPr>
        <w:pStyle w:val="FootnoteText"/>
        <w:tabs>
          <w:tab w:val="left" w:pos="550"/>
        </w:tabs>
        <w:rPr>
          <w:szCs w:val="18"/>
          <w:lang w:val="es-ES_tradnl"/>
        </w:rPr>
      </w:pPr>
      <w:r w:rsidRPr="00A94654">
        <w:rPr>
          <w:rStyle w:val="FootnoteReference"/>
          <w:szCs w:val="18"/>
        </w:rPr>
        <w:footnoteRef/>
      </w:r>
      <w:r w:rsidRPr="003F0672">
        <w:rPr>
          <w:szCs w:val="18"/>
          <w:lang w:val="es-ES_tradnl"/>
        </w:rPr>
        <w:t xml:space="preserve"> </w:t>
      </w:r>
      <w:r w:rsidRPr="003F0672">
        <w:rPr>
          <w:szCs w:val="18"/>
          <w:lang w:val="es-ES_tradnl"/>
        </w:rPr>
        <w:tab/>
      </w:r>
      <w:r w:rsidRPr="003F0672">
        <w:rPr>
          <w:i/>
          <w:iCs/>
          <w:szCs w:val="18"/>
          <w:lang w:val="es-ES_tradnl"/>
        </w:rPr>
        <w:t>Black's Law Dictionary </w:t>
      </w:r>
      <w:r w:rsidRPr="003F0672">
        <w:rPr>
          <w:szCs w:val="18"/>
          <w:lang w:val="es-ES_tradnl"/>
        </w:rPr>
        <w:t>1027 (8ª ed., 2005).</w:t>
      </w:r>
    </w:p>
  </w:footnote>
  <w:footnote w:id="135">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sobre los tratados de derecho de autor… </w:t>
      </w:r>
      <w:r w:rsidRPr="00A94654">
        <w:rPr>
          <w:i/>
          <w:szCs w:val="18"/>
        </w:rPr>
        <w:t xml:space="preserve">op. cit. </w:t>
      </w:r>
      <w:r w:rsidRPr="00A94654">
        <w:rPr>
          <w:szCs w:val="18"/>
        </w:rPr>
        <w:t>en la nota 44.</w:t>
      </w:r>
    </w:p>
  </w:footnote>
  <w:footnote w:id="136">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7">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w:t>
      </w:r>
      <w:r w:rsidRPr="00A94654">
        <w:rPr>
          <w:i/>
          <w:szCs w:val="18"/>
          <w:lang w:val="en-US"/>
        </w:rPr>
        <w:t>The Role of Registers &amp; Databases in the Protection of Traditional Knowledge:  A Comparative Analysis</w:t>
      </w:r>
      <w:r w:rsidRPr="00A94654">
        <w:rPr>
          <w:szCs w:val="18"/>
          <w:lang w:val="en-US"/>
        </w:rPr>
        <w:t>”, Informe UNU/IAS, enero de 2004, pág. 32.</w:t>
      </w:r>
    </w:p>
  </w:footnote>
  <w:footnote w:id="139">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0">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  http://www.wipo.int.wipolex/en/details.jsp?id=3420.</w:t>
      </w:r>
    </w:p>
  </w:footnote>
  <w:footnote w:id="142">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6</w:t>
      </w:r>
      <w:r w:rsidRPr="00A94654">
        <w:rPr>
          <w:i/>
          <w:iCs/>
          <w:szCs w:val="18"/>
        </w:rPr>
        <w:t>bis</w:t>
      </w:r>
      <w:r w:rsidRPr="00A94654">
        <w:rPr>
          <w:szCs w:val="18"/>
        </w:rPr>
        <w:t xml:space="preserve"> del Convenio de Berna.</w:t>
      </w:r>
    </w:p>
  </w:footnote>
  <w:footnote w:id="143">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4">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J. Gervais, “</w:t>
      </w:r>
      <w:r w:rsidRPr="00A94654">
        <w:rPr>
          <w:i/>
          <w:szCs w:val="18"/>
          <w:lang w:val="en-US"/>
        </w:rPr>
        <w:t>Spiritual But not Intellectual:  The Protection of Sacred Intangible Traditional Knowledge</w:t>
      </w:r>
      <w:r w:rsidRPr="00A94654">
        <w:rPr>
          <w:szCs w:val="18"/>
          <w:lang w:val="en-US"/>
        </w:rPr>
        <w:t>”, 11 Cardozo J. Int’l &amp; Comp.  L. 467, 469-490 (2003).</w:t>
      </w:r>
    </w:p>
  </w:footnote>
  <w:footnote w:id="145">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Gupta, A., “</w:t>
      </w:r>
      <w:r w:rsidRPr="00A94654">
        <w:rPr>
          <w:i/>
          <w:szCs w:val="18"/>
          <w:lang w:val="en-US"/>
        </w:rPr>
        <w:t>Rewarding Traditional Knowledge and Contemporary Grassroots Creativity:  The Role of Intellectual Property Protection</w:t>
      </w:r>
      <w:r w:rsidRPr="00A94654">
        <w:rPr>
          <w:szCs w:val="18"/>
          <w:lang w:val="en-US"/>
        </w:rPr>
        <w:t>”, (en los archivos de la Secretaría).</w:t>
      </w:r>
    </w:p>
  </w:footnote>
  <w:footnote w:id="146">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187, disponible en:  http://www.wipo.int/tk/en/tk/ffm/report/index.html.</w:t>
      </w:r>
    </w:p>
  </w:footnote>
  <w:footnote w:id="147">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 Nueva Zelandia en la undécima sesión del Comité.  Véase el informe aprobado de dicha sesión (documento WIPO/GRTKF/IC/11/15), párr. 220.</w:t>
      </w:r>
    </w:p>
  </w:footnote>
  <w:footnote w:id="148">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del Japón en la undécima sesión del Comité.  Véase el informe aprobado de dicha sesión (documento WIPO/GRTKF/IC/11/15), párr. 296.</w:t>
      </w:r>
    </w:p>
  </w:footnote>
  <w:footnote w:id="149">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  Proyecto de análisis de carencias:  Revisión”, WIPO/GRTKF/IC/13/5(b) Rev., Anexo I, pág. 23, y Anexo II, págs. 12 y 18.</w:t>
      </w:r>
    </w:p>
  </w:footnote>
  <w:footnote w:id="150">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Proyecto de glosario encargado por la Comisión Nacional para la UNESCO.  (Traducción oficiosa de la Oficina Internacional).</w:t>
      </w:r>
    </w:p>
  </w:footnote>
  <w:footnote w:id="151">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w:t>
      </w:r>
    </w:p>
  </w:footnote>
  <w:footnote w:id="152">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15, 16 y 19 del CDB.</w:t>
      </w:r>
    </w:p>
  </w:footnote>
  <w:footnote w:id="153">
    <w:p w:rsidR="00403F66" w:rsidRPr="00A94654" w:rsidRDefault="00403F66"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54">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artículo 8.j) del CDB.</w:t>
      </w:r>
    </w:p>
  </w:footnote>
  <w:footnote w:id="155">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WIPO/GRTKF/IC/11/10.</w:t>
      </w:r>
    </w:p>
  </w:footnote>
  <w:footnote w:id="156">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iCs/>
          <w:szCs w:val="18"/>
        </w:rPr>
        <w:t xml:space="preserve"> en la nota 36, </w:t>
      </w:r>
      <w:r w:rsidRPr="00A94654">
        <w:rPr>
          <w:szCs w:val="18"/>
        </w:rPr>
        <w:t>Parte III</w:t>
      </w:r>
      <w:r w:rsidRPr="00A94654">
        <w:rPr>
          <w:iCs/>
          <w:szCs w:val="18"/>
        </w:rPr>
        <w:t>.</w:t>
      </w:r>
    </w:p>
  </w:footnote>
  <w:footnote w:id="157">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iCs/>
          <w:szCs w:val="18"/>
        </w:rPr>
        <w:t xml:space="preserve"> en la nota 36,</w:t>
      </w:r>
      <w:r w:rsidRPr="00A94654">
        <w:rPr>
          <w:szCs w:val="18"/>
        </w:rPr>
        <w:t xml:space="preserve"> artículo 2.iv)</w:t>
      </w:r>
      <w:r w:rsidRPr="00A94654">
        <w:rPr>
          <w:iCs/>
          <w:szCs w:val="18"/>
        </w:rPr>
        <w:t>.</w:t>
      </w:r>
    </w:p>
  </w:footnote>
  <w:footnote w:id="158">
    <w:p w:rsidR="00403F66" w:rsidRPr="00A94654" w:rsidRDefault="00403F66" w:rsidP="00D30E10">
      <w:pPr>
        <w:pStyle w:val="FootnoteText"/>
        <w:ind w:left="550" w:hanging="550"/>
        <w:rPr>
          <w:szCs w:val="18"/>
          <w:lang w:val="es-ES_tradnl"/>
        </w:rPr>
      </w:pPr>
      <w:r w:rsidRPr="00A94654">
        <w:rPr>
          <w:rStyle w:val="FootnoteReference"/>
          <w:szCs w:val="18"/>
        </w:rPr>
        <w:footnoteRef/>
      </w:r>
      <w:r w:rsidRPr="00A94654">
        <w:rPr>
          <w:szCs w:val="18"/>
          <w:lang w:val="en-US"/>
        </w:rPr>
        <w:t xml:space="preserve"> </w:t>
      </w:r>
      <w:r w:rsidRPr="00A94654">
        <w:rPr>
          <w:szCs w:val="18"/>
          <w:lang w:val="en-US"/>
        </w:rPr>
        <w:tab/>
        <w:t>Nino Pires de Carvalho, “</w:t>
      </w:r>
      <w:r w:rsidRPr="00A94654">
        <w:rPr>
          <w:i/>
          <w:iCs/>
          <w:szCs w:val="18"/>
          <w:lang w:val="en-US"/>
        </w:rPr>
        <w:t>From the Shaman’s Hut to the Patent Office:  A Road Under Constructio”,.</w:t>
      </w:r>
      <w:r w:rsidRPr="00A94654">
        <w:rPr>
          <w:szCs w:val="18"/>
          <w:lang w:val="en-US"/>
        </w:rPr>
        <w:t xml:space="preserve"> </w:t>
      </w:r>
      <w:r w:rsidRPr="00A94654">
        <w:rPr>
          <w:i/>
          <w:iCs/>
          <w:szCs w:val="18"/>
          <w:lang w:val="en-US"/>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59">
    <w:p w:rsidR="00403F66" w:rsidRPr="00A94654" w:rsidRDefault="00403F66"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Análisis consolidado de la protección jurídica </w:t>
      </w:r>
      <w:r w:rsidRPr="00A94654">
        <w:rPr>
          <w:iCs/>
          <w:szCs w:val="18"/>
        </w:rPr>
        <w:t>de las</w:t>
      </w:r>
      <w:r w:rsidRPr="00A94654">
        <w:rPr>
          <w:i/>
          <w:iCs/>
          <w:szCs w:val="18"/>
        </w:rPr>
        <w:t xml:space="preserve"> </w:t>
      </w:r>
      <w:r w:rsidRPr="00A94654">
        <w:rPr>
          <w:szCs w:val="18"/>
        </w:rPr>
        <w:t>expresiones culturales tradicionales, WIPO/GRTKF/IC/5/3, párr. 53.</w:t>
      </w:r>
    </w:p>
  </w:footnote>
  <w:footnote w:id="160">
    <w:p w:rsidR="00403F66" w:rsidRPr="00A94654" w:rsidRDefault="00403F66"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protección...”,1982, </w:t>
      </w:r>
      <w:r w:rsidRPr="00A94654">
        <w:rPr>
          <w:i/>
          <w:iCs/>
          <w:szCs w:val="18"/>
        </w:rPr>
        <w:t>op. cit.</w:t>
      </w:r>
      <w:r w:rsidRPr="00A94654">
        <w:rPr>
          <w:szCs w:val="18"/>
        </w:rPr>
        <w:t xml:space="preserve"> </w:t>
      </w:r>
      <w:r w:rsidRPr="00A94654">
        <w:rPr>
          <w:iCs/>
          <w:szCs w:val="18"/>
        </w:rPr>
        <w:t xml:space="preserve">en la nota 36, </w:t>
      </w:r>
      <w:r w:rsidRPr="00A94654">
        <w:rPr>
          <w:szCs w:val="18"/>
        </w:rPr>
        <w:t>Parte III, párr. 42.</w:t>
      </w:r>
    </w:p>
  </w:footnote>
  <w:footnote w:id="161">
    <w:p w:rsidR="00403F66" w:rsidRPr="00A94654" w:rsidRDefault="00403F66"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Elementos de un sistema sui géneris de protección de los conocimientos tradicionales (WIPO/GRTKF/IC/4/8), párr. 27.</w:t>
      </w:r>
    </w:p>
  </w:footnote>
  <w:footnote w:id="162">
    <w:p w:rsidR="00403F66" w:rsidRPr="00A94654" w:rsidRDefault="00403F66" w:rsidP="008E4710">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 xml:space="preserve">“Análisis consolidado de las protección jurídica de las expresiones culturales tradicionales”, WIPO/GRTKF/IC/5/3, párr. </w:t>
      </w:r>
      <w:r w:rsidRPr="00A94654">
        <w:rPr>
          <w:szCs w:val="18"/>
          <w:lang w:val="en-US"/>
        </w:rPr>
        <w:t>54.</w:t>
      </w:r>
    </w:p>
  </w:footnote>
  <w:footnote w:id="163">
    <w:p w:rsidR="00403F66" w:rsidRPr="00A94654" w:rsidRDefault="00403F66" w:rsidP="008E4710">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también Marc G. Stevenson “</w:t>
      </w:r>
      <w:r w:rsidRPr="00A94654">
        <w:rPr>
          <w:i/>
          <w:iCs/>
          <w:szCs w:val="18"/>
          <w:lang w:val="en-US"/>
        </w:rPr>
        <w:t>Indigenous Knowledge in Environmental Assessments”</w:t>
      </w:r>
      <w:r w:rsidRPr="00A94654">
        <w:rPr>
          <w:szCs w:val="18"/>
          <w:lang w:val="en-US"/>
        </w:rPr>
        <w:t>, 49 ARCTIC 278, 1996, pág. 281.</w:t>
      </w:r>
    </w:p>
  </w:footnote>
  <w:footnote w:id="164">
    <w:p w:rsidR="00403F66" w:rsidRPr="00A94654" w:rsidRDefault="00403F66" w:rsidP="008E4710">
      <w:pPr>
        <w:pStyle w:val="FootnoteText"/>
        <w:ind w:left="567" w:hanging="567"/>
        <w:rPr>
          <w:szCs w:val="18"/>
        </w:rPr>
      </w:pPr>
      <w:r w:rsidRPr="00A94654">
        <w:rPr>
          <w:rStyle w:val="FootnoteReference"/>
          <w:szCs w:val="18"/>
        </w:rPr>
        <w:footnoteRef/>
      </w:r>
      <w:r w:rsidRPr="00A94654">
        <w:rPr>
          <w:szCs w:val="18"/>
          <w:lang w:val="en-US"/>
        </w:rPr>
        <w:tab/>
        <w:t>Véase Fikret Berkes, “</w:t>
      </w:r>
      <w:r w:rsidRPr="00A94654">
        <w:rPr>
          <w:i/>
          <w:szCs w:val="18"/>
          <w:lang w:val="en-US"/>
        </w:rPr>
        <w:t xml:space="preserve">Traditional Ecological Knowledge in Perspective.  </w:t>
      </w:r>
      <w:r w:rsidRPr="00A94654">
        <w:rPr>
          <w:i/>
          <w:szCs w:val="18"/>
          <w:lang w:val="es-ES_tradnl"/>
        </w:rPr>
        <w:t>Traditional Ecological Knowledge:  Concepts and Cases”</w:t>
      </w:r>
      <w:r w:rsidRPr="00A94654">
        <w:rPr>
          <w:szCs w:val="18"/>
          <w:lang w:val="es-ES_tradnl"/>
        </w:rPr>
        <w:t xml:space="preserve">.  </w:t>
      </w:r>
      <w:r w:rsidRPr="00A94654">
        <w:rPr>
          <w:szCs w:val="18"/>
        </w:rPr>
        <w:t>Programa Internacional sobre Conocimientos Ecológicos Tradicionales Centro Internacional de Investigaciones para el Desarrollo, Otawa.</w:t>
      </w:r>
    </w:p>
  </w:footnote>
  <w:footnote w:id="165">
    <w:p w:rsidR="00403F66" w:rsidRPr="00A94654" w:rsidRDefault="00403F66" w:rsidP="008E47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  Conocimientos tradicionales:  Necesidades y expectativas en materia de propiedad intelectual”, pág. 25, disponible en:  http://www.wipo.int/tk/en/ffm/report/index.html.</w:t>
      </w:r>
    </w:p>
  </w:footnote>
  <w:footnote w:id="166">
    <w:p w:rsidR="00403F66" w:rsidRPr="00A94654" w:rsidRDefault="00403F66" w:rsidP="000E2951">
      <w:pPr>
        <w:pStyle w:val="FootnoteText"/>
        <w:rPr>
          <w:szCs w:val="18"/>
        </w:rPr>
      </w:pPr>
      <w:r w:rsidRPr="00A94654">
        <w:rPr>
          <w:rStyle w:val="FootnoteReference"/>
          <w:szCs w:val="18"/>
        </w:rPr>
        <w:footnoteRef/>
      </w:r>
      <w:r w:rsidRPr="00A94654">
        <w:rPr>
          <w:szCs w:val="18"/>
        </w:rPr>
        <w:tab/>
        <w:t xml:space="preserve">Más información disponible en </w:t>
      </w:r>
      <w:hyperlink r:id="rId13" w:history="1">
        <w:r w:rsidRPr="00A94654">
          <w:rPr>
            <w:rStyle w:val="Hyperlink"/>
            <w:szCs w:val="18"/>
          </w:rPr>
          <w:t>http://www.tkdl.res.in/tkdl/langdefault/common/Abouttkdl.asp?GL=Eng</w:t>
        </w:r>
      </w:hyperlink>
      <w:r w:rsidRPr="00A94654">
        <w:rPr>
          <w:szCs w:val="18"/>
        </w:rPr>
        <w:t>.</w:t>
      </w:r>
    </w:p>
  </w:footnote>
  <w:footnote w:id="167">
    <w:p w:rsidR="00403F66" w:rsidRPr="00A94654" w:rsidRDefault="00403F66" w:rsidP="000E295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w:t>
      </w:r>
      <w:r w:rsidRPr="00A94654">
        <w:rPr>
          <w:i/>
          <w:iCs/>
          <w:szCs w:val="18"/>
          <w:lang w:val="en-US"/>
        </w:rPr>
        <w:t>The Role of Registers &amp; Databases in the Protection of Traditional Knowledge:  A Comparative Analysis</w:t>
      </w:r>
      <w:r w:rsidRPr="00A94654">
        <w:rPr>
          <w:iCs/>
          <w:szCs w:val="18"/>
          <w:lang w:val="en-US"/>
        </w:rPr>
        <w:t>”, I</w:t>
      </w:r>
      <w:r w:rsidRPr="00A94654">
        <w:rPr>
          <w:szCs w:val="18"/>
          <w:lang w:val="en-US"/>
        </w:rPr>
        <w:t>nforme UNU-IAS, enero de 2004, pág. 18.</w:t>
      </w:r>
    </w:p>
  </w:footnote>
  <w:footnote w:id="168">
    <w:p w:rsidR="00403F66" w:rsidRPr="00A94654" w:rsidRDefault="00403F66"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  Conocimientos tradicionales:  Necesidades y expectativas en materia de propiedad intelectual”, pág 26.</w:t>
      </w:r>
    </w:p>
  </w:footnote>
  <w:footnote w:id="169">
    <w:p w:rsidR="00403F66" w:rsidRPr="00A94654" w:rsidRDefault="00403F66"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“Lista y breve explicación técnica de las diversas formas que pueden presentar los conocimientos tradicionales”, WIPO/GRTKF/IC/17/INF/9, párrafos 43 y 44 del Anexo.</w:t>
      </w:r>
    </w:p>
  </w:footnote>
  <w:footnote w:id="170">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Ídem.</w:t>
      </w:r>
    </w:p>
  </w:footnote>
  <w:footnote w:id="171">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Más información disponible en </w:t>
      </w:r>
      <w:hyperlink r:id="rId14" w:history="1">
        <w:r w:rsidRPr="00A94654">
          <w:rPr>
            <w:rStyle w:val="Hyperlink"/>
            <w:szCs w:val="18"/>
          </w:rPr>
          <w:t>http://www.tkdl.res.in/tkdl/langdefault/common/TKRC.asp?GL=Eng</w:t>
        </w:r>
      </w:hyperlink>
      <w:r w:rsidRPr="00A94654">
        <w:rPr>
          <w:szCs w:val="18"/>
        </w:rPr>
        <w:t>.</w:t>
      </w:r>
    </w:p>
  </w:footnote>
  <w:footnote w:id="172">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Pautas generales de la OMS para las metodologías de investigación y evaluación de la medicina tradicional, WHO/EDM/TRM/2000.1, pág. 1.</w:t>
      </w:r>
    </w:p>
  </w:footnote>
  <w:footnote w:id="173">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4">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5">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76">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WIPO/GRTKF/IC/3/9.</w:t>
      </w:r>
    </w:p>
  </w:footnote>
  <w:footnote w:id="177">
    <w:p w:rsidR="00403F66" w:rsidRPr="00A94654" w:rsidRDefault="00403F66" w:rsidP="001658E2">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Véase el “Análisis consolidado de la protección jurídica de las expresiones culturales tradicionales”, WIPO/GRTKF/IC/5/3, párr. </w:t>
      </w:r>
      <w:r w:rsidRPr="00A94654">
        <w:rPr>
          <w:szCs w:val="18"/>
          <w:lang w:val="en-US"/>
        </w:rPr>
        <w:t>7.</w:t>
      </w:r>
    </w:p>
  </w:footnote>
  <w:footnote w:id="178">
    <w:p w:rsidR="00403F66" w:rsidRPr="00A94654" w:rsidRDefault="00403F66" w:rsidP="001658E2">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Gervais, “</w:t>
      </w:r>
      <w:r w:rsidRPr="00A94654">
        <w:rPr>
          <w:i/>
          <w:szCs w:val="18"/>
          <w:lang w:val="en-US"/>
        </w:rPr>
        <w:t>The TRIPS Agreement.  Drafting and Analysis”</w:t>
      </w:r>
      <w:r w:rsidRPr="00A94654">
        <w:rPr>
          <w:szCs w:val="18"/>
          <w:lang w:val="en-US"/>
        </w:rPr>
        <w:t>, 3ª edición, Sweet &amp; Maxwell, pág. 132.</w:t>
      </w:r>
    </w:p>
  </w:footnote>
  <w:footnote w:id="179">
    <w:p w:rsidR="00403F66" w:rsidRPr="00A643D4" w:rsidRDefault="00403F66" w:rsidP="009D13E8">
      <w:pPr>
        <w:pStyle w:val="FootnoteText"/>
        <w:ind w:left="567" w:hanging="567"/>
        <w:rPr>
          <w:szCs w:val="18"/>
        </w:rPr>
      </w:pPr>
      <w:r w:rsidRPr="00A94654">
        <w:rPr>
          <w:rStyle w:val="FootnoteReference"/>
          <w:szCs w:val="18"/>
        </w:rPr>
        <w:footnoteRef/>
      </w:r>
      <w:r w:rsidRPr="00A94654">
        <w:rPr>
          <w:szCs w:val="18"/>
        </w:rPr>
        <w:tab/>
      </w:r>
      <w:r w:rsidRPr="00A94654">
        <w:rPr>
          <w:color w:val="000000"/>
          <w:szCs w:val="18"/>
        </w:rPr>
        <w:t xml:space="preserve">Guía de la OMPI para la catalogación de conocimientos tradicionales – borrador de consulta, disponible en:  </w:t>
      </w:r>
      <w:hyperlink r:id="rId15" w:history="1">
        <w:r w:rsidRPr="00A94654">
          <w:rPr>
            <w:rStyle w:val="Hyperlink"/>
            <w:szCs w:val="18"/>
          </w:rPr>
          <w:t>http://www.wipo.int/tk/en/tk/TKToolkit.html</w:t>
        </w:r>
      </w:hyperlink>
      <w:r w:rsidRPr="00A94654">
        <w:rPr>
          <w:color w:val="00000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Default="00403F66" w:rsidP="00311C84">
    <w:pPr>
      <w:jc w:val="right"/>
      <w:rPr>
        <w:lang w:val="pt-BR"/>
      </w:rPr>
    </w:pPr>
    <w:r>
      <w:t>WIPO/GRTKF/IC/2</w:t>
    </w:r>
    <w:r w:rsidR="003F0672">
      <w:t>6/INF/8</w:t>
    </w:r>
  </w:p>
  <w:p w:rsidR="00403F66" w:rsidRPr="003255B0" w:rsidRDefault="00403F66" w:rsidP="00311C84">
    <w:pPr>
      <w:jc w:val="right"/>
      <w:rPr>
        <w:lang w:val="pt-BR"/>
      </w:rPr>
    </w:pPr>
    <w:r w:rsidRPr="003255B0">
      <w:rPr>
        <w:lang w:val="pt-BR"/>
      </w:rPr>
      <w:t xml:space="preserve">página </w:t>
    </w:r>
    <w:r>
      <w:fldChar w:fldCharType="begin"/>
    </w:r>
    <w:r w:rsidRPr="003255B0">
      <w:rPr>
        <w:lang w:val="pt-BR"/>
      </w:rPr>
      <w:instrText xml:space="preserve"> PAGE  \* MERGEFORMAT </w:instrText>
    </w:r>
    <w:r>
      <w:fldChar w:fldCharType="separate"/>
    </w:r>
    <w:r w:rsidR="00BE1978">
      <w:rPr>
        <w:noProof/>
        <w:lang w:val="pt-BR"/>
      </w:rPr>
      <w:t>2</w:t>
    </w:r>
    <w:r>
      <w:fldChar w:fldCharType="end"/>
    </w:r>
  </w:p>
  <w:p w:rsidR="00403F66" w:rsidRPr="003255B0" w:rsidRDefault="00403F66" w:rsidP="00311C84">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Default="00403F66" w:rsidP="00263723">
    <w:pPr>
      <w:jc w:val="right"/>
    </w:pPr>
    <w:r>
      <w:t>WIPO/GRTKF/IC/2</w:t>
    </w:r>
    <w:r w:rsidR="003F0672">
      <w:t>6/INF/8</w:t>
    </w:r>
  </w:p>
  <w:p w:rsidR="00403F66" w:rsidRPr="005951B8" w:rsidRDefault="00403F66" w:rsidP="005951B8">
    <w:pPr>
      <w:pStyle w:val="Header"/>
      <w:jc w:val="right"/>
      <w:rPr>
        <w:rStyle w:val="PageNumber"/>
        <w:lang w:val="es-ES_tradnl"/>
      </w:rPr>
    </w:pPr>
    <w:r>
      <w:rPr>
        <w:lang w:val="es-ES_tradnl"/>
      </w:rPr>
      <w:t xml:space="preserve">Anexo, página </w:t>
    </w:r>
    <w:r>
      <w:rPr>
        <w:rStyle w:val="PageNumber"/>
      </w:rPr>
      <w:fldChar w:fldCharType="begin"/>
    </w:r>
    <w:r w:rsidRPr="005951B8">
      <w:rPr>
        <w:rStyle w:val="PageNumber"/>
        <w:lang w:val="es-ES_tradnl"/>
      </w:rPr>
      <w:instrText xml:space="preserve"> PAGE </w:instrText>
    </w:r>
    <w:r>
      <w:rPr>
        <w:rStyle w:val="PageNumber"/>
      </w:rPr>
      <w:fldChar w:fldCharType="separate"/>
    </w:r>
    <w:r w:rsidR="00BE1978">
      <w:rPr>
        <w:rStyle w:val="PageNumber"/>
        <w:noProof/>
        <w:lang w:val="es-ES_tradnl"/>
      </w:rPr>
      <w:t>48</w:t>
    </w:r>
    <w:r>
      <w:rPr>
        <w:rStyle w:val="PageNumber"/>
      </w:rPr>
      <w:fldChar w:fldCharType="end"/>
    </w:r>
  </w:p>
  <w:p w:rsidR="00403F66" w:rsidRPr="005951B8" w:rsidRDefault="00403F66" w:rsidP="005951B8">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Pr="003F0672" w:rsidRDefault="003F0672" w:rsidP="00A00502">
    <w:pPr>
      <w:jc w:val="right"/>
      <w:rPr>
        <w:lang w:val="en-US"/>
      </w:rPr>
    </w:pPr>
    <w:r w:rsidRPr="003F0672">
      <w:rPr>
        <w:lang w:val="en-US"/>
      </w:rPr>
      <w:t>WIPO/GRTKF/IC/26</w:t>
    </w:r>
    <w:r>
      <w:rPr>
        <w:lang w:val="en-US"/>
      </w:rPr>
      <w:t>/INF/8</w:t>
    </w:r>
  </w:p>
  <w:p w:rsidR="00403F66" w:rsidRPr="003F0672" w:rsidRDefault="00403F66" w:rsidP="00A00502">
    <w:pPr>
      <w:pStyle w:val="Header"/>
      <w:jc w:val="right"/>
      <w:rPr>
        <w:lang w:val="en-US"/>
      </w:rPr>
    </w:pPr>
    <w:r w:rsidRPr="003F0672">
      <w:rPr>
        <w:lang w:val="en-US"/>
      </w:rPr>
      <w:t>ANEXO</w:t>
    </w:r>
  </w:p>
  <w:p w:rsidR="00403F66" w:rsidRPr="003F0672" w:rsidRDefault="00403F66" w:rsidP="0067705F">
    <w:pPr>
      <w:jc w:val="right"/>
      <w:rPr>
        <w:lang w:val="en-US"/>
      </w:rPr>
    </w:pPr>
  </w:p>
  <w:p w:rsidR="00403F66" w:rsidRPr="003F0672" w:rsidRDefault="00403F66" w:rsidP="0067705F">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27508892"/>
    <w:name w:val="WW8Num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3"/>
    <w:multiLevelType w:val="multilevel"/>
    <w:tmpl w:val="00000003"/>
    <w:name w:val="WW8Num4"/>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4">
    <w:nsid w:val="00000004"/>
    <w:multiLevelType w:val="singleLevel"/>
    <w:tmpl w:val="00000004"/>
    <w:name w:val="WW8Num7"/>
    <w:lvl w:ilvl="0">
      <w:start w:val="1"/>
      <w:numFmt w:val="decimal"/>
      <w:pStyle w:val="ListNumber"/>
      <w:lvlText w:val="03.%1."/>
      <w:lvlJc w:val="left"/>
      <w:pPr>
        <w:tabs>
          <w:tab w:val="num" w:pos="567"/>
        </w:tabs>
        <w:ind w:left="0" w:firstLine="0"/>
      </w:pPr>
    </w:lvl>
  </w:abstractNum>
  <w:abstractNum w:abstractNumId="5">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56F2E29"/>
    <w:multiLevelType w:val="hybridMultilevel"/>
    <w:tmpl w:val="30B02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8E00CF"/>
    <w:multiLevelType w:val="hybridMultilevel"/>
    <w:tmpl w:val="523C600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cs="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36D31"/>
    <w:multiLevelType w:val="hybridMultilevel"/>
    <w:tmpl w:val="81563BC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AB15CDE"/>
    <w:multiLevelType w:val="hybridMultilevel"/>
    <w:tmpl w:val="D5F6B7E6"/>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26176A"/>
    <w:multiLevelType w:val="hybridMultilevel"/>
    <w:tmpl w:val="E4AC2FD8"/>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61119E"/>
    <w:multiLevelType w:val="hybridMultilevel"/>
    <w:tmpl w:val="1BCA7AA4"/>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305F3D"/>
    <w:multiLevelType w:val="hybridMultilevel"/>
    <w:tmpl w:val="C03684B2"/>
    <w:lvl w:ilvl="0" w:tplc="8250DD74">
      <w:numFmt w:val="bullet"/>
      <w:lvlText w:val="–"/>
      <w:lvlJc w:val="left"/>
      <w:pPr>
        <w:tabs>
          <w:tab w:val="num" w:pos="3195"/>
        </w:tabs>
        <w:ind w:left="3195" w:hanging="360"/>
      </w:pPr>
      <w:rPr>
        <w:rFonts w:ascii="Tahoma" w:eastAsia="Times New Roman" w:hAnsi="Tahoma" w:cs="Tahoma" w:hint="default"/>
      </w:rPr>
    </w:lvl>
    <w:lvl w:ilvl="1" w:tplc="240070DE">
      <w:start w:val="1"/>
      <w:numFmt w:val="bullet"/>
      <w:lvlText w:val="o"/>
      <w:lvlJc w:val="left"/>
      <w:pPr>
        <w:tabs>
          <w:tab w:val="num" w:pos="1080"/>
        </w:tabs>
        <w:ind w:left="1080" w:hanging="360"/>
      </w:pPr>
      <w:rPr>
        <w:rFonts w:ascii="Courier New" w:hAnsi="Courier New" w:cs="Courier New" w:hint="default"/>
      </w:rPr>
    </w:lvl>
    <w:lvl w:ilvl="2" w:tplc="932A1852">
      <w:start w:val="1"/>
      <w:numFmt w:val="bullet"/>
      <w:lvlText w:val=""/>
      <w:lvlJc w:val="left"/>
      <w:pPr>
        <w:tabs>
          <w:tab w:val="num" w:pos="1800"/>
        </w:tabs>
        <w:ind w:left="1800" w:hanging="360"/>
      </w:pPr>
      <w:rPr>
        <w:rFonts w:ascii="Wingdings" w:hAnsi="Wingdings" w:hint="default"/>
      </w:rPr>
    </w:lvl>
    <w:lvl w:ilvl="3" w:tplc="8330277C" w:tentative="1">
      <w:start w:val="1"/>
      <w:numFmt w:val="bullet"/>
      <w:lvlText w:val=""/>
      <w:lvlJc w:val="left"/>
      <w:pPr>
        <w:tabs>
          <w:tab w:val="num" w:pos="2520"/>
        </w:tabs>
        <w:ind w:left="2520" w:hanging="360"/>
      </w:pPr>
      <w:rPr>
        <w:rFonts w:ascii="Symbol" w:hAnsi="Symbol" w:hint="default"/>
      </w:rPr>
    </w:lvl>
    <w:lvl w:ilvl="4" w:tplc="29D8B3C0" w:tentative="1">
      <w:start w:val="1"/>
      <w:numFmt w:val="bullet"/>
      <w:lvlText w:val="o"/>
      <w:lvlJc w:val="left"/>
      <w:pPr>
        <w:tabs>
          <w:tab w:val="num" w:pos="3240"/>
        </w:tabs>
        <w:ind w:left="3240" w:hanging="360"/>
      </w:pPr>
      <w:rPr>
        <w:rFonts w:ascii="Courier New" w:hAnsi="Courier New" w:cs="Courier New" w:hint="default"/>
      </w:rPr>
    </w:lvl>
    <w:lvl w:ilvl="5" w:tplc="64209DA4" w:tentative="1">
      <w:start w:val="1"/>
      <w:numFmt w:val="bullet"/>
      <w:lvlText w:val=""/>
      <w:lvlJc w:val="left"/>
      <w:pPr>
        <w:tabs>
          <w:tab w:val="num" w:pos="3960"/>
        </w:tabs>
        <w:ind w:left="3960" w:hanging="360"/>
      </w:pPr>
      <w:rPr>
        <w:rFonts w:ascii="Wingdings" w:hAnsi="Wingdings" w:hint="default"/>
      </w:rPr>
    </w:lvl>
    <w:lvl w:ilvl="6" w:tplc="32C29262" w:tentative="1">
      <w:start w:val="1"/>
      <w:numFmt w:val="bullet"/>
      <w:lvlText w:val=""/>
      <w:lvlJc w:val="left"/>
      <w:pPr>
        <w:tabs>
          <w:tab w:val="num" w:pos="4680"/>
        </w:tabs>
        <w:ind w:left="4680" w:hanging="360"/>
      </w:pPr>
      <w:rPr>
        <w:rFonts w:ascii="Symbol" w:hAnsi="Symbol" w:hint="default"/>
      </w:rPr>
    </w:lvl>
    <w:lvl w:ilvl="7" w:tplc="3B081C64" w:tentative="1">
      <w:start w:val="1"/>
      <w:numFmt w:val="bullet"/>
      <w:lvlText w:val="o"/>
      <w:lvlJc w:val="left"/>
      <w:pPr>
        <w:tabs>
          <w:tab w:val="num" w:pos="5400"/>
        </w:tabs>
        <w:ind w:left="5400" w:hanging="360"/>
      </w:pPr>
      <w:rPr>
        <w:rFonts w:ascii="Courier New" w:hAnsi="Courier New" w:cs="Courier New" w:hint="default"/>
      </w:rPr>
    </w:lvl>
    <w:lvl w:ilvl="8" w:tplc="6A246702" w:tentative="1">
      <w:start w:val="1"/>
      <w:numFmt w:val="bullet"/>
      <w:lvlText w:val=""/>
      <w:lvlJc w:val="left"/>
      <w:pPr>
        <w:tabs>
          <w:tab w:val="num" w:pos="6120"/>
        </w:tabs>
        <w:ind w:left="6120" w:hanging="360"/>
      </w:pPr>
      <w:rPr>
        <w:rFonts w:ascii="Wingdings" w:hAnsi="Wingdings" w:hint="default"/>
      </w:rPr>
    </w:lvl>
  </w:abstractNum>
  <w:abstractNum w:abstractNumId="15">
    <w:nsid w:val="2778513A"/>
    <w:multiLevelType w:val="hybridMultilevel"/>
    <w:tmpl w:val="CD0CCDE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8D069F"/>
    <w:multiLevelType w:val="hybridMultilevel"/>
    <w:tmpl w:val="6210633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3915"/>
        </w:tabs>
        <w:ind w:left="3915" w:hanging="360"/>
      </w:pPr>
      <w:rPr>
        <w:rFonts w:ascii="Courier New" w:hAnsi="Courier New" w:cs="Courier New" w:hint="default"/>
      </w:rPr>
    </w:lvl>
    <w:lvl w:ilvl="2" w:tplc="04090005" w:tentative="1">
      <w:start w:val="1"/>
      <w:numFmt w:val="bullet"/>
      <w:lvlText w:val=""/>
      <w:lvlJc w:val="left"/>
      <w:pPr>
        <w:tabs>
          <w:tab w:val="num" w:pos="4635"/>
        </w:tabs>
        <w:ind w:left="4635" w:hanging="360"/>
      </w:pPr>
      <w:rPr>
        <w:rFonts w:ascii="Wingdings" w:hAnsi="Wingdings" w:hint="default"/>
      </w:rPr>
    </w:lvl>
    <w:lvl w:ilvl="3" w:tplc="04090001" w:tentative="1">
      <w:start w:val="1"/>
      <w:numFmt w:val="bullet"/>
      <w:lvlText w:val=""/>
      <w:lvlJc w:val="left"/>
      <w:pPr>
        <w:tabs>
          <w:tab w:val="num" w:pos="5355"/>
        </w:tabs>
        <w:ind w:left="5355" w:hanging="360"/>
      </w:pPr>
      <w:rPr>
        <w:rFonts w:ascii="Symbol" w:hAnsi="Symbol" w:hint="default"/>
      </w:rPr>
    </w:lvl>
    <w:lvl w:ilvl="4" w:tplc="04090003" w:tentative="1">
      <w:start w:val="1"/>
      <w:numFmt w:val="bullet"/>
      <w:lvlText w:val="o"/>
      <w:lvlJc w:val="left"/>
      <w:pPr>
        <w:tabs>
          <w:tab w:val="num" w:pos="6075"/>
        </w:tabs>
        <w:ind w:left="6075" w:hanging="360"/>
      </w:pPr>
      <w:rPr>
        <w:rFonts w:ascii="Courier New" w:hAnsi="Courier New" w:cs="Courier New" w:hint="default"/>
      </w:rPr>
    </w:lvl>
    <w:lvl w:ilvl="5" w:tplc="04090005" w:tentative="1">
      <w:start w:val="1"/>
      <w:numFmt w:val="bullet"/>
      <w:lvlText w:val=""/>
      <w:lvlJc w:val="left"/>
      <w:pPr>
        <w:tabs>
          <w:tab w:val="num" w:pos="6795"/>
        </w:tabs>
        <w:ind w:left="6795" w:hanging="360"/>
      </w:pPr>
      <w:rPr>
        <w:rFonts w:ascii="Wingdings" w:hAnsi="Wingdings" w:hint="default"/>
      </w:rPr>
    </w:lvl>
    <w:lvl w:ilvl="6" w:tplc="04090001" w:tentative="1">
      <w:start w:val="1"/>
      <w:numFmt w:val="bullet"/>
      <w:lvlText w:val=""/>
      <w:lvlJc w:val="left"/>
      <w:pPr>
        <w:tabs>
          <w:tab w:val="num" w:pos="7515"/>
        </w:tabs>
        <w:ind w:left="7515" w:hanging="360"/>
      </w:pPr>
      <w:rPr>
        <w:rFonts w:ascii="Symbol" w:hAnsi="Symbol" w:hint="default"/>
      </w:rPr>
    </w:lvl>
    <w:lvl w:ilvl="7" w:tplc="04090003" w:tentative="1">
      <w:start w:val="1"/>
      <w:numFmt w:val="bullet"/>
      <w:lvlText w:val="o"/>
      <w:lvlJc w:val="left"/>
      <w:pPr>
        <w:tabs>
          <w:tab w:val="num" w:pos="8235"/>
        </w:tabs>
        <w:ind w:left="8235" w:hanging="360"/>
      </w:pPr>
      <w:rPr>
        <w:rFonts w:ascii="Courier New" w:hAnsi="Courier New" w:cs="Courier New" w:hint="default"/>
      </w:rPr>
    </w:lvl>
    <w:lvl w:ilvl="8" w:tplc="04090005" w:tentative="1">
      <w:start w:val="1"/>
      <w:numFmt w:val="bullet"/>
      <w:lvlText w:val=""/>
      <w:lvlJc w:val="left"/>
      <w:pPr>
        <w:tabs>
          <w:tab w:val="num" w:pos="8955"/>
        </w:tabs>
        <w:ind w:left="8955" w:hanging="360"/>
      </w:pPr>
      <w:rPr>
        <w:rFonts w:ascii="Wingdings" w:hAnsi="Wingdings" w:hint="default"/>
      </w:rPr>
    </w:lvl>
  </w:abstractNum>
  <w:abstractNum w:abstractNumId="17">
    <w:nsid w:val="31802988"/>
    <w:multiLevelType w:val="hybridMultilevel"/>
    <w:tmpl w:val="07268D1C"/>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3C19AA"/>
    <w:multiLevelType w:val="hybridMultilevel"/>
    <w:tmpl w:val="A2EE3046"/>
    <w:lvl w:ilvl="0" w:tplc="448AE26E">
      <w:numFmt w:val="bullet"/>
      <w:lvlText w:val="–"/>
      <w:lvlJc w:val="left"/>
      <w:pPr>
        <w:tabs>
          <w:tab w:val="num" w:pos="3195"/>
        </w:tabs>
        <w:ind w:left="3195" w:hanging="360"/>
      </w:pPr>
      <w:rPr>
        <w:rFonts w:ascii="Tahoma" w:eastAsia="Times New Roman" w:hAnsi="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8A26723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1">
    <w:nsid w:val="383059C8"/>
    <w:multiLevelType w:val="hybridMultilevel"/>
    <w:tmpl w:val="8E388102"/>
    <w:lvl w:ilvl="0" w:tplc="892C0598">
      <w:numFmt w:val="bullet"/>
      <w:lvlText w:val="–"/>
      <w:lvlJc w:val="left"/>
      <w:pPr>
        <w:tabs>
          <w:tab w:val="num" w:pos="3195"/>
        </w:tabs>
        <w:ind w:left="3195" w:hanging="360"/>
      </w:pPr>
      <w:rPr>
        <w:rFonts w:ascii="Tahoma" w:eastAsia="Times New Roman" w:hAnsi="Tahoma" w:cs="Tahoma" w:hint="default"/>
      </w:rPr>
    </w:lvl>
    <w:lvl w:ilvl="1" w:tplc="1122B0E2">
      <w:start w:val="1"/>
      <w:numFmt w:val="bullet"/>
      <w:lvlText w:val="-"/>
      <w:lvlJc w:val="left"/>
      <w:pPr>
        <w:tabs>
          <w:tab w:val="num" w:pos="1080"/>
        </w:tabs>
        <w:ind w:left="1080" w:hanging="360"/>
      </w:pPr>
      <w:rPr>
        <w:rFonts w:ascii="Arial" w:eastAsia="Times New Roman" w:hAnsi="Arial" w:cs="Arial" w:hint="default"/>
      </w:rPr>
    </w:lvl>
    <w:lvl w:ilvl="2" w:tplc="436A9208" w:tentative="1">
      <w:start w:val="1"/>
      <w:numFmt w:val="bullet"/>
      <w:lvlText w:val=""/>
      <w:lvlJc w:val="left"/>
      <w:pPr>
        <w:tabs>
          <w:tab w:val="num" w:pos="1800"/>
        </w:tabs>
        <w:ind w:left="1800" w:hanging="360"/>
      </w:pPr>
      <w:rPr>
        <w:rFonts w:ascii="Wingdings" w:hAnsi="Wingdings" w:hint="default"/>
      </w:rPr>
    </w:lvl>
    <w:lvl w:ilvl="3" w:tplc="BBF4F7D4" w:tentative="1">
      <w:start w:val="1"/>
      <w:numFmt w:val="bullet"/>
      <w:lvlText w:val=""/>
      <w:lvlJc w:val="left"/>
      <w:pPr>
        <w:tabs>
          <w:tab w:val="num" w:pos="2520"/>
        </w:tabs>
        <w:ind w:left="2520" w:hanging="360"/>
      </w:pPr>
      <w:rPr>
        <w:rFonts w:ascii="Symbol" w:hAnsi="Symbol" w:hint="default"/>
      </w:rPr>
    </w:lvl>
    <w:lvl w:ilvl="4" w:tplc="169E1144" w:tentative="1">
      <w:start w:val="1"/>
      <w:numFmt w:val="bullet"/>
      <w:lvlText w:val="o"/>
      <w:lvlJc w:val="left"/>
      <w:pPr>
        <w:tabs>
          <w:tab w:val="num" w:pos="3240"/>
        </w:tabs>
        <w:ind w:left="3240" w:hanging="360"/>
      </w:pPr>
      <w:rPr>
        <w:rFonts w:ascii="Courier New" w:hAnsi="Courier New" w:cs="Courier New" w:hint="default"/>
      </w:rPr>
    </w:lvl>
    <w:lvl w:ilvl="5" w:tplc="BD920818" w:tentative="1">
      <w:start w:val="1"/>
      <w:numFmt w:val="bullet"/>
      <w:lvlText w:val=""/>
      <w:lvlJc w:val="left"/>
      <w:pPr>
        <w:tabs>
          <w:tab w:val="num" w:pos="3960"/>
        </w:tabs>
        <w:ind w:left="3960" w:hanging="360"/>
      </w:pPr>
      <w:rPr>
        <w:rFonts w:ascii="Wingdings" w:hAnsi="Wingdings" w:hint="default"/>
      </w:rPr>
    </w:lvl>
    <w:lvl w:ilvl="6" w:tplc="D9342FF0" w:tentative="1">
      <w:start w:val="1"/>
      <w:numFmt w:val="bullet"/>
      <w:lvlText w:val=""/>
      <w:lvlJc w:val="left"/>
      <w:pPr>
        <w:tabs>
          <w:tab w:val="num" w:pos="4680"/>
        </w:tabs>
        <w:ind w:left="4680" w:hanging="360"/>
      </w:pPr>
      <w:rPr>
        <w:rFonts w:ascii="Symbol" w:hAnsi="Symbol" w:hint="default"/>
      </w:rPr>
    </w:lvl>
    <w:lvl w:ilvl="7" w:tplc="8230012C" w:tentative="1">
      <w:start w:val="1"/>
      <w:numFmt w:val="bullet"/>
      <w:lvlText w:val="o"/>
      <w:lvlJc w:val="left"/>
      <w:pPr>
        <w:tabs>
          <w:tab w:val="num" w:pos="5400"/>
        </w:tabs>
        <w:ind w:left="5400" w:hanging="360"/>
      </w:pPr>
      <w:rPr>
        <w:rFonts w:ascii="Courier New" w:hAnsi="Courier New" w:cs="Courier New" w:hint="default"/>
      </w:rPr>
    </w:lvl>
    <w:lvl w:ilvl="8" w:tplc="60180606" w:tentative="1">
      <w:start w:val="1"/>
      <w:numFmt w:val="bullet"/>
      <w:lvlText w:val=""/>
      <w:lvlJc w:val="left"/>
      <w:pPr>
        <w:tabs>
          <w:tab w:val="num" w:pos="6120"/>
        </w:tabs>
        <w:ind w:left="6120" w:hanging="360"/>
      </w:pPr>
      <w:rPr>
        <w:rFonts w:ascii="Wingdings" w:hAnsi="Wingdings" w:hint="default"/>
      </w:rPr>
    </w:lvl>
  </w:abstractNum>
  <w:abstractNum w:abstractNumId="22">
    <w:nsid w:val="3D773DCD"/>
    <w:multiLevelType w:val="hybridMultilevel"/>
    <w:tmpl w:val="1E4A8572"/>
    <w:lvl w:ilvl="0" w:tplc="448AE26E">
      <w:start w:val="6"/>
      <w:numFmt w:val="lowerLetter"/>
      <w:lvlText w:val="%1)"/>
      <w:lvlJc w:val="left"/>
      <w:pPr>
        <w:tabs>
          <w:tab w:val="num" w:pos="1494"/>
        </w:tabs>
        <w:ind w:left="1494" w:hanging="360"/>
      </w:pPr>
      <w:rPr>
        <w:rFonts w:hint="default"/>
      </w:rPr>
    </w:lvl>
    <w:lvl w:ilvl="1" w:tplc="B9CEA8A4">
      <w:start w:val="1"/>
      <w:numFmt w:val="lowerRoman"/>
      <w:lvlText w:val="%2)"/>
      <w:lvlJc w:val="left"/>
      <w:pPr>
        <w:tabs>
          <w:tab w:val="num" w:pos="2574"/>
        </w:tabs>
        <w:ind w:left="2574" w:hanging="720"/>
      </w:pPr>
      <w:rPr>
        <w:rFonts w:hint="default"/>
      </w:r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23">
    <w:nsid w:val="3E864CA4"/>
    <w:multiLevelType w:val="hybridMultilevel"/>
    <w:tmpl w:val="C7C45474"/>
    <w:lvl w:ilvl="0" w:tplc="B1242458">
      <w:numFmt w:val="bullet"/>
      <w:lvlText w:val="–"/>
      <w:lvlJc w:val="left"/>
      <w:pPr>
        <w:tabs>
          <w:tab w:val="num" w:pos="3195"/>
        </w:tabs>
        <w:ind w:left="3195" w:hanging="360"/>
      </w:pPr>
      <w:rPr>
        <w:rFonts w:ascii="Tahoma" w:eastAsia="Times New Roman" w:hAnsi="Tahoma" w:cs="Tahoma" w:hint="default"/>
      </w:rPr>
    </w:lvl>
    <w:lvl w:ilvl="1" w:tplc="E07218EA"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4">
    <w:nsid w:val="47490C27"/>
    <w:multiLevelType w:val="hybridMultilevel"/>
    <w:tmpl w:val="E814EEC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B4314C"/>
    <w:multiLevelType w:val="hybridMultilevel"/>
    <w:tmpl w:val="F7681A66"/>
    <w:lvl w:ilvl="0" w:tplc="448AE26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D21045"/>
    <w:multiLevelType w:val="hybridMultilevel"/>
    <w:tmpl w:val="A796B598"/>
    <w:lvl w:ilvl="0" w:tplc="04090003">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EE74856"/>
    <w:multiLevelType w:val="multilevel"/>
    <w:tmpl w:val="586C8B00"/>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FAD6ECC"/>
    <w:multiLevelType w:val="hybridMultilevel"/>
    <w:tmpl w:val="9ED8714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10A3A55"/>
    <w:multiLevelType w:val="multilevel"/>
    <w:tmpl w:val="E4AC2FD8"/>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2">
    <w:nsid w:val="57A76863"/>
    <w:multiLevelType w:val="hybridMultilevel"/>
    <w:tmpl w:val="D802545E"/>
    <w:lvl w:ilvl="0" w:tplc="F6887DBA">
      <w:numFmt w:val="bullet"/>
      <w:lvlText w:val="–"/>
      <w:lvlJc w:val="left"/>
      <w:pPr>
        <w:tabs>
          <w:tab w:val="num" w:pos="3195"/>
        </w:tabs>
        <w:ind w:left="3195" w:hanging="360"/>
      </w:pPr>
      <w:rPr>
        <w:rFonts w:ascii="Tahoma" w:eastAsia="Times New Roman" w:hAnsi="Tahoma" w:cs="Tahoma" w:hint="default"/>
      </w:rPr>
    </w:lvl>
    <w:lvl w:ilvl="1" w:tplc="BEBCB2A0">
      <w:start w:val="1"/>
      <w:numFmt w:val="bullet"/>
      <w:lvlText w:val="o"/>
      <w:lvlJc w:val="left"/>
      <w:pPr>
        <w:tabs>
          <w:tab w:val="num" w:pos="1080"/>
        </w:tabs>
        <w:ind w:left="1080" w:hanging="360"/>
      </w:pPr>
      <w:rPr>
        <w:rFonts w:ascii="Courier New" w:hAnsi="Courier New" w:cs="Courier New" w:hint="default"/>
      </w:rPr>
    </w:lvl>
    <w:lvl w:ilvl="2" w:tplc="4FB6621E">
      <w:start w:val="1"/>
      <w:numFmt w:val="bullet"/>
      <w:lvlText w:val=""/>
      <w:lvlJc w:val="left"/>
      <w:pPr>
        <w:tabs>
          <w:tab w:val="num" w:pos="1800"/>
        </w:tabs>
        <w:ind w:left="1800" w:hanging="360"/>
      </w:pPr>
      <w:rPr>
        <w:rFonts w:ascii="Wingdings" w:hAnsi="Wingdings" w:hint="default"/>
      </w:rPr>
    </w:lvl>
    <w:lvl w:ilvl="3" w:tplc="718A45BA" w:tentative="1">
      <w:start w:val="1"/>
      <w:numFmt w:val="bullet"/>
      <w:lvlText w:val=""/>
      <w:lvlJc w:val="left"/>
      <w:pPr>
        <w:tabs>
          <w:tab w:val="num" w:pos="2520"/>
        </w:tabs>
        <w:ind w:left="2520" w:hanging="360"/>
      </w:pPr>
      <w:rPr>
        <w:rFonts w:ascii="Symbol" w:hAnsi="Symbol" w:hint="default"/>
      </w:rPr>
    </w:lvl>
    <w:lvl w:ilvl="4" w:tplc="4084528C" w:tentative="1">
      <w:start w:val="1"/>
      <w:numFmt w:val="bullet"/>
      <w:lvlText w:val="o"/>
      <w:lvlJc w:val="left"/>
      <w:pPr>
        <w:tabs>
          <w:tab w:val="num" w:pos="3240"/>
        </w:tabs>
        <w:ind w:left="3240" w:hanging="360"/>
      </w:pPr>
      <w:rPr>
        <w:rFonts w:ascii="Courier New" w:hAnsi="Courier New" w:cs="Courier New" w:hint="default"/>
      </w:rPr>
    </w:lvl>
    <w:lvl w:ilvl="5" w:tplc="25DE3776" w:tentative="1">
      <w:start w:val="1"/>
      <w:numFmt w:val="bullet"/>
      <w:lvlText w:val=""/>
      <w:lvlJc w:val="left"/>
      <w:pPr>
        <w:tabs>
          <w:tab w:val="num" w:pos="3960"/>
        </w:tabs>
        <w:ind w:left="3960" w:hanging="360"/>
      </w:pPr>
      <w:rPr>
        <w:rFonts w:ascii="Wingdings" w:hAnsi="Wingdings" w:hint="default"/>
      </w:rPr>
    </w:lvl>
    <w:lvl w:ilvl="6" w:tplc="05D2A6F4" w:tentative="1">
      <w:start w:val="1"/>
      <w:numFmt w:val="bullet"/>
      <w:lvlText w:val=""/>
      <w:lvlJc w:val="left"/>
      <w:pPr>
        <w:tabs>
          <w:tab w:val="num" w:pos="4680"/>
        </w:tabs>
        <w:ind w:left="4680" w:hanging="360"/>
      </w:pPr>
      <w:rPr>
        <w:rFonts w:ascii="Symbol" w:hAnsi="Symbol" w:hint="default"/>
      </w:rPr>
    </w:lvl>
    <w:lvl w:ilvl="7" w:tplc="503C8D7C" w:tentative="1">
      <w:start w:val="1"/>
      <w:numFmt w:val="bullet"/>
      <w:lvlText w:val="o"/>
      <w:lvlJc w:val="left"/>
      <w:pPr>
        <w:tabs>
          <w:tab w:val="num" w:pos="5400"/>
        </w:tabs>
        <w:ind w:left="5400" w:hanging="360"/>
      </w:pPr>
      <w:rPr>
        <w:rFonts w:ascii="Courier New" w:hAnsi="Courier New" w:cs="Courier New" w:hint="default"/>
      </w:rPr>
    </w:lvl>
    <w:lvl w:ilvl="8" w:tplc="44D2895E" w:tentative="1">
      <w:start w:val="1"/>
      <w:numFmt w:val="bullet"/>
      <w:lvlText w:val=""/>
      <w:lvlJc w:val="left"/>
      <w:pPr>
        <w:tabs>
          <w:tab w:val="num" w:pos="6120"/>
        </w:tabs>
        <w:ind w:left="6120" w:hanging="360"/>
      </w:pPr>
      <w:rPr>
        <w:rFonts w:ascii="Wingdings" w:hAnsi="Wingdings" w:hint="default"/>
      </w:rPr>
    </w:lvl>
  </w:abstractNum>
  <w:abstractNum w:abstractNumId="3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cs="Tahoma"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34">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5">
    <w:nsid w:val="670879A3"/>
    <w:multiLevelType w:val="hybridMultilevel"/>
    <w:tmpl w:val="586C8B00"/>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552E1"/>
    <w:multiLevelType w:val="hybridMultilevel"/>
    <w:tmpl w:val="79D2D6FC"/>
    <w:lvl w:ilvl="0" w:tplc="D4D0C328">
      <w:start w:val="1"/>
      <w:numFmt w:val="bullet"/>
      <w:lvlText w:val=""/>
      <w:lvlJc w:val="left"/>
      <w:pPr>
        <w:tabs>
          <w:tab w:val="num" w:pos="720"/>
        </w:tabs>
        <w:ind w:left="720" w:hanging="360"/>
      </w:pPr>
      <w:rPr>
        <w:rFonts w:ascii="Symbol" w:hAnsi="Symbol" w:hint="default"/>
      </w:rPr>
    </w:lvl>
    <w:lvl w:ilvl="1" w:tplc="79506DF0" w:tentative="1">
      <w:start w:val="1"/>
      <w:numFmt w:val="bullet"/>
      <w:lvlText w:val="o"/>
      <w:lvlJc w:val="left"/>
      <w:pPr>
        <w:tabs>
          <w:tab w:val="num" w:pos="1440"/>
        </w:tabs>
        <w:ind w:left="1440" w:hanging="360"/>
      </w:pPr>
      <w:rPr>
        <w:rFonts w:ascii="Courier New" w:hAnsi="Courier New" w:cs="Courier New" w:hint="default"/>
      </w:rPr>
    </w:lvl>
    <w:lvl w:ilvl="2" w:tplc="200CB410" w:tentative="1">
      <w:start w:val="1"/>
      <w:numFmt w:val="bullet"/>
      <w:lvlText w:val=""/>
      <w:lvlJc w:val="left"/>
      <w:pPr>
        <w:tabs>
          <w:tab w:val="num" w:pos="2160"/>
        </w:tabs>
        <w:ind w:left="2160" w:hanging="360"/>
      </w:pPr>
      <w:rPr>
        <w:rFonts w:ascii="Wingdings" w:hAnsi="Wingdings" w:hint="default"/>
      </w:rPr>
    </w:lvl>
    <w:lvl w:ilvl="3" w:tplc="69E85D9A" w:tentative="1">
      <w:start w:val="1"/>
      <w:numFmt w:val="bullet"/>
      <w:lvlText w:val=""/>
      <w:lvlJc w:val="left"/>
      <w:pPr>
        <w:tabs>
          <w:tab w:val="num" w:pos="2880"/>
        </w:tabs>
        <w:ind w:left="2880" w:hanging="360"/>
      </w:pPr>
      <w:rPr>
        <w:rFonts w:ascii="Symbol" w:hAnsi="Symbol" w:hint="default"/>
      </w:rPr>
    </w:lvl>
    <w:lvl w:ilvl="4" w:tplc="3A263F72" w:tentative="1">
      <w:start w:val="1"/>
      <w:numFmt w:val="bullet"/>
      <w:lvlText w:val="o"/>
      <w:lvlJc w:val="left"/>
      <w:pPr>
        <w:tabs>
          <w:tab w:val="num" w:pos="3600"/>
        </w:tabs>
        <w:ind w:left="3600" w:hanging="360"/>
      </w:pPr>
      <w:rPr>
        <w:rFonts w:ascii="Courier New" w:hAnsi="Courier New" w:cs="Courier New" w:hint="default"/>
      </w:rPr>
    </w:lvl>
    <w:lvl w:ilvl="5" w:tplc="805CEDCA" w:tentative="1">
      <w:start w:val="1"/>
      <w:numFmt w:val="bullet"/>
      <w:lvlText w:val=""/>
      <w:lvlJc w:val="left"/>
      <w:pPr>
        <w:tabs>
          <w:tab w:val="num" w:pos="4320"/>
        </w:tabs>
        <w:ind w:left="4320" w:hanging="360"/>
      </w:pPr>
      <w:rPr>
        <w:rFonts w:ascii="Wingdings" w:hAnsi="Wingdings" w:hint="default"/>
      </w:rPr>
    </w:lvl>
    <w:lvl w:ilvl="6" w:tplc="DFB01D3C" w:tentative="1">
      <w:start w:val="1"/>
      <w:numFmt w:val="bullet"/>
      <w:lvlText w:val=""/>
      <w:lvlJc w:val="left"/>
      <w:pPr>
        <w:tabs>
          <w:tab w:val="num" w:pos="5040"/>
        </w:tabs>
        <w:ind w:left="5040" w:hanging="360"/>
      </w:pPr>
      <w:rPr>
        <w:rFonts w:ascii="Symbol" w:hAnsi="Symbol" w:hint="default"/>
      </w:rPr>
    </w:lvl>
    <w:lvl w:ilvl="7" w:tplc="D67E46B0" w:tentative="1">
      <w:start w:val="1"/>
      <w:numFmt w:val="bullet"/>
      <w:lvlText w:val="o"/>
      <w:lvlJc w:val="left"/>
      <w:pPr>
        <w:tabs>
          <w:tab w:val="num" w:pos="5760"/>
        </w:tabs>
        <w:ind w:left="5760" w:hanging="360"/>
      </w:pPr>
      <w:rPr>
        <w:rFonts w:ascii="Courier New" w:hAnsi="Courier New" w:cs="Courier New" w:hint="default"/>
      </w:rPr>
    </w:lvl>
    <w:lvl w:ilvl="8" w:tplc="613252BA" w:tentative="1">
      <w:start w:val="1"/>
      <w:numFmt w:val="bullet"/>
      <w:lvlText w:val=""/>
      <w:lvlJc w:val="left"/>
      <w:pPr>
        <w:tabs>
          <w:tab w:val="num" w:pos="6480"/>
        </w:tabs>
        <w:ind w:left="6480" w:hanging="360"/>
      </w:pPr>
      <w:rPr>
        <w:rFonts w:ascii="Wingdings" w:hAnsi="Wingdings" w:hint="default"/>
      </w:rPr>
    </w:lvl>
  </w:abstractNum>
  <w:abstractNum w:abstractNumId="37">
    <w:nsid w:val="6E8A6D5F"/>
    <w:multiLevelType w:val="hybridMultilevel"/>
    <w:tmpl w:val="32DED336"/>
    <w:lvl w:ilvl="0" w:tplc="04090001">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4143A1"/>
    <w:multiLevelType w:val="hybridMultilevel"/>
    <w:tmpl w:val="581A655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C5616C"/>
    <w:multiLevelType w:val="hybridMultilevel"/>
    <w:tmpl w:val="3926D828"/>
    <w:lvl w:ilvl="0" w:tplc="448AE26E">
      <w:start w:val="1"/>
      <w:numFmt w:val="decimal"/>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40">
    <w:nsid w:val="75E115C3"/>
    <w:multiLevelType w:val="hybridMultilevel"/>
    <w:tmpl w:val="3BA46D5C"/>
    <w:lvl w:ilvl="0" w:tplc="BA141BC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445E86"/>
    <w:multiLevelType w:val="hybridMultilevel"/>
    <w:tmpl w:val="FB744170"/>
    <w:lvl w:ilvl="0" w:tplc="8CE814C8">
      <w:numFmt w:val="bullet"/>
      <w:lvlText w:val="–"/>
      <w:lvlJc w:val="left"/>
      <w:pPr>
        <w:tabs>
          <w:tab w:val="num" w:pos="3195"/>
        </w:tabs>
        <w:ind w:left="3195" w:hanging="360"/>
      </w:pPr>
      <w:rPr>
        <w:rFonts w:ascii="Tahoma" w:eastAsia="Times New Roman" w:hAnsi="Tahoma" w:cs="Tahoma"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nsid w:val="769046A5"/>
    <w:multiLevelType w:val="hybridMultilevel"/>
    <w:tmpl w:val="BD283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42"/>
  </w:num>
  <w:num w:numId="7">
    <w:abstractNumId w:val="16"/>
  </w:num>
  <w:num w:numId="8">
    <w:abstractNumId w:val="23"/>
  </w:num>
  <w:num w:numId="9">
    <w:abstractNumId w:val="10"/>
  </w:num>
  <w:num w:numId="10">
    <w:abstractNumId w:val="29"/>
  </w:num>
  <w:num w:numId="11">
    <w:abstractNumId w:val="21"/>
  </w:num>
  <w:num w:numId="12">
    <w:abstractNumId w:val="33"/>
  </w:num>
  <w:num w:numId="13">
    <w:abstractNumId w:val="43"/>
  </w:num>
  <w:num w:numId="14">
    <w:abstractNumId w:val="37"/>
  </w:num>
  <w:num w:numId="15">
    <w:abstractNumId w:val="41"/>
  </w:num>
  <w:num w:numId="16">
    <w:abstractNumId w:val="8"/>
  </w:num>
  <w:num w:numId="17">
    <w:abstractNumId w:val="18"/>
  </w:num>
  <w:num w:numId="18">
    <w:abstractNumId w:val="31"/>
  </w:num>
  <w:num w:numId="19">
    <w:abstractNumId w:val="20"/>
  </w:num>
  <w:num w:numId="20">
    <w:abstractNumId w:val="34"/>
  </w:num>
  <w:num w:numId="21">
    <w:abstractNumId w:val="19"/>
  </w:num>
  <w:num w:numId="22">
    <w:abstractNumId w:val="22"/>
  </w:num>
  <w:num w:numId="23">
    <w:abstractNumId w:val="9"/>
  </w:num>
  <w:num w:numId="24">
    <w:abstractNumId w:val="13"/>
  </w:num>
  <w:num w:numId="25">
    <w:abstractNumId w:val="6"/>
  </w:num>
  <w:num w:numId="26">
    <w:abstractNumId w:val="38"/>
  </w:num>
  <w:num w:numId="27">
    <w:abstractNumId w:val="17"/>
  </w:num>
  <w:num w:numId="28">
    <w:abstractNumId w:val="32"/>
  </w:num>
  <w:num w:numId="29">
    <w:abstractNumId w:val="14"/>
  </w:num>
  <w:num w:numId="30">
    <w:abstractNumId w:val="27"/>
  </w:num>
  <w:num w:numId="31">
    <w:abstractNumId w:val="24"/>
  </w:num>
  <w:num w:numId="32">
    <w:abstractNumId w:val="7"/>
  </w:num>
  <w:num w:numId="33">
    <w:abstractNumId w:val="15"/>
  </w:num>
  <w:num w:numId="34">
    <w:abstractNumId w:val="39"/>
  </w:num>
  <w:num w:numId="35">
    <w:abstractNumId w:val="40"/>
  </w:num>
  <w:num w:numId="36">
    <w:abstractNumId w:val="25"/>
  </w:num>
  <w:num w:numId="37">
    <w:abstractNumId w:val="36"/>
  </w:num>
  <w:num w:numId="38">
    <w:abstractNumId w:val="1"/>
  </w:num>
  <w:num w:numId="39">
    <w:abstractNumId w:val="5"/>
  </w:num>
  <w:num w:numId="40">
    <w:abstractNumId w:val="12"/>
  </w:num>
  <w:num w:numId="41">
    <w:abstractNumId w:val="35"/>
  </w:num>
  <w:num w:numId="42">
    <w:abstractNumId w:val="3"/>
  </w:num>
  <w:num w:numId="43">
    <w:abstractNumId w:val="3"/>
  </w:num>
  <w:num w:numId="44">
    <w:abstractNumId w:val="3"/>
  </w:num>
  <w:num w:numId="45">
    <w:abstractNumId w:val="3"/>
  </w:num>
  <w:num w:numId="46">
    <w:abstractNumId w:val="30"/>
  </w:num>
  <w:num w:numId="47">
    <w:abstractNumId w:val="11"/>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D"/>
    <w:rsid w:val="0000073A"/>
    <w:rsid w:val="00010A03"/>
    <w:rsid w:val="00015074"/>
    <w:rsid w:val="00016299"/>
    <w:rsid w:val="00024EEB"/>
    <w:rsid w:val="00037430"/>
    <w:rsid w:val="00040D85"/>
    <w:rsid w:val="00040E07"/>
    <w:rsid w:val="000477C7"/>
    <w:rsid w:val="0005054B"/>
    <w:rsid w:val="00053048"/>
    <w:rsid w:val="000808BF"/>
    <w:rsid w:val="0008157B"/>
    <w:rsid w:val="00093C99"/>
    <w:rsid w:val="000B1AFE"/>
    <w:rsid w:val="000B4F31"/>
    <w:rsid w:val="000C43A2"/>
    <w:rsid w:val="000D5DE1"/>
    <w:rsid w:val="000E2951"/>
    <w:rsid w:val="000E5DD8"/>
    <w:rsid w:val="00106BAA"/>
    <w:rsid w:val="001138F9"/>
    <w:rsid w:val="00114A0A"/>
    <w:rsid w:val="001246F2"/>
    <w:rsid w:val="0013609A"/>
    <w:rsid w:val="001520BE"/>
    <w:rsid w:val="00160014"/>
    <w:rsid w:val="001658E2"/>
    <w:rsid w:val="00176D62"/>
    <w:rsid w:val="00177DF8"/>
    <w:rsid w:val="00185EAE"/>
    <w:rsid w:val="001941E2"/>
    <w:rsid w:val="001B1036"/>
    <w:rsid w:val="001B1FDA"/>
    <w:rsid w:val="001B2659"/>
    <w:rsid w:val="001B475A"/>
    <w:rsid w:val="001C076C"/>
    <w:rsid w:val="001C2BF7"/>
    <w:rsid w:val="001C478C"/>
    <w:rsid w:val="001C612F"/>
    <w:rsid w:val="001D22A8"/>
    <w:rsid w:val="001E34C4"/>
    <w:rsid w:val="00210DDB"/>
    <w:rsid w:val="00223048"/>
    <w:rsid w:val="00263723"/>
    <w:rsid w:val="00273901"/>
    <w:rsid w:val="00274909"/>
    <w:rsid w:val="00294EEB"/>
    <w:rsid w:val="00295CA5"/>
    <w:rsid w:val="002A011D"/>
    <w:rsid w:val="002C413D"/>
    <w:rsid w:val="002E14F5"/>
    <w:rsid w:val="002E4904"/>
    <w:rsid w:val="002E4C73"/>
    <w:rsid w:val="002F7961"/>
    <w:rsid w:val="00310F25"/>
    <w:rsid w:val="00311C84"/>
    <w:rsid w:val="003142C6"/>
    <w:rsid w:val="00324C45"/>
    <w:rsid w:val="00324DC7"/>
    <w:rsid w:val="00334F27"/>
    <w:rsid w:val="00337DB7"/>
    <w:rsid w:val="00352BBA"/>
    <w:rsid w:val="003572D1"/>
    <w:rsid w:val="00360E8D"/>
    <w:rsid w:val="003618E9"/>
    <w:rsid w:val="0038166C"/>
    <w:rsid w:val="003819B2"/>
    <w:rsid w:val="00381BB6"/>
    <w:rsid w:val="0038427E"/>
    <w:rsid w:val="00385233"/>
    <w:rsid w:val="003A4217"/>
    <w:rsid w:val="003C0AEF"/>
    <w:rsid w:val="003C2497"/>
    <w:rsid w:val="003C499A"/>
    <w:rsid w:val="003C7CE9"/>
    <w:rsid w:val="003E6A50"/>
    <w:rsid w:val="003E7E30"/>
    <w:rsid w:val="003E7F9C"/>
    <w:rsid w:val="003F0672"/>
    <w:rsid w:val="003F430B"/>
    <w:rsid w:val="003F5DDA"/>
    <w:rsid w:val="003F5E98"/>
    <w:rsid w:val="003F7C64"/>
    <w:rsid w:val="003F7DE9"/>
    <w:rsid w:val="00403F66"/>
    <w:rsid w:val="004056B6"/>
    <w:rsid w:val="00424653"/>
    <w:rsid w:val="00432A55"/>
    <w:rsid w:val="0043491B"/>
    <w:rsid w:val="00443C16"/>
    <w:rsid w:val="004515C6"/>
    <w:rsid w:val="00464DEF"/>
    <w:rsid w:val="00466446"/>
    <w:rsid w:val="004769DB"/>
    <w:rsid w:val="00494A83"/>
    <w:rsid w:val="004B4A70"/>
    <w:rsid w:val="004C2A38"/>
    <w:rsid w:val="004C2F67"/>
    <w:rsid w:val="004C32C3"/>
    <w:rsid w:val="004C6ED2"/>
    <w:rsid w:val="004C7758"/>
    <w:rsid w:val="004D4353"/>
    <w:rsid w:val="004D6289"/>
    <w:rsid w:val="004D6A1D"/>
    <w:rsid w:val="004E1C35"/>
    <w:rsid w:val="004F3857"/>
    <w:rsid w:val="004F4594"/>
    <w:rsid w:val="004F5913"/>
    <w:rsid w:val="00505B9D"/>
    <w:rsid w:val="00506D89"/>
    <w:rsid w:val="00527E5B"/>
    <w:rsid w:val="00530349"/>
    <w:rsid w:val="00560AD6"/>
    <w:rsid w:val="00562EC3"/>
    <w:rsid w:val="00565E1A"/>
    <w:rsid w:val="00574249"/>
    <w:rsid w:val="00576425"/>
    <w:rsid w:val="00593471"/>
    <w:rsid w:val="00593497"/>
    <w:rsid w:val="005951B8"/>
    <w:rsid w:val="005A6C2B"/>
    <w:rsid w:val="005A6E4C"/>
    <w:rsid w:val="005B6A85"/>
    <w:rsid w:val="005D6983"/>
    <w:rsid w:val="005E3B87"/>
    <w:rsid w:val="005F4AFD"/>
    <w:rsid w:val="00615489"/>
    <w:rsid w:val="00617968"/>
    <w:rsid w:val="00624B3E"/>
    <w:rsid w:val="00627FCD"/>
    <w:rsid w:val="0063239E"/>
    <w:rsid w:val="00634DCC"/>
    <w:rsid w:val="00644687"/>
    <w:rsid w:val="00646560"/>
    <w:rsid w:val="00654B2C"/>
    <w:rsid w:val="00655A62"/>
    <w:rsid w:val="0065670A"/>
    <w:rsid w:val="00665FC9"/>
    <w:rsid w:val="0067705F"/>
    <w:rsid w:val="00691397"/>
    <w:rsid w:val="006B0C47"/>
    <w:rsid w:val="006B247E"/>
    <w:rsid w:val="006C1B63"/>
    <w:rsid w:val="006E1878"/>
    <w:rsid w:val="006F480D"/>
    <w:rsid w:val="00711804"/>
    <w:rsid w:val="00721DAC"/>
    <w:rsid w:val="00724AB2"/>
    <w:rsid w:val="00733962"/>
    <w:rsid w:val="0073507D"/>
    <w:rsid w:val="007460BF"/>
    <w:rsid w:val="00757128"/>
    <w:rsid w:val="00757184"/>
    <w:rsid w:val="0078318F"/>
    <w:rsid w:val="00785072"/>
    <w:rsid w:val="0078666A"/>
    <w:rsid w:val="00787CA7"/>
    <w:rsid w:val="007A3473"/>
    <w:rsid w:val="007A7EDA"/>
    <w:rsid w:val="007B312B"/>
    <w:rsid w:val="007B4F3C"/>
    <w:rsid w:val="007D0E41"/>
    <w:rsid w:val="007D1867"/>
    <w:rsid w:val="007D4272"/>
    <w:rsid w:val="007F031A"/>
    <w:rsid w:val="00802368"/>
    <w:rsid w:val="00805F0C"/>
    <w:rsid w:val="008076FF"/>
    <w:rsid w:val="00815B94"/>
    <w:rsid w:val="0082509B"/>
    <w:rsid w:val="008404E1"/>
    <w:rsid w:val="00845C2C"/>
    <w:rsid w:val="00852F97"/>
    <w:rsid w:val="00855CBB"/>
    <w:rsid w:val="00861460"/>
    <w:rsid w:val="008718A0"/>
    <w:rsid w:val="00871E23"/>
    <w:rsid w:val="0087238F"/>
    <w:rsid w:val="00892BBB"/>
    <w:rsid w:val="00894E89"/>
    <w:rsid w:val="008A17C6"/>
    <w:rsid w:val="008A1872"/>
    <w:rsid w:val="008A25B5"/>
    <w:rsid w:val="008A4ECE"/>
    <w:rsid w:val="008A60FC"/>
    <w:rsid w:val="008B270E"/>
    <w:rsid w:val="008C1688"/>
    <w:rsid w:val="008D7358"/>
    <w:rsid w:val="008E4710"/>
    <w:rsid w:val="008F4579"/>
    <w:rsid w:val="0091415D"/>
    <w:rsid w:val="00934258"/>
    <w:rsid w:val="00935F90"/>
    <w:rsid w:val="00936BA3"/>
    <w:rsid w:val="0094547D"/>
    <w:rsid w:val="00954305"/>
    <w:rsid w:val="0095701B"/>
    <w:rsid w:val="009713C6"/>
    <w:rsid w:val="009906C8"/>
    <w:rsid w:val="0099284E"/>
    <w:rsid w:val="009A4F5C"/>
    <w:rsid w:val="009A588A"/>
    <w:rsid w:val="009C055F"/>
    <w:rsid w:val="009D028F"/>
    <w:rsid w:val="009D13E8"/>
    <w:rsid w:val="009D5433"/>
    <w:rsid w:val="009E4137"/>
    <w:rsid w:val="009F7EC4"/>
    <w:rsid w:val="00A00502"/>
    <w:rsid w:val="00A079AC"/>
    <w:rsid w:val="00A10656"/>
    <w:rsid w:val="00A12442"/>
    <w:rsid w:val="00A1503B"/>
    <w:rsid w:val="00A4108F"/>
    <w:rsid w:val="00A44DDE"/>
    <w:rsid w:val="00A54957"/>
    <w:rsid w:val="00A63D88"/>
    <w:rsid w:val="00A665C7"/>
    <w:rsid w:val="00A75F38"/>
    <w:rsid w:val="00A85B12"/>
    <w:rsid w:val="00A90988"/>
    <w:rsid w:val="00A90E18"/>
    <w:rsid w:val="00A918C5"/>
    <w:rsid w:val="00A92210"/>
    <w:rsid w:val="00A94654"/>
    <w:rsid w:val="00A9511B"/>
    <w:rsid w:val="00AA358A"/>
    <w:rsid w:val="00AA530C"/>
    <w:rsid w:val="00AA631B"/>
    <w:rsid w:val="00AA6462"/>
    <w:rsid w:val="00AB35B3"/>
    <w:rsid w:val="00AB7287"/>
    <w:rsid w:val="00AC34B5"/>
    <w:rsid w:val="00AC5872"/>
    <w:rsid w:val="00AF5EBE"/>
    <w:rsid w:val="00AF6164"/>
    <w:rsid w:val="00B15EA3"/>
    <w:rsid w:val="00B200B9"/>
    <w:rsid w:val="00B229D0"/>
    <w:rsid w:val="00B40899"/>
    <w:rsid w:val="00B47B74"/>
    <w:rsid w:val="00B51D5D"/>
    <w:rsid w:val="00B5261E"/>
    <w:rsid w:val="00B57CAD"/>
    <w:rsid w:val="00B61063"/>
    <w:rsid w:val="00B65C53"/>
    <w:rsid w:val="00B66604"/>
    <w:rsid w:val="00B83B7D"/>
    <w:rsid w:val="00B93B0E"/>
    <w:rsid w:val="00B97BE2"/>
    <w:rsid w:val="00BA2701"/>
    <w:rsid w:val="00BA5EF1"/>
    <w:rsid w:val="00BB476A"/>
    <w:rsid w:val="00BC38C4"/>
    <w:rsid w:val="00BC6425"/>
    <w:rsid w:val="00BC6FEA"/>
    <w:rsid w:val="00BD2A74"/>
    <w:rsid w:val="00BE1978"/>
    <w:rsid w:val="00BE6B86"/>
    <w:rsid w:val="00BE7C0A"/>
    <w:rsid w:val="00BF6E68"/>
    <w:rsid w:val="00C245C6"/>
    <w:rsid w:val="00C33284"/>
    <w:rsid w:val="00C33DE4"/>
    <w:rsid w:val="00C36F88"/>
    <w:rsid w:val="00C4003E"/>
    <w:rsid w:val="00C411C0"/>
    <w:rsid w:val="00C62BED"/>
    <w:rsid w:val="00C62EFC"/>
    <w:rsid w:val="00C653F2"/>
    <w:rsid w:val="00C67728"/>
    <w:rsid w:val="00C71256"/>
    <w:rsid w:val="00C7256C"/>
    <w:rsid w:val="00C729F2"/>
    <w:rsid w:val="00C811F2"/>
    <w:rsid w:val="00C8472E"/>
    <w:rsid w:val="00C875FA"/>
    <w:rsid w:val="00C94B6B"/>
    <w:rsid w:val="00C95FC7"/>
    <w:rsid w:val="00CA50CF"/>
    <w:rsid w:val="00CA67D5"/>
    <w:rsid w:val="00CA6DB6"/>
    <w:rsid w:val="00CA78DB"/>
    <w:rsid w:val="00CB37D7"/>
    <w:rsid w:val="00CD7F94"/>
    <w:rsid w:val="00CE0021"/>
    <w:rsid w:val="00D00B7A"/>
    <w:rsid w:val="00D0451B"/>
    <w:rsid w:val="00D05BA6"/>
    <w:rsid w:val="00D16734"/>
    <w:rsid w:val="00D300AA"/>
    <w:rsid w:val="00D30E10"/>
    <w:rsid w:val="00D33024"/>
    <w:rsid w:val="00D365F2"/>
    <w:rsid w:val="00D42C4C"/>
    <w:rsid w:val="00D43074"/>
    <w:rsid w:val="00D5050B"/>
    <w:rsid w:val="00D57BA9"/>
    <w:rsid w:val="00D6644D"/>
    <w:rsid w:val="00D83198"/>
    <w:rsid w:val="00D85623"/>
    <w:rsid w:val="00D908AB"/>
    <w:rsid w:val="00DD2CD9"/>
    <w:rsid w:val="00E034DF"/>
    <w:rsid w:val="00E10FBC"/>
    <w:rsid w:val="00E4028F"/>
    <w:rsid w:val="00E60A2A"/>
    <w:rsid w:val="00E86424"/>
    <w:rsid w:val="00E96044"/>
    <w:rsid w:val="00EA0BA3"/>
    <w:rsid w:val="00EA1944"/>
    <w:rsid w:val="00EA55EC"/>
    <w:rsid w:val="00EA595D"/>
    <w:rsid w:val="00EA66C2"/>
    <w:rsid w:val="00EB29EB"/>
    <w:rsid w:val="00EB3E1C"/>
    <w:rsid w:val="00EC2C8B"/>
    <w:rsid w:val="00F03D07"/>
    <w:rsid w:val="00F114FF"/>
    <w:rsid w:val="00F162D6"/>
    <w:rsid w:val="00F40828"/>
    <w:rsid w:val="00F424CD"/>
    <w:rsid w:val="00F45E8E"/>
    <w:rsid w:val="00F506D5"/>
    <w:rsid w:val="00F539A3"/>
    <w:rsid w:val="00F54005"/>
    <w:rsid w:val="00F62056"/>
    <w:rsid w:val="00F62F76"/>
    <w:rsid w:val="00F72152"/>
    <w:rsid w:val="00F73A24"/>
    <w:rsid w:val="00F803CD"/>
    <w:rsid w:val="00F876CF"/>
    <w:rsid w:val="00F916A1"/>
    <w:rsid w:val="00F91C65"/>
    <w:rsid w:val="00F96952"/>
    <w:rsid w:val="00FA1614"/>
    <w:rsid w:val="00FC23C0"/>
    <w:rsid w:val="00FD074C"/>
    <w:rsid w:val="00FD2CCA"/>
    <w:rsid w:val="00FE7807"/>
    <w:rsid w:val="00FF4A71"/>
    <w:rsid w:val="00FF7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color w:val="auto"/>
    </w:rPr>
  </w:style>
  <w:style w:type="character" w:customStyle="1" w:styleId="WW8Num6z0">
    <w:name w:val="WW8Num6z0"/>
    <w:rPr>
      <w:rFonts w:ascii="Symbol" w:hAnsi="Symbol" w:cs="Symbol"/>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 w:type="paragraph" w:styleId="BalloonText">
    <w:name w:val="Balloon Text"/>
    <w:basedOn w:val="Normal"/>
    <w:link w:val="BalloonTextChar"/>
    <w:rsid w:val="008C1688"/>
    <w:rPr>
      <w:rFonts w:ascii="Tahoma" w:hAnsi="Tahoma" w:cs="Tahoma"/>
      <w:sz w:val="16"/>
      <w:szCs w:val="16"/>
    </w:rPr>
  </w:style>
  <w:style w:type="character" w:customStyle="1" w:styleId="BalloonTextChar">
    <w:name w:val="Balloon Text Char"/>
    <w:basedOn w:val="DefaultParagraphFont"/>
    <w:link w:val="BalloonText"/>
    <w:rsid w:val="008C1688"/>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20710</Words>
  <Characters>147667</Characters>
  <Application>Microsoft Office Word</Application>
  <DocSecurity>4</DocSecurity>
  <Lines>29533</Lines>
  <Paragraphs>8861</Paragraphs>
  <ScaleCrop>false</ScaleCrop>
  <HeadingPairs>
    <vt:vector size="2" baseType="variant">
      <vt:variant>
        <vt:lpstr>Title</vt:lpstr>
      </vt:variant>
      <vt:variant>
        <vt:i4>1</vt:i4>
      </vt:variant>
    </vt:vector>
  </HeadingPairs>
  <TitlesOfParts>
    <vt:vector size="1" baseType="lpstr">
      <vt:lpstr>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159516</CharactersWithSpaces>
  <SharedDoc>false</SharedDoc>
  <HLinks>
    <vt:vector size="90" baseType="variant">
      <vt:variant>
        <vt:i4>8126590</vt:i4>
      </vt:variant>
      <vt:variant>
        <vt:i4>42</vt:i4>
      </vt:variant>
      <vt:variant>
        <vt:i4>0</vt:i4>
      </vt:variant>
      <vt:variant>
        <vt:i4>5</vt:i4>
      </vt:variant>
      <vt:variant>
        <vt:lpwstr>http://www.wipo.int/tk/en/tk/TKToolkit.html</vt:lpwstr>
      </vt:variant>
      <vt:variant>
        <vt:lpwstr/>
      </vt:variant>
      <vt:variant>
        <vt:i4>2621557</vt:i4>
      </vt:variant>
      <vt:variant>
        <vt:i4>39</vt:i4>
      </vt:variant>
      <vt:variant>
        <vt:i4>0</vt:i4>
      </vt:variant>
      <vt:variant>
        <vt:i4>5</vt:i4>
      </vt:variant>
      <vt:variant>
        <vt:lpwstr>http://www.tkdl.res.in/tkdl/langdefault/common/TKRC.asp?GL=Eng</vt:lpwstr>
      </vt:variant>
      <vt:variant>
        <vt:lpwstr/>
      </vt:variant>
      <vt:variant>
        <vt:i4>7995444</vt:i4>
      </vt:variant>
      <vt:variant>
        <vt:i4>36</vt:i4>
      </vt:variant>
      <vt:variant>
        <vt:i4>0</vt:i4>
      </vt:variant>
      <vt:variant>
        <vt:i4>5</vt:i4>
      </vt:variant>
      <vt:variant>
        <vt:lpwstr>http://www.tkdl.res.in/tkdl/langdefault/common/Abouttkdl.asp?GL=Eng</vt:lpwstr>
      </vt:variant>
      <vt:variant>
        <vt:lpwstr/>
      </vt:variant>
      <vt:variant>
        <vt:i4>6619243</vt:i4>
      </vt:variant>
      <vt:variant>
        <vt:i4>33</vt:i4>
      </vt:variant>
      <vt:variant>
        <vt:i4>0</vt:i4>
      </vt:variant>
      <vt:variant>
        <vt:i4>5</vt:i4>
      </vt:variant>
      <vt:variant>
        <vt:lpwstr>http://www.wipo.int/copyright/es/limitations/index.html</vt:lpwstr>
      </vt:variant>
      <vt:variant>
        <vt:lpwstr/>
      </vt:variant>
      <vt:variant>
        <vt:i4>655462</vt:i4>
      </vt:variant>
      <vt:variant>
        <vt:i4>30</vt:i4>
      </vt:variant>
      <vt:variant>
        <vt:i4>0</vt:i4>
      </vt:variant>
      <vt:variant>
        <vt:i4>5</vt:i4>
      </vt:variant>
      <vt:variant>
        <vt:lpwstr>http://www.unep.org/delc/portals/119/Glossary/terms _for_Negotiators_MEAs.pdf</vt:lpwstr>
      </vt:variant>
      <vt:variant>
        <vt:lpwstr/>
      </vt:variant>
      <vt:variant>
        <vt:i4>5570574</vt:i4>
      </vt:variant>
      <vt:variant>
        <vt:i4>27</vt:i4>
      </vt:variant>
      <vt:variant>
        <vt:i4>0</vt:i4>
      </vt:variant>
      <vt:variant>
        <vt:i4>5</vt:i4>
      </vt:variant>
      <vt:variant>
        <vt:lpwstr>http://www.wipo.int/tk/es/databases/contracts/index.html</vt:lpwstr>
      </vt:variant>
      <vt:variant>
        <vt:lpwstr/>
      </vt:variant>
      <vt:variant>
        <vt:i4>6881291</vt:i4>
      </vt:variant>
      <vt:variant>
        <vt:i4>24</vt:i4>
      </vt:variant>
      <vt:variant>
        <vt:i4>0</vt:i4>
      </vt:variant>
      <vt:variant>
        <vt:i4>5</vt:i4>
      </vt:variant>
      <vt:variant>
        <vt:lpwstr>http://www.wipo.int/tk/es/consultations/customary_law/index.html</vt:lpwstr>
      </vt:variant>
      <vt:variant>
        <vt:lpwstr/>
      </vt:variant>
      <vt:variant>
        <vt:i4>327693</vt:i4>
      </vt:variant>
      <vt:variant>
        <vt:i4>21</vt:i4>
      </vt:variant>
      <vt:variant>
        <vt:i4>0</vt:i4>
      </vt:variant>
      <vt:variant>
        <vt:i4>5</vt:i4>
      </vt:variant>
      <vt:variant>
        <vt:lpwstr>http://unesdoc.unesco.org/images/0012/001277/127784s.pdf</vt:lpwstr>
      </vt:variant>
      <vt:variant>
        <vt:lpwstr/>
      </vt:variant>
      <vt:variant>
        <vt:i4>6881291</vt:i4>
      </vt:variant>
      <vt:variant>
        <vt:i4>18</vt:i4>
      </vt:variant>
      <vt:variant>
        <vt:i4>0</vt:i4>
      </vt:variant>
      <vt:variant>
        <vt:i4>5</vt:i4>
      </vt:variant>
      <vt:variant>
        <vt:lpwstr>http://www.wipo.int/tk/es/consultations/customary_law/index.html</vt:lpwstr>
      </vt:variant>
      <vt:variant>
        <vt:lpwstr/>
      </vt:variant>
      <vt:variant>
        <vt:i4>7995432</vt:i4>
      </vt:variant>
      <vt:variant>
        <vt:i4>15</vt:i4>
      </vt:variant>
      <vt:variant>
        <vt:i4>0</vt:i4>
      </vt:variant>
      <vt:variant>
        <vt:i4>5</vt:i4>
      </vt:variant>
      <vt:variant>
        <vt:lpwstr>http://www.vocabularyserver.com/unesco/index.php?tema=6846?/identidad-cultural</vt:lpwstr>
      </vt:variant>
      <vt:variant>
        <vt:lpwstr/>
      </vt:variant>
      <vt:variant>
        <vt:i4>327697</vt:i4>
      </vt:variant>
      <vt:variant>
        <vt:i4>12</vt:i4>
      </vt:variant>
      <vt:variant>
        <vt:i4>0</vt:i4>
      </vt:variant>
      <vt:variant>
        <vt:i4>5</vt:i4>
      </vt:variant>
      <vt:variant>
        <vt:lpwstr>http://www.vocabularyserver.com/unesco/?tema=2563</vt:lpwstr>
      </vt:variant>
      <vt:variant>
        <vt:lpwstr/>
      </vt:variant>
      <vt:variant>
        <vt:i4>4128821</vt:i4>
      </vt:variant>
      <vt:variant>
        <vt:i4>9</vt:i4>
      </vt:variant>
      <vt:variant>
        <vt:i4>0</vt:i4>
      </vt:variant>
      <vt:variant>
        <vt:i4>5</vt:i4>
      </vt:variant>
      <vt:variant>
        <vt:lpwstr>http://www.cbd.int/chm/</vt:lpwstr>
      </vt:variant>
      <vt:variant>
        <vt:lpwstr/>
      </vt:variant>
      <vt:variant>
        <vt:i4>655462</vt:i4>
      </vt:variant>
      <vt:variant>
        <vt:i4>6</vt:i4>
      </vt:variant>
      <vt:variant>
        <vt:i4>0</vt:i4>
      </vt:variant>
      <vt:variant>
        <vt:i4>5</vt:i4>
      </vt:variant>
      <vt:variant>
        <vt:lpwstr>http://www.unep.org/delc/portals/119/Glossary/terms _for_Negotiators_MEAs.pdf</vt:lpwstr>
      </vt:variant>
      <vt:variant>
        <vt:lpwstr/>
      </vt:variant>
      <vt:variant>
        <vt:i4>4063331</vt:i4>
      </vt:variant>
      <vt:variant>
        <vt:i4>3</vt:i4>
      </vt:variant>
      <vt:variant>
        <vt:i4>0</vt:i4>
      </vt:variant>
      <vt:variant>
        <vt:i4>5</vt:i4>
      </vt:variant>
      <vt:variant>
        <vt:lpwstr>http://www.oecd.org/sti/biotechnologypolicies/statisticaldefinitionofbiotechnology.htm</vt:lpwstr>
      </vt:variant>
      <vt:variant>
        <vt:lpwstr/>
      </vt:variant>
      <vt:variant>
        <vt:i4>6619250</vt:i4>
      </vt:variant>
      <vt:variant>
        <vt:i4>0</vt:i4>
      </vt:variant>
      <vt:variant>
        <vt:i4>0</vt:i4>
      </vt:variant>
      <vt:variant>
        <vt:i4>5</vt:i4>
      </vt:variant>
      <vt:variant>
        <vt:lpwstr>http://www.fao.org/biotech/stat.asp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Glosario de los términos más importantes relacionados con la propiedad intelectual y los recursos genéticos, los conocimientos tradicionales y las expresiones culturales tradicionales</dc:title>
  <dc:subject>WIPO/GRTKF/IC/26/INF/8</dc:subject>
  <dc:creator>CILLERO</dc:creator>
  <dc:description>JC
12/11/2013</dc:description>
  <cp:lastModifiedBy>DOMBRE Nadia</cp:lastModifiedBy>
  <cp:revision>2</cp:revision>
  <cp:lastPrinted>2012-11-14T13:40:00Z</cp:lastPrinted>
  <dcterms:created xsi:type="dcterms:W3CDTF">2013-12-18T13:19:00Z</dcterms:created>
  <dcterms:modified xsi:type="dcterms:W3CDTF">2013-12-18T13:19:00Z</dcterms:modified>
</cp:coreProperties>
</file>