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42334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2334B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2334B" w:rsidRDefault="00A11425" w:rsidP="00485C67">
            <w:pPr>
              <w:rPr>
                <w:lang w:val="es-ES"/>
              </w:rPr>
            </w:pPr>
            <w:r w:rsidRPr="0042334B">
              <w:rPr>
                <w:noProof/>
                <w:lang w:eastAsia="en-US"/>
              </w:rPr>
              <w:drawing>
                <wp:inline distT="0" distB="0" distL="0" distR="0" wp14:anchorId="07F02FF1" wp14:editId="246BD60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2334B" w:rsidRDefault="00A11425" w:rsidP="00916EE2">
            <w:pPr>
              <w:jc w:val="right"/>
              <w:rPr>
                <w:lang w:val="es-ES"/>
              </w:rPr>
            </w:pPr>
            <w:r w:rsidRPr="0042334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42334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2334B" w:rsidRDefault="00231FD1" w:rsidP="00F061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42334B">
              <w:rPr>
                <w:rFonts w:ascii="Arial Black" w:hAnsi="Arial Black"/>
                <w:caps/>
                <w:sz w:val="15"/>
                <w:lang w:val="es-ES"/>
              </w:rPr>
              <w:t>WIPO/</w:t>
            </w:r>
            <w:r w:rsidRPr="000D3583">
              <w:rPr>
                <w:rFonts w:ascii="Arial Black" w:hAnsi="Arial Black"/>
                <w:caps/>
                <w:sz w:val="15"/>
              </w:rPr>
              <w:t>GRTKF</w:t>
            </w:r>
            <w:r w:rsidRPr="0042334B">
              <w:rPr>
                <w:rFonts w:ascii="Arial Black" w:hAnsi="Arial Black"/>
                <w:caps/>
                <w:sz w:val="15"/>
                <w:lang w:val="es-ES"/>
              </w:rPr>
              <w:t>/IC/3</w:t>
            </w:r>
            <w:r w:rsidR="007C62DD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FB1F55" w:rsidRPr="0042334B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1011D2" w:rsidRPr="0042334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B30DC2" w:rsidRPr="0042334B">
              <w:rPr>
                <w:rFonts w:ascii="Arial Black" w:hAnsi="Arial Black"/>
                <w:caps/>
                <w:sz w:val="15"/>
                <w:lang w:val="es-ES"/>
              </w:rPr>
              <w:t>PROV</w:t>
            </w:r>
            <w:r w:rsidR="001C7FE1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E562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F0614F">
              <w:rPr>
                <w:rFonts w:ascii="Arial Black" w:hAnsi="Arial Black"/>
                <w:caps/>
                <w:sz w:val="15"/>
                <w:lang w:val="es-ES"/>
              </w:rPr>
              <w:t>3</w:t>
            </w:r>
          </w:p>
        </w:tc>
      </w:tr>
      <w:tr w:rsidR="0014698C" w:rsidRPr="0042334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2334B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D3583">
              <w:rPr>
                <w:rFonts w:ascii="Arial Black" w:hAnsi="Arial Black"/>
                <w:caps/>
                <w:sz w:val="15"/>
              </w:rPr>
              <w:t>ORIGINAL</w:t>
            </w:r>
            <w:r w:rsidRPr="0042334B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42334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42334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11425" w:rsidRPr="0042334B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42334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2334B" w:rsidRDefault="00A11425" w:rsidP="00F061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2334B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42334B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42334B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F0614F">
              <w:rPr>
                <w:rFonts w:ascii="Arial Black" w:hAnsi="Arial Black"/>
                <w:caps/>
                <w:sz w:val="15"/>
                <w:lang w:val="es-ES"/>
              </w:rPr>
              <w:t>13 DE septiembre</w:t>
            </w:r>
            <w:r w:rsidRPr="0042334B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7157D1" w:rsidRPr="0042334B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6936CA" w:rsidRPr="0042334B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AF565C" w:rsidRPr="0042334B" w:rsidRDefault="00AF565C" w:rsidP="00BE77C3">
      <w:pPr>
        <w:rPr>
          <w:lang w:val="es-ES"/>
        </w:rPr>
      </w:pP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AF565C">
      <w:pPr>
        <w:rPr>
          <w:b/>
          <w:sz w:val="28"/>
          <w:szCs w:val="28"/>
          <w:lang w:val="es-ES"/>
        </w:rPr>
      </w:pPr>
      <w:r w:rsidRPr="0042334B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42334B" w:rsidRDefault="00AF565C" w:rsidP="003845C1">
      <w:pPr>
        <w:rPr>
          <w:lang w:val="es-ES"/>
        </w:rPr>
      </w:pPr>
    </w:p>
    <w:p w:rsidR="00AF565C" w:rsidRPr="0042334B" w:rsidRDefault="00AF565C" w:rsidP="003845C1">
      <w:pPr>
        <w:rPr>
          <w:lang w:val="es-ES"/>
        </w:rPr>
      </w:pPr>
    </w:p>
    <w:p w:rsidR="00AF565C" w:rsidRPr="0042334B" w:rsidRDefault="00231FD1" w:rsidP="00AF565C">
      <w:pPr>
        <w:rPr>
          <w:b/>
          <w:sz w:val="24"/>
          <w:szCs w:val="24"/>
          <w:lang w:val="es-ES"/>
        </w:rPr>
      </w:pPr>
      <w:r w:rsidRPr="0042334B">
        <w:rPr>
          <w:b/>
          <w:sz w:val="24"/>
          <w:szCs w:val="24"/>
          <w:lang w:val="es-ES"/>
        </w:rPr>
        <w:t xml:space="preserve">Trigésima </w:t>
      </w:r>
      <w:r w:rsidR="000D3583">
        <w:rPr>
          <w:b/>
          <w:sz w:val="24"/>
          <w:szCs w:val="24"/>
          <w:lang w:val="es-ES"/>
        </w:rPr>
        <w:t xml:space="preserve">primera </w:t>
      </w:r>
      <w:r w:rsidR="00AF565C" w:rsidRPr="0042334B">
        <w:rPr>
          <w:b/>
          <w:sz w:val="24"/>
          <w:szCs w:val="24"/>
          <w:lang w:val="es-ES"/>
        </w:rPr>
        <w:t>sesión</w:t>
      </w:r>
    </w:p>
    <w:p w:rsidR="00AF565C" w:rsidRPr="0042334B" w:rsidRDefault="00B30BEE" w:rsidP="00AF565C">
      <w:pPr>
        <w:rPr>
          <w:b/>
          <w:sz w:val="24"/>
          <w:szCs w:val="24"/>
          <w:lang w:val="es-ES"/>
        </w:rPr>
      </w:pPr>
      <w:r w:rsidRPr="0042334B">
        <w:rPr>
          <w:b/>
          <w:sz w:val="24"/>
          <w:szCs w:val="24"/>
          <w:lang w:val="es-ES"/>
        </w:rPr>
        <w:t xml:space="preserve">Ginebra, </w:t>
      </w:r>
      <w:r w:rsidR="000D3583">
        <w:rPr>
          <w:b/>
          <w:sz w:val="24"/>
          <w:szCs w:val="24"/>
          <w:lang w:val="es-ES"/>
        </w:rPr>
        <w:t>19</w:t>
      </w:r>
      <w:r w:rsidR="00AF565C" w:rsidRPr="0042334B">
        <w:rPr>
          <w:b/>
          <w:sz w:val="24"/>
          <w:szCs w:val="24"/>
          <w:lang w:val="es-ES"/>
        </w:rPr>
        <w:t xml:space="preserve"> </w:t>
      </w:r>
      <w:r w:rsidR="000D3583">
        <w:rPr>
          <w:b/>
          <w:sz w:val="24"/>
          <w:szCs w:val="24"/>
          <w:lang w:val="es-ES"/>
        </w:rPr>
        <w:t xml:space="preserve">a 23 </w:t>
      </w:r>
      <w:r w:rsidRPr="0042334B">
        <w:rPr>
          <w:b/>
          <w:sz w:val="24"/>
          <w:szCs w:val="24"/>
          <w:lang w:val="es-ES"/>
        </w:rPr>
        <w:t xml:space="preserve">de </w:t>
      </w:r>
      <w:r w:rsidR="000D3583">
        <w:rPr>
          <w:b/>
          <w:sz w:val="24"/>
          <w:szCs w:val="24"/>
          <w:lang w:val="es-ES"/>
        </w:rPr>
        <w:t>septiembre</w:t>
      </w:r>
      <w:r w:rsidRPr="0042334B">
        <w:rPr>
          <w:b/>
          <w:sz w:val="24"/>
          <w:szCs w:val="24"/>
          <w:lang w:val="es-ES"/>
        </w:rPr>
        <w:t xml:space="preserve"> </w:t>
      </w:r>
      <w:r w:rsidR="00AF565C" w:rsidRPr="0042334B">
        <w:rPr>
          <w:b/>
          <w:sz w:val="24"/>
          <w:szCs w:val="24"/>
          <w:lang w:val="es-ES"/>
        </w:rPr>
        <w:t>de 2016</w:t>
      </w: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AF565C">
      <w:pPr>
        <w:rPr>
          <w:caps/>
          <w:sz w:val="24"/>
          <w:lang w:val="es-ES"/>
        </w:rPr>
      </w:pPr>
      <w:bookmarkStart w:id="3" w:name="TitleOfDoc"/>
      <w:bookmarkEnd w:id="3"/>
      <w:r w:rsidRPr="0042334B">
        <w:rPr>
          <w:caps/>
          <w:sz w:val="24"/>
          <w:lang w:val="es-ES"/>
        </w:rPr>
        <w:t>Proyecto de orden del día</w:t>
      </w:r>
    </w:p>
    <w:p w:rsidR="00AF565C" w:rsidRPr="0042334B" w:rsidRDefault="00AF565C" w:rsidP="008B2CC1">
      <w:pPr>
        <w:rPr>
          <w:lang w:val="es-ES"/>
        </w:rPr>
      </w:pPr>
    </w:p>
    <w:p w:rsidR="00AF565C" w:rsidRPr="0042334B" w:rsidRDefault="00AF565C" w:rsidP="00AF565C">
      <w:pPr>
        <w:rPr>
          <w:i/>
          <w:lang w:val="es-ES"/>
        </w:rPr>
      </w:pPr>
      <w:bookmarkStart w:id="4" w:name="Prepared"/>
      <w:bookmarkEnd w:id="4"/>
      <w:r w:rsidRPr="0042334B">
        <w:rPr>
          <w:i/>
          <w:lang w:val="es-ES"/>
        </w:rPr>
        <w:t>preparado por la Secretaría</w:t>
      </w:r>
    </w:p>
    <w:p w:rsidR="00AF565C" w:rsidRPr="0042334B" w:rsidRDefault="00AF565C">
      <w:pPr>
        <w:rPr>
          <w:lang w:val="es-ES"/>
        </w:rPr>
      </w:pPr>
    </w:p>
    <w:p w:rsidR="00AF565C" w:rsidRPr="0042334B" w:rsidRDefault="00AF565C">
      <w:pPr>
        <w:rPr>
          <w:lang w:val="es-ES"/>
        </w:rPr>
      </w:pPr>
    </w:p>
    <w:p w:rsidR="00AF565C" w:rsidRPr="0042334B" w:rsidRDefault="00AF565C">
      <w:pPr>
        <w:rPr>
          <w:lang w:val="es-ES"/>
        </w:rPr>
      </w:pPr>
    </w:p>
    <w:p w:rsidR="00AF565C" w:rsidRPr="0042334B" w:rsidRDefault="00AF565C" w:rsidP="000B47FC">
      <w:pPr>
        <w:rPr>
          <w:lang w:val="es-ES"/>
        </w:rPr>
      </w:pPr>
    </w:p>
    <w:p w:rsidR="00AF565C" w:rsidRPr="0042334B" w:rsidRDefault="00AF565C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Apertura de la sesión</w:t>
      </w:r>
    </w:p>
    <w:p w:rsidR="00AF565C" w:rsidRPr="0042334B" w:rsidRDefault="00AF565C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F565C" w:rsidRPr="0042334B" w:rsidRDefault="00AF565C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Aprobación del orden del día</w:t>
      </w:r>
    </w:p>
    <w:p w:rsidR="00AF565C" w:rsidRPr="0042334B" w:rsidRDefault="00AF565C" w:rsidP="0042334B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Véanse el presente documento y los documentos WIPO/GRTKF/IC/</w:t>
      </w:r>
      <w:r w:rsidR="00522A02" w:rsidRPr="0042334B">
        <w:rPr>
          <w:szCs w:val="22"/>
          <w:lang w:val="es-ES"/>
        </w:rPr>
        <w:t>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/INF/</w:t>
      </w:r>
      <w:r w:rsidR="00972074" w:rsidRPr="0042334B">
        <w:rPr>
          <w:szCs w:val="22"/>
          <w:lang w:val="es-ES"/>
        </w:rPr>
        <w:t>2</w:t>
      </w:r>
      <w:r w:rsidR="002311AF">
        <w:rPr>
          <w:szCs w:val="22"/>
          <w:lang w:val="es-ES"/>
        </w:rPr>
        <w:t> Rev.</w:t>
      </w:r>
      <w:r w:rsidR="00F0614F">
        <w:rPr>
          <w:szCs w:val="22"/>
          <w:lang w:val="es-ES"/>
        </w:rPr>
        <w:t xml:space="preserve"> 2</w:t>
      </w:r>
      <w:r w:rsidR="00972074" w:rsidRPr="0042334B">
        <w:rPr>
          <w:szCs w:val="22"/>
          <w:lang w:val="es-ES"/>
        </w:rPr>
        <w:t xml:space="preserve"> </w:t>
      </w:r>
      <w:r w:rsidRPr="0042334B">
        <w:rPr>
          <w:szCs w:val="22"/>
          <w:lang w:val="es-ES"/>
        </w:rPr>
        <w:t>y WIPO/GRTKF/IC/</w:t>
      </w:r>
      <w:r w:rsidR="00522A02" w:rsidRPr="0042334B">
        <w:rPr>
          <w:szCs w:val="22"/>
          <w:lang w:val="es-ES"/>
        </w:rPr>
        <w:t>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/INF/3</w:t>
      </w:r>
      <w:r w:rsidR="00F0614F">
        <w:rPr>
          <w:szCs w:val="22"/>
          <w:lang w:val="es-ES"/>
        </w:rPr>
        <w:t xml:space="preserve"> Rev</w:t>
      </w:r>
      <w:r w:rsidRPr="0042334B">
        <w:rPr>
          <w:szCs w:val="22"/>
          <w:lang w:val="es-ES"/>
        </w:rPr>
        <w:t>.</w:t>
      </w:r>
    </w:p>
    <w:p w:rsidR="00AF565C" w:rsidRPr="0042334B" w:rsidRDefault="00AF565C" w:rsidP="00296F2F">
      <w:pPr>
        <w:pStyle w:val="Footer"/>
        <w:outlineLvl w:val="0"/>
        <w:rPr>
          <w:szCs w:val="22"/>
          <w:lang w:val="es-ES"/>
        </w:rPr>
      </w:pPr>
    </w:p>
    <w:p w:rsidR="00AF565C" w:rsidRPr="0042334B" w:rsidRDefault="00972074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 xml:space="preserve">Aprobación del informe de la </w:t>
      </w:r>
      <w:r w:rsidR="000D3583">
        <w:rPr>
          <w:szCs w:val="22"/>
          <w:lang w:val="es-ES"/>
        </w:rPr>
        <w:t>trigésim</w:t>
      </w:r>
      <w:r w:rsidR="00522A02" w:rsidRPr="0042334B">
        <w:rPr>
          <w:szCs w:val="22"/>
          <w:lang w:val="es-ES"/>
        </w:rPr>
        <w:t>a</w:t>
      </w:r>
      <w:r w:rsidRPr="0042334B">
        <w:rPr>
          <w:szCs w:val="22"/>
          <w:lang w:val="es-ES"/>
        </w:rPr>
        <w:t xml:space="preserve"> sesión</w:t>
      </w:r>
    </w:p>
    <w:p w:rsidR="00AF565C" w:rsidRPr="0042334B" w:rsidRDefault="00AF565C" w:rsidP="0042334B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 xml:space="preserve">Véase </w:t>
      </w:r>
      <w:r w:rsidR="00470182" w:rsidRPr="0042334B">
        <w:rPr>
          <w:szCs w:val="22"/>
          <w:lang w:val="es-ES"/>
        </w:rPr>
        <w:t>el documento WIPO/GRTKF/IC/</w:t>
      </w:r>
      <w:r w:rsidR="000D3583">
        <w:rPr>
          <w:szCs w:val="22"/>
          <w:lang w:val="es-ES"/>
        </w:rPr>
        <w:t>30</w:t>
      </w:r>
      <w:r w:rsidR="00470182" w:rsidRPr="0042334B">
        <w:rPr>
          <w:szCs w:val="22"/>
          <w:lang w:val="es-ES"/>
        </w:rPr>
        <w:t>/</w:t>
      </w:r>
      <w:r w:rsidR="00AA2E65">
        <w:rPr>
          <w:szCs w:val="22"/>
          <w:lang w:val="es-ES"/>
        </w:rPr>
        <w:t>10</w:t>
      </w:r>
      <w:r w:rsidRPr="0042334B">
        <w:rPr>
          <w:szCs w:val="22"/>
          <w:lang w:val="es-ES"/>
        </w:rPr>
        <w:t xml:space="preserve"> Prov.</w:t>
      </w:r>
      <w:r w:rsidR="006E1BA9" w:rsidRPr="0042334B">
        <w:rPr>
          <w:szCs w:val="22"/>
          <w:lang w:val="es-ES"/>
        </w:rPr>
        <w:t xml:space="preserve"> </w:t>
      </w:r>
      <w:r w:rsidR="00155D0B">
        <w:rPr>
          <w:szCs w:val="22"/>
          <w:lang w:val="es-ES"/>
        </w:rPr>
        <w:t>2</w:t>
      </w:r>
      <w:r w:rsidRPr="0042334B">
        <w:rPr>
          <w:szCs w:val="22"/>
          <w:lang w:val="es-ES"/>
        </w:rPr>
        <w:t>.</w:t>
      </w:r>
    </w:p>
    <w:p w:rsidR="00AF565C" w:rsidRPr="0042334B" w:rsidRDefault="00AF565C" w:rsidP="00296F2F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F565C" w:rsidRPr="0042334B" w:rsidRDefault="00BB5CE9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Acreditación de determinadas organizaciones</w:t>
      </w:r>
    </w:p>
    <w:p w:rsidR="00AF565C" w:rsidRPr="0042334B" w:rsidRDefault="00AF565C" w:rsidP="0042334B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Véa</w:t>
      </w:r>
      <w:r w:rsidR="00470182" w:rsidRPr="0042334B">
        <w:rPr>
          <w:szCs w:val="22"/>
          <w:lang w:val="es-ES"/>
        </w:rPr>
        <w:t>se el documento WIPO/GRTKF/IC/3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/2.</w:t>
      </w:r>
    </w:p>
    <w:p w:rsidR="00AF565C" w:rsidRPr="0042334B" w:rsidRDefault="00AF565C" w:rsidP="00296F2F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AF565C" w:rsidRPr="0042334B" w:rsidRDefault="00BB5CE9" w:rsidP="00AF565C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Participación de las comunidades indígenas y locales</w:t>
      </w:r>
    </w:p>
    <w:p w:rsidR="00AF565C" w:rsidRPr="0042334B" w:rsidRDefault="00AF565C" w:rsidP="0042334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F565C" w:rsidRPr="0042334B" w:rsidRDefault="00AF565C" w:rsidP="0042334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Informe actualizado sobre el funcionamiento del Fondo de Contribuciones Voluntarias</w:t>
      </w:r>
    </w:p>
    <w:p w:rsidR="00BB5CE9" w:rsidRPr="0042334B" w:rsidRDefault="00AF565C" w:rsidP="000D3583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Véanse los documentos WIPO/GRTKF/IC/</w:t>
      </w:r>
      <w:r w:rsidR="00915660" w:rsidRPr="0042334B">
        <w:rPr>
          <w:szCs w:val="22"/>
          <w:lang w:val="es-ES"/>
        </w:rPr>
        <w:t>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/3, WIPO/GRTKF/IC/</w:t>
      </w:r>
      <w:r w:rsidR="00915660" w:rsidRPr="0042334B">
        <w:rPr>
          <w:szCs w:val="22"/>
          <w:lang w:val="es-ES"/>
        </w:rPr>
        <w:t>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/INF/4</w:t>
      </w:r>
      <w:r w:rsidR="00BB5CE9" w:rsidRPr="0042334B">
        <w:rPr>
          <w:szCs w:val="22"/>
          <w:lang w:val="es-ES"/>
        </w:rPr>
        <w:t xml:space="preserve"> </w:t>
      </w:r>
      <w:r w:rsidRPr="0042334B">
        <w:rPr>
          <w:szCs w:val="22"/>
          <w:lang w:val="es-ES"/>
        </w:rPr>
        <w:t>y WIPO/GRTKF/IC/</w:t>
      </w:r>
      <w:r w:rsidR="00915660" w:rsidRPr="0042334B">
        <w:rPr>
          <w:szCs w:val="22"/>
          <w:lang w:val="es-ES"/>
        </w:rPr>
        <w:t>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/INF/6.</w:t>
      </w:r>
      <w:r w:rsidR="000D3583">
        <w:rPr>
          <w:szCs w:val="22"/>
          <w:lang w:val="es-ES"/>
        </w:rPr>
        <w:br/>
      </w:r>
    </w:p>
    <w:p w:rsidR="00AF565C" w:rsidRPr="0042334B" w:rsidRDefault="00AF565C" w:rsidP="0042334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szCs w:val="22"/>
          <w:lang w:val="es-ES"/>
        </w:rPr>
      </w:pPr>
      <w:r w:rsidRPr="0042334B">
        <w:rPr>
          <w:lang w:val="es-ES"/>
        </w:rPr>
        <w:t>Nombramiento</w:t>
      </w:r>
      <w:r w:rsidRPr="0042334B">
        <w:rPr>
          <w:szCs w:val="22"/>
          <w:lang w:val="es-ES"/>
        </w:rPr>
        <w:t xml:space="preserve"> de la Junta Asesora del Fondo de Contribuciones Voluntarias</w:t>
      </w:r>
    </w:p>
    <w:p w:rsidR="00AF565C" w:rsidRPr="0042334B" w:rsidRDefault="00AF565C" w:rsidP="009C2916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Véase el documento WIPO/GRTKF/IC/</w:t>
      </w:r>
      <w:r w:rsidR="00915660" w:rsidRPr="0042334B">
        <w:rPr>
          <w:szCs w:val="22"/>
          <w:lang w:val="es-ES"/>
        </w:rPr>
        <w:t>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/3.</w:t>
      </w:r>
    </w:p>
    <w:p w:rsidR="00AF565C" w:rsidRPr="0042334B" w:rsidRDefault="00AF565C" w:rsidP="003644CC">
      <w:pPr>
        <w:pStyle w:val="Footer"/>
        <w:rPr>
          <w:snapToGrid w:val="0"/>
          <w:szCs w:val="22"/>
          <w:lang w:val="es-ES"/>
        </w:rPr>
      </w:pPr>
    </w:p>
    <w:p w:rsidR="00AF565C" w:rsidRPr="0042334B" w:rsidRDefault="00DD1DBB" w:rsidP="0042334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szCs w:val="22"/>
          <w:lang w:val="es-ES"/>
        </w:rPr>
      </w:pPr>
      <w:r w:rsidRPr="0042334B">
        <w:rPr>
          <w:lang w:val="es-ES"/>
        </w:rPr>
        <w:t>Nota</w:t>
      </w:r>
      <w:r w:rsidRPr="0042334B">
        <w:rPr>
          <w:szCs w:val="22"/>
          <w:lang w:val="es-ES"/>
        </w:rPr>
        <w:t xml:space="preserve"> informativa para la mesa redonda de las comunidades indígenas y locales</w:t>
      </w:r>
    </w:p>
    <w:p w:rsidR="00AF565C" w:rsidRPr="0042334B" w:rsidRDefault="00AF565C" w:rsidP="009C2916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Véa</w:t>
      </w:r>
      <w:r w:rsidR="00915660" w:rsidRPr="0042334B">
        <w:rPr>
          <w:szCs w:val="22"/>
          <w:lang w:val="es-ES"/>
        </w:rPr>
        <w:t>se el documento WIPO/GRTKF/IC/3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/INF/5.</w:t>
      </w:r>
    </w:p>
    <w:p w:rsidR="00AF565C" w:rsidRPr="0042334B" w:rsidRDefault="00AF565C" w:rsidP="00B87689">
      <w:pPr>
        <w:pStyle w:val="Footer"/>
        <w:keepNext/>
        <w:keepLines/>
        <w:rPr>
          <w:szCs w:val="22"/>
          <w:lang w:val="es-ES"/>
        </w:rPr>
      </w:pPr>
    </w:p>
    <w:p w:rsidR="00AF565C" w:rsidRPr="0042334B" w:rsidRDefault="000D3583" w:rsidP="00B87689">
      <w:pPr>
        <w:pStyle w:val="Footer"/>
        <w:keepNext/>
        <w:keepLines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left" w:pos="567"/>
        </w:tabs>
        <w:ind w:left="0" w:firstLine="0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t>Conocimientos tradicionales</w:t>
      </w:r>
    </w:p>
    <w:p w:rsidR="00AF565C" w:rsidRPr="0042334B" w:rsidRDefault="00AF565C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155D0B" w:rsidRPr="0042334B" w:rsidRDefault="000D3583" w:rsidP="000D3583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94"/>
        <w:outlineLvl w:val="0"/>
        <w:rPr>
          <w:szCs w:val="22"/>
          <w:lang w:val="es-ES"/>
        </w:rPr>
      </w:pPr>
      <w:r>
        <w:rPr>
          <w:szCs w:val="22"/>
          <w:lang w:val="es-ES"/>
        </w:rPr>
        <w:t>La protección de los conocimientos tradicionales:  proyecto de artículos</w:t>
      </w:r>
    </w:p>
    <w:p w:rsidR="00155D0B" w:rsidRDefault="00155D0B" w:rsidP="009C2916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Véase el documento WIPO/GRTKF/IC/3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</w:t>
      </w:r>
      <w:r w:rsidR="000D3583">
        <w:rPr>
          <w:szCs w:val="22"/>
          <w:lang w:val="es-ES"/>
        </w:rPr>
        <w:t>4</w:t>
      </w:r>
      <w:r w:rsidRPr="0042334B">
        <w:rPr>
          <w:szCs w:val="22"/>
          <w:lang w:val="es-ES"/>
        </w:rPr>
        <w:t>.</w:t>
      </w:r>
    </w:p>
    <w:p w:rsidR="002311AF" w:rsidRDefault="002311AF" w:rsidP="009C2916">
      <w:pPr>
        <w:pStyle w:val="Footer"/>
        <w:ind w:left="1134"/>
        <w:outlineLvl w:val="0"/>
        <w:rPr>
          <w:szCs w:val="22"/>
          <w:lang w:val="es-ES"/>
        </w:rPr>
      </w:pPr>
    </w:p>
    <w:p w:rsidR="002311AF" w:rsidRPr="0042334B" w:rsidRDefault="002311AF" w:rsidP="002311AF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94"/>
        <w:outlineLvl w:val="0"/>
        <w:rPr>
          <w:szCs w:val="22"/>
          <w:lang w:val="es-ES"/>
        </w:rPr>
      </w:pPr>
      <w:r>
        <w:rPr>
          <w:szCs w:val="22"/>
          <w:lang w:val="es-ES"/>
        </w:rPr>
        <w:t xml:space="preserve">Recomendación conjunta sobre los recursos genéticos y los conocimientos </w:t>
      </w:r>
      <w:r w:rsidRPr="007E544F">
        <w:rPr>
          <w:szCs w:val="22"/>
          <w:lang w:val="es-ES"/>
        </w:rPr>
        <w:t xml:space="preserve">tradicionales </w:t>
      </w:r>
      <w:r w:rsidR="007A0AB2">
        <w:rPr>
          <w:szCs w:val="22"/>
          <w:lang w:val="es-ES"/>
        </w:rPr>
        <w:t>conexos</w:t>
      </w:r>
    </w:p>
    <w:p w:rsidR="002311AF" w:rsidRDefault="002311AF" w:rsidP="002311AF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Véase el documento WIPO/GRTKF/IC/3</w:t>
      </w:r>
      <w:r>
        <w:rPr>
          <w:szCs w:val="22"/>
          <w:lang w:val="es-ES"/>
        </w:rPr>
        <w:t>1</w:t>
      </w:r>
      <w:r w:rsidRPr="0042334B">
        <w:rPr>
          <w:szCs w:val="22"/>
          <w:lang w:val="es-ES"/>
        </w:rPr>
        <w:t>/</w:t>
      </w:r>
      <w:r>
        <w:rPr>
          <w:szCs w:val="22"/>
          <w:lang w:val="es-ES"/>
        </w:rPr>
        <w:t>5</w:t>
      </w:r>
      <w:r w:rsidRPr="0042334B">
        <w:rPr>
          <w:szCs w:val="22"/>
          <w:lang w:val="es-ES"/>
        </w:rPr>
        <w:t>.</w:t>
      </w:r>
    </w:p>
    <w:p w:rsidR="002311AF" w:rsidRDefault="002311AF" w:rsidP="002311AF">
      <w:pPr>
        <w:pStyle w:val="Footer"/>
        <w:ind w:left="1134"/>
        <w:outlineLvl w:val="0"/>
        <w:rPr>
          <w:szCs w:val="22"/>
          <w:lang w:val="es-ES"/>
        </w:rPr>
      </w:pPr>
    </w:p>
    <w:p w:rsidR="002311AF" w:rsidRPr="007E544F" w:rsidRDefault="007E544F" w:rsidP="002311AF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94"/>
        <w:outlineLvl w:val="0"/>
        <w:rPr>
          <w:szCs w:val="22"/>
          <w:lang w:val="es-ES"/>
        </w:rPr>
      </w:pPr>
      <w:r>
        <w:rPr>
          <w:szCs w:val="22"/>
          <w:lang w:val="es-ES"/>
        </w:rPr>
        <w:t xml:space="preserve">Recomendación conjunta sobre el uso de bases de datos para la protección preventiva de los recursos genéticos y los conocimientos tradicionales </w:t>
      </w:r>
      <w:r w:rsidR="006E1ADF">
        <w:rPr>
          <w:szCs w:val="22"/>
          <w:lang w:val="es-ES"/>
        </w:rPr>
        <w:t>conexos</w:t>
      </w:r>
      <w:r>
        <w:rPr>
          <w:szCs w:val="22"/>
          <w:lang w:val="es-ES"/>
        </w:rPr>
        <w:t xml:space="preserve"> a los recursos genéticos</w:t>
      </w:r>
    </w:p>
    <w:p w:rsidR="002311AF" w:rsidRPr="007E544F" w:rsidRDefault="002311AF" w:rsidP="002311AF">
      <w:pPr>
        <w:pStyle w:val="Footer"/>
        <w:ind w:left="1134"/>
        <w:outlineLvl w:val="0"/>
        <w:rPr>
          <w:szCs w:val="22"/>
          <w:lang w:val="es-ES"/>
        </w:rPr>
      </w:pPr>
      <w:r w:rsidRPr="007E544F">
        <w:rPr>
          <w:szCs w:val="22"/>
          <w:lang w:val="es-ES"/>
        </w:rPr>
        <w:t>Véase el documento WIPO/GRTKF/IC/31/</w:t>
      </w:r>
      <w:r w:rsidR="007E544F">
        <w:rPr>
          <w:szCs w:val="22"/>
          <w:lang w:val="es-ES"/>
        </w:rPr>
        <w:t>6</w:t>
      </w:r>
      <w:r w:rsidRPr="007E544F">
        <w:rPr>
          <w:szCs w:val="22"/>
          <w:lang w:val="es-ES"/>
        </w:rPr>
        <w:t>.</w:t>
      </w:r>
    </w:p>
    <w:p w:rsidR="002311AF" w:rsidRPr="002311AF" w:rsidRDefault="002311AF" w:rsidP="002311AF">
      <w:pPr>
        <w:pStyle w:val="Footer"/>
        <w:ind w:left="1134"/>
        <w:outlineLvl w:val="0"/>
        <w:rPr>
          <w:szCs w:val="22"/>
          <w:highlight w:val="magenta"/>
          <w:lang w:val="es-ES"/>
        </w:rPr>
      </w:pPr>
    </w:p>
    <w:p w:rsidR="002311AF" w:rsidRPr="007E544F" w:rsidRDefault="007E544F" w:rsidP="002311AF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94"/>
        <w:outlineLvl w:val="0"/>
        <w:rPr>
          <w:szCs w:val="22"/>
          <w:lang w:val="es-ES"/>
        </w:rPr>
      </w:pPr>
      <w:r>
        <w:rPr>
          <w:szCs w:val="22"/>
          <w:lang w:val="es-ES"/>
        </w:rPr>
        <w:t>Propuesta de mandato del estudio por la Secretaría de la OMPI sobre medidas para evitar la concesión errónea de patentes y fomentar el cumplimiento de los regímenes vigentes de acceso y participación en los beneficios</w:t>
      </w:r>
    </w:p>
    <w:p w:rsidR="002311AF" w:rsidRDefault="002311AF" w:rsidP="002311AF">
      <w:pPr>
        <w:pStyle w:val="Footer"/>
        <w:ind w:left="1134"/>
        <w:outlineLvl w:val="0"/>
        <w:rPr>
          <w:szCs w:val="22"/>
          <w:lang w:val="es-ES"/>
        </w:rPr>
      </w:pPr>
      <w:r w:rsidRPr="007E544F">
        <w:rPr>
          <w:szCs w:val="22"/>
          <w:lang w:val="es-ES"/>
        </w:rPr>
        <w:t>Véase el documento WIPO/GRTKF/IC/31/</w:t>
      </w:r>
      <w:r w:rsidR="007E544F">
        <w:rPr>
          <w:szCs w:val="22"/>
          <w:lang w:val="es-ES"/>
        </w:rPr>
        <w:t>7</w:t>
      </w:r>
      <w:r w:rsidRPr="007E544F">
        <w:rPr>
          <w:szCs w:val="22"/>
          <w:lang w:val="es-ES"/>
        </w:rPr>
        <w:t>.</w:t>
      </w:r>
    </w:p>
    <w:p w:rsidR="007A6E31" w:rsidRDefault="007A6E31" w:rsidP="002311AF">
      <w:pPr>
        <w:pStyle w:val="Footer"/>
        <w:ind w:left="1134"/>
        <w:outlineLvl w:val="0"/>
        <w:rPr>
          <w:szCs w:val="22"/>
          <w:lang w:val="es-ES"/>
        </w:rPr>
      </w:pPr>
    </w:p>
    <w:p w:rsidR="007A6E31" w:rsidRPr="007E544F" w:rsidRDefault="007A6E31" w:rsidP="007A6E31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94"/>
        <w:outlineLvl w:val="0"/>
        <w:rPr>
          <w:szCs w:val="22"/>
          <w:lang w:val="es-ES"/>
        </w:rPr>
      </w:pPr>
      <w:r>
        <w:rPr>
          <w:szCs w:val="22"/>
          <w:lang w:val="es-ES"/>
        </w:rPr>
        <w:t xml:space="preserve">La declaración de la fuente de los recursos genéticos y los conocimientos tradicionales en la Ley </w:t>
      </w:r>
      <w:r w:rsidR="002C16ED">
        <w:rPr>
          <w:szCs w:val="22"/>
          <w:lang w:val="es-ES"/>
        </w:rPr>
        <w:t xml:space="preserve">suiza de patentes </w:t>
      </w:r>
      <w:r>
        <w:rPr>
          <w:szCs w:val="22"/>
          <w:lang w:val="es-ES"/>
        </w:rPr>
        <w:t xml:space="preserve">y la reglamentación conexa </w:t>
      </w:r>
      <w:r w:rsidR="004432C5">
        <w:rPr>
          <w:szCs w:val="22"/>
          <w:lang w:val="es-ES"/>
        </w:rPr>
        <w:t xml:space="preserve">de ese país </w:t>
      </w:r>
      <w:r>
        <w:rPr>
          <w:szCs w:val="22"/>
          <w:lang w:val="es-ES"/>
        </w:rPr>
        <w:t>sobre los recursos genéticos – Documento presentado por Suiza en respuesta al documento WIPO/GRTKF/IC/30</w:t>
      </w:r>
      <w:r w:rsidRPr="007A6E31">
        <w:rPr>
          <w:szCs w:val="22"/>
          <w:lang w:val="es-ES"/>
        </w:rPr>
        <w:t>/</w:t>
      </w:r>
      <w:r>
        <w:rPr>
          <w:szCs w:val="22"/>
          <w:lang w:val="es-ES"/>
        </w:rPr>
        <w:t>9</w:t>
      </w:r>
    </w:p>
    <w:p w:rsidR="007A6E31" w:rsidRDefault="007A6E31" w:rsidP="007A6E31">
      <w:pPr>
        <w:pStyle w:val="Footer"/>
        <w:ind w:left="1134"/>
        <w:outlineLvl w:val="0"/>
        <w:rPr>
          <w:szCs w:val="22"/>
          <w:lang w:val="es-ES"/>
        </w:rPr>
      </w:pPr>
      <w:r w:rsidRPr="007E544F">
        <w:rPr>
          <w:szCs w:val="22"/>
          <w:lang w:val="es-ES"/>
        </w:rPr>
        <w:t>Véase el documento WIPO/GRTKF/IC/31/</w:t>
      </w:r>
      <w:r>
        <w:rPr>
          <w:szCs w:val="22"/>
          <w:lang w:val="es-ES"/>
        </w:rPr>
        <w:t>8</w:t>
      </w:r>
      <w:r w:rsidRPr="007E544F">
        <w:rPr>
          <w:szCs w:val="22"/>
          <w:lang w:val="es-ES"/>
        </w:rPr>
        <w:t>.</w:t>
      </w:r>
    </w:p>
    <w:p w:rsidR="00155D0B" w:rsidRPr="009C2916" w:rsidRDefault="00155D0B" w:rsidP="00155D0B">
      <w:pPr>
        <w:pStyle w:val="Default"/>
        <w:rPr>
          <w:lang w:val="es-ES"/>
        </w:rPr>
      </w:pPr>
    </w:p>
    <w:p w:rsidR="00952BCC" w:rsidRDefault="00952BCC" w:rsidP="0042334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szCs w:val="22"/>
          <w:lang w:val="es-ES"/>
        </w:rPr>
      </w:pPr>
      <w:r>
        <w:rPr>
          <w:szCs w:val="22"/>
          <w:lang w:val="es-ES"/>
        </w:rPr>
        <w:t>Propuesta de mandato para la realización de un estudio</w:t>
      </w:r>
    </w:p>
    <w:p w:rsidR="00952BCC" w:rsidRDefault="00952BCC" w:rsidP="00952BCC">
      <w:pPr>
        <w:pStyle w:val="Footer"/>
        <w:tabs>
          <w:tab w:val="clear" w:pos="4320"/>
          <w:tab w:val="clear" w:pos="8640"/>
        </w:tabs>
        <w:ind w:left="1134"/>
        <w:outlineLvl w:val="0"/>
        <w:rPr>
          <w:szCs w:val="22"/>
          <w:lang w:val="es-ES"/>
        </w:rPr>
      </w:pPr>
      <w:r>
        <w:rPr>
          <w:szCs w:val="22"/>
          <w:lang w:val="es-ES"/>
        </w:rPr>
        <w:t xml:space="preserve">Véase el documento </w:t>
      </w:r>
      <w:proofErr w:type="spellStart"/>
      <w:r>
        <w:rPr>
          <w:szCs w:val="22"/>
          <w:lang w:val="es-ES"/>
        </w:rPr>
        <w:t>WIPO</w:t>
      </w:r>
      <w:proofErr w:type="spellEnd"/>
      <w:r>
        <w:rPr>
          <w:szCs w:val="22"/>
          <w:lang w:val="es-ES"/>
        </w:rPr>
        <w:t>/</w:t>
      </w:r>
      <w:proofErr w:type="spellStart"/>
      <w:r>
        <w:rPr>
          <w:szCs w:val="22"/>
          <w:lang w:val="es-ES"/>
        </w:rPr>
        <w:t>GRTKF</w:t>
      </w:r>
      <w:proofErr w:type="spellEnd"/>
      <w:r>
        <w:rPr>
          <w:szCs w:val="22"/>
          <w:lang w:val="es-ES"/>
        </w:rPr>
        <w:t>/</w:t>
      </w:r>
      <w:proofErr w:type="spellStart"/>
      <w:r>
        <w:rPr>
          <w:szCs w:val="22"/>
          <w:lang w:val="es-ES"/>
        </w:rPr>
        <w:t>IC</w:t>
      </w:r>
      <w:proofErr w:type="spellEnd"/>
      <w:r>
        <w:rPr>
          <w:szCs w:val="22"/>
          <w:lang w:val="es-ES"/>
        </w:rPr>
        <w:t>/31/9.</w:t>
      </w:r>
    </w:p>
    <w:p w:rsidR="00952BCC" w:rsidRPr="00952BCC" w:rsidRDefault="00952BCC" w:rsidP="00952BCC">
      <w:pPr>
        <w:pStyle w:val="Footer"/>
        <w:tabs>
          <w:tab w:val="clear" w:pos="4320"/>
          <w:tab w:val="clear" w:pos="8640"/>
        </w:tabs>
        <w:ind w:left="1134"/>
        <w:outlineLvl w:val="0"/>
        <w:rPr>
          <w:szCs w:val="22"/>
          <w:lang w:val="es-ES"/>
        </w:rPr>
      </w:pPr>
      <w:bookmarkStart w:id="5" w:name="_GoBack"/>
      <w:bookmarkEnd w:id="5"/>
    </w:p>
    <w:p w:rsidR="00AF565C" w:rsidRPr="0042334B" w:rsidRDefault="008D380A" w:rsidP="0042334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szCs w:val="22"/>
          <w:lang w:val="es-ES"/>
        </w:rPr>
      </w:pPr>
      <w:r w:rsidRPr="0042334B">
        <w:rPr>
          <w:lang w:val="es-ES"/>
        </w:rPr>
        <w:t>Glosario</w:t>
      </w:r>
      <w:r w:rsidRPr="0042334B">
        <w:rPr>
          <w:szCs w:val="22"/>
          <w:lang w:val="es-ES"/>
        </w:rPr>
        <w:t xml:space="preserve"> de los términos más importantes </w:t>
      </w:r>
      <w:r w:rsidR="0050419D" w:rsidRPr="0042334B">
        <w:rPr>
          <w:szCs w:val="22"/>
          <w:lang w:val="es-ES"/>
        </w:rPr>
        <w:t>relacionados</w:t>
      </w:r>
      <w:r w:rsidRPr="0042334B">
        <w:rPr>
          <w:szCs w:val="22"/>
          <w:lang w:val="es-ES"/>
        </w:rPr>
        <w:t xml:space="preserve"> con la propiedad intelectual y los recursos genéticos, los conocimientos tradicionales y las expresiones culturales tradicionales</w:t>
      </w:r>
    </w:p>
    <w:p w:rsidR="00AF565C" w:rsidRPr="0042334B" w:rsidRDefault="00AF565C" w:rsidP="009C2916">
      <w:pPr>
        <w:pStyle w:val="Footer"/>
        <w:ind w:left="1134"/>
        <w:outlineLvl w:val="0"/>
        <w:rPr>
          <w:szCs w:val="22"/>
          <w:lang w:val="es-ES"/>
        </w:rPr>
      </w:pPr>
      <w:r w:rsidRPr="0042334B">
        <w:rPr>
          <w:szCs w:val="22"/>
          <w:lang w:val="es-ES"/>
        </w:rPr>
        <w:t>Vé</w:t>
      </w:r>
      <w:r w:rsidR="00915660" w:rsidRPr="0042334B">
        <w:rPr>
          <w:szCs w:val="22"/>
          <w:lang w:val="es-ES"/>
        </w:rPr>
        <w:t>ase el documento WIPO/GRTKF/IC/3</w:t>
      </w:r>
      <w:r w:rsidR="000D3583">
        <w:rPr>
          <w:szCs w:val="22"/>
          <w:lang w:val="es-ES"/>
        </w:rPr>
        <w:t>1</w:t>
      </w:r>
      <w:r w:rsidRPr="0042334B">
        <w:rPr>
          <w:szCs w:val="22"/>
          <w:lang w:val="es-ES"/>
        </w:rPr>
        <w:t>/INF/7.</w:t>
      </w:r>
    </w:p>
    <w:p w:rsidR="00AF565C" w:rsidRPr="0042334B" w:rsidRDefault="00AF565C" w:rsidP="0042334B">
      <w:pPr>
        <w:pStyle w:val="Footer"/>
        <w:outlineLvl w:val="0"/>
        <w:rPr>
          <w:szCs w:val="22"/>
          <w:lang w:val="es-ES"/>
        </w:rPr>
      </w:pPr>
    </w:p>
    <w:p w:rsidR="00915660" w:rsidRPr="0042334B" w:rsidRDefault="00915660" w:rsidP="0042334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lang w:val="es-ES"/>
        </w:rPr>
      </w:pPr>
      <w:r w:rsidRPr="0042334B">
        <w:rPr>
          <w:lang w:val="es-ES"/>
        </w:rPr>
        <w:t xml:space="preserve">Lista de referencias </w:t>
      </w:r>
      <w:r w:rsidR="00446D8E" w:rsidRPr="0042334B">
        <w:rPr>
          <w:lang w:val="es-ES"/>
        </w:rPr>
        <w:t>de</w:t>
      </w:r>
      <w:r w:rsidRPr="0042334B">
        <w:rPr>
          <w:lang w:val="es-ES"/>
        </w:rPr>
        <w:t xml:space="preserve"> los recursos pertinentes para los conocimientos tradicionales, las expresiones culturales tradicionales y los recursos genéticos</w:t>
      </w:r>
    </w:p>
    <w:p w:rsidR="00915660" w:rsidRPr="0042334B" w:rsidRDefault="00915660" w:rsidP="009C2916">
      <w:pPr>
        <w:pStyle w:val="Footer"/>
        <w:ind w:left="1134"/>
        <w:outlineLvl w:val="0"/>
        <w:rPr>
          <w:lang w:val="es-ES"/>
        </w:rPr>
      </w:pPr>
      <w:r w:rsidRPr="0042334B">
        <w:rPr>
          <w:szCs w:val="22"/>
          <w:lang w:val="es-ES"/>
        </w:rPr>
        <w:t>Véase</w:t>
      </w:r>
      <w:r w:rsidRPr="0042334B">
        <w:rPr>
          <w:lang w:val="es-ES"/>
        </w:rPr>
        <w:t xml:space="preserve"> el documento WIPO/GRTKF/IC/3</w:t>
      </w:r>
      <w:r w:rsidR="000D3583">
        <w:rPr>
          <w:lang w:val="es-ES"/>
        </w:rPr>
        <w:t>1</w:t>
      </w:r>
      <w:r w:rsidRPr="0042334B">
        <w:rPr>
          <w:lang w:val="es-ES"/>
        </w:rPr>
        <w:t>/INF/</w:t>
      </w:r>
      <w:r w:rsidR="000D3583">
        <w:rPr>
          <w:lang w:val="es-ES"/>
        </w:rPr>
        <w:t>8</w:t>
      </w:r>
      <w:r w:rsidRPr="0042334B">
        <w:rPr>
          <w:lang w:val="es-ES"/>
        </w:rPr>
        <w:t>.</w:t>
      </w:r>
    </w:p>
    <w:p w:rsidR="006271CE" w:rsidRPr="0042334B" w:rsidRDefault="006271CE" w:rsidP="006271CE">
      <w:pPr>
        <w:pStyle w:val="Footer"/>
        <w:tabs>
          <w:tab w:val="clear" w:pos="4320"/>
          <w:tab w:val="clear" w:pos="8640"/>
        </w:tabs>
        <w:outlineLvl w:val="0"/>
        <w:rPr>
          <w:lang w:val="es-ES"/>
        </w:rPr>
      </w:pPr>
    </w:p>
    <w:p w:rsidR="006271CE" w:rsidRPr="0042334B" w:rsidRDefault="006271CE" w:rsidP="0042334B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lang w:val="es-ES"/>
        </w:rPr>
      </w:pPr>
      <w:r w:rsidRPr="0042334B">
        <w:rPr>
          <w:lang w:val="es-ES"/>
        </w:rPr>
        <w:t>Examen técnico de algunas cuestiones esenciales de propiedad intelectual de los proyectos de instrumentos de la OMPI relativos a los recursos genéticos, los conocimientos tradicionales y las expresiones culturales tradicionales, realizado por el Profesor James Anaya</w:t>
      </w:r>
    </w:p>
    <w:p w:rsidR="006271CE" w:rsidRPr="0042334B" w:rsidRDefault="006271CE" w:rsidP="009C2916">
      <w:pPr>
        <w:pStyle w:val="Footer"/>
        <w:ind w:left="1134"/>
        <w:outlineLvl w:val="0"/>
        <w:rPr>
          <w:lang w:val="es-ES"/>
        </w:rPr>
      </w:pPr>
      <w:r w:rsidRPr="0042334B">
        <w:rPr>
          <w:lang w:val="es-ES"/>
        </w:rPr>
        <w:t>Véa</w:t>
      </w:r>
      <w:r w:rsidR="00915660" w:rsidRPr="0042334B">
        <w:rPr>
          <w:lang w:val="es-ES"/>
        </w:rPr>
        <w:t xml:space="preserve">se </w:t>
      </w:r>
      <w:r w:rsidR="00915660" w:rsidRPr="0042334B">
        <w:rPr>
          <w:szCs w:val="22"/>
          <w:lang w:val="es-ES"/>
        </w:rPr>
        <w:t>el</w:t>
      </w:r>
      <w:r w:rsidR="00915660" w:rsidRPr="0042334B">
        <w:rPr>
          <w:lang w:val="es-ES"/>
        </w:rPr>
        <w:t xml:space="preserve"> documento WIPO/GRTKF/IC/3</w:t>
      </w:r>
      <w:r w:rsidR="000D3583">
        <w:rPr>
          <w:lang w:val="es-ES"/>
        </w:rPr>
        <w:t>1</w:t>
      </w:r>
      <w:r w:rsidRPr="0042334B">
        <w:rPr>
          <w:lang w:val="es-ES"/>
        </w:rPr>
        <w:t>/INF/</w:t>
      </w:r>
      <w:r w:rsidR="000D3583">
        <w:rPr>
          <w:lang w:val="es-ES"/>
        </w:rPr>
        <w:t>9</w:t>
      </w:r>
      <w:r w:rsidRPr="0042334B">
        <w:rPr>
          <w:lang w:val="es-ES"/>
        </w:rPr>
        <w:t>.</w:t>
      </w:r>
    </w:p>
    <w:p w:rsidR="0046050B" w:rsidRPr="0042334B" w:rsidRDefault="0046050B" w:rsidP="0046050B">
      <w:pPr>
        <w:pStyle w:val="Footer"/>
        <w:outlineLvl w:val="0"/>
        <w:rPr>
          <w:szCs w:val="22"/>
          <w:lang w:val="es-ES"/>
        </w:rPr>
      </w:pPr>
    </w:p>
    <w:p w:rsidR="00B87689" w:rsidRDefault="00B87689" w:rsidP="00B8768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t>Contribución del Comité Intergubernamental sobre Propiedad Intelectual y Recursos Genéticos, Conocimientos Tradicionales y Folclore (CIG) a la aplicación de las recomendaciones de la Agenda para el Desarrollo que le incumben</w:t>
      </w:r>
    </w:p>
    <w:p w:rsidR="00B87689" w:rsidRDefault="00B87689" w:rsidP="003E01D2">
      <w:pPr>
        <w:pStyle w:val="Footer"/>
        <w:tabs>
          <w:tab w:val="clear" w:pos="4320"/>
          <w:tab w:val="clear" w:pos="8640"/>
          <w:tab w:val="left" w:pos="567"/>
        </w:tabs>
        <w:contextualSpacing/>
        <w:rPr>
          <w:szCs w:val="22"/>
          <w:lang w:val="es-ES"/>
        </w:rPr>
      </w:pPr>
    </w:p>
    <w:p w:rsidR="00AF565C" w:rsidRPr="0042334B" w:rsidRDefault="00AF565C" w:rsidP="00976194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left" w:pos="567"/>
        </w:tabs>
        <w:ind w:left="1170" w:hanging="1170"/>
        <w:contextualSpacing/>
        <w:rPr>
          <w:szCs w:val="22"/>
          <w:lang w:val="es-ES"/>
        </w:rPr>
      </w:pPr>
      <w:r w:rsidRPr="0042334B">
        <w:rPr>
          <w:szCs w:val="22"/>
          <w:lang w:val="es-ES"/>
        </w:rPr>
        <w:t>Otr</w:t>
      </w:r>
      <w:r w:rsidR="00143EB0" w:rsidRPr="0042334B">
        <w:rPr>
          <w:szCs w:val="22"/>
          <w:lang w:val="es-ES"/>
        </w:rPr>
        <w:t>o</w:t>
      </w:r>
      <w:r w:rsidRPr="0042334B">
        <w:rPr>
          <w:szCs w:val="22"/>
          <w:lang w:val="es-ES"/>
        </w:rPr>
        <w:t xml:space="preserve">s </w:t>
      </w:r>
      <w:r w:rsidR="00143EB0" w:rsidRPr="0042334B">
        <w:rPr>
          <w:szCs w:val="22"/>
          <w:lang w:val="es-ES"/>
        </w:rPr>
        <w:t>asuntos</w:t>
      </w:r>
    </w:p>
    <w:p w:rsidR="00AF565C" w:rsidRPr="0042334B" w:rsidRDefault="00AF565C" w:rsidP="008030F2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  <w:lang w:val="es-ES"/>
        </w:rPr>
      </w:pPr>
    </w:p>
    <w:p w:rsidR="00AF565C" w:rsidRPr="0042334B" w:rsidRDefault="00AF565C" w:rsidP="00976194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num" w:pos="540"/>
          <w:tab w:val="left" w:pos="567"/>
        </w:tabs>
        <w:ind w:left="1170" w:hanging="1170"/>
        <w:contextualSpacing/>
        <w:rPr>
          <w:szCs w:val="22"/>
          <w:lang w:val="es-ES"/>
        </w:rPr>
      </w:pPr>
      <w:r w:rsidRPr="0042334B">
        <w:rPr>
          <w:szCs w:val="22"/>
          <w:lang w:val="es-ES"/>
        </w:rPr>
        <w:t>Clausura de la sesión</w:t>
      </w:r>
    </w:p>
    <w:p w:rsidR="00AF565C" w:rsidRPr="003E01D2" w:rsidRDefault="00AF565C" w:rsidP="00143EB0">
      <w:pPr>
        <w:pStyle w:val="Endofdocument"/>
        <w:spacing w:after="0" w:line="240" w:lineRule="auto"/>
        <w:ind w:left="0"/>
        <w:jc w:val="left"/>
        <w:rPr>
          <w:rFonts w:cs="Arial"/>
          <w:sz w:val="22"/>
          <w:szCs w:val="22"/>
          <w:lang w:val="es-ES"/>
        </w:rPr>
      </w:pPr>
    </w:p>
    <w:p w:rsidR="00AF565C" w:rsidRPr="003E01D2" w:rsidRDefault="00AF565C" w:rsidP="00143EB0">
      <w:pPr>
        <w:pStyle w:val="Endofdocument"/>
        <w:spacing w:after="0" w:line="240" w:lineRule="auto"/>
        <w:ind w:left="0"/>
        <w:jc w:val="left"/>
        <w:rPr>
          <w:rFonts w:cs="Arial"/>
          <w:sz w:val="22"/>
          <w:szCs w:val="22"/>
          <w:lang w:val="es-ES"/>
        </w:rPr>
      </w:pPr>
    </w:p>
    <w:p w:rsidR="0061243C" w:rsidRPr="0042334B" w:rsidRDefault="00AF565C" w:rsidP="00296F2F">
      <w:pPr>
        <w:pStyle w:val="Endofdocument-Annex"/>
        <w:rPr>
          <w:lang w:val="es-ES"/>
        </w:rPr>
      </w:pPr>
      <w:r w:rsidRPr="0042334B">
        <w:rPr>
          <w:lang w:val="es-ES"/>
        </w:rPr>
        <w:t>[Fin del documento]</w:t>
      </w:r>
    </w:p>
    <w:sectPr w:rsidR="0061243C" w:rsidRPr="0042334B" w:rsidSect="00FB1F5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296F2F" w:rsidRDefault="008566D9" w:rsidP="00477D6B">
    <w:pPr>
      <w:jc w:val="right"/>
      <w:rPr>
        <w:lang w:val="es-ES"/>
      </w:rPr>
    </w:pPr>
    <w:bookmarkStart w:id="6" w:name="Code2"/>
    <w:bookmarkEnd w:id="6"/>
    <w:r w:rsidRPr="00296F2F">
      <w:rPr>
        <w:lang w:val="es-ES"/>
      </w:rPr>
      <w:t>W</w:t>
    </w:r>
    <w:r w:rsidR="00B30DC2" w:rsidRPr="00296F2F">
      <w:rPr>
        <w:lang w:val="es-ES"/>
      </w:rPr>
      <w:t>IPO/GRTKF/IC/</w:t>
    </w:r>
    <w:r w:rsidR="00915660">
      <w:rPr>
        <w:lang w:val="es-ES"/>
      </w:rPr>
      <w:t>3</w:t>
    </w:r>
    <w:r w:rsidR="000D3583">
      <w:rPr>
        <w:lang w:val="es-ES"/>
      </w:rPr>
      <w:t>1</w:t>
    </w:r>
    <w:r w:rsidR="00B30DC2" w:rsidRPr="00296F2F">
      <w:rPr>
        <w:lang w:val="es-ES"/>
      </w:rPr>
      <w:t>/1 P</w:t>
    </w:r>
    <w:r w:rsidR="004D7C81" w:rsidRPr="00296F2F">
      <w:rPr>
        <w:lang w:val="es-ES"/>
      </w:rPr>
      <w:t>rov</w:t>
    </w:r>
    <w:r w:rsidR="00DF77BC" w:rsidRPr="00296F2F">
      <w:rPr>
        <w:lang w:val="es-ES"/>
      </w:rPr>
      <w:t>.</w:t>
    </w:r>
    <w:r w:rsidR="001C7FE1">
      <w:rPr>
        <w:lang w:val="es-ES"/>
      </w:rPr>
      <w:t xml:space="preserve"> </w:t>
    </w:r>
    <w:r w:rsidR="00047C92">
      <w:rPr>
        <w:lang w:val="es-ES"/>
      </w:rPr>
      <w:t>3</w:t>
    </w:r>
  </w:p>
  <w:p w:rsidR="008566D9" w:rsidRPr="00296F2F" w:rsidRDefault="0014698C" w:rsidP="00477D6B">
    <w:pPr>
      <w:jc w:val="right"/>
      <w:rPr>
        <w:lang w:val="es-ES"/>
      </w:rPr>
    </w:pPr>
    <w:r w:rsidRPr="007440DC">
      <w:rPr>
        <w:lang w:val="es-ES"/>
      </w:rPr>
      <w:t>página</w:t>
    </w:r>
    <w:r w:rsidR="008566D9" w:rsidRPr="00296F2F">
      <w:rPr>
        <w:lang w:val="es-ES"/>
      </w:rPr>
      <w:t xml:space="preserve"> </w:t>
    </w:r>
    <w:r w:rsidR="008566D9">
      <w:fldChar w:fldCharType="begin"/>
    </w:r>
    <w:r w:rsidR="008566D9" w:rsidRPr="00296F2F">
      <w:rPr>
        <w:lang w:val="es-ES"/>
      </w:rPr>
      <w:instrText xml:space="preserve"> PAGE  \* MERGEFORMAT </w:instrText>
    </w:r>
    <w:r w:rsidR="008566D9">
      <w:fldChar w:fldCharType="separate"/>
    </w:r>
    <w:r w:rsidR="00952BCC">
      <w:rPr>
        <w:noProof/>
        <w:lang w:val="es-ES"/>
      </w:rPr>
      <w:t>2</w:t>
    </w:r>
    <w:r w:rsidR="008566D9">
      <w:fldChar w:fldCharType="end"/>
    </w:r>
  </w:p>
  <w:p w:rsidR="008566D9" w:rsidRPr="00296F2F" w:rsidRDefault="008566D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0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7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8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14"/>
  </w:num>
  <w:num w:numId="8">
    <w:abstractNumId w:val="20"/>
  </w:num>
  <w:num w:numId="9">
    <w:abstractNumId w:val="15"/>
  </w:num>
  <w:num w:numId="10">
    <w:abstractNumId w:val="16"/>
  </w:num>
  <w:num w:numId="11">
    <w:abstractNumId w:val="19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2"/>
  </w:num>
  <w:num w:numId="18">
    <w:abstractNumId w:val="21"/>
  </w:num>
  <w:num w:numId="19">
    <w:abstractNumId w:val="18"/>
  </w:num>
  <w:num w:numId="20">
    <w:abstractNumId w:val="1"/>
  </w:num>
  <w:num w:numId="21">
    <w:abstractNumId w:val="10"/>
  </w:num>
  <w:num w:numId="22">
    <w:abstractNumId w:val="5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47C92"/>
    <w:rsid w:val="000564DE"/>
    <w:rsid w:val="00074E67"/>
    <w:rsid w:val="00075432"/>
    <w:rsid w:val="00094E7B"/>
    <w:rsid w:val="000968ED"/>
    <w:rsid w:val="000B47FC"/>
    <w:rsid w:val="000C7425"/>
    <w:rsid w:val="000D1775"/>
    <w:rsid w:val="000D3583"/>
    <w:rsid w:val="000D44C6"/>
    <w:rsid w:val="000D52CA"/>
    <w:rsid w:val="000D690A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064A1"/>
    <w:rsid w:val="001362EE"/>
    <w:rsid w:val="00143EB0"/>
    <w:rsid w:val="0014698C"/>
    <w:rsid w:val="00146C9D"/>
    <w:rsid w:val="00155D0B"/>
    <w:rsid w:val="001832A6"/>
    <w:rsid w:val="001A1A38"/>
    <w:rsid w:val="001A7750"/>
    <w:rsid w:val="001C1D99"/>
    <w:rsid w:val="001C2D72"/>
    <w:rsid w:val="001C7FE1"/>
    <w:rsid w:val="001E6C4F"/>
    <w:rsid w:val="001F4005"/>
    <w:rsid w:val="0022396F"/>
    <w:rsid w:val="00225773"/>
    <w:rsid w:val="002311AF"/>
    <w:rsid w:val="00231FD1"/>
    <w:rsid w:val="0025117A"/>
    <w:rsid w:val="002634C4"/>
    <w:rsid w:val="00270768"/>
    <w:rsid w:val="00282252"/>
    <w:rsid w:val="002928D3"/>
    <w:rsid w:val="00296F2F"/>
    <w:rsid w:val="002A1CDD"/>
    <w:rsid w:val="002B2725"/>
    <w:rsid w:val="002B7814"/>
    <w:rsid w:val="002C16ED"/>
    <w:rsid w:val="002D59C0"/>
    <w:rsid w:val="002F1FE6"/>
    <w:rsid w:val="002F3EBD"/>
    <w:rsid w:val="002F4E68"/>
    <w:rsid w:val="002F6443"/>
    <w:rsid w:val="00311087"/>
    <w:rsid w:val="00312F7F"/>
    <w:rsid w:val="00314E07"/>
    <w:rsid w:val="00314E30"/>
    <w:rsid w:val="00321D02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4900"/>
    <w:rsid w:val="003845C1"/>
    <w:rsid w:val="003950E5"/>
    <w:rsid w:val="003A2633"/>
    <w:rsid w:val="003A3D0E"/>
    <w:rsid w:val="003A6F89"/>
    <w:rsid w:val="003B2B8B"/>
    <w:rsid w:val="003B38C1"/>
    <w:rsid w:val="003E01D2"/>
    <w:rsid w:val="003F320C"/>
    <w:rsid w:val="00412C61"/>
    <w:rsid w:val="00416016"/>
    <w:rsid w:val="0042230B"/>
    <w:rsid w:val="0042334B"/>
    <w:rsid w:val="00423E3E"/>
    <w:rsid w:val="00427AF4"/>
    <w:rsid w:val="00436AA7"/>
    <w:rsid w:val="00440B71"/>
    <w:rsid w:val="004432C5"/>
    <w:rsid w:val="00446D8E"/>
    <w:rsid w:val="004526E4"/>
    <w:rsid w:val="00456334"/>
    <w:rsid w:val="0046050B"/>
    <w:rsid w:val="0046339D"/>
    <w:rsid w:val="004647DA"/>
    <w:rsid w:val="00470182"/>
    <w:rsid w:val="0047373C"/>
    <w:rsid w:val="00474062"/>
    <w:rsid w:val="00477D6B"/>
    <w:rsid w:val="00481B56"/>
    <w:rsid w:val="00485C67"/>
    <w:rsid w:val="00496E38"/>
    <w:rsid w:val="004A79D2"/>
    <w:rsid w:val="004C2215"/>
    <w:rsid w:val="004C382A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22A02"/>
    <w:rsid w:val="00524FAA"/>
    <w:rsid w:val="0053057A"/>
    <w:rsid w:val="00530E68"/>
    <w:rsid w:val="00553D5E"/>
    <w:rsid w:val="00560A29"/>
    <w:rsid w:val="0057535D"/>
    <w:rsid w:val="005957EB"/>
    <w:rsid w:val="005A4A15"/>
    <w:rsid w:val="005C6649"/>
    <w:rsid w:val="005D598D"/>
    <w:rsid w:val="005E225C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B4668"/>
    <w:rsid w:val="006D6623"/>
    <w:rsid w:val="006D7A9A"/>
    <w:rsid w:val="006E1ADF"/>
    <w:rsid w:val="006E1BA9"/>
    <w:rsid w:val="006F04FE"/>
    <w:rsid w:val="006F22AA"/>
    <w:rsid w:val="007045E0"/>
    <w:rsid w:val="007157D1"/>
    <w:rsid w:val="00733723"/>
    <w:rsid w:val="00741D5F"/>
    <w:rsid w:val="007440DC"/>
    <w:rsid w:val="00747CEF"/>
    <w:rsid w:val="00780036"/>
    <w:rsid w:val="007A0AB2"/>
    <w:rsid w:val="007A6E31"/>
    <w:rsid w:val="007C62DD"/>
    <w:rsid w:val="007D1613"/>
    <w:rsid w:val="007D456B"/>
    <w:rsid w:val="007E544F"/>
    <w:rsid w:val="008030F2"/>
    <w:rsid w:val="008171F8"/>
    <w:rsid w:val="0081774F"/>
    <w:rsid w:val="00821366"/>
    <w:rsid w:val="00824AC1"/>
    <w:rsid w:val="00824CEF"/>
    <w:rsid w:val="00826009"/>
    <w:rsid w:val="00832B13"/>
    <w:rsid w:val="008421CD"/>
    <w:rsid w:val="00850556"/>
    <w:rsid w:val="008566D9"/>
    <w:rsid w:val="00863989"/>
    <w:rsid w:val="00866D5B"/>
    <w:rsid w:val="00881728"/>
    <w:rsid w:val="00894779"/>
    <w:rsid w:val="008949DE"/>
    <w:rsid w:val="008A01A4"/>
    <w:rsid w:val="008B2CC1"/>
    <w:rsid w:val="008B60B2"/>
    <w:rsid w:val="008C57E4"/>
    <w:rsid w:val="008D380A"/>
    <w:rsid w:val="0090646F"/>
    <w:rsid w:val="0090731E"/>
    <w:rsid w:val="00915660"/>
    <w:rsid w:val="00916EE2"/>
    <w:rsid w:val="00922372"/>
    <w:rsid w:val="00923EDF"/>
    <w:rsid w:val="009318CE"/>
    <w:rsid w:val="00934B09"/>
    <w:rsid w:val="009441BC"/>
    <w:rsid w:val="009458A8"/>
    <w:rsid w:val="00952BCC"/>
    <w:rsid w:val="00955B1F"/>
    <w:rsid w:val="00966A22"/>
    <w:rsid w:val="0096722F"/>
    <w:rsid w:val="00972074"/>
    <w:rsid w:val="00976194"/>
    <w:rsid w:val="00980843"/>
    <w:rsid w:val="009931F8"/>
    <w:rsid w:val="00993649"/>
    <w:rsid w:val="00997FCD"/>
    <w:rsid w:val="009A2ED7"/>
    <w:rsid w:val="009A58DA"/>
    <w:rsid w:val="009C1E64"/>
    <w:rsid w:val="009C2916"/>
    <w:rsid w:val="009C75E5"/>
    <w:rsid w:val="009D07C4"/>
    <w:rsid w:val="009D6ADF"/>
    <w:rsid w:val="009E2791"/>
    <w:rsid w:val="009E3F6F"/>
    <w:rsid w:val="009F05E9"/>
    <w:rsid w:val="009F499F"/>
    <w:rsid w:val="00A11425"/>
    <w:rsid w:val="00A17561"/>
    <w:rsid w:val="00A42DAF"/>
    <w:rsid w:val="00A45BD8"/>
    <w:rsid w:val="00A548BA"/>
    <w:rsid w:val="00A6159E"/>
    <w:rsid w:val="00A84C18"/>
    <w:rsid w:val="00A869B7"/>
    <w:rsid w:val="00A91862"/>
    <w:rsid w:val="00A967BF"/>
    <w:rsid w:val="00A97630"/>
    <w:rsid w:val="00AA2E65"/>
    <w:rsid w:val="00AA7021"/>
    <w:rsid w:val="00AC205C"/>
    <w:rsid w:val="00AF0A6B"/>
    <w:rsid w:val="00AF4665"/>
    <w:rsid w:val="00AF565C"/>
    <w:rsid w:val="00B05A69"/>
    <w:rsid w:val="00B213F2"/>
    <w:rsid w:val="00B30BEE"/>
    <w:rsid w:val="00B30DC2"/>
    <w:rsid w:val="00B4005E"/>
    <w:rsid w:val="00B87689"/>
    <w:rsid w:val="00B9589B"/>
    <w:rsid w:val="00B9734B"/>
    <w:rsid w:val="00BB5CE9"/>
    <w:rsid w:val="00BC08BF"/>
    <w:rsid w:val="00BD1067"/>
    <w:rsid w:val="00BE1342"/>
    <w:rsid w:val="00BE2F3A"/>
    <w:rsid w:val="00BE77C3"/>
    <w:rsid w:val="00C1071C"/>
    <w:rsid w:val="00C11BFE"/>
    <w:rsid w:val="00C14B49"/>
    <w:rsid w:val="00C24890"/>
    <w:rsid w:val="00C276B3"/>
    <w:rsid w:val="00C54BEF"/>
    <w:rsid w:val="00C64D57"/>
    <w:rsid w:val="00C678D9"/>
    <w:rsid w:val="00C760DD"/>
    <w:rsid w:val="00C9387A"/>
    <w:rsid w:val="00CB3022"/>
    <w:rsid w:val="00CB6F18"/>
    <w:rsid w:val="00CB79CA"/>
    <w:rsid w:val="00CC170C"/>
    <w:rsid w:val="00CC635A"/>
    <w:rsid w:val="00CD4ACB"/>
    <w:rsid w:val="00CF1841"/>
    <w:rsid w:val="00CF4996"/>
    <w:rsid w:val="00CF4C92"/>
    <w:rsid w:val="00D01586"/>
    <w:rsid w:val="00D3631E"/>
    <w:rsid w:val="00D45252"/>
    <w:rsid w:val="00D71B4D"/>
    <w:rsid w:val="00D85A65"/>
    <w:rsid w:val="00D93D55"/>
    <w:rsid w:val="00D9572E"/>
    <w:rsid w:val="00DD1DBB"/>
    <w:rsid w:val="00DF77BC"/>
    <w:rsid w:val="00E04EE9"/>
    <w:rsid w:val="00E31B99"/>
    <w:rsid w:val="00E335FE"/>
    <w:rsid w:val="00E37C06"/>
    <w:rsid w:val="00E428EF"/>
    <w:rsid w:val="00E5623C"/>
    <w:rsid w:val="00E63C78"/>
    <w:rsid w:val="00E7198C"/>
    <w:rsid w:val="00E7501B"/>
    <w:rsid w:val="00E92472"/>
    <w:rsid w:val="00EA20C4"/>
    <w:rsid w:val="00EB414C"/>
    <w:rsid w:val="00EC189A"/>
    <w:rsid w:val="00EC40A4"/>
    <w:rsid w:val="00EC4E49"/>
    <w:rsid w:val="00EC5F29"/>
    <w:rsid w:val="00ED77FB"/>
    <w:rsid w:val="00EE45FA"/>
    <w:rsid w:val="00F013F7"/>
    <w:rsid w:val="00F0614F"/>
    <w:rsid w:val="00F065CA"/>
    <w:rsid w:val="00F148D4"/>
    <w:rsid w:val="00F15270"/>
    <w:rsid w:val="00F66152"/>
    <w:rsid w:val="00F87E89"/>
    <w:rsid w:val="00F914CB"/>
    <w:rsid w:val="00FB1F55"/>
    <w:rsid w:val="00FD6BB3"/>
    <w:rsid w:val="00FD7454"/>
    <w:rsid w:val="00FE009E"/>
    <w:rsid w:val="00FE45EC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0715-A282-42DF-8CD5-7E0B6557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WIPO/GRTKF/IC/31/1 Prov. 2</vt:lpstr>
    </vt:vector>
  </TitlesOfParts>
  <Company>WIPO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WIPO/GRTKF/IC/31/1 Prov. 2</dc:title>
  <dc:creator>DIAZ DE ATAURI MATAMALA Inés</dc:creator>
  <dc:description>ID (prov.2) - 30/8/2016 // KP (QC) - 30/8/2016</dc:description>
  <cp:lastModifiedBy>HALLER Mario</cp:lastModifiedBy>
  <cp:revision>2</cp:revision>
  <cp:lastPrinted>2016-06-27T09:28:00Z</cp:lastPrinted>
  <dcterms:created xsi:type="dcterms:W3CDTF">2016-09-20T14:36:00Z</dcterms:created>
  <dcterms:modified xsi:type="dcterms:W3CDTF">2016-09-20T14:36:00Z</dcterms:modified>
</cp:coreProperties>
</file>